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633D" w:rsidP="009B633D" w:rsidRDefault="009B633D" w14:paraId="75AD5D69" w14:textId="77777777">
      <w:pPr>
        <w:jc w:val="center"/>
        <w:rPr>
          <w:sz w:val="28"/>
          <w:szCs w:val="28"/>
        </w:rPr>
      </w:pPr>
    </w:p>
    <w:p w:rsidR="009B633D" w:rsidP="009B633D" w:rsidRDefault="009B633D" w14:paraId="16E580B4" w14:textId="77777777">
      <w:pPr>
        <w:jc w:val="center"/>
        <w:rPr>
          <w:sz w:val="28"/>
          <w:szCs w:val="28"/>
        </w:rPr>
      </w:pPr>
    </w:p>
    <w:p w:rsidR="009B633D" w:rsidP="009B633D" w:rsidRDefault="00456179" w14:paraId="7D874118" w14:textId="77777777">
      <w:pPr>
        <w:jc w:val="center"/>
        <w:rPr>
          <w:b/>
          <w:sz w:val="28"/>
          <w:szCs w:val="28"/>
        </w:rPr>
      </w:pPr>
      <w:r w:rsidRPr="00456179">
        <w:rPr>
          <w:b/>
          <w:sz w:val="28"/>
          <w:szCs w:val="28"/>
        </w:rPr>
        <w:t>SUPPORTING STATEMENT</w:t>
      </w:r>
    </w:p>
    <w:p w:rsidR="00635119" w:rsidP="009B633D" w:rsidRDefault="00635119" w14:paraId="48D92F67" w14:textId="77777777">
      <w:pPr>
        <w:jc w:val="center"/>
        <w:rPr>
          <w:b/>
          <w:sz w:val="28"/>
          <w:szCs w:val="28"/>
        </w:rPr>
      </w:pPr>
    </w:p>
    <w:p w:rsidR="009B633D" w:rsidP="009B633D" w:rsidRDefault="00456179" w14:paraId="4EFC5BA8" w14:textId="77777777">
      <w:pPr>
        <w:jc w:val="center"/>
        <w:rPr>
          <w:sz w:val="28"/>
          <w:szCs w:val="28"/>
        </w:rPr>
      </w:pPr>
      <w:r>
        <w:rPr>
          <w:b/>
          <w:sz w:val="28"/>
          <w:szCs w:val="28"/>
        </w:rPr>
        <w:t>Part A</w:t>
      </w:r>
    </w:p>
    <w:p w:rsidR="009B633D" w:rsidP="009B633D" w:rsidRDefault="009B633D" w14:paraId="425522AF" w14:textId="77777777">
      <w:pPr>
        <w:jc w:val="center"/>
        <w:rPr>
          <w:sz w:val="28"/>
          <w:szCs w:val="28"/>
        </w:rPr>
      </w:pPr>
    </w:p>
    <w:p w:rsidR="009B633D" w:rsidP="009B633D" w:rsidRDefault="009B633D" w14:paraId="57206791" w14:textId="77777777">
      <w:pPr>
        <w:jc w:val="center"/>
        <w:rPr>
          <w:sz w:val="28"/>
          <w:szCs w:val="28"/>
        </w:rPr>
      </w:pPr>
    </w:p>
    <w:p w:rsidR="009B633D" w:rsidP="009B633D" w:rsidRDefault="009B633D" w14:paraId="11321745" w14:textId="77777777">
      <w:pPr>
        <w:jc w:val="center"/>
        <w:rPr>
          <w:sz w:val="28"/>
          <w:szCs w:val="28"/>
        </w:rPr>
      </w:pPr>
    </w:p>
    <w:p w:rsidR="009B633D" w:rsidP="009B633D" w:rsidRDefault="009B633D" w14:paraId="49B373A1" w14:textId="77777777">
      <w:pPr>
        <w:jc w:val="center"/>
        <w:rPr>
          <w:sz w:val="28"/>
          <w:szCs w:val="28"/>
        </w:rPr>
      </w:pPr>
    </w:p>
    <w:p w:rsidR="009B633D" w:rsidP="009B633D" w:rsidRDefault="009B633D" w14:paraId="0467BEDC" w14:textId="77777777">
      <w:pPr>
        <w:jc w:val="center"/>
        <w:rPr>
          <w:sz w:val="28"/>
          <w:szCs w:val="28"/>
        </w:rPr>
      </w:pPr>
    </w:p>
    <w:p w:rsidR="009B633D" w:rsidP="009B633D" w:rsidRDefault="009B633D" w14:paraId="1B11A975" w14:textId="77777777">
      <w:pPr>
        <w:jc w:val="center"/>
        <w:rPr>
          <w:sz w:val="28"/>
          <w:szCs w:val="28"/>
        </w:rPr>
      </w:pPr>
    </w:p>
    <w:p w:rsidR="0000597D" w:rsidP="00FD5674" w:rsidRDefault="0000597D" w14:paraId="5502F9C3" w14:textId="77777777">
      <w:pPr>
        <w:autoSpaceDE w:val="0"/>
        <w:autoSpaceDN w:val="0"/>
        <w:jc w:val="center"/>
        <w:rPr>
          <w:sz w:val="32"/>
          <w:szCs w:val="32"/>
        </w:rPr>
      </w:pPr>
      <w:r w:rsidRPr="0000597D">
        <w:rPr>
          <w:sz w:val="32"/>
          <w:szCs w:val="32"/>
        </w:rPr>
        <w:t>AHRQ's National Nursing Home COVID-19 Coordinating Center</w:t>
      </w:r>
    </w:p>
    <w:p w:rsidRPr="00C03446" w:rsidR="00C00123" w:rsidP="00C00123" w:rsidRDefault="00C00123" w14:paraId="51962D19" w14:textId="7564A889">
      <w:pPr>
        <w:jc w:val="center"/>
        <w:rPr>
          <w:sz w:val="28"/>
          <w:szCs w:val="28"/>
          <w:highlight w:val="yellow"/>
        </w:rPr>
      </w:pPr>
    </w:p>
    <w:p w:rsidR="009B633D" w:rsidP="009B633D" w:rsidRDefault="009B633D" w14:paraId="094CFFDD" w14:textId="77777777">
      <w:pPr>
        <w:jc w:val="center"/>
        <w:rPr>
          <w:sz w:val="28"/>
          <w:szCs w:val="28"/>
        </w:rPr>
      </w:pPr>
    </w:p>
    <w:p w:rsidR="009B633D" w:rsidP="009B633D" w:rsidRDefault="009B633D" w14:paraId="6A006459" w14:textId="77777777">
      <w:pPr>
        <w:jc w:val="center"/>
        <w:rPr>
          <w:sz w:val="28"/>
          <w:szCs w:val="28"/>
        </w:rPr>
      </w:pPr>
    </w:p>
    <w:p w:rsidR="009B633D" w:rsidP="009B633D" w:rsidRDefault="009B633D" w14:paraId="2C16AAD6" w14:textId="77777777">
      <w:pPr>
        <w:jc w:val="center"/>
        <w:rPr>
          <w:sz w:val="28"/>
          <w:szCs w:val="28"/>
        </w:rPr>
      </w:pPr>
    </w:p>
    <w:p w:rsidRPr="00C4006D" w:rsidR="009B633D" w:rsidP="009B633D" w:rsidRDefault="00BB1C2F" w14:paraId="7CA49AEC" w14:textId="40A57A5F">
      <w:pPr>
        <w:jc w:val="center"/>
        <w:rPr>
          <w:i/>
          <w:sz w:val="28"/>
          <w:szCs w:val="28"/>
        </w:rPr>
      </w:pPr>
      <w:r>
        <w:rPr>
          <w:b/>
          <w:sz w:val="28"/>
          <w:szCs w:val="28"/>
        </w:rPr>
        <w:t>Version</w:t>
      </w:r>
      <w:r w:rsidR="00FF42BD">
        <w:rPr>
          <w:b/>
          <w:sz w:val="28"/>
          <w:szCs w:val="28"/>
        </w:rPr>
        <w:t>:</w:t>
      </w:r>
      <w:r>
        <w:rPr>
          <w:b/>
          <w:sz w:val="28"/>
          <w:szCs w:val="28"/>
        </w:rPr>
        <w:t xml:space="preserve"> </w:t>
      </w:r>
      <w:r w:rsidR="00E907B3">
        <w:rPr>
          <w:b/>
          <w:sz w:val="28"/>
          <w:szCs w:val="28"/>
        </w:rPr>
        <w:t>February 10, 2022</w:t>
      </w:r>
    </w:p>
    <w:p w:rsidR="009B633D" w:rsidP="009B633D" w:rsidRDefault="009B633D" w14:paraId="51D83F01" w14:textId="77777777">
      <w:pPr>
        <w:jc w:val="center"/>
        <w:rPr>
          <w:i/>
          <w:sz w:val="28"/>
          <w:szCs w:val="28"/>
        </w:rPr>
      </w:pPr>
    </w:p>
    <w:p w:rsidR="009B633D" w:rsidP="009B633D" w:rsidRDefault="009B633D" w14:paraId="6FF5D929" w14:textId="77777777">
      <w:pPr>
        <w:jc w:val="center"/>
        <w:rPr>
          <w:sz w:val="28"/>
          <w:szCs w:val="28"/>
        </w:rPr>
      </w:pPr>
    </w:p>
    <w:p w:rsidR="009B633D" w:rsidP="009B633D" w:rsidRDefault="009B633D" w14:paraId="4598E4E4" w14:textId="77777777">
      <w:pPr>
        <w:jc w:val="center"/>
        <w:rPr>
          <w:sz w:val="28"/>
          <w:szCs w:val="28"/>
        </w:rPr>
      </w:pPr>
    </w:p>
    <w:p w:rsidR="009B633D" w:rsidP="009B633D" w:rsidRDefault="009B633D" w14:paraId="1591E75B" w14:textId="77777777">
      <w:pPr>
        <w:jc w:val="center"/>
        <w:rPr>
          <w:sz w:val="28"/>
          <w:szCs w:val="28"/>
        </w:rPr>
      </w:pPr>
    </w:p>
    <w:p w:rsidR="009B633D" w:rsidP="009B633D" w:rsidRDefault="009B633D" w14:paraId="19655073" w14:textId="77777777">
      <w:pPr>
        <w:jc w:val="center"/>
        <w:rPr>
          <w:sz w:val="28"/>
          <w:szCs w:val="28"/>
        </w:rPr>
      </w:pPr>
    </w:p>
    <w:p w:rsidR="009B633D" w:rsidP="009B633D" w:rsidRDefault="009B633D" w14:paraId="5ECBFCB4" w14:textId="77777777">
      <w:pPr>
        <w:jc w:val="center"/>
        <w:rPr>
          <w:sz w:val="28"/>
          <w:szCs w:val="28"/>
        </w:rPr>
      </w:pPr>
    </w:p>
    <w:p w:rsidR="009B633D" w:rsidP="009B633D" w:rsidRDefault="009B633D" w14:paraId="52AA76AE" w14:textId="64270BFE">
      <w:pPr>
        <w:jc w:val="center"/>
        <w:rPr>
          <w:sz w:val="28"/>
          <w:szCs w:val="28"/>
        </w:rPr>
      </w:pPr>
      <w:r w:rsidRPr="00677A0B">
        <w:rPr>
          <w:sz w:val="28"/>
          <w:szCs w:val="28"/>
        </w:rPr>
        <w:t xml:space="preserve">Agency </w:t>
      </w:r>
      <w:r w:rsidR="00AA755B">
        <w:rPr>
          <w:sz w:val="28"/>
          <w:szCs w:val="28"/>
        </w:rPr>
        <w:t>for</w:t>
      </w:r>
      <w:r w:rsidRPr="00677A0B" w:rsidR="00AA755B">
        <w:rPr>
          <w:sz w:val="28"/>
          <w:szCs w:val="28"/>
        </w:rPr>
        <w:t xml:space="preserve"> </w:t>
      </w:r>
      <w:r w:rsidRPr="00677A0B">
        <w:rPr>
          <w:sz w:val="28"/>
          <w:szCs w:val="28"/>
        </w:rPr>
        <w:t>Healthcare Research and Quality (AHRQ)</w:t>
      </w:r>
    </w:p>
    <w:p w:rsidR="009B633D" w:rsidRDefault="009B633D" w14:paraId="7097E3A0" w14:textId="77777777">
      <w:pPr>
        <w:rPr>
          <w:sz w:val="28"/>
          <w:szCs w:val="28"/>
        </w:rPr>
      </w:pPr>
    </w:p>
    <w:p w:rsidRPr="00556066" w:rsidR="00556066" w:rsidP="00CE3206" w:rsidRDefault="009B633D" w14:paraId="24A16CBC" w14:textId="4FD2267A">
      <w:r>
        <w:br w:type="page"/>
      </w:r>
    </w:p>
    <w:p w:rsidRPr="00556066" w:rsidR="00556066" w:rsidP="007B3A8E" w:rsidRDefault="00556066" w14:paraId="5FD53B3E" w14:textId="77777777">
      <w:pPr>
        <w:tabs>
          <w:tab w:val="left" w:pos="360"/>
          <w:tab w:val="left" w:leader="dot" w:pos="8280"/>
        </w:tabs>
      </w:pPr>
      <w:r>
        <w:lastRenderedPageBreak/>
        <w:tab/>
      </w:r>
    </w:p>
    <w:p w:rsidR="009B633D" w:rsidP="009B633D" w:rsidRDefault="009B633D" w14:paraId="124E964A" w14:textId="77777777">
      <w:pPr>
        <w:jc w:val="center"/>
        <w:rPr>
          <w:b/>
        </w:rPr>
      </w:pPr>
    </w:p>
    <w:sdt>
      <w:sdtPr>
        <w:rPr>
          <w:rFonts w:ascii="Times New Roman" w:hAnsi="Times New Roman" w:eastAsia="Times New Roman" w:cs="Times New Roman"/>
          <w:color w:val="auto"/>
          <w:sz w:val="24"/>
          <w:szCs w:val="24"/>
        </w:rPr>
        <w:id w:val="-1745405797"/>
        <w:docPartObj>
          <w:docPartGallery w:val="Table of Contents"/>
          <w:docPartUnique/>
        </w:docPartObj>
      </w:sdtPr>
      <w:sdtEndPr>
        <w:rPr>
          <w:b/>
          <w:bCs/>
          <w:noProof/>
        </w:rPr>
      </w:sdtEndPr>
      <w:sdtContent>
        <w:p w:rsidR="00CE3206" w:rsidRDefault="00CE3206" w14:paraId="606FF50D" w14:textId="1B55F746">
          <w:pPr>
            <w:pStyle w:val="TOCHeading"/>
          </w:pPr>
          <w:r w:rsidRPr="00CE3206">
            <w:rPr>
              <w:rFonts w:ascii="Times New Roman" w:hAnsi="Times New Roman" w:cs="Times New Roman"/>
              <w:b/>
              <w:i/>
              <w:color w:val="000000" w:themeColor="text1"/>
              <w:sz w:val="24"/>
              <w:szCs w:val="24"/>
            </w:rPr>
            <w:t>Table of Contents</w:t>
          </w:r>
        </w:p>
        <w:p w:rsidR="00E92E75" w:rsidRDefault="00CE3206" w14:paraId="37B0870F" w14:textId="04A353FB">
          <w:pPr>
            <w:pStyle w:val="TOC1"/>
            <w:tabs>
              <w:tab w:val="right" w:leader="dot" w:pos="8630"/>
            </w:tabs>
            <w:rPr>
              <w:rFonts w:asciiTheme="minorHAnsi" w:hAnsiTheme="minorHAnsi" w:eastAsiaTheme="minorEastAsia"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history="1" w:anchor="_Toc83639745">
            <w:r w:rsidRPr="00E80EC2" w:rsidR="00E92E75">
              <w:rPr>
                <w:rStyle w:val="Hyperlink"/>
                <w:noProof/>
              </w:rPr>
              <w:t>A. Justification</w:t>
            </w:r>
            <w:r w:rsidR="00E92E75">
              <w:rPr>
                <w:noProof/>
                <w:webHidden/>
              </w:rPr>
              <w:tab/>
            </w:r>
            <w:r w:rsidR="00E92E75">
              <w:rPr>
                <w:noProof/>
                <w:webHidden/>
              </w:rPr>
              <w:fldChar w:fldCharType="begin"/>
            </w:r>
            <w:r w:rsidR="00E92E75">
              <w:rPr>
                <w:noProof/>
                <w:webHidden/>
              </w:rPr>
              <w:instrText xml:space="preserve"> PAGEREF _Toc83639745 \h </w:instrText>
            </w:r>
            <w:r w:rsidR="00E92E75">
              <w:rPr>
                <w:noProof/>
                <w:webHidden/>
              </w:rPr>
            </w:r>
            <w:r w:rsidR="00E92E75">
              <w:rPr>
                <w:noProof/>
                <w:webHidden/>
              </w:rPr>
              <w:fldChar w:fldCharType="separate"/>
            </w:r>
            <w:r w:rsidR="00E92E75">
              <w:rPr>
                <w:noProof/>
                <w:webHidden/>
              </w:rPr>
              <w:t>- 3 -</w:t>
            </w:r>
            <w:r w:rsidR="00E92E75">
              <w:rPr>
                <w:noProof/>
                <w:webHidden/>
              </w:rPr>
              <w:fldChar w:fldCharType="end"/>
            </w:r>
          </w:hyperlink>
        </w:p>
        <w:p w:rsidR="00E92E75" w:rsidRDefault="007F252F" w14:paraId="0A3A1FF2" w14:textId="38A86B70">
          <w:pPr>
            <w:pStyle w:val="TOC2"/>
            <w:tabs>
              <w:tab w:val="right" w:leader="dot" w:pos="8630"/>
            </w:tabs>
            <w:rPr>
              <w:rFonts w:asciiTheme="minorHAnsi" w:hAnsiTheme="minorHAnsi" w:eastAsiaTheme="minorEastAsia" w:cstheme="minorBidi"/>
              <w:noProof/>
              <w:sz w:val="22"/>
              <w:szCs w:val="22"/>
            </w:rPr>
          </w:pPr>
          <w:hyperlink w:history="1" w:anchor="_Toc83639746">
            <w:r w:rsidRPr="00E80EC2" w:rsidR="00E92E75">
              <w:rPr>
                <w:rStyle w:val="Hyperlink"/>
                <w:noProof/>
              </w:rPr>
              <w:t>1. Circumstances that make the collection of information necessary</w:t>
            </w:r>
            <w:r w:rsidR="00E92E75">
              <w:rPr>
                <w:noProof/>
                <w:webHidden/>
              </w:rPr>
              <w:tab/>
            </w:r>
            <w:r w:rsidR="00E92E75">
              <w:rPr>
                <w:noProof/>
                <w:webHidden/>
              </w:rPr>
              <w:fldChar w:fldCharType="begin"/>
            </w:r>
            <w:r w:rsidR="00E92E75">
              <w:rPr>
                <w:noProof/>
                <w:webHidden/>
              </w:rPr>
              <w:instrText xml:space="preserve"> PAGEREF _Toc83639746 \h </w:instrText>
            </w:r>
            <w:r w:rsidR="00E92E75">
              <w:rPr>
                <w:noProof/>
                <w:webHidden/>
              </w:rPr>
            </w:r>
            <w:r w:rsidR="00E92E75">
              <w:rPr>
                <w:noProof/>
                <w:webHidden/>
              </w:rPr>
              <w:fldChar w:fldCharType="separate"/>
            </w:r>
            <w:r w:rsidR="00E92E75">
              <w:rPr>
                <w:noProof/>
                <w:webHidden/>
              </w:rPr>
              <w:t>- 3 -</w:t>
            </w:r>
            <w:r w:rsidR="00E92E75">
              <w:rPr>
                <w:noProof/>
                <w:webHidden/>
              </w:rPr>
              <w:fldChar w:fldCharType="end"/>
            </w:r>
          </w:hyperlink>
        </w:p>
        <w:p w:rsidR="00E92E75" w:rsidRDefault="007F252F" w14:paraId="72E8440E" w14:textId="5CABFC05">
          <w:pPr>
            <w:pStyle w:val="TOC2"/>
            <w:tabs>
              <w:tab w:val="right" w:leader="dot" w:pos="8630"/>
            </w:tabs>
            <w:rPr>
              <w:rFonts w:asciiTheme="minorHAnsi" w:hAnsiTheme="minorHAnsi" w:eastAsiaTheme="minorEastAsia" w:cstheme="minorBidi"/>
              <w:noProof/>
              <w:sz w:val="22"/>
              <w:szCs w:val="22"/>
            </w:rPr>
          </w:pPr>
          <w:hyperlink w:history="1" w:anchor="_Toc83639747">
            <w:r w:rsidRPr="00E80EC2" w:rsidR="00E92E75">
              <w:rPr>
                <w:rStyle w:val="Hyperlink"/>
                <w:noProof/>
              </w:rPr>
              <w:t>2. Purpose and Use of Information</w:t>
            </w:r>
            <w:r w:rsidR="00E92E75">
              <w:rPr>
                <w:noProof/>
                <w:webHidden/>
              </w:rPr>
              <w:tab/>
            </w:r>
            <w:r w:rsidR="00E92E75">
              <w:rPr>
                <w:noProof/>
                <w:webHidden/>
              </w:rPr>
              <w:fldChar w:fldCharType="begin"/>
            </w:r>
            <w:r w:rsidR="00E92E75">
              <w:rPr>
                <w:noProof/>
                <w:webHidden/>
              </w:rPr>
              <w:instrText xml:space="preserve"> PAGEREF _Toc83639747 \h </w:instrText>
            </w:r>
            <w:r w:rsidR="00E92E75">
              <w:rPr>
                <w:noProof/>
                <w:webHidden/>
              </w:rPr>
            </w:r>
            <w:r w:rsidR="00E92E75">
              <w:rPr>
                <w:noProof/>
                <w:webHidden/>
              </w:rPr>
              <w:fldChar w:fldCharType="separate"/>
            </w:r>
            <w:r w:rsidR="00E92E75">
              <w:rPr>
                <w:noProof/>
                <w:webHidden/>
              </w:rPr>
              <w:t>- 5 -</w:t>
            </w:r>
            <w:r w:rsidR="00E92E75">
              <w:rPr>
                <w:noProof/>
                <w:webHidden/>
              </w:rPr>
              <w:fldChar w:fldCharType="end"/>
            </w:r>
          </w:hyperlink>
        </w:p>
        <w:p w:rsidR="00E92E75" w:rsidRDefault="007F252F" w14:paraId="5387AF51" w14:textId="54FE5D4C">
          <w:pPr>
            <w:pStyle w:val="TOC2"/>
            <w:tabs>
              <w:tab w:val="right" w:leader="dot" w:pos="8630"/>
            </w:tabs>
            <w:rPr>
              <w:rFonts w:asciiTheme="minorHAnsi" w:hAnsiTheme="minorHAnsi" w:eastAsiaTheme="minorEastAsia" w:cstheme="minorBidi"/>
              <w:noProof/>
              <w:sz w:val="22"/>
              <w:szCs w:val="22"/>
            </w:rPr>
          </w:pPr>
          <w:hyperlink w:history="1" w:anchor="_Toc83639748">
            <w:r w:rsidRPr="00E80EC2" w:rsidR="00E92E75">
              <w:rPr>
                <w:rStyle w:val="Hyperlink"/>
                <w:noProof/>
              </w:rPr>
              <w:t>3. Use of Improved Information Technology</w:t>
            </w:r>
            <w:r w:rsidR="00E92E75">
              <w:rPr>
                <w:noProof/>
                <w:webHidden/>
              </w:rPr>
              <w:tab/>
            </w:r>
            <w:r w:rsidR="00E92E75">
              <w:rPr>
                <w:noProof/>
                <w:webHidden/>
              </w:rPr>
              <w:fldChar w:fldCharType="begin"/>
            </w:r>
            <w:r w:rsidR="00E92E75">
              <w:rPr>
                <w:noProof/>
                <w:webHidden/>
              </w:rPr>
              <w:instrText xml:space="preserve"> PAGEREF _Toc83639748 \h </w:instrText>
            </w:r>
            <w:r w:rsidR="00E92E75">
              <w:rPr>
                <w:noProof/>
                <w:webHidden/>
              </w:rPr>
            </w:r>
            <w:r w:rsidR="00E92E75">
              <w:rPr>
                <w:noProof/>
                <w:webHidden/>
              </w:rPr>
              <w:fldChar w:fldCharType="separate"/>
            </w:r>
            <w:r w:rsidR="00E92E75">
              <w:rPr>
                <w:noProof/>
                <w:webHidden/>
              </w:rPr>
              <w:t>- 9 -</w:t>
            </w:r>
            <w:r w:rsidR="00E92E75">
              <w:rPr>
                <w:noProof/>
                <w:webHidden/>
              </w:rPr>
              <w:fldChar w:fldCharType="end"/>
            </w:r>
          </w:hyperlink>
        </w:p>
        <w:p w:rsidR="00E92E75" w:rsidRDefault="007F252F" w14:paraId="175D955D" w14:textId="54B1D41E">
          <w:pPr>
            <w:pStyle w:val="TOC2"/>
            <w:tabs>
              <w:tab w:val="right" w:leader="dot" w:pos="8630"/>
            </w:tabs>
            <w:rPr>
              <w:rFonts w:asciiTheme="minorHAnsi" w:hAnsiTheme="minorHAnsi" w:eastAsiaTheme="minorEastAsia" w:cstheme="minorBidi"/>
              <w:noProof/>
              <w:sz w:val="22"/>
              <w:szCs w:val="22"/>
            </w:rPr>
          </w:pPr>
          <w:hyperlink w:history="1" w:anchor="_Toc83639749">
            <w:r w:rsidRPr="00E80EC2" w:rsidR="00E92E75">
              <w:rPr>
                <w:rStyle w:val="Hyperlink"/>
                <w:noProof/>
              </w:rPr>
              <w:t>4. Efforts to Identify Duplication</w:t>
            </w:r>
            <w:r w:rsidR="00E92E75">
              <w:rPr>
                <w:noProof/>
                <w:webHidden/>
              </w:rPr>
              <w:tab/>
            </w:r>
            <w:r w:rsidR="00E92E75">
              <w:rPr>
                <w:noProof/>
                <w:webHidden/>
              </w:rPr>
              <w:fldChar w:fldCharType="begin"/>
            </w:r>
            <w:r w:rsidR="00E92E75">
              <w:rPr>
                <w:noProof/>
                <w:webHidden/>
              </w:rPr>
              <w:instrText xml:space="preserve"> PAGEREF _Toc83639749 \h </w:instrText>
            </w:r>
            <w:r w:rsidR="00E92E75">
              <w:rPr>
                <w:noProof/>
                <w:webHidden/>
              </w:rPr>
            </w:r>
            <w:r w:rsidR="00E92E75">
              <w:rPr>
                <w:noProof/>
                <w:webHidden/>
              </w:rPr>
              <w:fldChar w:fldCharType="separate"/>
            </w:r>
            <w:r w:rsidR="00E92E75">
              <w:rPr>
                <w:noProof/>
                <w:webHidden/>
              </w:rPr>
              <w:t>- 9 -</w:t>
            </w:r>
            <w:r w:rsidR="00E92E75">
              <w:rPr>
                <w:noProof/>
                <w:webHidden/>
              </w:rPr>
              <w:fldChar w:fldCharType="end"/>
            </w:r>
          </w:hyperlink>
        </w:p>
        <w:p w:rsidR="00E92E75" w:rsidRDefault="007F252F" w14:paraId="7C37C994" w14:textId="7C691D79">
          <w:pPr>
            <w:pStyle w:val="TOC2"/>
            <w:tabs>
              <w:tab w:val="right" w:leader="dot" w:pos="8630"/>
            </w:tabs>
            <w:rPr>
              <w:rFonts w:asciiTheme="minorHAnsi" w:hAnsiTheme="minorHAnsi" w:eastAsiaTheme="minorEastAsia" w:cstheme="minorBidi"/>
              <w:noProof/>
              <w:sz w:val="22"/>
              <w:szCs w:val="22"/>
            </w:rPr>
          </w:pPr>
          <w:hyperlink w:history="1" w:anchor="_Toc83639750">
            <w:r w:rsidRPr="00E80EC2" w:rsidR="00E92E75">
              <w:rPr>
                <w:rStyle w:val="Hyperlink"/>
                <w:noProof/>
              </w:rPr>
              <w:t>5. Involvement of Small Entities</w:t>
            </w:r>
            <w:r w:rsidR="00E92E75">
              <w:rPr>
                <w:noProof/>
                <w:webHidden/>
              </w:rPr>
              <w:tab/>
            </w:r>
            <w:r w:rsidR="00E92E75">
              <w:rPr>
                <w:noProof/>
                <w:webHidden/>
              </w:rPr>
              <w:fldChar w:fldCharType="begin"/>
            </w:r>
            <w:r w:rsidR="00E92E75">
              <w:rPr>
                <w:noProof/>
                <w:webHidden/>
              </w:rPr>
              <w:instrText xml:space="preserve"> PAGEREF _Toc83639750 \h </w:instrText>
            </w:r>
            <w:r w:rsidR="00E92E75">
              <w:rPr>
                <w:noProof/>
                <w:webHidden/>
              </w:rPr>
            </w:r>
            <w:r w:rsidR="00E92E75">
              <w:rPr>
                <w:noProof/>
                <w:webHidden/>
              </w:rPr>
              <w:fldChar w:fldCharType="separate"/>
            </w:r>
            <w:r w:rsidR="00E92E75">
              <w:rPr>
                <w:noProof/>
                <w:webHidden/>
              </w:rPr>
              <w:t>- 10 -</w:t>
            </w:r>
            <w:r w:rsidR="00E92E75">
              <w:rPr>
                <w:noProof/>
                <w:webHidden/>
              </w:rPr>
              <w:fldChar w:fldCharType="end"/>
            </w:r>
          </w:hyperlink>
        </w:p>
        <w:p w:rsidR="00E92E75" w:rsidRDefault="007F252F" w14:paraId="033D26D5" w14:textId="0BE9F35C">
          <w:pPr>
            <w:pStyle w:val="TOC2"/>
            <w:tabs>
              <w:tab w:val="right" w:leader="dot" w:pos="8630"/>
            </w:tabs>
            <w:rPr>
              <w:rFonts w:asciiTheme="minorHAnsi" w:hAnsiTheme="minorHAnsi" w:eastAsiaTheme="minorEastAsia" w:cstheme="minorBidi"/>
              <w:noProof/>
              <w:sz w:val="22"/>
              <w:szCs w:val="22"/>
            </w:rPr>
          </w:pPr>
          <w:hyperlink w:history="1" w:anchor="_Toc83639751">
            <w:r w:rsidRPr="00E80EC2" w:rsidR="00E92E75">
              <w:rPr>
                <w:rStyle w:val="Hyperlink"/>
                <w:noProof/>
              </w:rPr>
              <w:t>6. Consequences if Information Collected Less Frequently</w:t>
            </w:r>
            <w:r w:rsidR="00E92E75">
              <w:rPr>
                <w:noProof/>
                <w:webHidden/>
              </w:rPr>
              <w:tab/>
            </w:r>
            <w:r w:rsidR="00E92E75">
              <w:rPr>
                <w:noProof/>
                <w:webHidden/>
              </w:rPr>
              <w:fldChar w:fldCharType="begin"/>
            </w:r>
            <w:r w:rsidR="00E92E75">
              <w:rPr>
                <w:noProof/>
                <w:webHidden/>
              </w:rPr>
              <w:instrText xml:space="preserve"> PAGEREF _Toc83639751 \h </w:instrText>
            </w:r>
            <w:r w:rsidR="00E92E75">
              <w:rPr>
                <w:noProof/>
                <w:webHidden/>
              </w:rPr>
            </w:r>
            <w:r w:rsidR="00E92E75">
              <w:rPr>
                <w:noProof/>
                <w:webHidden/>
              </w:rPr>
              <w:fldChar w:fldCharType="separate"/>
            </w:r>
            <w:r w:rsidR="00E92E75">
              <w:rPr>
                <w:noProof/>
                <w:webHidden/>
              </w:rPr>
              <w:t>- 10 -</w:t>
            </w:r>
            <w:r w:rsidR="00E92E75">
              <w:rPr>
                <w:noProof/>
                <w:webHidden/>
              </w:rPr>
              <w:fldChar w:fldCharType="end"/>
            </w:r>
          </w:hyperlink>
        </w:p>
        <w:p w:rsidR="00E92E75" w:rsidRDefault="007F252F" w14:paraId="5C077ACA" w14:textId="19EFB2CA">
          <w:pPr>
            <w:pStyle w:val="TOC2"/>
            <w:tabs>
              <w:tab w:val="right" w:leader="dot" w:pos="8630"/>
            </w:tabs>
            <w:rPr>
              <w:rFonts w:asciiTheme="minorHAnsi" w:hAnsiTheme="minorHAnsi" w:eastAsiaTheme="minorEastAsia" w:cstheme="minorBidi"/>
              <w:noProof/>
              <w:sz w:val="22"/>
              <w:szCs w:val="22"/>
            </w:rPr>
          </w:pPr>
          <w:hyperlink w:history="1" w:anchor="_Toc83639752">
            <w:r w:rsidRPr="00E80EC2" w:rsidR="00E92E75">
              <w:rPr>
                <w:rStyle w:val="Hyperlink"/>
                <w:noProof/>
              </w:rPr>
              <w:t>7. Special Circumstances</w:t>
            </w:r>
            <w:r w:rsidR="00E92E75">
              <w:rPr>
                <w:noProof/>
                <w:webHidden/>
              </w:rPr>
              <w:tab/>
            </w:r>
            <w:r w:rsidR="00E92E75">
              <w:rPr>
                <w:noProof/>
                <w:webHidden/>
              </w:rPr>
              <w:fldChar w:fldCharType="begin"/>
            </w:r>
            <w:r w:rsidR="00E92E75">
              <w:rPr>
                <w:noProof/>
                <w:webHidden/>
              </w:rPr>
              <w:instrText xml:space="preserve"> PAGEREF _Toc83639752 \h </w:instrText>
            </w:r>
            <w:r w:rsidR="00E92E75">
              <w:rPr>
                <w:noProof/>
                <w:webHidden/>
              </w:rPr>
            </w:r>
            <w:r w:rsidR="00E92E75">
              <w:rPr>
                <w:noProof/>
                <w:webHidden/>
              </w:rPr>
              <w:fldChar w:fldCharType="separate"/>
            </w:r>
            <w:r w:rsidR="00E92E75">
              <w:rPr>
                <w:noProof/>
                <w:webHidden/>
              </w:rPr>
              <w:t>- 10 -</w:t>
            </w:r>
            <w:r w:rsidR="00E92E75">
              <w:rPr>
                <w:noProof/>
                <w:webHidden/>
              </w:rPr>
              <w:fldChar w:fldCharType="end"/>
            </w:r>
          </w:hyperlink>
        </w:p>
        <w:p w:rsidR="00E92E75" w:rsidRDefault="007F252F" w14:paraId="25FE872E" w14:textId="76863708">
          <w:pPr>
            <w:pStyle w:val="TOC2"/>
            <w:tabs>
              <w:tab w:val="right" w:leader="dot" w:pos="8630"/>
            </w:tabs>
            <w:rPr>
              <w:rFonts w:asciiTheme="minorHAnsi" w:hAnsiTheme="minorHAnsi" w:eastAsiaTheme="minorEastAsia" w:cstheme="minorBidi"/>
              <w:noProof/>
              <w:sz w:val="22"/>
              <w:szCs w:val="22"/>
            </w:rPr>
          </w:pPr>
          <w:hyperlink w:history="1" w:anchor="_Toc83639753">
            <w:r w:rsidRPr="00E80EC2" w:rsidR="00E92E75">
              <w:rPr>
                <w:rStyle w:val="Hyperlink"/>
                <w:noProof/>
              </w:rPr>
              <w:t>8. Federal Register Notice and Outside Consultations</w:t>
            </w:r>
            <w:r w:rsidR="00E92E75">
              <w:rPr>
                <w:noProof/>
                <w:webHidden/>
              </w:rPr>
              <w:tab/>
            </w:r>
            <w:r w:rsidR="00E92E75">
              <w:rPr>
                <w:noProof/>
                <w:webHidden/>
              </w:rPr>
              <w:fldChar w:fldCharType="begin"/>
            </w:r>
            <w:r w:rsidR="00E92E75">
              <w:rPr>
                <w:noProof/>
                <w:webHidden/>
              </w:rPr>
              <w:instrText xml:space="preserve"> PAGEREF _Toc83639753 \h </w:instrText>
            </w:r>
            <w:r w:rsidR="00E92E75">
              <w:rPr>
                <w:noProof/>
                <w:webHidden/>
              </w:rPr>
            </w:r>
            <w:r w:rsidR="00E92E75">
              <w:rPr>
                <w:noProof/>
                <w:webHidden/>
              </w:rPr>
              <w:fldChar w:fldCharType="separate"/>
            </w:r>
            <w:r w:rsidR="00E92E75">
              <w:rPr>
                <w:noProof/>
                <w:webHidden/>
              </w:rPr>
              <w:t>- 10 -</w:t>
            </w:r>
            <w:r w:rsidR="00E92E75">
              <w:rPr>
                <w:noProof/>
                <w:webHidden/>
              </w:rPr>
              <w:fldChar w:fldCharType="end"/>
            </w:r>
          </w:hyperlink>
        </w:p>
        <w:p w:rsidR="00E92E75" w:rsidRDefault="007F252F" w14:paraId="3094BA7E" w14:textId="35DB3583">
          <w:pPr>
            <w:pStyle w:val="TOC2"/>
            <w:tabs>
              <w:tab w:val="right" w:leader="dot" w:pos="8630"/>
            </w:tabs>
            <w:rPr>
              <w:rFonts w:asciiTheme="minorHAnsi" w:hAnsiTheme="minorHAnsi" w:eastAsiaTheme="minorEastAsia" w:cstheme="minorBidi"/>
              <w:noProof/>
              <w:sz w:val="22"/>
              <w:szCs w:val="22"/>
            </w:rPr>
          </w:pPr>
          <w:hyperlink w:history="1" w:anchor="_Toc83639754">
            <w:r w:rsidRPr="00E80EC2" w:rsidR="00E92E75">
              <w:rPr>
                <w:rStyle w:val="Hyperlink"/>
                <w:noProof/>
              </w:rPr>
              <w:t>9. Payments/Gifts to Respondents</w:t>
            </w:r>
            <w:r w:rsidR="00E92E75">
              <w:rPr>
                <w:noProof/>
                <w:webHidden/>
              </w:rPr>
              <w:tab/>
            </w:r>
            <w:r w:rsidR="00E92E75">
              <w:rPr>
                <w:noProof/>
                <w:webHidden/>
              </w:rPr>
              <w:fldChar w:fldCharType="begin"/>
            </w:r>
            <w:r w:rsidR="00E92E75">
              <w:rPr>
                <w:noProof/>
                <w:webHidden/>
              </w:rPr>
              <w:instrText xml:space="preserve"> PAGEREF _Toc83639754 \h </w:instrText>
            </w:r>
            <w:r w:rsidR="00E92E75">
              <w:rPr>
                <w:noProof/>
                <w:webHidden/>
              </w:rPr>
            </w:r>
            <w:r w:rsidR="00E92E75">
              <w:rPr>
                <w:noProof/>
                <w:webHidden/>
              </w:rPr>
              <w:fldChar w:fldCharType="separate"/>
            </w:r>
            <w:r w:rsidR="00E92E75">
              <w:rPr>
                <w:noProof/>
                <w:webHidden/>
              </w:rPr>
              <w:t>- 11 -</w:t>
            </w:r>
            <w:r w:rsidR="00E92E75">
              <w:rPr>
                <w:noProof/>
                <w:webHidden/>
              </w:rPr>
              <w:fldChar w:fldCharType="end"/>
            </w:r>
          </w:hyperlink>
        </w:p>
        <w:p w:rsidR="00E92E75" w:rsidRDefault="007F252F" w14:paraId="54C331E3" w14:textId="54958F2A">
          <w:pPr>
            <w:pStyle w:val="TOC2"/>
            <w:tabs>
              <w:tab w:val="right" w:leader="dot" w:pos="8630"/>
            </w:tabs>
            <w:rPr>
              <w:rFonts w:asciiTheme="minorHAnsi" w:hAnsiTheme="minorHAnsi" w:eastAsiaTheme="minorEastAsia" w:cstheme="minorBidi"/>
              <w:noProof/>
              <w:sz w:val="22"/>
              <w:szCs w:val="22"/>
            </w:rPr>
          </w:pPr>
          <w:hyperlink w:history="1" w:anchor="_Toc83639755">
            <w:r w:rsidRPr="00E80EC2" w:rsidR="00E92E75">
              <w:rPr>
                <w:rStyle w:val="Hyperlink"/>
                <w:noProof/>
              </w:rPr>
              <w:t>10. Assurance of Confidentiality</w:t>
            </w:r>
            <w:r w:rsidR="00E92E75">
              <w:rPr>
                <w:noProof/>
                <w:webHidden/>
              </w:rPr>
              <w:tab/>
            </w:r>
            <w:r w:rsidR="00E92E75">
              <w:rPr>
                <w:noProof/>
                <w:webHidden/>
              </w:rPr>
              <w:fldChar w:fldCharType="begin"/>
            </w:r>
            <w:r w:rsidR="00E92E75">
              <w:rPr>
                <w:noProof/>
                <w:webHidden/>
              </w:rPr>
              <w:instrText xml:space="preserve"> PAGEREF _Toc83639755 \h </w:instrText>
            </w:r>
            <w:r w:rsidR="00E92E75">
              <w:rPr>
                <w:noProof/>
                <w:webHidden/>
              </w:rPr>
            </w:r>
            <w:r w:rsidR="00E92E75">
              <w:rPr>
                <w:noProof/>
                <w:webHidden/>
              </w:rPr>
              <w:fldChar w:fldCharType="separate"/>
            </w:r>
            <w:r w:rsidR="00E92E75">
              <w:rPr>
                <w:noProof/>
                <w:webHidden/>
              </w:rPr>
              <w:t>- 11 -</w:t>
            </w:r>
            <w:r w:rsidR="00E92E75">
              <w:rPr>
                <w:noProof/>
                <w:webHidden/>
              </w:rPr>
              <w:fldChar w:fldCharType="end"/>
            </w:r>
          </w:hyperlink>
        </w:p>
        <w:p w:rsidR="00E92E75" w:rsidRDefault="007F252F" w14:paraId="5F5DC18E" w14:textId="168483C2">
          <w:pPr>
            <w:pStyle w:val="TOC2"/>
            <w:tabs>
              <w:tab w:val="right" w:leader="dot" w:pos="8630"/>
            </w:tabs>
            <w:rPr>
              <w:rFonts w:asciiTheme="minorHAnsi" w:hAnsiTheme="minorHAnsi" w:eastAsiaTheme="minorEastAsia" w:cstheme="minorBidi"/>
              <w:noProof/>
              <w:sz w:val="22"/>
              <w:szCs w:val="22"/>
            </w:rPr>
          </w:pPr>
          <w:hyperlink w:history="1" w:anchor="_Toc83639756">
            <w:r w:rsidRPr="00E80EC2" w:rsidR="00E92E75">
              <w:rPr>
                <w:rStyle w:val="Hyperlink"/>
                <w:noProof/>
              </w:rPr>
              <w:t>11. Questions of a Sensitive Nature</w:t>
            </w:r>
            <w:r w:rsidR="00E92E75">
              <w:rPr>
                <w:noProof/>
                <w:webHidden/>
              </w:rPr>
              <w:tab/>
            </w:r>
            <w:r w:rsidR="00E92E75">
              <w:rPr>
                <w:noProof/>
                <w:webHidden/>
              </w:rPr>
              <w:fldChar w:fldCharType="begin"/>
            </w:r>
            <w:r w:rsidR="00E92E75">
              <w:rPr>
                <w:noProof/>
                <w:webHidden/>
              </w:rPr>
              <w:instrText xml:space="preserve"> PAGEREF _Toc83639756 \h </w:instrText>
            </w:r>
            <w:r w:rsidR="00E92E75">
              <w:rPr>
                <w:noProof/>
                <w:webHidden/>
              </w:rPr>
            </w:r>
            <w:r w:rsidR="00E92E75">
              <w:rPr>
                <w:noProof/>
                <w:webHidden/>
              </w:rPr>
              <w:fldChar w:fldCharType="separate"/>
            </w:r>
            <w:r w:rsidR="00E92E75">
              <w:rPr>
                <w:noProof/>
                <w:webHidden/>
              </w:rPr>
              <w:t>- 12 -</w:t>
            </w:r>
            <w:r w:rsidR="00E92E75">
              <w:rPr>
                <w:noProof/>
                <w:webHidden/>
              </w:rPr>
              <w:fldChar w:fldCharType="end"/>
            </w:r>
          </w:hyperlink>
        </w:p>
        <w:p w:rsidR="00E92E75" w:rsidRDefault="007F252F" w14:paraId="2AD75A9A" w14:textId="00048345">
          <w:pPr>
            <w:pStyle w:val="TOC2"/>
            <w:tabs>
              <w:tab w:val="right" w:leader="dot" w:pos="8630"/>
            </w:tabs>
            <w:rPr>
              <w:rFonts w:asciiTheme="minorHAnsi" w:hAnsiTheme="minorHAnsi" w:eastAsiaTheme="minorEastAsia" w:cstheme="minorBidi"/>
              <w:noProof/>
              <w:sz w:val="22"/>
              <w:szCs w:val="22"/>
            </w:rPr>
          </w:pPr>
          <w:hyperlink w:history="1" w:anchor="_Toc83639757">
            <w:r w:rsidRPr="00E80EC2" w:rsidR="00E92E75">
              <w:rPr>
                <w:rStyle w:val="Hyperlink"/>
                <w:noProof/>
              </w:rPr>
              <w:t>12. Estimates of Annualized Burden Hours and Costs</w:t>
            </w:r>
            <w:r w:rsidR="00E92E75">
              <w:rPr>
                <w:noProof/>
                <w:webHidden/>
              </w:rPr>
              <w:tab/>
            </w:r>
            <w:r w:rsidR="00E92E75">
              <w:rPr>
                <w:noProof/>
                <w:webHidden/>
              </w:rPr>
              <w:fldChar w:fldCharType="begin"/>
            </w:r>
            <w:r w:rsidR="00E92E75">
              <w:rPr>
                <w:noProof/>
                <w:webHidden/>
              </w:rPr>
              <w:instrText xml:space="preserve"> PAGEREF _Toc83639757 \h </w:instrText>
            </w:r>
            <w:r w:rsidR="00E92E75">
              <w:rPr>
                <w:noProof/>
                <w:webHidden/>
              </w:rPr>
            </w:r>
            <w:r w:rsidR="00E92E75">
              <w:rPr>
                <w:noProof/>
                <w:webHidden/>
              </w:rPr>
              <w:fldChar w:fldCharType="separate"/>
            </w:r>
            <w:r w:rsidR="00E92E75">
              <w:rPr>
                <w:noProof/>
                <w:webHidden/>
              </w:rPr>
              <w:t>- 12 -</w:t>
            </w:r>
            <w:r w:rsidR="00E92E75">
              <w:rPr>
                <w:noProof/>
                <w:webHidden/>
              </w:rPr>
              <w:fldChar w:fldCharType="end"/>
            </w:r>
          </w:hyperlink>
        </w:p>
        <w:p w:rsidR="00E92E75" w:rsidRDefault="007F252F" w14:paraId="22BB7CA5" w14:textId="1CE57C10">
          <w:pPr>
            <w:pStyle w:val="TOC2"/>
            <w:tabs>
              <w:tab w:val="right" w:leader="dot" w:pos="8630"/>
            </w:tabs>
            <w:rPr>
              <w:rFonts w:asciiTheme="minorHAnsi" w:hAnsiTheme="minorHAnsi" w:eastAsiaTheme="minorEastAsia" w:cstheme="minorBidi"/>
              <w:noProof/>
              <w:sz w:val="22"/>
              <w:szCs w:val="22"/>
            </w:rPr>
          </w:pPr>
          <w:hyperlink w:history="1" w:anchor="_Toc83639758">
            <w:r w:rsidRPr="00E80EC2" w:rsidR="00E92E75">
              <w:rPr>
                <w:rStyle w:val="Hyperlink"/>
                <w:noProof/>
              </w:rPr>
              <w:t>13. Estimates of Annualized Respondent Capital and Maintenance Costs</w:t>
            </w:r>
            <w:r w:rsidR="00E92E75">
              <w:rPr>
                <w:noProof/>
                <w:webHidden/>
              </w:rPr>
              <w:tab/>
            </w:r>
            <w:r w:rsidR="00E92E75">
              <w:rPr>
                <w:noProof/>
                <w:webHidden/>
              </w:rPr>
              <w:fldChar w:fldCharType="begin"/>
            </w:r>
            <w:r w:rsidR="00E92E75">
              <w:rPr>
                <w:noProof/>
                <w:webHidden/>
              </w:rPr>
              <w:instrText xml:space="preserve"> PAGEREF _Toc83639758 \h </w:instrText>
            </w:r>
            <w:r w:rsidR="00E92E75">
              <w:rPr>
                <w:noProof/>
                <w:webHidden/>
              </w:rPr>
            </w:r>
            <w:r w:rsidR="00E92E75">
              <w:rPr>
                <w:noProof/>
                <w:webHidden/>
              </w:rPr>
              <w:fldChar w:fldCharType="separate"/>
            </w:r>
            <w:r w:rsidR="00E92E75">
              <w:rPr>
                <w:noProof/>
                <w:webHidden/>
              </w:rPr>
              <w:t>- 13 -</w:t>
            </w:r>
            <w:r w:rsidR="00E92E75">
              <w:rPr>
                <w:noProof/>
                <w:webHidden/>
              </w:rPr>
              <w:fldChar w:fldCharType="end"/>
            </w:r>
          </w:hyperlink>
        </w:p>
        <w:p w:rsidR="00E92E75" w:rsidRDefault="007F252F" w14:paraId="0DA99059" w14:textId="538276A6">
          <w:pPr>
            <w:pStyle w:val="TOC2"/>
            <w:tabs>
              <w:tab w:val="right" w:leader="dot" w:pos="8630"/>
            </w:tabs>
            <w:rPr>
              <w:rFonts w:asciiTheme="minorHAnsi" w:hAnsiTheme="minorHAnsi" w:eastAsiaTheme="minorEastAsia" w:cstheme="minorBidi"/>
              <w:noProof/>
              <w:sz w:val="22"/>
              <w:szCs w:val="22"/>
            </w:rPr>
          </w:pPr>
          <w:hyperlink w:history="1" w:anchor="_Toc83639759">
            <w:r w:rsidRPr="00E80EC2" w:rsidR="00E92E75">
              <w:rPr>
                <w:rStyle w:val="Hyperlink"/>
                <w:noProof/>
              </w:rPr>
              <w:t>14. Estimates of Total and Annualized Cost to the Government</w:t>
            </w:r>
            <w:r w:rsidR="00E92E75">
              <w:rPr>
                <w:noProof/>
                <w:webHidden/>
              </w:rPr>
              <w:tab/>
            </w:r>
            <w:r w:rsidR="00E92E75">
              <w:rPr>
                <w:noProof/>
                <w:webHidden/>
              </w:rPr>
              <w:fldChar w:fldCharType="begin"/>
            </w:r>
            <w:r w:rsidR="00E92E75">
              <w:rPr>
                <w:noProof/>
                <w:webHidden/>
              </w:rPr>
              <w:instrText xml:space="preserve"> PAGEREF _Toc83639759 \h </w:instrText>
            </w:r>
            <w:r w:rsidR="00E92E75">
              <w:rPr>
                <w:noProof/>
                <w:webHidden/>
              </w:rPr>
            </w:r>
            <w:r w:rsidR="00E92E75">
              <w:rPr>
                <w:noProof/>
                <w:webHidden/>
              </w:rPr>
              <w:fldChar w:fldCharType="separate"/>
            </w:r>
            <w:r w:rsidR="00E92E75">
              <w:rPr>
                <w:noProof/>
                <w:webHidden/>
              </w:rPr>
              <w:t>- 13 -</w:t>
            </w:r>
            <w:r w:rsidR="00E92E75">
              <w:rPr>
                <w:noProof/>
                <w:webHidden/>
              </w:rPr>
              <w:fldChar w:fldCharType="end"/>
            </w:r>
          </w:hyperlink>
        </w:p>
        <w:p w:rsidR="00E92E75" w:rsidRDefault="007F252F" w14:paraId="3D1367F8" w14:textId="04168916">
          <w:pPr>
            <w:pStyle w:val="TOC2"/>
            <w:tabs>
              <w:tab w:val="right" w:leader="dot" w:pos="8630"/>
            </w:tabs>
            <w:rPr>
              <w:rFonts w:asciiTheme="minorHAnsi" w:hAnsiTheme="minorHAnsi" w:eastAsiaTheme="minorEastAsia" w:cstheme="minorBidi"/>
              <w:noProof/>
              <w:sz w:val="22"/>
              <w:szCs w:val="22"/>
            </w:rPr>
          </w:pPr>
          <w:hyperlink w:history="1" w:anchor="_Toc83639760">
            <w:r w:rsidRPr="00E80EC2" w:rsidR="00E92E75">
              <w:rPr>
                <w:rStyle w:val="Hyperlink"/>
                <w:noProof/>
              </w:rPr>
              <w:t>15. Changes in Hour Burden</w:t>
            </w:r>
            <w:r w:rsidR="00E92E75">
              <w:rPr>
                <w:noProof/>
                <w:webHidden/>
              </w:rPr>
              <w:tab/>
            </w:r>
            <w:r w:rsidR="00E92E75">
              <w:rPr>
                <w:noProof/>
                <w:webHidden/>
              </w:rPr>
              <w:fldChar w:fldCharType="begin"/>
            </w:r>
            <w:r w:rsidR="00E92E75">
              <w:rPr>
                <w:noProof/>
                <w:webHidden/>
              </w:rPr>
              <w:instrText xml:space="preserve"> PAGEREF _Toc83639760 \h </w:instrText>
            </w:r>
            <w:r w:rsidR="00E92E75">
              <w:rPr>
                <w:noProof/>
                <w:webHidden/>
              </w:rPr>
            </w:r>
            <w:r w:rsidR="00E92E75">
              <w:rPr>
                <w:noProof/>
                <w:webHidden/>
              </w:rPr>
              <w:fldChar w:fldCharType="separate"/>
            </w:r>
            <w:r w:rsidR="00E92E75">
              <w:rPr>
                <w:noProof/>
                <w:webHidden/>
              </w:rPr>
              <w:t>- 14 -</w:t>
            </w:r>
            <w:r w:rsidR="00E92E75">
              <w:rPr>
                <w:noProof/>
                <w:webHidden/>
              </w:rPr>
              <w:fldChar w:fldCharType="end"/>
            </w:r>
          </w:hyperlink>
        </w:p>
        <w:p w:rsidR="00E92E75" w:rsidRDefault="007F252F" w14:paraId="2C88736E" w14:textId="2D897214">
          <w:pPr>
            <w:pStyle w:val="TOC2"/>
            <w:tabs>
              <w:tab w:val="right" w:leader="dot" w:pos="8630"/>
            </w:tabs>
            <w:rPr>
              <w:rFonts w:asciiTheme="minorHAnsi" w:hAnsiTheme="minorHAnsi" w:eastAsiaTheme="minorEastAsia" w:cstheme="minorBidi"/>
              <w:noProof/>
              <w:sz w:val="22"/>
              <w:szCs w:val="22"/>
            </w:rPr>
          </w:pPr>
          <w:hyperlink w:history="1" w:anchor="_Toc83639761">
            <w:r w:rsidRPr="00E80EC2" w:rsidR="00E92E75">
              <w:rPr>
                <w:rStyle w:val="Hyperlink"/>
                <w:noProof/>
              </w:rPr>
              <w:t>16. Time Schedule, Publication and Analysis Plans</w:t>
            </w:r>
            <w:r w:rsidR="00E92E75">
              <w:rPr>
                <w:noProof/>
                <w:webHidden/>
              </w:rPr>
              <w:tab/>
            </w:r>
            <w:r w:rsidR="00E92E75">
              <w:rPr>
                <w:noProof/>
                <w:webHidden/>
              </w:rPr>
              <w:fldChar w:fldCharType="begin"/>
            </w:r>
            <w:r w:rsidR="00E92E75">
              <w:rPr>
                <w:noProof/>
                <w:webHidden/>
              </w:rPr>
              <w:instrText xml:space="preserve"> PAGEREF _Toc83639761 \h </w:instrText>
            </w:r>
            <w:r w:rsidR="00E92E75">
              <w:rPr>
                <w:noProof/>
                <w:webHidden/>
              </w:rPr>
            </w:r>
            <w:r w:rsidR="00E92E75">
              <w:rPr>
                <w:noProof/>
                <w:webHidden/>
              </w:rPr>
              <w:fldChar w:fldCharType="separate"/>
            </w:r>
            <w:r w:rsidR="00E92E75">
              <w:rPr>
                <w:noProof/>
                <w:webHidden/>
              </w:rPr>
              <w:t>- 14 -</w:t>
            </w:r>
            <w:r w:rsidR="00E92E75">
              <w:rPr>
                <w:noProof/>
                <w:webHidden/>
              </w:rPr>
              <w:fldChar w:fldCharType="end"/>
            </w:r>
          </w:hyperlink>
        </w:p>
        <w:p w:rsidR="00E92E75" w:rsidRDefault="007F252F" w14:paraId="09C110BD" w14:textId="319CA70D">
          <w:pPr>
            <w:pStyle w:val="TOC2"/>
            <w:tabs>
              <w:tab w:val="right" w:leader="dot" w:pos="8630"/>
            </w:tabs>
            <w:rPr>
              <w:rFonts w:asciiTheme="minorHAnsi" w:hAnsiTheme="minorHAnsi" w:eastAsiaTheme="minorEastAsia" w:cstheme="minorBidi"/>
              <w:noProof/>
              <w:sz w:val="22"/>
              <w:szCs w:val="22"/>
            </w:rPr>
          </w:pPr>
          <w:hyperlink w:history="1" w:anchor="_Toc83639762">
            <w:r w:rsidRPr="00E80EC2" w:rsidR="00E92E75">
              <w:rPr>
                <w:rStyle w:val="Hyperlink"/>
                <w:noProof/>
              </w:rPr>
              <w:t>17. Exemption for Display of Expiration Date</w:t>
            </w:r>
            <w:r w:rsidR="00E92E75">
              <w:rPr>
                <w:noProof/>
                <w:webHidden/>
              </w:rPr>
              <w:tab/>
            </w:r>
            <w:r w:rsidR="00E92E75">
              <w:rPr>
                <w:noProof/>
                <w:webHidden/>
              </w:rPr>
              <w:fldChar w:fldCharType="begin"/>
            </w:r>
            <w:r w:rsidR="00E92E75">
              <w:rPr>
                <w:noProof/>
                <w:webHidden/>
              </w:rPr>
              <w:instrText xml:space="preserve"> PAGEREF _Toc83639762 \h </w:instrText>
            </w:r>
            <w:r w:rsidR="00E92E75">
              <w:rPr>
                <w:noProof/>
                <w:webHidden/>
              </w:rPr>
            </w:r>
            <w:r w:rsidR="00E92E75">
              <w:rPr>
                <w:noProof/>
                <w:webHidden/>
              </w:rPr>
              <w:fldChar w:fldCharType="separate"/>
            </w:r>
            <w:r w:rsidR="00E92E75">
              <w:rPr>
                <w:noProof/>
                <w:webHidden/>
              </w:rPr>
              <w:t>- 15 -</w:t>
            </w:r>
            <w:r w:rsidR="00E92E75">
              <w:rPr>
                <w:noProof/>
                <w:webHidden/>
              </w:rPr>
              <w:fldChar w:fldCharType="end"/>
            </w:r>
          </w:hyperlink>
        </w:p>
        <w:p w:rsidR="00E92E75" w:rsidRDefault="007F252F" w14:paraId="4EABEAF7" w14:textId="0E612BC9">
          <w:pPr>
            <w:pStyle w:val="TOC2"/>
            <w:tabs>
              <w:tab w:val="right" w:leader="dot" w:pos="8630"/>
            </w:tabs>
            <w:rPr>
              <w:rFonts w:asciiTheme="minorHAnsi" w:hAnsiTheme="minorHAnsi" w:eastAsiaTheme="minorEastAsia" w:cstheme="minorBidi"/>
              <w:noProof/>
              <w:sz w:val="22"/>
              <w:szCs w:val="22"/>
            </w:rPr>
          </w:pPr>
          <w:hyperlink w:history="1" w:anchor="_Toc83639763">
            <w:r w:rsidRPr="00E80EC2" w:rsidR="00E92E75">
              <w:rPr>
                <w:rStyle w:val="Hyperlink"/>
                <w:noProof/>
              </w:rPr>
              <w:t>List of Attachments:</w:t>
            </w:r>
            <w:r w:rsidR="00E92E75">
              <w:rPr>
                <w:noProof/>
                <w:webHidden/>
              </w:rPr>
              <w:tab/>
            </w:r>
            <w:r w:rsidR="00E92E75">
              <w:rPr>
                <w:noProof/>
                <w:webHidden/>
              </w:rPr>
              <w:fldChar w:fldCharType="begin"/>
            </w:r>
            <w:r w:rsidR="00E92E75">
              <w:rPr>
                <w:noProof/>
                <w:webHidden/>
              </w:rPr>
              <w:instrText xml:space="preserve"> PAGEREF _Toc83639763 \h </w:instrText>
            </w:r>
            <w:r w:rsidR="00E92E75">
              <w:rPr>
                <w:noProof/>
                <w:webHidden/>
              </w:rPr>
            </w:r>
            <w:r w:rsidR="00E92E75">
              <w:rPr>
                <w:noProof/>
                <w:webHidden/>
              </w:rPr>
              <w:fldChar w:fldCharType="separate"/>
            </w:r>
            <w:r w:rsidR="00E92E75">
              <w:rPr>
                <w:noProof/>
                <w:webHidden/>
              </w:rPr>
              <w:t>- 16 -</w:t>
            </w:r>
            <w:r w:rsidR="00E92E75">
              <w:rPr>
                <w:noProof/>
                <w:webHidden/>
              </w:rPr>
              <w:fldChar w:fldCharType="end"/>
            </w:r>
          </w:hyperlink>
        </w:p>
        <w:p w:rsidR="00E92E75" w:rsidRDefault="007F252F" w14:paraId="3461EA6F" w14:textId="66C8870E">
          <w:pPr>
            <w:pStyle w:val="TOC2"/>
            <w:tabs>
              <w:tab w:val="right" w:leader="dot" w:pos="8630"/>
            </w:tabs>
            <w:rPr>
              <w:rFonts w:asciiTheme="minorHAnsi" w:hAnsiTheme="minorHAnsi" w:eastAsiaTheme="minorEastAsia" w:cstheme="minorBidi"/>
              <w:noProof/>
              <w:sz w:val="22"/>
              <w:szCs w:val="22"/>
            </w:rPr>
          </w:pPr>
          <w:hyperlink w:history="1" w:anchor="_Toc83639764">
            <w:r w:rsidRPr="00E80EC2" w:rsidR="00E92E75">
              <w:rPr>
                <w:rStyle w:val="Hyperlink"/>
                <w:noProof/>
              </w:rPr>
              <w:t>References</w:t>
            </w:r>
            <w:r w:rsidR="00E92E75">
              <w:rPr>
                <w:noProof/>
                <w:webHidden/>
              </w:rPr>
              <w:tab/>
            </w:r>
            <w:r w:rsidR="00E92E75">
              <w:rPr>
                <w:noProof/>
                <w:webHidden/>
              </w:rPr>
              <w:fldChar w:fldCharType="begin"/>
            </w:r>
            <w:r w:rsidR="00E92E75">
              <w:rPr>
                <w:noProof/>
                <w:webHidden/>
              </w:rPr>
              <w:instrText xml:space="preserve"> PAGEREF _Toc83639764 \h </w:instrText>
            </w:r>
            <w:r w:rsidR="00E92E75">
              <w:rPr>
                <w:noProof/>
                <w:webHidden/>
              </w:rPr>
            </w:r>
            <w:r w:rsidR="00E92E75">
              <w:rPr>
                <w:noProof/>
                <w:webHidden/>
              </w:rPr>
              <w:fldChar w:fldCharType="separate"/>
            </w:r>
            <w:r w:rsidR="00E92E75">
              <w:rPr>
                <w:noProof/>
                <w:webHidden/>
              </w:rPr>
              <w:t>- 17 -</w:t>
            </w:r>
            <w:r w:rsidR="00E92E75">
              <w:rPr>
                <w:noProof/>
                <w:webHidden/>
              </w:rPr>
              <w:fldChar w:fldCharType="end"/>
            </w:r>
          </w:hyperlink>
        </w:p>
        <w:p w:rsidR="00CE3206" w:rsidRDefault="00CE3206" w14:paraId="4218DC66" w14:textId="2B6B82F6">
          <w:r>
            <w:rPr>
              <w:b/>
              <w:bCs/>
              <w:noProof/>
            </w:rPr>
            <w:fldChar w:fldCharType="end"/>
          </w:r>
        </w:p>
      </w:sdtContent>
    </w:sdt>
    <w:p w:rsidR="009B633D" w:rsidRDefault="009B633D" w14:paraId="6BE84369"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Pr="001D0454" w:rsidR="009B633D" w:rsidP="009B633D" w:rsidRDefault="009B633D" w14:paraId="486F0BA1" w14:textId="77777777">
      <w:pPr>
        <w:jc w:val="center"/>
        <w:rPr>
          <w:b/>
        </w:rPr>
      </w:pPr>
      <w:r>
        <w:rPr>
          <w:b/>
        </w:rPr>
        <w:fldChar w:fldCharType="end"/>
      </w:r>
    </w:p>
    <w:p w:rsidRPr="006014DB" w:rsidR="009B633D" w:rsidP="009B633D" w:rsidRDefault="009B633D" w14:paraId="671DFC53" w14:textId="77777777">
      <w:pPr>
        <w:pStyle w:val="Heading1"/>
        <w:rPr>
          <w:sz w:val="24"/>
          <w:szCs w:val="24"/>
        </w:rPr>
      </w:pPr>
      <w:r>
        <w:br w:type="page"/>
      </w:r>
      <w:bookmarkStart w:name="_Toc151782175" w:id="0"/>
      <w:bookmarkStart w:name="_Toc158526215" w:id="1"/>
      <w:bookmarkStart w:name="_Toc83639745" w:id="2"/>
      <w:r w:rsidRPr="006014DB">
        <w:rPr>
          <w:sz w:val="24"/>
          <w:szCs w:val="24"/>
        </w:rPr>
        <w:lastRenderedPageBreak/>
        <w:t>A. Justification</w:t>
      </w:r>
      <w:bookmarkEnd w:id="0"/>
      <w:bookmarkEnd w:id="1"/>
      <w:bookmarkEnd w:id="2"/>
    </w:p>
    <w:p w:rsidRPr="006014DB" w:rsidR="009B633D" w:rsidP="009B633D" w:rsidRDefault="009B633D" w14:paraId="0465D805" w14:textId="77777777"/>
    <w:p w:rsidR="009B633D" w:rsidP="006014DB" w:rsidRDefault="009B633D" w14:paraId="521CDF74" w14:textId="77777777">
      <w:pPr>
        <w:pStyle w:val="Heading2"/>
        <w:spacing w:before="0" w:after="0"/>
        <w:rPr>
          <w:sz w:val="24"/>
          <w:szCs w:val="24"/>
        </w:rPr>
      </w:pPr>
      <w:bookmarkStart w:name="_Toc151782176" w:id="3"/>
      <w:bookmarkStart w:name="_Toc158526216" w:id="4"/>
      <w:bookmarkStart w:name="_Toc83639746" w:id="5"/>
      <w:r w:rsidRPr="006014DB">
        <w:rPr>
          <w:sz w:val="24"/>
          <w:szCs w:val="24"/>
        </w:rPr>
        <w:t xml:space="preserve">1. </w:t>
      </w:r>
      <w:bookmarkEnd w:id="3"/>
      <w:bookmarkEnd w:id="4"/>
      <w:r w:rsidRPr="006014DB" w:rsidR="006014DB">
        <w:rPr>
          <w:sz w:val="24"/>
          <w:szCs w:val="24"/>
        </w:rPr>
        <w:t>Circumstances that make the collection of information necessary</w:t>
      </w:r>
      <w:bookmarkEnd w:id="5"/>
    </w:p>
    <w:p w:rsidR="006014DB" w:rsidP="0041780A" w:rsidRDefault="006014DB" w14:paraId="38B5425A" w14:textId="77777777"/>
    <w:p w:rsidR="001C24D9" w:rsidP="001C24D9" w:rsidRDefault="001C24D9" w14:paraId="7AA5022E" w14:textId="44E4560F">
      <w:pPr>
        <w:pStyle w:val="BodyText"/>
        <w:spacing w:after="0"/>
      </w:pPr>
      <w:r w:rsidRPr="00B725F5">
        <w:t>The mission of the Agency for Healthcare Research and Quality (AHRQ) set out in its authorizing legislation, The Healthcare Research and Quality Act of 1999,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w:t>
      </w:r>
      <w:r w:rsidR="006B2D68">
        <w:rPr>
          <w:rStyle w:val="EndnoteReference"/>
        </w:rPr>
        <w:endnoteReference w:id="1"/>
      </w:r>
      <w:r>
        <w:t xml:space="preserve"> AHRQ shall promote health care quality</w:t>
      </w:r>
      <w:r w:rsidRPr="00B725F5">
        <w:t xml:space="preserve"> </w:t>
      </w:r>
      <w:r>
        <w:t>improvement by conducting and supporting:</w:t>
      </w:r>
    </w:p>
    <w:p w:rsidR="001C24D9" w:rsidP="001C24D9" w:rsidRDefault="001C24D9" w14:paraId="275188F6" w14:textId="77777777">
      <w:pPr>
        <w:pStyle w:val="BodyText"/>
        <w:spacing w:after="0"/>
      </w:pPr>
    </w:p>
    <w:p w:rsidR="001C24D9" w:rsidP="001C24D9" w:rsidRDefault="001C24D9" w14:paraId="7E000EB8" w14:textId="77777777">
      <w:pPr>
        <w:pStyle w:val="BodyText"/>
        <w:numPr>
          <w:ilvl w:val="0"/>
          <w:numId w:val="19"/>
        </w:numPr>
        <w:tabs>
          <w:tab w:val="left" w:pos="720"/>
          <w:tab w:val="left" w:pos="1080"/>
          <w:tab w:val="left" w:pos="1440"/>
          <w:tab w:val="left" w:pos="1800"/>
        </w:tabs>
        <w:spacing w:after="0"/>
      </w:pPr>
      <w:r>
        <w:t xml:space="preserve">Research that develops and presents scientific evidence regarding all aspects of health </w:t>
      </w:r>
      <w:proofErr w:type="gramStart"/>
      <w:r>
        <w:t>care;</w:t>
      </w:r>
      <w:proofErr w:type="gramEnd"/>
      <w:r>
        <w:t xml:space="preserve"> </w:t>
      </w:r>
    </w:p>
    <w:p w:rsidR="001C24D9" w:rsidP="001C24D9" w:rsidRDefault="001C24D9" w14:paraId="6341A260" w14:textId="77777777">
      <w:pPr>
        <w:pStyle w:val="BodyText"/>
        <w:numPr>
          <w:ilvl w:val="0"/>
          <w:numId w:val="19"/>
        </w:numPr>
        <w:tabs>
          <w:tab w:val="left" w:pos="720"/>
          <w:tab w:val="left" w:pos="1080"/>
          <w:tab w:val="left" w:pos="1440"/>
          <w:tab w:val="left" w:pos="1800"/>
        </w:tabs>
        <w:spacing w:after="0"/>
      </w:pPr>
      <w:r>
        <w:t>The synthesis and dissemination of available scientific evidence for use by patients, consumers, practitioners, providers, purchasers, policy makers, and educators; and</w:t>
      </w:r>
    </w:p>
    <w:p w:rsidR="001C24D9" w:rsidP="001C24D9" w:rsidRDefault="001C24D9" w14:paraId="67FF2EB0" w14:textId="77777777">
      <w:pPr>
        <w:pStyle w:val="BodyText"/>
        <w:numPr>
          <w:ilvl w:val="0"/>
          <w:numId w:val="19"/>
        </w:numPr>
        <w:tabs>
          <w:tab w:val="left" w:pos="720"/>
          <w:tab w:val="left" w:pos="1080"/>
          <w:tab w:val="left" w:pos="1440"/>
          <w:tab w:val="left" w:pos="1800"/>
        </w:tabs>
        <w:spacing w:after="0"/>
      </w:pPr>
      <w:r>
        <w:t>Initiatives to advance private and public efforts to improve health care quality.</w:t>
      </w:r>
    </w:p>
    <w:p w:rsidR="001C24D9" w:rsidP="005E3564" w:rsidRDefault="001C24D9" w14:paraId="43AF12C5" w14:textId="77777777"/>
    <w:p w:rsidR="001C24D9" w:rsidP="005E3564" w:rsidRDefault="001C24D9" w14:paraId="2E6FDA92" w14:textId="74AA92DC">
      <w:pPr>
        <w:rPr>
          <w:b/>
        </w:rPr>
      </w:pPr>
      <w:r w:rsidRPr="009D3713">
        <w:rPr>
          <w:b/>
        </w:rPr>
        <w:t>Background for this Collection</w:t>
      </w:r>
    </w:p>
    <w:p w:rsidRPr="009D3713" w:rsidR="001C24D9" w:rsidP="005E3564" w:rsidRDefault="001C24D9" w14:paraId="4ED0E654" w14:textId="77777777">
      <w:pPr>
        <w:rPr>
          <w:b/>
        </w:rPr>
      </w:pPr>
    </w:p>
    <w:p w:rsidR="0062621B" w:rsidP="005E3564" w:rsidRDefault="00617E35" w14:paraId="233BDA97" w14:textId="43A82653">
      <w:bookmarkStart w:name="_Hlk95387988" w:id="6"/>
      <w:r>
        <w:t xml:space="preserve">As of </w:t>
      </w:r>
      <w:r w:rsidR="00CF4F96">
        <w:t>February</w:t>
      </w:r>
      <w:r>
        <w:t xml:space="preserve"> 3, 202</w:t>
      </w:r>
      <w:r w:rsidR="00CF4F96">
        <w:t>2</w:t>
      </w:r>
      <w:r>
        <w:t>, n</w:t>
      </w:r>
      <w:r w:rsidR="00A71B09">
        <w:t xml:space="preserve">ursing homes have reported </w:t>
      </w:r>
      <w:r w:rsidR="00CF4F96">
        <w:t>902,964</w:t>
      </w:r>
      <w:r w:rsidR="00A71B09">
        <w:t xml:space="preserve"> confirmed cases of severe acute respiratory syndrome coronavirus 2 (SARS-CoV-2) infection and coronavirus disease </w:t>
      </w:r>
      <w:r w:rsidR="00CF4F96">
        <w:t xml:space="preserve">since </w:t>
      </w:r>
      <w:r w:rsidR="00A71B09">
        <w:t xml:space="preserve">2019 (COVID-19), resulting in over </w:t>
      </w:r>
      <w:r w:rsidR="00CF4F96">
        <w:t>147</w:t>
      </w:r>
      <w:r w:rsidR="00A71B09">
        <w:t>,000 COVID-19-related deaths</w:t>
      </w:r>
      <w:bookmarkEnd w:id="6"/>
      <w:r w:rsidR="00A71B09">
        <w:t>.</w:t>
      </w:r>
      <w:r w:rsidR="00A71B09">
        <w:rPr>
          <w:rStyle w:val="EndnoteReference"/>
        </w:rPr>
        <w:endnoteReference w:id="2"/>
      </w:r>
      <w:r w:rsidRPr="005E3564" w:rsidR="005E3564">
        <w:rPr>
          <w:b/>
        </w:rPr>
        <w:t xml:space="preserve">  </w:t>
      </w:r>
      <w:r w:rsidRPr="005E3564" w:rsidR="005E3564">
        <w:t>The U.S. Department of Health and Human Services (HHS) has distributed funds to nursing homes and launched several initiatives to improve nursing home safety and infection control.</w:t>
      </w:r>
      <w:r w:rsidRPr="005E3564" w:rsidR="005E3564">
        <w:rPr>
          <w:vertAlign w:val="superscript"/>
        </w:rPr>
        <w:endnoteReference w:id="3"/>
      </w:r>
      <w:r w:rsidRPr="005E3564" w:rsidR="005E3564">
        <w:t xml:space="preserve"> </w:t>
      </w:r>
      <w:r w:rsidR="00CF1F53">
        <w:t xml:space="preserve">AHRQ’s </w:t>
      </w:r>
      <w:r w:rsidRPr="005E3564" w:rsidR="005E3564">
        <w:t xml:space="preserve">National Nursing Home COVID-19 Action Network (the Network) is a cornerstone of HHS’s response, intended to provide training and assistance to nursing homes on best practices to minimize transmission </w:t>
      </w:r>
      <w:r w:rsidRPr="005E3564" w:rsidDel="0019718A" w:rsidR="005E3564">
        <w:t>of</w:t>
      </w:r>
      <w:r w:rsidRPr="005E3564" w:rsidR="005E3564">
        <w:t xml:space="preserve"> SARS-CoV-2.</w:t>
      </w:r>
      <w:r w:rsidRPr="005E3564" w:rsidR="005E3564">
        <w:rPr>
          <w:vertAlign w:val="superscript"/>
        </w:rPr>
        <w:endnoteReference w:id="4"/>
      </w:r>
      <w:r w:rsidRPr="005E3564" w:rsidR="005E3564">
        <w:t xml:space="preserve"> The Network expands AHRQ’s programmatic efforts to address quality and safety in long-term care</w:t>
      </w:r>
      <w:r w:rsidR="003B6092">
        <w:t>,</w:t>
      </w:r>
      <w:r w:rsidRPr="005E3564" w:rsidR="005E3564">
        <w:rPr>
          <w:vertAlign w:val="superscript"/>
        </w:rPr>
        <w:endnoteReference w:id="5"/>
      </w:r>
      <w:r w:rsidRPr="005E3564" w:rsidR="005E3564">
        <w:t xml:space="preserve"> and aligns with other agency efforts to provide COVID-19 guidance to nursing homes.</w:t>
      </w:r>
      <w:r w:rsidRPr="005E3564" w:rsidR="005E3564">
        <w:rPr>
          <w:vertAlign w:val="superscript"/>
        </w:rPr>
        <w:endnoteReference w:id="6"/>
      </w:r>
      <w:r w:rsidRPr="005E3564" w:rsidR="005E3564">
        <w:t xml:space="preserve"> As the pandemic continues, nursing homes require easy access and implement</w:t>
      </w:r>
      <w:r w:rsidR="003B6092">
        <w:t>ation</w:t>
      </w:r>
      <w:r w:rsidRPr="005E3564" w:rsidR="005E3564">
        <w:t xml:space="preserve"> support for up-to-date best practices on SARS-CoV-2 infection control, COVID-19 care and management, and safety measures to protect residents and staff. </w:t>
      </w:r>
    </w:p>
    <w:p w:rsidR="00733B0E" w:rsidP="005E3564" w:rsidRDefault="00733B0E" w14:paraId="34491D29" w14:textId="77777777"/>
    <w:p w:rsidR="00C7564B" w:rsidP="005E3564" w:rsidRDefault="00EF001D" w14:paraId="0D5D44AA" w14:textId="77777777">
      <w:r>
        <w:t>AHRQ’s</w:t>
      </w:r>
      <w:r w:rsidRPr="005E3564" w:rsidR="005E3564">
        <w:t xml:space="preserve"> </w:t>
      </w:r>
      <w:r w:rsidR="00A072B0">
        <w:t xml:space="preserve">National Nursing Home COVID-19 </w:t>
      </w:r>
      <w:r w:rsidRPr="005E3564" w:rsidR="001C24D9">
        <w:t>C</w:t>
      </w:r>
      <w:r w:rsidR="001C24D9">
        <w:t xml:space="preserve">oordinating </w:t>
      </w:r>
      <w:r w:rsidRPr="005E3564" w:rsidR="005E3564">
        <w:t>C</w:t>
      </w:r>
      <w:r>
        <w:t xml:space="preserve">enter </w:t>
      </w:r>
      <w:r w:rsidRPr="005E3564" w:rsidR="005E3564">
        <w:t>play</w:t>
      </w:r>
      <w:r w:rsidR="001C24D9">
        <w:t>s</w:t>
      </w:r>
      <w:r w:rsidRPr="005E3564" w:rsidR="005E3564">
        <w:t xml:space="preserve"> a critical, complementary role to the Network as a bridge between AHRQ’s initiatives and the nursing home quality improvement (QI) community that: 1) engages scientific and policy stakeholders to identify safety needs and best practices, 2) ensures coordinated development and dissemination of QI tools and other resources, and 3) assesses the impact of the Network to inform the nation’s COVID-19 response. </w:t>
      </w:r>
    </w:p>
    <w:p w:rsidR="00C7564B" w:rsidP="005E3564" w:rsidRDefault="00C7564B" w14:paraId="3619831A" w14:textId="77777777"/>
    <w:p w:rsidRPr="004230A5" w:rsidR="00C7564B" w:rsidP="00C7564B" w:rsidRDefault="00C7564B" w14:paraId="64ED6C13" w14:textId="520CBD8A">
      <w:pPr>
        <w:pStyle w:val="BodyText"/>
      </w:pPr>
      <w:r w:rsidRPr="00C7564B">
        <w:t xml:space="preserve">In March 2021, </w:t>
      </w:r>
      <w:r>
        <w:t>a</w:t>
      </w:r>
      <w:r w:rsidRPr="004230A5">
        <w:t xml:space="preserve">s part of the Coordinating Center activities, AHRQ </w:t>
      </w:r>
      <w:r>
        <w:t>sought</w:t>
      </w:r>
      <w:r w:rsidRPr="004230A5">
        <w:t xml:space="preserve"> to solicit the opinions and information from respondents (nursing home staff) who have experience with the Network’s program and have already indicated that they have made a change (minor or major) in their facility </w:t>
      </w:r>
      <w:proofErr w:type="gramStart"/>
      <w:r w:rsidRPr="004230A5">
        <w:t>as a result of</w:t>
      </w:r>
      <w:proofErr w:type="gramEnd"/>
      <w:r w:rsidRPr="004230A5">
        <w:t xml:space="preserve"> participating in Network activities.</w:t>
      </w:r>
      <w:r>
        <w:t xml:space="preserve"> This customer satisfaction survey was designed to collect informati</w:t>
      </w:r>
      <w:r w:rsidRPr="00C7564B">
        <w:t xml:space="preserve">on </w:t>
      </w:r>
      <w:r w:rsidRPr="004230A5">
        <w:t xml:space="preserve">related to how certain </w:t>
      </w:r>
      <w:r w:rsidRPr="004230A5">
        <w:lastRenderedPageBreak/>
        <w:t xml:space="preserve">AHRQ ECHO National Nursing Home COVID-19 Action Network (the Network) participants experienced the trainings and what specific types of changes they made </w:t>
      </w:r>
      <w:proofErr w:type="gramStart"/>
      <w:r w:rsidRPr="004230A5">
        <w:t>as a result of</w:t>
      </w:r>
      <w:proofErr w:type="gramEnd"/>
      <w:r w:rsidRPr="004230A5">
        <w:t xml:space="preserve"> their participation.</w:t>
      </w:r>
    </w:p>
    <w:p w:rsidR="005E3564" w:rsidP="005E3564" w:rsidRDefault="00C7564B" w14:paraId="7F3B99A5" w14:textId="2FA81795">
      <w:r w:rsidRPr="00C7564B">
        <w:t xml:space="preserve">The goals of this customer satisfaction survey </w:t>
      </w:r>
      <w:r w:rsidRPr="004230A5">
        <w:t>were to understand the participant experience with the Network and the types of changes they have made as a result</w:t>
      </w:r>
      <w:r w:rsidRPr="00C7564B">
        <w:t xml:space="preserve">. </w:t>
      </w:r>
      <w:r w:rsidRPr="004230A5">
        <w:t xml:space="preserve">The information collected was used for internal program management purposes </w:t>
      </w:r>
      <w:proofErr w:type="gramStart"/>
      <w:r w:rsidRPr="004230A5">
        <w:t>in order to</w:t>
      </w:r>
      <w:proofErr w:type="gramEnd"/>
      <w:r w:rsidRPr="004230A5">
        <w:t xml:space="preserve"> identify those topics which resonated with participants who reported making changes, the resources they found the most helpful, and the types of changes they reported as a result of their participation.</w:t>
      </w:r>
      <w:r w:rsidRPr="00C7564B">
        <w:t xml:space="preserve"> </w:t>
      </w:r>
      <w:r w:rsidR="00C86132">
        <w:t>The survey was emailed to 2</w:t>
      </w:r>
      <w:r w:rsidR="00CF4F96">
        <w:t>,</w:t>
      </w:r>
      <w:r w:rsidR="00C86132">
        <w:t>145 individuals from 1</w:t>
      </w:r>
      <w:r w:rsidR="00CF4F96">
        <w:t>,</w:t>
      </w:r>
      <w:r w:rsidR="00C86132">
        <w:t>683 nursing homes. Approximately 20% (</w:t>
      </w:r>
      <w:r w:rsidR="00543DCF">
        <w:t xml:space="preserve">429) of respondents completed the survey. </w:t>
      </w:r>
      <w:r w:rsidRPr="00C7564B">
        <w:t>The information gathered was not used as part of the program assessment (described below)</w:t>
      </w:r>
      <w:r>
        <w:t xml:space="preserve"> and the questions proposed to be fielded as part of the primary data collection activities below are substantially different than those fielded as part of the customer satisfaction survey</w:t>
      </w:r>
      <w:r w:rsidRPr="00C7564B">
        <w:t>.</w:t>
      </w:r>
    </w:p>
    <w:p w:rsidR="0083200E" w:rsidP="005E3564" w:rsidRDefault="0083200E" w14:paraId="192B7C5E" w14:textId="77777777"/>
    <w:p w:rsidRPr="0083200E" w:rsidR="005E3564" w:rsidP="0083200E" w:rsidRDefault="001919C4" w14:paraId="5DD28455" w14:textId="50B159DC">
      <w:pPr>
        <w:pStyle w:val="BodyText"/>
      </w:pPr>
      <w:r>
        <w:t xml:space="preserve">As part of </w:t>
      </w:r>
      <w:r w:rsidR="00733B0E">
        <w:t>the Coordinating Center activities</w:t>
      </w:r>
      <w:r>
        <w:t xml:space="preserve">, </w:t>
      </w:r>
      <w:r w:rsidRPr="0083200E" w:rsidR="0083200E">
        <w:t xml:space="preserve">AHRQ seeks to </w:t>
      </w:r>
      <w:proofErr w:type="gramStart"/>
      <w:r w:rsidRPr="0083200E" w:rsidR="0083200E">
        <w:t xml:space="preserve">conduct </w:t>
      </w:r>
      <w:r w:rsidR="005660C9">
        <w:t xml:space="preserve">an </w:t>
      </w:r>
      <w:r w:rsidRPr="0083200E" w:rsidR="0083200E">
        <w:t>assessment of</w:t>
      </w:r>
      <w:proofErr w:type="gramEnd"/>
      <w:r w:rsidRPr="0083200E" w:rsidR="0083200E">
        <w:t xml:space="preserve"> </w:t>
      </w:r>
      <w:r w:rsidR="00A53AE9">
        <w:t xml:space="preserve">whether and how the Network activities covered by the Provider Relief Funds (PRF) aided the </w:t>
      </w:r>
      <w:r w:rsidR="00733B0E">
        <w:t xml:space="preserve">nursing homes’ efforts to mitigate the challenges posed by the COVID-19 pandemic. The goals of the </w:t>
      </w:r>
      <w:r w:rsidR="005660C9">
        <w:t xml:space="preserve">performance </w:t>
      </w:r>
      <w:r w:rsidR="00733B0E">
        <w:t xml:space="preserve">assessment are to: </w:t>
      </w:r>
    </w:p>
    <w:p w:rsidRPr="0083200E" w:rsidR="0083200E" w:rsidP="0083200E" w:rsidRDefault="001F6C1D" w14:paraId="207A1EE7" w14:textId="77777777">
      <w:pPr>
        <w:pStyle w:val="ListParagraph"/>
        <w:numPr>
          <w:ilvl w:val="0"/>
          <w:numId w:val="14"/>
        </w:numPr>
        <w:rPr>
          <w:rFonts w:eastAsia="Times New Roman"/>
          <w:sz w:val="24"/>
          <w:szCs w:val="24"/>
        </w:rPr>
      </w:pPr>
      <w:r w:rsidRPr="0083200E">
        <w:rPr>
          <w:rFonts w:eastAsia="Times New Roman"/>
          <w:sz w:val="24"/>
          <w:szCs w:val="24"/>
        </w:rPr>
        <w:t xml:space="preserve">assess the reach, retention, and engagement of the </w:t>
      </w:r>
      <w:proofErr w:type="gramStart"/>
      <w:r w:rsidRPr="0083200E">
        <w:rPr>
          <w:rFonts w:eastAsia="Times New Roman"/>
          <w:sz w:val="24"/>
          <w:szCs w:val="24"/>
        </w:rPr>
        <w:t>Network;</w:t>
      </w:r>
      <w:proofErr w:type="gramEnd"/>
      <w:r w:rsidRPr="0083200E">
        <w:rPr>
          <w:rFonts w:eastAsia="Times New Roman"/>
          <w:sz w:val="24"/>
          <w:szCs w:val="24"/>
        </w:rPr>
        <w:t xml:space="preserve"> </w:t>
      </w:r>
    </w:p>
    <w:p w:rsidRPr="0083200E" w:rsidR="0083200E" w:rsidP="0083200E" w:rsidRDefault="0083200E" w14:paraId="0B1AB236" w14:textId="2CAA7712">
      <w:pPr>
        <w:pStyle w:val="ListParagraph"/>
        <w:numPr>
          <w:ilvl w:val="0"/>
          <w:numId w:val="14"/>
        </w:numPr>
        <w:rPr>
          <w:rFonts w:eastAsia="Times New Roman"/>
          <w:sz w:val="24"/>
          <w:szCs w:val="24"/>
        </w:rPr>
      </w:pPr>
      <w:r w:rsidRPr="0083200E">
        <w:rPr>
          <w:rFonts w:eastAsia="Times New Roman"/>
          <w:sz w:val="24"/>
          <w:szCs w:val="24"/>
        </w:rPr>
        <w:t>s</w:t>
      </w:r>
      <w:r w:rsidRPr="0083200E" w:rsidR="001F6C1D">
        <w:rPr>
          <w:rFonts w:eastAsia="Times New Roman"/>
          <w:sz w:val="24"/>
          <w:szCs w:val="24"/>
        </w:rPr>
        <w:t xml:space="preserve">tudy </w:t>
      </w:r>
      <w:r w:rsidR="003456BD">
        <w:rPr>
          <w:rFonts w:eastAsia="Times New Roman"/>
          <w:sz w:val="24"/>
          <w:szCs w:val="24"/>
        </w:rPr>
        <w:t xml:space="preserve">the </w:t>
      </w:r>
      <w:r w:rsidRPr="0083200E" w:rsidR="001F6C1D">
        <w:rPr>
          <w:rFonts w:eastAsia="Times New Roman"/>
          <w:sz w:val="24"/>
          <w:szCs w:val="24"/>
        </w:rPr>
        <w:t>implementation</w:t>
      </w:r>
      <w:r w:rsidR="00325122">
        <w:rPr>
          <w:rFonts w:eastAsia="Times New Roman"/>
          <w:sz w:val="24"/>
          <w:szCs w:val="24"/>
        </w:rPr>
        <w:t xml:space="preserve"> approach,</w:t>
      </w:r>
      <w:r w:rsidRPr="0083200E" w:rsidR="001F6C1D">
        <w:rPr>
          <w:rFonts w:eastAsia="Times New Roman"/>
          <w:sz w:val="24"/>
          <w:szCs w:val="24"/>
        </w:rPr>
        <w:t xml:space="preserve"> </w:t>
      </w:r>
      <w:r w:rsidR="00D16BB2">
        <w:rPr>
          <w:rFonts w:eastAsia="Times New Roman"/>
          <w:sz w:val="24"/>
          <w:szCs w:val="24"/>
        </w:rPr>
        <w:t xml:space="preserve">gaps </w:t>
      </w:r>
      <w:r w:rsidRPr="0083200E" w:rsidR="001F6C1D">
        <w:rPr>
          <w:rFonts w:eastAsia="Times New Roman"/>
          <w:sz w:val="24"/>
          <w:szCs w:val="24"/>
        </w:rPr>
        <w:t xml:space="preserve">and </w:t>
      </w:r>
      <w:proofErr w:type="gramStart"/>
      <w:r w:rsidRPr="0083200E" w:rsidR="001F6C1D">
        <w:rPr>
          <w:rFonts w:eastAsia="Times New Roman"/>
          <w:sz w:val="24"/>
          <w:szCs w:val="24"/>
        </w:rPr>
        <w:t>barriers;</w:t>
      </w:r>
      <w:proofErr w:type="gramEnd"/>
    </w:p>
    <w:p w:rsidRPr="0083200E" w:rsidR="001F6C1D" w:rsidP="0083200E" w:rsidRDefault="001F6C1D" w14:paraId="2E9E497A" w14:textId="28C9391A">
      <w:pPr>
        <w:pStyle w:val="ListParagraph"/>
        <w:numPr>
          <w:ilvl w:val="0"/>
          <w:numId w:val="14"/>
        </w:numPr>
        <w:rPr>
          <w:rFonts w:eastAsia="Times New Roman"/>
          <w:sz w:val="24"/>
          <w:szCs w:val="24"/>
        </w:rPr>
      </w:pPr>
      <w:r w:rsidRPr="0083200E">
        <w:rPr>
          <w:rFonts w:eastAsia="Times New Roman"/>
          <w:sz w:val="24"/>
          <w:szCs w:val="24"/>
        </w:rPr>
        <w:t xml:space="preserve">determine the long-term impact, sustainability, and replicability of the training program and Network activities. </w:t>
      </w:r>
    </w:p>
    <w:p w:rsidR="0083200E" w:rsidP="0083200E" w:rsidRDefault="0083200E" w14:paraId="3F58B9C6" w14:textId="77777777">
      <w:pPr>
        <w:rPr>
          <w:bCs/>
        </w:rPr>
      </w:pPr>
    </w:p>
    <w:p w:rsidRPr="00C17413" w:rsidR="00CC3476" w:rsidP="00CC3476" w:rsidRDefault="00CC3476" w14:paraId="2275161D" w14:textId="12DA1C9E">
      <w:r w:rsidRPr="00C17413">
        <w:t>Nursing homes</w:t>
      </w:r>
      <w:r>
        <w:t xml:space="preserve"> participating in </w:t>
      </w:r>
      <w:r w:rsidR="006371E7">
        <w:t>the Network</w:t>
      </w:r>
      <w:r w:rsidRPr="00C17413">
        <w:t xml:space="preserve"> are submitting data that will be used to assess</w:t>
      </w:r>
      <w:r w:rsidR="00515586">
        <w:t xml:space="preserve"> th</w:t>
      </w:r>
      <w:r w:rsidRPr="00515586">
        <w:t>e Network’s reach and retention</w:t>
      </w:r>
      <w:r w:rsidR="00515586">
        <w:t xml:space="preserve">, </w:t>
      </w:r>
      <w:proofErr w:type="gramStart"/>
      <w:r w:rsidR="00515586">
        <w:t>e</w:t>
      </w:r>
      <w:r w:rsidRPr="00515586">
        <w:t>xtent</w:t>
      </w:r>
      <w:proofErr w:type="gramEnd"/>
      <w:r w:rsidRPr="00515586">
        <w:t xml:space="preserve"> and duration of participation in the Network</w:t>
      </w:r>
      <w:r w:rsidR="00515586">
        <w:t>, p</w:t>
      </w:r>
      <w:r w:rsidRPr="00515586">
        <w:t>articipants’ perceptions on whether the disseminated knowledge is actionable</w:t>
      </w:r>
      <w:r w:rsidR="00515586">
        <w:t>, and t</w:t>
      </w:r>
      <w:r w:rsidRPr="00515586">
        <w:t>he nursing homes’ knowledge and resource gaps</w:t>
      </w:r>
      <w:r w:rsidR="00515586">
        <w:t xml:space="preserve">.  </w:t>
      </w:r>
      <w:r w:rsidR="006371E7">
        <w:t>This required s</w:t>
      </w:r>
      <w:r>
        <w:t>econdary</w:t>
      </w:r>
      <w:r w:rsidRPr="00C17413">
        <w:t xml:space="preserve"> data is listed in Attachment </w:t>
      </w:r>
      <w:r w:rsidR="00DE1C7E">
        <w:t>B</w:t>
      </w:r>
      <w:r w:rsidRPr="00C17413">
        <w:t xml:space="preserve">. Secondary data will include: </w:t>
      </w:r>
    </w:p>
    <w:p w:rsidRPr="00C17413" w:rsidR="00CC3476" w:rsidP="00560600" w:rsidRDefault="00CC3476" w14:paraId="00DE2B22" w14:textId="77777777">
      <w:pPr>
        <w:pStyle w:val="ListParagraph"/>
        <w:numPr>
          <w:ilvl w:val="0"/>
          <w:numId w:val="31"/>
        </w:numPr>
        <w:rPr>
          <w:sz w:val="24"/>
          <w:szCs w:val="24"/>
        </w:rPr>
      </w:pPr>
      <w:r w:rsidRPr="00C17413">
        <w:rPr>
          <w:sz w:val="24"/>
          <w:szCs w:val="24"/>
        </w:rPr>
        <w:t>Data on the Network’s training centers, cohorts, and sessions, and topics covered</w:t>
      </w:r>
    </w:p>
    <w:p w:rsidRPr="00C17413" w:rsidR="00CC3476" w:rsidP="00560600" w:rsidRDefault="00CC3476" w14:paraId="66296D99" w14:textId="77777777">
      <w:pPr>
        <w:pStyle w:val="ListParagraph"/>
        <w:numPr>
          <w:ilvl w:val="0"/>
          <w:numId w:val="31"/>
        </w:numPr>
        <w:rPr>
          <w:sz w:val="24"/>
          <w:szCs w:val="24"/>
        </w:rPr>
      </w:pPr>
      <w:r w:rsidRPr="00C17413">
        <w:rPr>
          <w:sz w:val="24"/>
          <w:szCs w:val="24"/>
        </w:rPr>
        <w:t>Nursing home eligibility, level of participation, and duration of participation</w:t>
      </w:r>
    </w:p>
    <w:p w:rsidRPr="00C17413" w:rsidR="00CC3476" w:rsidP="00560600" w:rsidRDefault="00CC3476" w14:paraId="5E5E73E7" w14:textId="77777777">
      <w:pPr>
        <w:pStyle w:val="ListParagraph"/>
        <w:numPr>
          <w:ilvl w:val="0"/>
          <w:numId w:val="31"/>
        </w:numPr>
        <w:rPr>
          <w:sz w:val="24"/>
          <w:szCs w:val="24"/>
        </w:rPr>
      </w:pPr>
      <w:r w:rsidRPr="00C17413">
        <w:rPr>
          <w:sz w:val="24"/>
          <w:szCs w:val="24"/>
        </w:rPr>
        <w:t>Session attendees and their feedback on the sessions</w:t>
      </w:r>
    </w:p>
    <w:p w:rsidR="00CC3476" w:rsidP="0083200E" w:rsidRDefault="00CC3476" w14:paraId="209DCE55" w14:textId="77777777">
      <w:pPr>
        <w:rPr>
          <w:bCs/>
        </w:rPr>
      </w:pPr>
    </w:p>
    <w:p w:rsidRPr="0061582C" w:rsidR="0061582C" w:rsidP="0083200E" w:rsidRDefault="0083200E" w14:paraId="1DE4CCE6" w14:textId="2E43090E">
      <w:pPr>
        <w:rPr>
          <w:bCs/>
        </w:rPr>
      </w:pPr>
      <w:r w:rsidRPr="0061582C">
        <w:rPr>
          <w:bCs/>
        </w:rPr>
        <w:t xml:space="preserve">To </w:t>
      </w:r>
      <w:r w:rsidRPr="0061582C" w:rsidR="00CC3476">
        <w:rPr>
          <w:bCs/>
        </w:rPr>
        <w:t>further</w:t>
      </w:r>
      <w:r w:rsidRPr="0061582C" w:rsidR="00515586">
        <w:rPr>
          <w:bCs/>
        </w:rPr>
        <w:t xml:space="preserve"> </w:t>
      </w:r>
      <w:r w:rsidRPr="0061582C">
        <w:rPr>
          <w:bCs/>
        </w:rPr>
        <w:t>achieve the goals of this</w:t>
      </w:r>
      <w:r w:rsidRPr="0061582C" w:rsidR="001919C4">
        <w:rPr>
          <w:bCs/>
        </w:rPr>
        <w:t xml:space="preserve"> </w:t>
      </w:r>
      <w:r w:rsidRPr="0061582C" w:rsidR="00CF1F53">
        <w:rPr>
          <w:bCs/>
        </w:rPr>
        <w:t xml:space="preserve">performance </w:t>
      </w:r>
      <w:r w:rsidRPr="0061582C" w:rsidR="001919C4">
        <w:rPr>
          <w:bCs/>
        </w:rPr>
        <w:t>assessment</w:t>
      </w:r>
      <w:r w:rsidRPr="0061582C" w:rsidR="00E17907">
        <w:rPr>
          <w:bCs/>
        </w:rPr>
        <w:t>, AHRQ is requesting OMB approval for new data collection.</w:t>
      </w:r>
      <w:r w:rsidRPr="0061582C" w:rsidR="00EE5833">
        <w:rPr>
          <w:bCs/>
        </w:rPr>
        <w:t xml:space="preserve">  More specifically, the new data collection activities</w:t>
      </w:r>
      <w:r w:rsidR="006371E7">
        <w:rPr>
          <w:bCs/>
        </w:rPr>
        <w:t xml:space="preserve"> intend to collect </w:t>
      </w:r>
      <w:r w:rsidRPr="0061582C" w:rsidR="00EE5833">
        <w:rPr>
          <w:bCs/>
        </w:rPr>
        <w:t xml:space="preserve">systematic information </w:t>
      </w:r>
      <w:r w:rsidR="00C24861">
        <w:rPr>
          <w:bCs/>
        </w:rPr>
        <w:t xml:space="preserve">from nursing homes </w:t>
      </w:r>
      <w:r w:rsidRPr="0061582C" w:rsidR="00EE5833">
        <w:rPr>
          <w:bCs/>
        </w:rPr>
        <w:t xml:space="preserve">on </w:t>
      </w:r>
      <w:r w:rsidRPr="0061582C" w:rsidR="0061582C">
        <w:rPr>
          <w:bCs/>
        </w:rPr>
        <w:t>the following:</w:t>
      </w:r>
    </w:p>
    <w:p w:rsidRPr="00264E11" w:rsidR="00E34D17" w:rsidP="00560600" w:rsidRDefault="0061582C" w14:paraId="43D4AC8C" w14:textId="16628BE6">
      <w:pPr>
        <w:pStyle w:val="ListParagraph"/>
        <w:numPr>
          <w:ilvl w:val="0"/>
          <w:numId w:val="27"/>
        </w:numPr>
        <w:rPr>
          <w:bCs/>
        </w:rPr>
      </w:pPr>
      <w:r w:rsidRPr="00560600">
        <w:rPr>
          <w:bCs/>
          <w:sz w:val="24"/>
          <w:szCs w:val="24"/>
        </w:rPr>
        <w:t>M</w:t>
      </w:r>
      <w:r w:rsidRPr="00560600" w:rsidR="00EE5833">
        <w:rPr>
          <w:bCs/>
          <w:sz w:val="24"/>
          <w:szCs w:val="24"/>
        </w:rPr>
        <w:t xml:space="preserve">otivations for participation </w:t>
      </w:r>
      <w:r w:rsidR="0069633B">
        <w:rPr>
          <w:bCs/>
          <w:sz w:val="24"/>
          <w:szCs w:val="24"/>
        </w:rPr>
        <w:t xml:space="preserve">and non-participation </w:t>
      </w:r>
      <w:r w:rsidRPr="00560600" w:rsidR="00EE5833">
        <w:rPr>
          <w:bCs/>
          <w:sz w:val="24"/>
          <w:szCs w:val="24"/>
        </w:rPr>
        <w:t>in the Network</w:t>
      </w:r>
    </w:p>
    <w:p w:rsidRPr="00560600" w:rsidR="00E34D17" w:rsidP="00560600" w:rsidRDefault="00E34D17" w14:paraId="449AB7FB" w14:textId="2D86AA17">
      <w:pPr>
        <w:pStyle w:val="ListParagraph"/>
        <w:numPr>
          <w:ilvl w:val="0"/>
          <w:numId w:val="27"/>
        </w:numPr>
        <w:rPr>
          <w:bCs/>
          <w:sz w:val="24"/>
        </w:rPr>
      </w:pPr>
      <w:r w:rsidRPr="00560600">
        <w:rPr>
          <w:sz w:val="24"/>
          <w:szCs w:val="24"/>
        </w:rPr>
        <w:t>Context of participation (including state and local context, and participation in other COVID-19 related-initiatives)</w:t>
      </w:r>
    </w:p>
    <w:p w:rsidRPr="00264E11" w:rsidR="00C81AEB" w:rsidP="00560600" w:rsidRDefault="0061582C" w14:paraId="7E71EBCD" w14:textId="37457519">
      <w:pPr>
        <w:pStyle w:val="ListParagraph"/>
        <w:numPr>
          <w:ilvl w:val="0"/>
          <w:numId w:val="27"/>
        </w:numPr>
        <w:rPr>
          <w:bCs/>
        </w:rPr>
      </w:pPr>
      <w:r w:rsidRPr="00560600">
        <w:rPr>
          <w:bCs/>
          <w:sz w:val="24"/>
          <w:szCs w:val="24"/>
        </w:rPr>
        <w:t>P</w:t>
      </w:r>
      <w:r w:rsidRPr="00560600" w:rsidR="00EE5833">
        <w:rPr>
          <w:bCs/>
          <w:sz w:val="24"/>
          <w:szCs w:val="24"/>
        </w:rPr>
        <w:t>erceptions on recruitment,</w:t>
      </w:r>
      <w:r w:rsidRPr="00560600">
        <w:rPr>
          <w:bCs/>
          <w:sz w:val="24"/>
          <w:szCs w:val="24"/>
        </w:rPr>
        <w:t xml:space="preserve"> engagement, and retention</w:t>
      </w:r>
      <w:r w:rsidRPr="00560600" w:rsidR="00C81AEB">
        <w:rPr>
          <w:bCs/>
          <w:sz w:val="24"/>
          <w:szCs w:val="24"/>
        </w:rPr>
        <w:t>, including facilitators and barriers of engagement and retention</w:t>
      </w:r>
    </w:p>
    <w:p w:rsidRPr="00264E11" w:rsidR="0061582C" w:rsidP="00560600" w:rsidRDefault="00C81AEB" w14:paraId="43216406" w14:textId="5DB44FC9">
      <w:pPr>
        <w:pStyle w:val="ListParagraph"/>
        <w:numPr>
          <w:ilvl w:val="0"/>
          <w:numId w:val="27"/>
        </w:numPr>
        <w:rPr>
          <w:bCs/>
        </w:rPr>
      </w:pPr>
      <w:r w:rsidRPr="00560600">
        <w:rPr>
          <w:bCs/>
          <w:sz w:val="24"/>
          <w:szCs w:val="24"/>
        </w:rPr>
        <w:t xml:space="preserve">Perceptions on </w:t>
      </w:r>
      <w:r w:rsidRPr="00560600" w:rsidR="00EE5833">
        <w:rPr>
          <w:bCs/>
          <w:sz w:val="24"/>
          <w:szCs w:val="24"/>
        </w:rPr>
        <w:t>the N</w:t>
      </w:r>
      <w:r w:rsidRPr="00560600" w:rsidR="0061582C">
        <w:rPr>
          <w:bCs/>
          <w:sz w:val="24"/>
          <w:szCs w:val="24"/>
        </w:rPr>
        <w:t>etwork</w:t>
      </w:r>
      <w:r w:rsidRPr="00560600">
        <w:rPr>
          <w:bCs/>
          <w:sz w:val="24"/>
          <w:szCs w:val="24"/>
        </w:rPr>
        <w:t xml:space="preserve"> training and </w:t>
      </w:r>
      <w:r w:rsidRPr="00560600" w:rsidR="003E6345">
        <w:rPr>
          <w:bCs/>
          <w:sz w:val="24"/>
          <w:szCs w:val="24"/>
        </w:rPr>
        <w:t xml:space="preserve">mentorship </w:t>
      </w:r>
      <w:r w:rsidRPr="00560600">
        <w:rPr>
          <w:bCs/>
          <w:sz w:val="24"/>
          <w:szCs w:val="24"/>
        </w:rPr>
        <w:t>resources, i</w:t>
      </w:r>
      <w:r w:rsidRPr="00560600" w:rsidR="003E6345">
        <w:rPr>
          <w:bCs/>
          <w:sz w:val="24"/>
          <w:szCs w:val="24"/>
        </w:rPr>
        <w:t>ncluding access to and utility of the Network training and resources</w:t>
      </w:r>
    </w:p>
    <w:p w:rsidRPr="00F92B39" w:rsidR="00C145EB" w:rsidP="00C145EB" w:rsidRDefault="00C145EB" w14:paraId="3E72311D" w14:textId="77777777">
      <w:pPr>
        <w:pStyle w:val="ListParagraph"/>
        <w:numPr>
          <w:ilvl w:val="0"/>
          <w:numId w:val="27"/>
        </w:numPr>
        <w:rPr>
          <w:sz w:val="24"/>
          <w:szCs w:val="24"/>
        </w:rPr>
      </w:pPr>
      <w:r w:rsidRPr="00F92B39">
        <w:rPr>
          <w:sz w:val="24"/>
          <w:szCs w:val="24"/>
        </w:rPr>
        <w:t>Gaps in knowledge, skills, and resources required for identifying residents and staff infected with COVID-19</w:t>
      </w:r>
    </w:p>
    <w:p w:rsidRPr="00560600" w:rsidR="003E6345" w:rsidP="003E6345" w:rsidRDefault="003E6345" w14:paraId="7469EAE6" w14:textId="1D9EBE71">
      <w:pPr>
        <w:pStyle w:val="NORCTableBullet1"/>
        <w:numPr>
          <w:ilvl w:val="0"/>
          <w:numId w:val="27"/>
        </w:numPr>
        <w:rPr>
          <w:rFonts w:ascii="Times New Roman" w:hAnsi="Times New Roman"/>
          <w:color w:val="auto"/>
          <w:sz w:val="24"/>
          <w:szCs w:val="24"/>
        </w:rPr>
      </w:pPr>
      <w:r w:rsidRPr="00560600">
        <w:rPr>
          <w:rFonts w:ascii="Times New Roman" w:hAnsi="Times New Roman"/>
          <w:color w:val="auto"/>
          <w:sz w:val="24"/>
          <w:szCs w:val="24"/>
        </w:rPr>
        <w:t xml:space="preserve">Impacts on </w:t>
      </w:r>
      <w:r w:rsidRPr="00560600" w:rsidR="00505687">
        <w:rPr>
          <w:rFonts w:ascii="Times New Roman" w:hAnsi="Times New Roman"/>
          <w:sz w:val="24"/>
          <w:szCs w:val="24"/>
        </w:rPr>
        <w:t xml:space="preserve">the prevention and spread of SARS-COV2, implementation of best practice safety measures; improvement of quality of care for residents with mild </w:t>
      </w:r>
      <w:r w:rsidRPr="00560600" w:rsidR="00505687">
        <w:rPr>
          <w:rFonts w:ascii="Times New Roman" w:hAnsi="Times New Roman"/>
          <w:sz w:val="24"/>
          <w:szCs w:val="24"/>
        </w:rPr>
        <w:lastRenderedPageBreak/>
        <w:t>and asymptomatic cases; and reduction of social isolation for residents, families, and staff</w:t>
      </w:r>
    </w:p>
    <w:p w:rsidRPr="003F2CBA" w:rsidR="0061582C" w:rsidP="00560600" w:rsidRDefault="0061582C" w14:paraId="711E1126" w14:textId="0734000A">
      <w:pPr>
        <w:pStyle w:val="ListParagraph"/>
        <w:rPr>
          <w:bCs/>
        </w:rPr>
      </w:pPr>
    </w:p>
    <w:p w:rsidRPr="00264E11" w:rsidR="0083200E" w:rsidRDefault="00E17907" w14:paraId="219BBDC1" w14:textId="76D8E152">
      <w:pPr>
        <w:rPr>
          <w:bCs/>
        </w:rPr>
      </w:pPr>
      <w:r w:rsidRPr="00264E11">
        <w:rPr>
          <w:bCs/>
        </w:rPr>
        <w:t xml:space="preserve">The primary data collection includes the </w:t>
      </w:r>
      <w:r w:rsidRPr="00264E11" w:rsidR="0083200E">
        <w:rPr>
          <w:bCs/>
        </w:rPr>
        <w:t xml:space="preserve">following </w:t>
      </w:r>
      <w:r w:rsidRPr="00264E11">
        <w:rPr>
          <w:bCs/>
        </w:rPr>
        <w:t>activities</w:t>
      </w:r>
      <w:r w:rsidRPr="00264E11" w:rsidR="0083200E">
        <w:rPr>
          <w:bCs/>
        </w:rPr>
        <w:t>:</w:t>
      </w:r>
    </w:p>
    <w:p w:rsidR="00FD7D75" w:rsidP="00FD7D75" w:rsidRDefault="00FD7D75" w14:paraId="5CA71E4B" w14:textId="43D0F071">
      <w:pPr>
        <w:pStyle w:val="BodyText"/>
        <w:numPr>
          <w:ilvl w:val="0"/>
          <w:numId w:val="9"/>
        </w:numPr>
        <w:jc w:val="both"/>
      </w:pPr>
      <w:r w:rsidRPr="00560600">
        <w:rPr>
          <w:b/>
        </w:rPr>
        <w:t>Survey</w:t>
      </w:r>
      <w:r>
        <w:t xml:space="preserve"> of all</w:t>
      </w:r>
      <w:r w:rsidR="00360F9C">
        <w:t xml:space="preserve"> </w:t>
      </w:r>
      <w:r w:rsidR="009417F0">
        <w:t xml:space="preserve">participating </w:t>
      </w:r>
      <w:r>
        <w:t>nursing homes</w:t>
      </w:r>
      <w:r w:rsidR="005E4424">
        <w:t xml:space="preserve"> (approximately </w:t>
      </w:r>
      <w:r w:rsidR="00F04CAC">
        <w:t>8,308</w:t>
      </w:r>
      <w:r w:rsidR="005E4424">
        <w:t>)</w:t>
      </w:r>
      <w:r w:rsidR="009417F0">
        <w:t xml:space="preserve"> and a 50% representative sample of nonparticipating nursing homes</w:t>
      </w:r>
      <w:r w:rsidR="005E4424">
        <w:t xml:space="preserve"> (approximately</w:t>
      </w:r>
      <w:r w:rsidR="00F04CAC">
        <w:t xml:space="preserve"> 2,782)</w:t>
      </w:r>
      <w:r w:rsidR="009417F0">
        <w:t xml:space="preserve"> </w:t>
      </w:r>
      <w:r>
        <w:t>eligible for</w:t>
      </w:r>
      <w:r w:rsidR="002E0C5C">
        <w:t xml:space="preserve"> the</w:t>
      </w:r>
      <w:r>
        <w:t xml:space="preserve"> </w:t>
      </w:r>
      <w:r w:rsidR="002E0C5C">
        <w:t>P</w:t>
      </w:r>
      <w:r>
        <w:t xml:space="preserve">rovider </w:t>
      </w:r>
      <w:r w:rsidR="002E0C5C">
        <w:t>R</w:t>
      </w:r>
      <w:r>
        <w:t xml:space="preserve">elief </w:t>
      </w:r>
      <w:r w:rsidR="002E0C5C">
        <w:t>F</w:t>
      </w:r>
      <w:r>
        <w:t>und</w:t>
      </w:r>
      <w:r w:rsidR="004230A5">
        <w:t xml:space="preserve">. </w:t>
      </w:r>
      <w:r w:rsidR="006E7E53">
        <w:t>Separate survey instruments will be used for network participants</w:t>
      </w:r>
      <w:r w:rsidR="00ED2DC5">
        <w:t xml:space="preserve"> (“Participant Survey”</w:t>
      </w:r>
      <w:r w:rsidR="006E7E53">
        <w:t xml:space="preserve"> and non-participants</w:t>
      </w:r>
      <w:r w:rsidR="00ED2DC5">
        <w:t xml:space="preserve"> (“Non-Participant Survey”)</w:t>
      </w:r>
      <w:r w:rsidR="006E7E53">
        <w:t>.</w:t>
      </w:r>
      <w:r w:rsidR="004230A5">
        <w:t xml:space="preserve"> The </w:t>
      </w:r>
      <w:r w:rsidR="00ED2DC5">
        <w:t>P</w:t>
      </w:r>
      <w:r w:rsidR="004230A5">
        <w:t xml:space="preserve">articipant </w:t>
      </w:r>
      <w:r w:rsidR="00ED2DC5">
        <w:t>S</w:t>
      </w:r>
      <w:r w:rsidR="004230A5">
        <w:t xml:space="preserve">urvey will be conducted primarily via a secure web-based platform. The </w:t>
      </w:r>
      <w:r w:rsidR="00ED2DC5">
        <w:t>N</w:t>
      </w:r>
      <w:r w:rsidR="004230A5">
        <w:t>on-</w:t>
      </w:r>
      <w:r w:rsidR="00ED2DC5">
        <w:t>P</w:t>
      </w:r>
      <w:r w:rsidR="004230A5">
        <w:t xml:space="preserve">articipant </w:t>
      </w:r>
      <w:r w:rsidR="00ED2DC5">
        <w:t>S</w:t>
      </w:r>
      <w:r w:rsidR="004230A5">
        <w:t>urvey will be conducted via web and telephone. (See Supporting Statement B for an explanation of nursing home stratification and selection to ensure a representative survey response)</w:t>
      </w:r>
      <w:r w:rsidRPr="0083200E" w:rsidR="004230A5">
        <w:t>.</w:t>
      </w:r>
      <w:r w:rsidR="004230A5">
        <w:t xml:space="preserve"> </w:t>
      </w:r>
      <w:r>
        <w:t>The survey instrument</w:t>
      </w:r>
      <w:r w:rsidR="00415D5F">
        <w:t>s</w:t>
      </w:r>
      <w:r w:rsidRPr="0083200E">
        <w:t xml:space="preserve"> can be found in </w:t>
      </w:r>
      <w:r>
        <w:t>Attachment B.</w:t>
      </w:r>
    </w:p>
    <w:p w:rsidRPr="0083200E" w:rsidR="0083200E" w:rsidP="0083200E" w:rsidRDefault="0083200E" w14:paraId="7913B2A7" w14:textId="62A10A38">
      <w:pPr>
        <w:pStyle w:val="BodyText"/>
        <w:numPr>
          <w:ilvl w:val="0"/>
          <w:numId w:val="9"/>
        </w:numPr>
        <w:jc w:val="both"/>
      </w:pPr>
      <w:r w:rsidRPr="00560600">
        <w:rPr>
          <w:b/>
        </w:rPr>
        <w:t>Key informant interviews</w:t>
      </w:r>
      <w:r w:rsidRPr="0083200E">
        <w:t xml:space="preserve"> </w:t>
      </w:r>
      <w:r w:rsidRPr="00A71B09">
        <w:t>with up to</w:t>
      </w:r>
      <w:r w:rsidRPr="00A71B09" w:rsidR="009437BA">
        <w:t xml:space="preserve"> </w:t>
      </w:r>
      <w:r w:rsidR="00AA4B07">
        <w:t>96</w:t>
      </w:r>
      <w:r w:rsidRPr="00A71B09" w:rsidR="00E76E7C">
        <w:t xml:space="preserve"> </w:t>
      </w:r>
      <w:r w:rsidRPr="00A71B09">
        <w:t>individuals</w:t>
      </w:r>
      <w:r w:rsidRPr="0083200E">
        <w:t xml:space="preserve"> </w:t>
      </w:r>
      <w:r w:rsidR="00E17907">
        <w:t>from</w:t>
      </w:r>
      <w:r w:rsidR="00E76E7C">
        <w:t xml:space="preserve"> 32</w:t>
      </w:r>
      <w:r w:rsidR="00E17907">
        <w:t xml:space="preserve"> nursing homes </w:t>
      </w:r>
      <w:r w:rsidR="00113059">
        <w:t xml:space="preserve">participating </w:t>
      </w:r>
      <w:r w:rsidR="00E17907">
        <w:t xml:space="preserve">in the Network </w:t>
      </w:r>
      <w:r w:rsidRPr="0083200E">
        <w:t xml:space="preserve">across all </w:t>
      </w:r>
      <w:r>
        <w:t xml:space="preserve">assessment </w:t>
      </w:r>
      <w:r w:rsidRPr="0083200E">
        <w:t>do</w:t>
      </w:r>
      <w:r>
        <w:t>mains, conducted virtually on a secure platform</w:t>
      </w:r>
      <w:r w:rsidR="0079747B">
        <w:t xml:space="preserve"> (see Supporting Statement B for explanation of nursing home stratification and selection)</w:t>
      </w:r>
      <w:r w:rsidRPr="0083200E">
        <w:t xml:space="preserve">. The </w:t>
      </w:r>
      <w:r w:rsidR="00415D5F">
        <w:t>participants</w:t>
      </w:r>
      <w:r w:rsidR="00E76E7C">
        <w:t xml:space="preserve"> </w:t>
      </w:r>
      <w:r>
        <w:t xml:space="preserve">will be </w:t>
      </w:r>
      <w:r w:rsidR="00E76E7C">
        <w:t xml:space="preserve">interviewed using the attached </w:t>
      </w:r>
      <w:r w:rsidRPr="0083200E">
        <w:t>protocol</w:t>
      </w:r>
      <w:r w:rsidR="00415D5F">
        <w:t xml:space="preserve"> </w:t>
      </w:r>
      <w:r w:rsidRPr="0083200E">
        <w:t xml:space="preserve">(see Attachment </w:t>
      </w:r>
      <w:r w:rsidR="00864592">
        <w:t>E</w:t>
      </w:r>
      <w:r w:rsidRPr="0083200E">
        <w:t>)</w:t>
      </w:r>
      <w:r>
        <w:t xml:space="preserve"> </w:t>
      </w:r>
    </w:p>
    <w:p w:rsidR="00E17907" w:rsidP="00560600" w:rsidRDefault="00E17907" w14:paraId="0CC49F2E" w14:textId="77777777"/>
    <w:p w:rsidR="001919C4" w:rsidP="001919C4" w:rsidRDefault="001919C4" w14:paraId="6B008D2C" w14:textId="46F6C62C">
      <w:r w:rsidRPr="001919C4">
        <w:t xml:space="preserve">This </w:t>
      </w:r>
      <w:r w:rsidR="005660C9">
        <w:t xml:space="preserve">performance </w:t>
      </w:r>
      <w:r>
        <w:t xml:space="preserve">assessment </w:t>
      </w:r>
      <w:r w:rsidRPr="001919C4">
        <w:t xml:space="preserve">is being conducted by AHRQ through its </w:t>
      </w:r>
      <w:r w:rsidR="00A072B0">
        <w:t xml:space="preserve">Coordinating Center </w:t>
      </w:r>
      <w:r w:rsidRPr="001919C4">
        <w:t>contractor, NORC at the University of Chicago</w:t>
      </w:r>
      <w:r w:rsidR="006E7E53">
        <w:t xml:space="preserve"> (NORC)</w:t>
      </w:r>
      <w:r w:rsidRPr="001919C4">
        <w:t xml:space="preserve">, pursuant to </w:t>
      </w:r>
      <w:r w:rsidRPr="00451727">
        <w:t xml:space="preserve">AHRQ’s statutory authority to conduct and support </w:t>
      </w:r>
      <w:r w:rsidRPr="00451727" w:rsidR="007B68C5">
        <w:t xml:space="preserve">training and technical assistance </w:t>
      </w:r>
      <w:r w:rsidRPr="00451727">
        <w:t xml:space="preserve">on healthcare and on systems for the delivery of such care, including activities with respect to the quality, effectiveness, efficiency, </w:t>
      </w:r>
      <w:proofErr w:type="gramStart"/>
      <w:r w:rsidRPr="00451727">
        <w:t>appropriateness</w:t>
      </w:r>
      <w:proofErr w:type="gramEnd"/>
      <w:r w:rsidRPr="00451727">
        <w:t xml:space="preserve"> and value of healthcare services and with respect to quality measurement and improvement. 42 U.S.C. 299a</w:t>
      </w:r>
      <w:r w:rsidR="00F6545A">
        <w:t xml:space="preserve"> </w:t>
      </w:r>
      <w:r w:rsidRPr="00451727">
        <w:t>(a)</w:t>
      </w:r>
      <w:r w:rsidR="00F6545A">
        <w:t xml:space="preserve"> </w:t>
      </w:r>
      <w:r w:rsidRPr="00451727">
        <w:t>(</w:t>
      </w:r>
      <w:r w:rsidRPr="00451727" w:rsidR="00B56E56">
        <w:t>7</w:t>
      </w:r>
      <w:r w:rsidRPr="00451727">
        <w:t>)</w:t>
      </w:r>
      <w:r w:rsidR="00451727">
        <w:t>.</w:t>
      </w:r>
      <w:r w:rsidRPr="00451727">
        <w:t xml:space="preserve"> </w:t>
      </w:r>
    </w:p>
    <w:p w:rsidR="0083200E" w:rsidP="003C7692" w:rsidRDefault="0083200E" w14:paraId="521C3F07" w14:textId="77777777">
      <w:pPr>
        <w:rPr>
          <w:highlight w:val="yellow"/>
        </w:rPr>
      </w:pPr>
    </w:p>
    <w:p w:rsidRPr="00451727" w:rsidR="009B633D" w:rsidP="009B633D" w:rsidRDefault="009B633D" w14:paraId="08894071" w14:textId="27605502">
      <w:pPr>
        <w:pStyle w:val="Heading2"/>
        <w:rPr>
          <w:rFonts w:ascii="Times New Roman" w:hAnsi="Times New Roman" w:cs="Times New Roman"/>
          <w:sz w:val="24"/>
          <w:szCs w:val="24"/>
        </w:rPr>
      </w:pPr>
      <w:bookmarkStart w:name="_Toc151782177" w:id="7"/>
      <w:bookmarkStart w:name="_Toc158526217" w:id="8"/>
      <w:bookmarkStart w:name="_Toc83639747" w:id="9"/>
      <w:r w:rsidRPr="00451727">
        <w:rPr>
          <w:rFonts w:ascii="Times New Roman" w:hAnsi="Times New Roman" w:cs="Times New Roman"/>
          <w:sz w:val="24"/>
          <w:szCs w:val="24"/>
        </w:rPr>
        <w:t>2. Purpose and Use of Information</w:t>
      </w:r>
      <w:bookmarkEnd w:id="7"/>
      <w:bookmarkEnd w:id="8"/>
      <w:bookmarkEnd w:id="9"/>
    </w:p>
    <w:p w:rsidRPr="00B775FC" w:rsidR="003C7692" w:rsidP="00C00123" w:rsidRDefault="003C7692" w14:paraId="757F5002" w14:textId="77777777">
      <w:bookmarkStart w:name="_Toc151782178" w:id="10"/>
      <w:bookmarkStart w:name="_Toc158526218" w:id="11"/>
    </w:p>
    <w:p w:rsidRPr="00B775FC" w:rsidR="001919C4" w:rsidP="003F2CBA" w:rsidRDefault="001919C4" w14:paraId="79367963" w14:textId="0382E797">
      <w:pPr>
        <w:pStyle w:val="paragraph"/>
        <w:spacing w:before="0" w:beforeAutospacing="0" w:after="120" w:afterAutospacing="0"/>
        <w:textAlignment w:val="baseline"/>
      </w:pPr>
      <w:r w:rsidRPr="00B775FC">
        <w:rPr>
          <w:rStyle w:val="normaltextrun"/>
        </w:rPr>
        <w:t>This assessment seeks to answer the following questions about the Network</w:t>
      </w:r>
      <w:r w:rsidR="00CF1F53">
        <w:rPr>
          <w:rStyle w:val="normaltextrun"/>
        </w:rPr>
        <w:t xml:space="preserve"> through primary data collection</w:t>
      </w:r>
      <w:r w:rsidRPr="00B775FC">
        <w:rPr>
          <w:rStyle w:val="normaltextrun"/>
        </w:rPr>
        <w:t xml:space="preserve">: </w:t>
      </w:r>
    </w:p>
    <w:p w:rsidRPr="006376C9" w:rsidR="006376C9" w:rsidP="00560600" w:rsidRDefault="006376C9" w14:paraId="598E9370" w14:textId="2F93A03D">
      <w:pPr>
        <w:pStyle w:val="ListParagraph"/>
        <w:numPr>
          <w:ilvl w:val="0"/>
          <w:numId w:val="15"/>
        </w:numPr>
        <w:rPr>
          <w:sz w:val="24"/>
          <w:szCs w:val="24"/>
        </w:rPr>
      </w:pPr>
      <w:r w:rsidRPr="00560600">
        <w:rPr>
          <w:sz w:val="24"/>
          <w:szCs w:val="24"/>
        </w:rPr>
        <w:t>How effective was the Network’s recruitment and retention efforts in achieving the participation goals? Was the Network effective at recruiting nursing homes that serve vulnerable populations?</w:t>
      </w:r>
    </w:p>
    <w:p w:rsidRPr="00560600" w:rsidR="008B4447" w:rsidP="00560600" w:rsidRDefault="008B4447" w14:paraId="24142207" w14:textId="69E70449">
      <w:pPr>
        <w:pStyle w:val="ListParagraph"/>
        <w:numPr>
          <w:ilvl w:val="0"/>
          <w:numId w:val="15"/>
        </w:numPr>
        <w:rPr>
          <w:sz w:val="24"/>
          <w:szCs w:val="24"/>
        </w:rPr>
      </w:pPr>
      <w:r w:rsidRPr="00560600">
        <w:rPr>
          <w:sz w:val="24"/>
          <w:szCs w:val="24"/>
        </w:rPr>
        <w:t xml:space="preserve">What efforts, if any, were made to tailor the recruitment efforts to nursing homes located in or serving vulnerable populations [(1) located in areas with high COVID prevalence; (2) located in rural areas; (3) with a disproportionate share of racial/ethnic minorities; (4) with a disproportionate share of residents with high needs; (5) that were small or independently operated; and (6) located in </w:t>
      </w:r>
      <w:proofErr w:type="gramStart"/>
      <w:r w:rsidRPr="00560600">
        <w:rPr>
          <w:sz w:val="24"/>
          <w:szCs w:val="24"/>
        </w:rPr>
        <w:t>economically disadvantaged</w:t>
      </w:r>
      <w:proofErr w:type="gramEnd"/>
      <w:r w:rsidRPr="00560600">
        <w:rPr>
          <w:sz w:val="24"/>
          <w:szCs w:val="24"/>
        </w:rPr>
        <w:t xml:space="preserve"> areas?</w:t>
      </w:r>
    </w:p>
    <w:p w:rsidRPr="00560600" w:rsidR="008B4447" w:rsidP="00560600" w:rsidRDefault="008B4447" w14:paraId="03BAC320" w14:textId="71CDD222">
      <w:pPr>
        <w:pStyle w:val="ListParagraph"/>
        <w:numPr>
          <w:ilvl w:val="0"/>
          <w:numId w:val="15"/>
        </w:numPr>
        <w:rPr>
          <w:sz w:val="24"/>
          <w:szCs w:val="24"/>
        </w:rPr>
      </w:pPr>
      <w:r w:rsidRPr="00560600">
        <w:rPr>
          <w:sz w:val="24"/>
          <w:szCs w:val="24"/>
        </w:rPr>
        <w:t xml:space="preserve">What were the barriers </w:t>
      </w:r>
      <w:r w:rsidR="00002C8B">
        <w:rPr>
          <w:sz w:val="24"/>
          <w:szCs w:val="24"/>
        </w:rPr>
        <w:t xml:space="preserve">to participation </w:t>
      </w:r>
      <w:r w:rsidRPr="00560600">
        <w:rPr>
          <w:sz w:val="24"/>
          <w:szCs w:val="24"/>
        </w:rPr>
        <w:t>for non-participating nursing homes?</w:t>
      </w:r>
    </w:p>
    <w:p w:rsidRPr="00560600" w:rsidR="008B4447" w:rsidP="00560600" w:rsidRDefault="008B4447" w14:paraId="29E76AE5" w14:textId="3BDE00F5">
      <w:pPr>
        <w:pStyle w:val="ListParagraph"/>
        <w:numPr>
          <w:ilvl w:val="0"/>
          <w:numId w:val="15"/>
        </w:numPr>
        <w:rPr>
          <w:sz w:val="24"/>
          <w:szCs w:val="24"/>
        </w:rPr>
      </w:pPr>
      <w:r w:rsidRPr="00560600">
        <w:rPr>
          <w:sz w:val="24"/>
          <w:szCs w:val="24"/>
        </w:rPr>
        <w:t xml:space="preserve">To what extent did the </w:t>
      </w:r>
      <w:r w:rsidR="00C7564B">
        <w:rPr>
          <w:sz w:val="24"/>
          <w:szCs w:val="24"/>
        </w:rPr>
        <w:t>nursing homes connect with other nursing homes in their community</w:t>
      </w:r>
      <w:r w:rsidRPr="00560600">
        <w:rPr>
          <w:sz w:val="24"/>
          <w:szCs w:val="24"/>
        </w:rPr>
        <w:t>?</w:t>
      </w:r>
    </w:p>
    <w:p w:rsidR="005F6396" w:rsidP="00560600" w:rsidRDefault="00D23B7B" w14:paraId="2E37CE6C" w14:textId="4012F22C">
      <w:pPr>
        <w:pStyle w:val="ListParagraph"/>
        <w:numPr>
          <w:ilvl w:val="0"/>
          <w:numId w:val="15"/>
        </w:numPr>
        <w:rPr>
          <w:sz w:val="24"/>
          <w:szCs w:val="24"/>
        </w:rPr>
      </w:pPr>
      <w:r w:rsidRPr="00560600">
        <w:rPr>
          <w:sz w:val="24"/>
          <w:szCs w:val="24"/>
        </w:rPr>
        <w:t>What</w:t>
      </w:r>
      <w:r w:rsidR="00C7564B">
        <w:rPr>
          <w:sz w:val="24"/>
          <w:szCs w:val="24"/>
        </w:rPr>
        <w:t xml:space="preserve"> were the results of any</w:t>
      </w:r>
      <w:r w:rsidRPr="00560600">
        <w:rPr>
          <w:sz w:val="24"/>
          <w:szCs w:val="24"/>
        </w:rPr>
        <w:t xml:space="preserve"> efforts the Network </w:t>
      </w:r>
      <w:r w:rsidR="00C7564B">
        <w:rPr>
          <w:sz w:val="24"/>
          <w:szCs w:val="24"/>
        </w:rPr>
        <w:t>took</w:t>
      </w:r>
      <w:r w:rsidRPr="00560600" w:rsidR="00C7564B">
        <w:rPr>
          <w:sz w:val="24"/>
          <w:szCs w:val="24"/>
        </w:rPr>
        <w:t xml:space="preserve"> </w:t>
      </w:r>
      <w:r w:rsidRPr="00560600">
        <w:rPr>
          <w:sz w:val="24"/>
          <w:szCs w:val="24"/>
        </w:rPr>
        <w:t>to support nursing homes with</w:t>
      </w:r>
      <w:r w:rsidRPr="00560600" w:rsidR="008A4233">
        <w:rPr>
          <w:sz w:val="24"/>
          <w:szCs w:val="24"/>
        </w:rPr>
        <w:t xml:space="preserve"> the following:</w:t>
      </w:r>
      <w:r w:rsidRPr="00560600">
        <w:rPr>
          <w:sz w:val="24"/>
          <w:szCs w:val="24"/>
        </w:rPr>
        <w:t xml:space="preserve"> reducing social isolation for residents, families, and staff</w:t>
      </w:r>
      <w:r w:rsidRPr="00560600" w:rsidR="008A4233">
        <w:rPr>
          <w:sz w:val="24"/>
          <w:szCs w:val="24"/>
        </w:rPr>
        <w:t xml:space="preserve">; </w:t>
      </w:r>
      <w:r w:rsidRPr="00560600">
        <w:rPr>
          <w:sz w:val="24"/>
          <w:szCs w:val="24"/>
        </w:rPr>
        <w:lastRenderedPageBreak/>
        <w:t>implementing best practice safety measures</w:t>
      </w:r>
      <w:r w:rsidRPr="00560600" w:rsidR="008A4233">
        <w:rPr>
          <w:sz w:val="24"/>
          <w:szCs w:val="24"/>
        </w:rPr>
        <w:t xml:space="preserve">; and </w:t>
      </w:r>
      <w:r w:rsidRPr="00560600">
        <w:rPr>
          <w:sz w:val="24"/>
          <w:szCs w:val="24"/>
        </w:rPr>
        <w:t>improving quality of care for residents with mild and asymptomatic cases?</w:t>
      </w:r>
    </w:p>
    <w:p w:rsidR="005F6396" w:rsidP="00560600" w:rsidRDefault="00D23B7B" w14:paraId="17C2C80B" w14:textId="40436D67">
      <w:pPr>
        <w:pStyle w:val="ListParagraph"/>
        <w:numPr>
          <w:ilvl w:val="0"/>
          <w:numId w:val="15"/>
        </w:numPr>
        <w:rPr>
          <w:sz w:val="24"/>
          <w:szCs w:val="24"/>
        </w:rPr>
      </w:pPr>
      <w:r w:rsidRPr="00560600">
        <w:rPr>
          <w:sz w:val="24"/>
          <w:szCs w:val="24"/>
        </w:rPr>
        <w:t xml:space="preserve">Did the training and mentorship help nursing homes </w:t>
      </w:r>
      <w:r w:rsidR="005F6396">
        <w:rPr>
          <w:sz w:val="24"/>
          <w:szCs w:val="24"/>
        </w:rPr>
        <w:t>have impacts on the</w:t>
      </w:r>
      <w:r w:rsidRPr="00560600" w:rsidR="005F6396">
        <w:rPr>
          <w:sz w:val="24"/>
          <w:szCs w:val="24"/>
        </w:rPr>
        <w:t xml:space="preserve"> following:  </w:t>
      </w:r>
      <w:r w:rsidRPr="00560600">
        <w:rPr>
          <w:sz w:val="24"/>
          <w:szCs w:val="24"/>
        </w:rPr>
        <w:t>prevent</w:t>
      </w:r>
      <w:r w:rsidR="000F2001">
        <w:rPr>
          <w:sz w:val="24"/>
          <w:szCs w:val="24"/>
        </w:rPr>
        <w:t>ing</w:t>
      </w:r>
      <w:r w:rsidRPr="00560600">
        <w:rPr>
          <w:sz w:val="24"/>
          <w:szCs w:val="24"/>
        </w:rPr>
        <w:t xml:space="preserve"> and re</w:t>
      </w:r>
      <w:r w:rsidR="000F2001">
        <w:rPr>
          <w:sz w:val="24"/>
          <w:szCs w:val="24"/>
        </w:rPr>
        <w:t>ducing</w:t>
      </w:r>
      <w:r w:rsidRPr="00560600" w:rsidR="005F6396">
        <w:rPr>
          <w:sz w:val="24"/>
          <w:szCs w:val="24"/>
        </w:rPr>
        <w:t xml:space="preserve"> transmission of infections; implement</w:t>
      </w:r>
      <w:r w:rsidR="000F2001">
        <w:rPr>
          <w:sz w:val="24"/>
          <w:szCs w:val="24"/>
        </w:rPr>
        <w:t>ing</w:t>
      </w:r>
      <w:r w:rsidRPr="00560600" w:rsidR="005F6396">
        <w:rPr>
          <w:sz w:val="24"/>
          <w:szCs w:val="24"/>
        </w:rPr>
        <w:t xml:space="preserve"> best practice safety measures (use of protective equipment; robust testing and screening practices); and </w:t>
      </w:r>
      <w:r w:rsidR="000F2001">
        <w:rPr>
          <w:sz w:val="24"/>
          <w:szCs w:val="24"/>
        </w:rPr>
        <w:t>improving</w:t>
      </w:r>
      <w:r w:rsidRPr="00560600" w:rsidR="005F6396">
        <w:rPr>
          <w:sz w:val="24"/>
          <w:szCs w:val="24"/>
        </w:rPr>
        <w:t xml:space="preserve"> the quality of care for residents with mild and asymptomatic cases? </w:t>
      </w:r>
      <w:r w:rsidRPr="00560600">
        <w:rPr>
          <w:sz w:val="24"/>
          <w:szCs w:val="24"/>
        </w:rPr>
        <w:t xml:space="preserve"> How?</w:t>
      </w:r>
      <w:r w:rsidRPr="00560600" w:rsidR="008A4233">
        <w:rPr>
          <w:sz w:val="24"/>
          <w:szCs w:val="24"/>
        </w:rPr>
        <w:t xml:space="preserve">  Did this vary by context (community prevalence of COVID; population density; and socio-demographic factors of the community); structure (nursing characteristics, such as size, ownership, </w:t>
      </w:r>
      <w:proofErr w:type="gramStart"/>
      <w:r w:rsidRPr="00560600" w:rsidR="008A4233">
        <w:rPr>
          <w:sz w:val="24"/>
          <w:szCs w:val="24"/>
        </w:rPr>
        <w:t>quality</w:t>
      </w:r>
      <w:proofErr w:type="gramEnd"/>
      <w:r w:rsidRPr="00560600" w:rsidR="008A4233">
        <w:rPr>
          <w:sz w:val="24"/>
          <w:szCs w:val="24"/>
        </w:rPr>
        <w:t xml:space="preserve"> and patient safety history; and case mix); and extent of participation in the Network?  </w:t>
      </w:r>
    </w:p>
    <w:p w:rsidRPr="00560600" w:rsidR="005F6396" w:rsidP="00560600" w:rsidRDefault="008A4233" w14:paraId="7A008D0D" w14:textId="77777777">
      <w:pPr>
        <w:pStyle w:val="ListParagraph"/>
        <w:numPr>
          <w:ilvl w:val="0"/>
          <w:numId w:val="15"/>
        </w:numPr>
        <w:rPr>
          <w:sz w:val="24"/>
          <w:szCs w:val="24"/>
        </w:rPr>
      </w:pPr>
      <w:r w:rsidRPr="00560600">
        <w:rPr>
          <w:sz w:val="24"/>
          <w:szCs w:val="24"/>
          <w:shd w:val="clear" w:color="auto" w:fill="FFFFFF"/>
        </w:rPr>
        <w:t>How well and what value did the Network bring to reducing isolation of nursing homes and nursing home staff?</w:t>
      </w:r>
    </w:p>
    <w:p w:rsidR="005F6396" w:rsidP="00560600" w:rsidRDefault="008A4233" w14:paraId="56E5AAD4" w14:textId="27F50263">
      <w:pPr>
        <w:pStyle w:val="ListParagraph"/>
        <w:numPr>
          <w:ilvl w:val="0"/>
          <w:numId w:val="15"/>
        </w:numPr>
        <w:rPr>
          <w:sz w:val="24"/>
          <w:szCs w:val="24"/>
        </w:rPr>
      </w:pPr>
      <w:r w:rsidRPr="00560600">
        <w:rPr>
          <w:sz w:val="24"/>
          <w:szCs w:val="24"/>
        </w:rPr>
        <w:t xml:space="preserve">Were there any unintended/spillover effects on staffing and resources, </w:t>
      </w:r>
      <w:r w:rsidR="005F6396">
        <w:rPr>
          <w:sz w:val="24"/>
          <w:szCs w:val="24"/>
        </w:rPr>
        <w:t>as well as</w:t>
      </w:r>
      <w:r w:rsidRPr="00560600" w:rsidR="006376C9">
        <w:rPr>
          <w:sz w:val="24"/>
          <w:szCs w:val="24"/>
        </w:rPr>
        <w:t xml:space="preserve"> </w:t>
      </w:r>
      <w:r w:rsidRPr="00560600">
        <w:rPr>
          <w:sz w:val="24"/>
          <w:szCs w:val="24"/>
        </w:rPr>
        <w:t>prevalence of influenza or other acute respiratory illnesses for nursing homes because of participating in the Network?</w:t>
      </w:r>
    </w:p>
    <w:p w:rsidRPr="003F2CBA" w:rsidR="008A4233" w:rsidP="00560600" w:rsidRDefault="008A4233" w14:paraId="114507E1" w14:textId="43D758EA">
      <w:pPr>
        <w:pStyle w:val="ListParagraph"/>
        <w:numPr>
          <w:ilvl w:val="0"/>
          <w:numId w:val="15"/>
        </w:numPr>
        <w:rPr>
          <w:sz w:val="24"/>
          <w:szCs w:val="24"/>
        </w:rPr>
      </w:pPr>
      <w:r w:rsidRPr="00560600">
        <w:rPr>
          <w:sz w:val="24"/>
          <w:szCs w:val="24"/>
        </w:rPr>
        <w:t>How applicable is the learning collaborative model for addressing other patient safety priorities?</w:t>
      </w:r>
    </w:p>
    <w:p w:rsidR="001919C4" w:rsidP="00C00123" w:rsidRDefault="001919C4" w14:paraId="1F22F5C6" w14:textId="77777777"/>
    <w:p w:rsidR="004B7E6B" w:rsidP="00403147" w:rsidRDefault="00403147" w14:paraId="11586C79" w14:textId="60900A24">
      <w:r>
        <w:t>Information collected will inform</w:t>
      </w:r>
      <w:r w:rsidRPr="004B7E6B" w:rsidR="004B7E6B">
        <w:t xml:space="preserve"> </w:t>
      </w:r>
      <w:r w:rsidR="004B7E6B">
        <w:t>whether and how the activities funded by the PRF aided the nursing homes’ efforts to mitigate the challenges posed by the COVID-19 pandemic.</w:t>
      </w:r>
      <w:r w:rsidDel="004B7E6B" w:rsidR="004B7E6B">
        <w:t xml:space="preserve"> </w:t>
      </w:r>
      <w:r w:rsidR="00C86132">
        <w:t xml:space="preserve">This data collection effort will also provide information on why nursing homes may not have been able to participate in the Network and why (Non-Participant Survey). </w:t>
      </w:r>
      <w:r>
        <w:t xml:space="preserve">Findings from the assessment </w:t>
      </w:r>
      <w:r w:rsidR="00E662E9">
        <w:t>will allow AHRQ to</w:t>
      </w:r>
      <w:r w:rsidR="004B7E6B">
        <w:t>:</w:t>
      </w:r>
    </w:p>
    <w:p w:rsidRPr="009437BA" w:rsidR="004B7E6B" w:rsidP="00451727" w:rsidRDefault="004B7E6B" w14:paraId="35619CDD" w14:textId="708F460D">
      <w:pPr>
        <w:pStyle w:val="ListParagraph"/>
        <w:numPr>
          <w:ilvl w:val="0"/>
          <w:numId w:val="18"/>
        </w:numPr>
      </w:pPr>
      <w:r w:rsidRPr="00451727">
        <w:rPr>
          <w:sz w:val="24"/>
          <w:szCs w:val="24"/>
        </w:rPr>
        <w:t xml:space="preserve">Assess the Network’s reach and the effectiveness of the retention and engagement </w:t>
      </w:r>
      <w:proofErr w:type="gramStart"/>
      <w:r w:rsidRPr="00451727">
        <w:rPr>
          <w:sz w:val="24"/>
          <w:szCs w:val="24"/>
        </w:rPr>
        <w:t>strategies;</w:t>
      </w:r>
      <w:proofErr w:type="gramEnd"/>
      <w:r w:rsidRPr="00451727">
        <w:rPr>
          <w:sz w:val="24"/>
          <w:szCs w:val="24"/>
        </w:rPr>
        <w:t xml:space="preserve"> </w:t>
      </w:r>
    </w:p>
    <w:p w:rsidRPr="009437BA" w:rsidR="004B7E6B" w:rsidP="00451727" w:rsidRDefault="004B7E6B" w14:paraId="7CCBA7F1" w14:textId="437F4248">
      <w:pPr>
        <w:pStyle w:val="ListParagraph"/>
        <w:numPr>
          <w:ilvl w:val="0"/>
          <w:numId w:val="18"/>
        </w:numPr>
      </w:pPr>
      <w:r w:rsidRPr="00451727">
        <w:rPr>
          <w:sz w:val="24"/>
          <w:szCs w:val="24"/>
        </w:rPr>
        <w:t xml:space="preserve">Study implementation of the Network’s training sessions, mentorship and technical assistance activities, and dissemination of the safety and quality improvement </w:t>
      </w:r>
      <w:proofErr w:type="gramStart"/>
      <w:r w:rsidRPr="00451727">
        <w:rPr>
          <w:sz w:val="24"/>
          <w:szCs w:val="24"/>
        </w:rPr>
        <w:t>tools;</w:t>
      </w:r>
      <w:proofErr w:type="gramEnd"/>
      <w:r w:rsidRPr="00451727">
        <w:rPr>
          <w:sz w:val="24"/>
          <w:szCs w:val="24"/>
        </w:rPr>
        <w:t xml:space="preserve"> </w:t>
      </w:r>
    </w:p>
    <w:p w:rsidRPr="009437BA" w:rsidR="004B7E6B" w:rsidP="00451727" w:rsidRDefault="004B7E6B" w14:paraId="2BF6CAB4" w14:textId="2FB2B99B">
      <w:pPr>
        <w:pStyle w:val="ListParagraph"/>
        <w:numPr>
          <w:ilvl w:val="0"/>
          <w:numId w:val="18"/>
        </w:numPr>
      </w:pPr>
      <w:r w:rsidRPr="00451727">
        <w:rPr>
          <w:sz w:val="24"/>
          <w:szCs w:val="24"/>
        </w:rPr>
        <w:t>Assess the Network’s impact on ensuring availability of protective equipment, rapid ide</w:t>
      </w:r>
      <w:r w:rsidR="00634196">
        <w:rPr>
          <w:sz w:val="24"/>
          <w:szCs w:val="24"/>
        </w:rPr>
        <w:t>ntification of nursing home</w:t>
      </w:r>
      <w:r w:rsidRPr="00451727">
        <w:rPr>
          <w:sz w:val="24"/>
          <w:szCs w:val="24"/>
        </w:rPr>
        <w:t xml:space="preserve"> residents and staff infected with COV-2, </w:t>
      </w:r>
      <w:proofErr w:type="gramStart"/>
      <w:r w:rsidRPr="00451727">
        <w:rPr>
          <w:sz w:val="24"/>
          <w:szCs w:val="24"/>
        </w:rPr>
        <w:t>entry</w:t>
      </w:r>
      <w:proofErr w:type="gramEnd"/>
      <w:r w:rsidRPr="00451727">
        <w:rPr>
          <w:sz w:val="24"/>
          <w:szCs w:val="24"/>
        </w:rPr>
        <w:t xml:space="preserve"> and transmission of COVID-19, and improving health outcomes; and </w:t>
      </w:r>
    </w:p>
    <w:p w:rsidRPr="009437BA" w:rsidR="00403147" w:rsidP="00451727" w:rsidRDefault="004B7E6B" w14:paraId="2B7C2CE2" w14:textId="6059B4ED">
      <w:pPr>
        <w:pStyle w:val="ListParagraph"/>
        <w:numPr>
          <w:ilvl w:val="0"/>
          <w:numId w:val="18"/>
        </w:numPr>
      </w:pPr>
      <w:r w:rsidRPr="00451727">
        <w:rPr>
          <w:sz w:val="24"/>
          <w:szCs w:val="24"/>
        </w:rPr>
        <w:t>Determine the long-term impact, sustainability, and replicability of the training program and Network activities to address other patient safety and quality improvement priorities.</w:t>
      </w:r>
    </w:p>
    <w:p w:rsidR="00403147" w:rsidP="00403147" w:rsidRDefault="00403147" w14:paraId="55D2A45B" w14:textId="77777777">
      <w:r>
        <w:t xml:space="preserve"> </w:t>
      </w:r>
    </w:p>
    <w:p w:rsidR="00403147" w:rsidP="00403147" w:rsidRDefault="003761DD" w14:paraId="0CF81120" w14:textId="1A734B92">
      <w:r w:rsidRPr="00A253F5">
        <w:t xml:space="preserve">The data collection described </w:t>
      </w:r>
      <w:proofErr w:type="gramStart"/>
      <w:r>
        <w:t>below</w:t>
      </w:r>
      <w:proofErr w:type="gramEnd"/>
      <w:r w:rsidRPr="00A253F5">
        <w:t xml:space="preserve"> </w:t>
      </w:r>
      <w:r>
        <w:t>and analys</w:t>
      </w:r>
      <w:r w:rsidR="00E17799">
        <w:t>e</w:t>
      </w:r>
      <w:r>
        <w:t xml:space="preserve">s of secondary data </w:t>
      </w:r>
      <w:r w:rsidRPr="00A253F5">
        <w:t xml:space="preserve">will support </w:t>
      </w:r>
      <w:r w:rsidR="00AC7E19">
        <w:t>these assessment goals. T</w:t>
      </w:r>
      <w:r w:rsidR="00403147">
        <w:t>he assessment team will use</w:t>
      </w:r>
      <w:r w:rsidR="000F2001">
        <w:t xml:space="preserve"> a survey of all PRF-eligible nursing homes and</w:t>
      </w:r>
      <w:r w:rsidR="00403147">
        <w:t xml:space="preserve"> key informant</w:t>
      </w:r>
      <w:r w:rsidR="007A66CA">
        <w:t xml:space="preserve"> interviews</w:t>
      </w:r>
      <w:r w:rsidR="00403147">
        <w:t xml:space="preserve"> to gather information about the Network from key stakeholders. </w:t>
      </w:r>
    </w:p>
    <w:p w:rsidR="00864592" w:rsidP="00403147" w:rsidRDefault="00864592" w14:paraId="2D12FD1C" w14:textId="77777777"/>
    <w:p w:rsidR="00C145EB" w:rsidP="001075E0" w:rsidRDefault="00864592" w14:paraId="200C483E" w14:textId="2FC5A5B8">
      <w:pPr>
        <w:pStyle w:val="CommentText"/>
        <w:rPr>
          <w:sz w:val="24"/>
          <w:szCs w:val="24"/>
        </w:rPr>
      </w:pPr>
      <w:r w:rsidRPr="00560600">
        <w:rPr>
          <w:b/>
          <w:i/>
          <w:sz w:val="24"/>
          <w:szCs w:val="24"/>
        </w:rPr>
        <w:t>Survey</w:t>
      </w:r>
      <w:r w:rsidRPr="00560600" w:rsidR="00AC6FD1">
        <w:rPr>
          <w:b/>
          <w:i/>
          <w:sz w:val="24"/>
          <w:szCs w:val="24"/>
        </w:rPr>
        <w:t>.</w:t>
      </w:r>
      <w:r w:rsidRPr="00560600">
        <w:rPr>
          <w:sz w:val="24"/>
          <w:szCs w:val="24"/>
        </w:rPr>
        <w:t xml:space="preserve"> </w:t>
      </w:r>
      <w:r w:rsidRPr="00560600" w:rsidR="00537B9B">
        <w:rPr>
          <w:sz w:val="24"/>
          <w:szCs w:val="24"/>
        </w:rPr>
        <w:t>AHRQ</w:t>
      </w:r>
      <w:r w:rsidRPr="00560600">
        <w:rPr>
          <w:sz w:val="24"/>
          <w:szCs w:val="24"/>
        </w:rPr>
        <w:t xml:space="preserve"> will conduct a nationwide survey of </w:t>
      </w:r>
      <w:r w:rsidRPr="00560600" w:rsidR="000F2001">
        <w:rPr>
          <w:sz w:val="24"/>
          <w:szCs w:val="24"/>
        </w:rPr>
        <w:t xml:space="preserve">all PRF-eligible </w:t>
      </w:r>
      <w:r w:rsidRPr="00560600">
        <w:rPr>
          <w:sz w:val="24"/>
          <w:szCs w:val="24"/>
        </w:rPr>
        <w:t>nursing homes</w:t>
      </w:r>
      <w:r w:rsidRPr="00560600" w:rsidR="000F2001">
        <w:rPr>
          <w:sz w:val="24"/>
          <w:szCs w:val="24"/>
        </w:rPr>
        <w:t xml:space="preserve"> based in the 50 </w:t>
      </w:r>
      <w:r w:rsidRPr="00560600" w:rsidR="001075E0">
        <w:rPr>
          <w:sz w:val="24"/>
          <w:szCs w:val="24"/>
        </w:rPr>
        <w:t xml:space="preserve">U.S. </w:t>
      </w:r>
      <w:r w:rsidRPr="00560600" w:rsidR="000F2001">
        <w:rPr>
          <w:sz w:val="24"/>
          <w:szCs w:val="24"/>
        </w:rPr>
        <w:t>states</w:t>
      </w:r>
      <w:r w:rsidRPr="00560600" w:rsidR="001075E0">
        <w:rPr>
          <w:sz w:val="24"/>
          <w:szCs w:val="24"/>
        </w:rPr>
        <w:t xml:space="preserve">, the District of Columbia, and </w:t>
      </w:r>
      <w:r w:rsidRPr="003F2CBA" w:rsidR="00D95745">
        <w:rPr>
          <w:sz w:val="24"/>
          <w:szCs w:val="24"/>
        </w:rPr>
        <w:t>one</w:t>
      </w:r>
      <w:r w:rsidRPr="00560600" w:rsidR="001075E0">
        <w:rPr>
          <w:sz w:val="24"/>
          <w:szCs w:val="24"/>
        </w:rPr>
        <w:t xml:space="preserve"> </w:t>
      </w:r>
      <w:r w:rsidRPr="003F2CBA" w:rsidR="00D95745">
        <w:rPr>
          <w:sz w:val="24"/>
          <w:szCs w:val="24"/>
        </w:rPr>
        <w:t xml:space="preserve">U.S. territory </w:t>
      </w:r>
      <w:r w:rsidRPr="003E6345" w:rsidR="00D95745">
        <w:rPr>
          <w:sz w:val="24"/>
          <w:szCs w:val="24"/>
        </w:rPr>
        <w:t>(</w:t>
      </w:r>
      <w:r w:rsidRPr="00560600" w:rsidR="001075E0">
        <w:rPr>
          <w:sz w:val="24"/>
          <w:szCs w:val="24"/>
        </w:rPr>
        <w:t>Puerto Rico</w:t>
      </w:r>
      <w:r w:rsidRPr="003F2CBA" w:rsidR="00D95745">
        <w:rPr>
          <w:sz w:val="24"/>
          <w:szCs w:val="24"/>
        </w:rPr>
        <w:t>)</w:t>
      </w:r>
      <w:r w:rsidRPr="00560600" w:rsidR="001075E0">
        <w:rPr>
          <w:sz w:val="24"/>
          <w:szCs w:val="24"/>
        </w:rPr>
        <w:t xml:space="preserve">.  The nursing homes include both </w:t>
      </w:r>
      <w:r w:rsidRPr="00560600">
        <w:rPr>
          <w:sz w:val="24"/>
          <w:szCs w:val="24"/>
        </w:rPr>
        <w:t>Network and non-Network participants</w:t>
      </w:r>
      <w:r w:rsidRPr="00560600" w:rsidR="001075E0">
        <w:rPr>
          <w:sz w:val="24"/>
          <w:szCs w:val="24"/>
        </w:rPr>
        <w:t>, with customized questionnaires for facilities that participated in the Network and those that did not.</w:t>
      </w:r>
      <w:r w:rsidR="003E6345">
        <w:rPr>
          <w:sz w:val="24"/>
          <w:szCs w:val="24"/>
        </w:rPr>
        <w:t xml:space="preserve">  The survey will assess </w:t>
      </w:r>
      <w:r w:rsidR="00C145EB">
        <w:rPr>
          <w:sz w:val="24"/>
          <w:szCs w:val="24"/>
        </w:rPr>
        <w:t>the following:</w:t>
      </w:r>
    </w:p>
    <w:p w:rsidR="00C145EB" w:rsidP="00560600" w:rsidRDefault="00C145EB" w14:paraId="0B36FC1E" w14:textId="77777777">
      <w:pPr>
        <w:pStyle w:val="CommentText"/>
        <w:numPr>
          <w:ilvl w:val="0"/>
          <w:numId w:val="28"/>
        </w:numPr>
        <w:rPr>
          <w:sz w:val="24"/>
          <w:szCs w:val="24"/>
        </w:rPr>
      </w:pPr>
      <w:r>
        <w:rPr>
          <w:sz w:val="24"/>
          <w:szCs w:val="24"/>
        </w:rPr>
        <w:t>Motivations for participation</w:t>
      </w:r>
    </w:p>
    <w:p w:rsidR="00C145EB" w:rsidP="00560600" w:rsidRDefault="00C145EB" w14:paraId="1DE7E0EF" w14:textId="4C7352E5">
      <w:pPr>
        <w:pStyle w:val="CommentText"/>
        <w:numPr>
          <w:ilvl w:val="0"/>
          <w:numId w:val="28"/>
        </w:numPr>
        <w:rPr>
          <w:sz w:val="24"/>
          <w:szCs w:val="24"/>
        </w:rPr>
      </w:pPr>
      <w:r>
        <w:rPr>
          <w:sz w:val="24"/>
          <w:szCs w:val="24"/>
        </w:rPr>
        <w:t>P</w:t>
      </w:r>
      <w:r w:rsidR="003E6345">
        <w:rPr>
          <w:sz w:val="24"/>
          <w:szCs w:val="24"/>
        </w:rPr>
        <w:t>erceptions on recruitme</w:t>
      </w:r>
      <w:r>
        <w:rPr>
          <w:sz w:val="24"/>
          <w:szCs w:val="24"/>
        </w:rPr>
        <w:t>nt, engagement, and retention</w:t>
      </w:r>
    </w:p>
    <w:p w:rsidR="00C145EB" w:rsidP="00560600" w:rsidRDefault="00C145EB" w14:paraId="576FA2EE" w14:textId="7F3FE6DE">
      <w:pPr>
        <w:pStyle w:val="CommentText"/>
        <w:numPr>
          <w:ilvl w:val="0"/>
          <w:numId w:val="28"/>
        </w:numPr>
        <w:rPr>
          <w:sz w:val="24"/>
          <w:szCs w:val="24"/>
        </w:rPr>
      </w:pPr>
      <w:r>
        <w:rPr>
          <w:sz w:val="24"/>
          <w:szCs w:val="24"/>
        </w:rPr>
        <w:lastRenderedPageBreak/>
        <w:t>P</w:t>
      </w:r>
      <w:r w:rsidR="003E6345">
        <w:rPr>
          <w:sz w:val="24"/>
          <w:szCs w:val="24"/>
        </w:rPr>
        <w:t>erceptions on the implementation of the Network’s training and mentorship res</w:t>
      </w:r>
      <w:r>
        <w:rPr>
          <w:sz w:val="24"/>
          <w:szCs w:val="24"/>
        </w:rPr>
        <w:t>ources</w:t>
      </w:r>
    </w:p>
    <w:p w:rsidR="00C145EB" w:rsidP="00560600" w:rsidRDefault="00C145EB" w14:paraId="604BE62B" w14:textId="77777777">
      <w:pPr>
        <w:pStyle w:val="CommentText"/>
        <w:numPr>
          <w:ilvl w:val="0"/>
          <w:numId w:val="28"/>
        </w:numPr>
      </w:pPr>
      <w:r>
        <w:rPr>
          <w:sz w:val="24"/>
          <w:szCs w:val="24"/>
        </w:rPr>
        <w:t>P</w:t>
      </w:r>
      <w:r w:rsidR="003E6345">
        <w:rPr>
          <w:sz w:val="24"/>
          <w:szCs w:val="24"/>
        </w:rPr>
        <w:t xml:space="preserve">erceptions of the training and mentorship resources to address the prevention and spread of SARS-COV2, implementation of best practice safety measures; </w:t>
      </w:r>
      <w:r>
        <w:rPr>
          <w:sz w:val="24"/>
          <w:szCs w:val="24"/>
        </w:rPr>
        <w:t>improvement of quality of care for residents with mild and asymptomatic cases; and reduction of social isolation for residents, families, and staff</w:t>
      </w:r>
    </w:p>
    <w:p w:rsidR="00C145EB" w:rsidP="00560600" w:rsidRDefault="00C145EB" w14:paraId="0D8B6B53" w14:textId="77777777">
      <w:pPr>
        <w:pStyle w:val="CommentText"/>
        <w:ind w:left="360"/>
      </w:pPr>
    </w:p>
    <w:p w:rsidR="009A2D3E" w:rsidP="009A2D3E" w:rsidRDefault="009A2D3E" w14:paraId="7DA74BC7" w14:textId="77777777">
      <w:r>
        <w:t>The primary topics covered in the survey is shown in Exhibit 1.</w:t>
      </w:r>
    </w:p>
    <w:p w:rsidR="009A2D3E" w:rsidP="009A2D3E" w:rsidRDefault="009A2D3E" w14:paraId="1612FAB8" w14:textId="77777777"/>
    <w:tbl>
      <w:tblPr>
        <w:tblW w:w="4976" w:type="pct"/>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589"/>
      </w:tblGrid>
      <w:tr w:rsidRPr="00AC7E19" w:rsidR="009A2D3E" w:rsidTr="0069633B" w14:paraId="53DE2DB2" w14:textId="77777777">
        <w:trPr>
          <w:cantSplit/>
          <w:trHeight w:val="266"/>
        </w:trPr>
        <w:tc>
          <w:tcPr>
            <w:tcW w:w="5000" w:type="pct"/>
            <w:shd w:val="clear" w:color="auto" w:fill="BFB6AC"/>
            <w:tcMar>
              <w:top w:w="0" w:type="dxa"/>
              <w:left w:w="108" w:type="dxa"/>
              <w:bottom w:w="0" w:type="dxa"/>
              <w:right w:w="108" w:type="dxa"/>
            </w:tcMar>
            <w:hideMark/>
          </w:tcPr>
          <w:p w:rsidRPr="004151EA" w:rsidR="009A2D3E" w:rsidP="0069633B" w:rsidRDefault="009A2D3E" w14:paraId="71292E32" w14:textId="77777777">
            <w:pPr>
              <w:pStyle w:val="NORCTableHeader1"/>
              <w:rPr>
                <w:rFonts w:ascii="Times New Roman" w:hAnsi="Times New Roman" w:cs="Times New Roman"/>
                <w:sz w:val="20"/>
              </w:rPr>
            </w:pPr>
            <w:r w:rsidRPr="004151EA">
              <w:rPr>
                <w:rFonts w:ascii="Times New Roman" w:hAnsi="Times New Roman" w:cs="Times New Roman"/>
                <w:sz w:val="20"/>
              </w:rPr>
              <w:t xml:space="preserve">Assessment </w:t>
            </w:r>
            <w:r>
              <w:rPr>
                <w:rFonts w:ascii="Times New Roman" w:hAnsi="Times New Roman" w:cs="Times New Roman"/>
                <w:sz w:val="20"/>
              </w:rPr>
              <w:t xml:space="preserve">Survey </w:t>
            </w:r>
            <w:r w:rsidRPr="004151EA">
              <w:rPr>
                <w:rFonts w:ascii="Times New Roman" w:hAnsi="Times New Roman" w:cs="Times New Roman"/>
                <w:sz w:val="20"/>
              </w:rPr>
              <w:t xml:space="preserve">Topics </w:t>
            </w:r>
          </w:p>
        </w:tc>
      </w:tr>
      <w:tr w:rsidRPr="00AC7E19" w:rsidR="009A2D3E" w:rsidTr="0069633B" w14:paraId="1F29A6CC" w14:textId="77777777">
        <w:trPr>
          <w:cantSplit/>
          <w:trHeight w:val="620"/>
        </w:trPr>
        <w:tc>
          <w:tcPr>
            <w:tcW w:w="5000" w:type="pct"/>
            <w:tcMar>
              <w:top w:w="0" w:type="dxa"/>
              <w:left w:w="108" w:type="dxa"/>
              <w:bottom w:w="0" w:type="dxa"/>
              <w:right w:w="108" w:type="dxa"/>
            </w:tcMar>
            <w:hideMark/>
          </w:tcPr>
          <w:p w:rsidR="009A2D3E" w:rsidP="0069633B" w:rsidRDefault="009A2D3E" w14:paraId="0D8BF77C" w14:textId="77777777">
            <w:pPr>
              <w:pStyle w:val="NORCTableBullet1"/>
              <w:rPr>
                <w:rFonts w:ascii="Times New Roman" w:hAnsi="Times New Roman"/>
                <w:color w:val="auto"/>
                <w:sz w:val="20"/>
              </w:rPr>
            </w:pPr>
            <w:r w:rsidRPr="004151EA">
              <w:rPr>
                <w:rFonts w:ascii="Times New Roman" w:hAnsi="Times New Roman"/>
                <w:color w:val="auto"/>
                <w:sz w:val="20"/>
              </w:rPr>
              <w:t>Motivation</w:t>
            </w:r>
            <w:r>
              <w:rPr>
                <w:rFonts w:ascii="Times New Roman" w:hAnsi="Times New Roman"/>
                <w:color w:val="auto"/>
                <w:sz w:val="20"/>
              </w:rPr>
              <w:t>s</w:t>
            </w:r>
            <w:r w:rsidRPr="004151EA">
              <w:rPr>
                <w:rFonts w:ascii="Times New Roman" w:hAnsi="Times New Roman"/>
                <w:color w:val="auto"/>
                <w:sz w:val="20"/>
              </w:rPr>
              <w:t xml:space="preserve"> for participation</w:t>
            </w:r>
          </w:p>
          <w:p w:rsidR="009A2D3E" w:rsidP="0069633B" w:rsidRDefault="009A2D3E" w14:paraId="4DA20026" w14:textId="5188BE05">
            <w:pPr>
              <w:pStyle w:val="NORCTableBullet1"/>
              <w:rPr>
                <w:rFonts w:ascii="Times New Roman" w:hAnsi="Times New Roman"/>
                <w:color w:val="auto"/>
                <w:sz w:val="20"/>
              </w:rPr>
            </w:pPr>
            <w:r>
              <w:rPr>
                <w:rFonts w:ascii="Times New Roman" w:hAnsi="Times New Roman"/>
                <w:color w:val="auto"/>
                <w:sz w:val="20"/>
              </w:rPr>
              <w:t>Perceptions on recruitment</w:t>
            </w:r>
          </w:p>
          <w:p w:rsidR="009A2D3E" w:rsidP="0069633B" w:rsidRDefault="009A2D3E" w14:paraId="5AECA32B" w14:textId="77777777">
            <w:pPr>
              <w:pStyle w:val="NORCTableBullet1"/>
              <w:rPr>
                <w:rFonts w:ascii="Times New Roman" w:hAnsi="Times New Roman"/>
                <w:color w:val="auto"/>
                <w:sz w:val="20"/>
              </w:rPr>
            </w:pPr>
            <w:r w:rsidRPr="004151EA">
              <w:rPr>
                <w:rFonts w:ascii="Times New Roman" w:hAnsi="Times New Roman"/>
                <w:color w:val="auto"/>
                <w:sz w:val="20"/>
              </w:rPr>
              <w:t>Facilitators and barriers to engagement</w:t>
            </w:r>
            <w:r>
              <w:rPr>
                <w:rFonts w:ascii="Times New Roman" w:hAnsi="Times New Roman"/>
                <w:color w:val="auto"/>
                <w:sz w:val="20"/>
              </w:rPr>
              <w:t xml:space="preserve"> and retention</w:t>
            </w:r>
          </w:p>
          <w:p w:rsidR="009A2D3E" w:rsidP="0069633B" w:rsidRDefault="009A2D3E" w14:paraId="433CA201" w14:textId="77777777">
            <w:pPr>
              <w:pStyle w:val="NORCTableBullet1"/>
              <w:rPr>
                <w:rFonts w:ascii="Times New Roman" w:hAnsi="Times New Roman"/>
                <w:color w:val="auto"/>
                <w:sz w:val="20"/>
              </w:rPr>
            </w:pPr>
            <w:r>
              <w:rPr>
                <w:rFonts w:ascii="Times New Roman" w:hAnsi="Times New Roman"/>
                <w:color w:val="auto"/>
                <w:sz w:val="20"/>
              </w:rPr>
              <w:t>Perceptions and utility of training session topics</w:t>
            </w:r>
          </w:p>
          <w:p w:rsidR="009A2D3E" w:rsidP="0069633B" w:rsidRDefault="009A2D3E" w14:paraId="081FE419" w14:textId="05EEAAE6">
            <w:pPr>
              <w:pStyle w:val="NORCTableBullet1"/>
              <w:rPr>
                <w:rFonts w:ascii="Times New Roman" w:hAnsi="Times New Roman"/>
                <w:color w:val="auto"/>
                <w:sz w:val="20"/>
              </w:rPr>
            </w:pPr>
            <w:r>
              <w:rPr>
                <w:rFonts w:ascii="Times New Roman" w:hAnsi="Times New Roman"/>
                <w:color w:val="auto"/>
                <w:sz w:val="20"/>
              </w:rPr>
              <w:t xml:space="preserve">Perceptions on </w:t>
            </w:r>
            <w:r w:rsidR="000D6288">
              <w:rPr>
                <w:rFonts w:ascii="Times New Roman" w:hAnsi="Times New Roman"/>
                <w:color w:val="auto"/>
                <w:sz w:val="20"/>
              </w:rPr>
              <w:t xml:space="preserve">the </w:t>
            </w:r>
            <w:r>
              <w:rPr>
                <w:rFonts w:ascii="Times New Roman" w:hAnsi="Times New Roman"/>
                <w:color w:val="auto"/>
                <w:sz w:val="20"/>
              </w:rPr>
              <w:t>implementation of the Network</w:t>
            </w:r>
          </w:p>
          <w:p w:rsidRPr="00C706F6" w:rsidR="009A2D3E" w:rsidP="0069633B" w:rsidRDefault="009A2D3E" w14:paraId="4A7E3D7E" w14:textId="77777777">
            <w:pPr>
              <w:pStyle w:val="NORCTableBullet1"/>
              <w:rPr>
                <w:rFonts w:ascii="Times New Roman" w:hAnsi="Times New Roman"/>
                <w:color w:val="auto"/>
                <w:sz w:val="20"/>
              </w:rPr>
            </w:pPr>
            <w:r>
              <w:rPr>
                <w:rFonts w:ascii="Times New Roman" w:hAnsi="Times New Roman"/>
                <w:color w:val="auto"/>
                <w:sz w:val="20"/>
              </w:rPr>
              <w:t>Access to and utility of the Network’s training and mentorship resources</w:t>
            </w:r>
          </w:p>
          <w:p w:rsidRPr="003C23CE" w:rsidR="009A2D3E" w:rsidP="0069633B" w:rsidRDefault="009A2D3E" w14:paraId="6809DD44" w14:textId="77777777">
            <w:pPr>
              <w:pStyle w:val="NORCTableBullet1"/>
              <w:rPr>
                <w:rFonts w:ascii="Times New Roman" w:hAnsi="Times New Roman"/>
                <w:color w:val="auto"/>
                <w:sz w:val="20"/>
              </w:rPr>
            </w:pPr>
            <w:r w:rsidRPr="004151EA">
              <w:rPr>
                <w:rFonts w:ascii="Times New Roman" w:hAnsi="Times New Roman"/>
                <w:color w:val="auto"/>
                <w:sz w:val="20"/>
              </w:rPr>
              <w:t xml:space="preserve">Participation in other COVID-19 related-initiatives </w:t>
            </w:r>
            <w:r>
              <w:rPr>
                <w:rFonts w:ascii="Times New Roman" w:hAnsi="Times New Roman"/>
                <w:color w:val="auto"/>
                <w:sz w:val="20"/>
              </w:rPr>
              <w:t>and quality improvement efforts</w:t>
            </w:r>
          </w:p>
          <w:p w:rsidRPr="004151EA" w:rsidR="009A2D3E" w:rsidP="0069633B" w:rsidRDefault="009A2D3E" w14:paraId="5D7A7961" w14:textId="77777777">
            <w:pPr>
              <w:pStyle w:val="NORCTableBullet1"/>
              <w:rPr>
                <w:rFonts w:ascii="Times New Roman" w:hAnsi="Times New Roman"/>
                <w:color w:val="auto"/>
                <w:sz w:val="20"/>
              </w:rPr>
            </w:pPr>
            <w:r w:rsidRPr="004151EA">
              <w:rPr>
                <w:rFonts w:ascii="Times New Roman" w:hAnsi="Times New Roman"/>
                <w:color w:val="auto"/>
                <w:sz w:val="20"/>
              </w:rPr>
              <w:t>Investments</w:t>
            </w:r>
            <w:r>
              <w:rPr>
                <w:rFonts w:ascii="Times New Roman" w:hAnsi="Times New Roman"/>
                <w:color w:val="auto"/>
                <w:sz w:val="20"/>
              </w:rPr>
              <w:t xml:space="preserve"> and changes</w:t>
            </w:r>
            <w:r w:rsidRPr="004151EA">
              <w:rPr>
                <w:rFonts w:ascii="Times New Roman" w:hAnsi="Times New Roman"/>
                <w:color w:val="auto"/>
                <w:sz w:val="20"/>
              </w:rPr>
              <w:t xml:space="preserve"> made </w:t>
            </w:r>
            <w:proofErr w:type="gramStart"/>
            <w:r w:rsidRPr="004151EA">
              <w:rPr>
                <w:rFonts w:ascii="Times New Roman" w:hAnsi="Times New Roman"/>
                <w:color w:val="auto"/>
                <w:sz w:val="20"/>
              </w:rPr>
              <w:t>as a result of</w:t>
            </w:r>
            <w:proofErr w:type="gramEnd"/>
            <w:r w:rsidRPr="004151EA">
              <w:rPr>
                <w:rFonts w:ascii="Times New Roman" w:hAnsi="Times New Roman"/>
                <w:color w:val="auto"/>
                <w:sz w:val="20"/>
              </w:rPr>
              <w:t xml:space="preserve"> participation</w:t>
            </w:r>
            <w:r>
              <w:rPr>
                <w:rFonts w:ascii="Times New Roman" w:hAnsi="Times New Roman"/>
                <w:color w:val="auto"/>
                <w:sz w:val="20"/>
              </w:rPr>
              <w:t xml:space="preserve"> </w:t>
            </w:r>
          </w:p>
          <w:p w:rsidRPr="004151EA" w:rsidR="009A2D3E" w:rsidP="0069633B" w:rsidRDefault="009A2D3E" w14:paraId="3E8F6BDC" w14:textId="77777777">
            <w:pPr>
              <w:pStyle w:val="NORCTableBullet1"/>
              <w:rPr>
                <w:rFonts w:ascii="Times New Roman" w:hAnsi="Times New Roman"/>
                <w:color w:val="auto"/>
                <w:sz w:val="20"/>
              </w:rPr>
            </w:pPr>
            <w:r w:rsidRPr="004151EA">
              <w:rPr>
                <w:rFonts w:ascii="Times New Roman" w:hAnsi="Times New Roman"/>
                <w:color w:val="auto"/>
                <w:sz w:val="20"/>
              </w:rPr>
              <w:t>Likelihood of making permanent changes to patient safety procedures, infection control protocols, and quality improvement activities</w:t>
            </w:r>
          </w:p>
        </w:tc>
      </w:tr>
    </w:tbl>
    <w:p w:rsidR="009A2D3E" w:rsidP="009A2D3E" w:rsidRDefault="009A2D3E" w14:paraId="1BF0ABB7" w14:textId="77777777">
      <w:pPr>
        <w:pStyle w:val="paragraph"/>
        <w:spacing w:after="120"/>
        <w:textAlignment w:val="baseline"/>
        <w:rPr>
          <w:rStyle w:val="normaltextrun"/>
        </w:rPr>
      </w:pPr>
      <w:r>
        <w:rPr>
          <w:rStyle w:val="normaltextrun"/>
        </w:rPr>
        <w:t xml:space="preserve">The survey instruments can be found </w:t>
      </w:r>
      <w:r w:rsidRPr="00A71B09">
        <w:rPr>
          <w:rStyle w:val="normaltextrun"/>
        </w:rPr>
        <w:t xml:space="preserve">in </w:t>
      </w:r>
      <w:r>
        <w:rPr>
          <w:rStyle w:val="normaltextrun"/>
        </w:rPr>
        <w:t>Attachment B</w:t>
      </w:r>
      <w:r w:rsidRPr="00A71B09">
        <w:rPr>
          <w:rStyle w:val="normaltextrun"/>
        </w:rPr>
        <w:t>.</w:t>
      </w:r>
      <w:r>
        <w:rPr>
          <w:rStyle w:val="normaltextrun"/>
        </w:rPr>
        <w:t xml:space="preserve"> </w:t>
      </w:r>
    </w:p>
    <w:p w:rsidRPr="00560600" w:rsidR="00C145EB" w:rsidP="00560600" w:rsidRDefault="00C145EB" w14:paraId="0A7D84F7" w14:textId="67E687C7">
      <w:pPr>
        <w:pStyle w:val="CommentText"/>
        <w:rPr>
          <w:sz w:val="24"/>
          <w:szCs w:val="24"/>
        </w:rPr>
      </w:pPr>
      <w:r w:rsidRPr="00560600">
        <w:rPr>
          <w:sz w:val="24"/>
          <w:szCs w:val="24"/>
        </w:rPr>
        <w:t>Collection of this information</w:t>
      </w:r>
      <w:r w:rsidRPr="00560600" w:rsidR="005E564A">
        <w:rPr>
          <w:sz w:val="24"/>
          <w:szCs w:val="24"/>
        </w:rPr>
        <w:t xml:space="preserve"> addresses all three goals of the performance assessment </w:t>
      </w:r>
      <w:r w:rsidR="001051C0">
        <w:rPr>
          <w:sz w:val="24"/>
          <w:szCs w:val="24"/>
        </w:rPr>
        <w:t>by providing</w:t>
      </w:r>
      <w:r w:rsidRPr="00560600">
        <w:rPr>
          <w:sz w:val="24"/>
          <w:szCs w:val="24"/>
        </w:rPr>
        <w:t xml:space="preserve"> insight into the reach, retention, and engagement of the Network;</w:t>
      </w:r>
      <w:r w:rsidRPr="003F2CBA">
        <w:rPr>
          <w:sz w:val="24"/>
          <w:szCs w:val="24"/>
        </w:rPr>
        <w:t xml:space="preserve"> </w:t>
      </w:r>
      <w:r w:rsidRPr="00560600">
        <w:rPr>
          <w:sz w:val="24"/>
          <w:szCs w:val="24"/>
        </w:rPr>
        <w:t xml:space="preserve">the implementation approach, </w:t>
      </w:r>
      <w:proofErr w:type="gramStart"/>
      <w:r w:rsidRPr="00560600">
        <w:rPr>
          <w:sz w:val="24"/>
          <w:szCs w:val="24"/>
        </w:rPr>
        <w:t>gaps</w:t>
      </w:r>
      <w:proofErr w:type="gramEnd"/>
      <w:r w:rsidRPr="00560600">
        <w:rPr>
          <w:sz w:val="24"/>
          <w:szCs w:val="24"/>
        </w:rPr>
        <w:t xml:space="preserve"> and barriers;</w:t>
      </w:r>
      <w:r w:rsidRPr="003F2CBA">
        <w:rPr>
          <w:sz w:val="24"/>
          <w:szCs w:val="24"/>
        </w:rPr>
        <w:t xml:space="preserve"> and both short and</w:t>
      </w:r>
      <w:r w:rsidRPr="00264E11">
        <w:rPr>
          <w:sz w:val="24"/>
          <w:szCs w:val="24"/>
        </w:rPr>
        <w:t xml:space="preserve"> </w:t>
      </w:r>
      <w:r w:rsidRPr="00560600">
        <w:rPr>
          <w:sz w:val="24"/>
          <w:szCs w:val="24"/>
        </w:rPr>
        <w:t>long-term impact</w:t>
      </w:r>
      <w:r w:rsidRPr="003F2CBA">
        <w:rPr>
          <w:sz w:val="24"/>
          <w:szCs w:val="24"/>
        </w:rPr>
        <w:t>s</w:t>
      </w:r>
      <w:r w:rsidRPr="00264E11" w:rsidR="005E564A">
        <w:rPr>
          <w:sz w:val="24"/>
          <w:szCs w:val="24"/>
        </w:rPr>
        <w:t xml:space="preserve"> of </w:t>
      </w:r>
      <w:r w:rsidR="005E564A">
        <w:rPr>
          <w:sz w:val="24"/>
          <w:szCs w:val="24"/>
        </w:rPr>
        <w:t xml:space="preserve">Network </w:t>
      </w:r>
      <w:r w:rsidRPr="003F2CBA">
        <w:rPr>
          <w:sz w:val="24"/>
          <w:szCs w:val="24"/>
        </w:rPr>
        <w:t>participation</w:t>
      </w:r>
      <w:r w:rsidRPr="00560600">
        <w:rPr>
          <w:sz w:val="24"/>
          <w:szCs w:val="24"/>
        </w:rPr>
        <w:t xml:space="preserve">. </w:t>
      </w:r>
    </w:p>
    <w:p w:rsidRPr="003E6345" w:rsidR="00864592" w:rsidP="00403147" w:rsidRDefault="00864592" w14:paraId="50794DFC" w14:textId="77777777"/>
    <w:p w:rsidRPr="003E6345" w:rsidR="00864592" w:rsidP="00403147" w:rsidRDefault="003913A0" w14:paraId="2E9E5440" w14:textId="0FB82D8A">
      <w:r w:rsidRPr="003E6345">
        <w:t xml:space="preserve">Data will be collected from a senior nursing home </w:t>
      </w:r>
      <w:r w:rsidRPr="003E6345" w:rsidR="001236F3">
        <w:t>leadership team</w:t>
      </w:r>
      <w:r w:rsidRPr="003E6345">
        <w:t xml:space="preserve"> member on behalf of their facility.  We will target</w:t>
      </w:r>
      <w:r w:rsidRPr="003E6345" w:rsidR="00864592">
        <w:t xml:space="preserve"> </w:t>
      </w:r>
      <w:r w:rsidRPr="003E6345">
        <w:t>the</w:t>
      </w:r>
      <w:r w:rsidRPr="003E6345" w:rsidR="00864592">
        <w:t xml:space="preserve"> following job titles within each nursing home</w:t>
      </w:r>
      <w:r w:rsidRPr="003E6345">
        <w:t xml:space="preserve"> to serve as survey respondents on behalf of their facility</w:t>
      </w:r>
      <w:r w:rsidRPr="003E6345" w:rsidR="00864592">
        <w:t>:</w:t>
      </w:r>
    </w:p>
    <w:p w:rsidR="00F04CAC" w:rsidP="00F04CAC" w:rsidRDefault="00F04CAC" w14:paraId="33564033" w14:textId="77777777">
      <w:pPr>
        <w:pStyle w:val="ListParagraph"/>
        <w:numPr>
          <w:ilvl w:val="0"/>
          <w:numId w:val="33"/>
        </w:numPr>
        <w:rPr>
          <w:sz w:val="24"/>
          <w:szCs w:val="24"/>
        </w:rPr>
      </w:pPr>
      <w:r>
        <w:rPr>
          <w:sz w:val="24"/>
          <w:szCs w:val="24"/>
        </w:rPr>
        <w:t xml:space="preserve">Executive Director/Administrator </w:t>
      </w:r>
    </w:p>
    <w:p w:rsidR="00F04CAC" w:rsidP="00F04CAC" w:rsidRDefault="00F04CAC" w14:paraId="0EE9B66D" w14:textId="77777777">
      <w:pPr>
        <w:pStyle w:val="ListParagraph"/>
        <w:numPr>
          <w:ilvl w:val="0"/>
          <w:numId w:val="33"/>
        </w:numPr>
        <w:rPr>
          <w:sz w:val="24"/>
          <w:szCs w:val="24"/>
        </w:rPr>
      </w:pPr>
      <w:r>
        <w:rPr>
          <w:sz w:val="24"/>
          <w:szCs w:val="24"/>
        </w:rPr>
        <w:t xml:space="preserve">Medical Director </w:t>
      </w:r>
    </w:p>
    <w:p w:rsidR="00F04CAC" w:rsidP="00F04CAC" w:rsidRDefault="00F04CAC" w14:paraId="37083B88" w14:textId="77777777">
      <w:pPr>
        <w:pStyle w:val="ListParagraph"/>
        <w:numPr>
          <w:ilvl w:val="0"/>
          <w:numId w:val="33"/>
        </w:numPr>
        <w:rPr>
          <w:sz w:val="24"/>
          <w:szCs w:val="24"/>
        </w:rPr>
      </w:pPr>
      <w:r>
        <w:rPr>
          <w:sz w:val="24"/>
          <w:szCs w:val="24"/>
        </w:rPr>
        <w:t xml:space="preserve">Director of Nursing/Nursing Supervisor </w:t>
      </w:r>
    </w:p>
    <w:p w:rsidR="00F04CAC" w:rsidP="00F04CAC" w:rsidRDefault="00F04CAC" w14:paraId="51E09244" w14:textId="77777777">
      <w:pPr>
        <w:pStyle w:val="ListParagraph"/>
        <w:numPr>
          <w:ilvl w:val="0"/>
          <w:numId w:val="33"/>
        </w:numPr>
        <w:rPr>
          <w:sz w:val="24"/>
          <w:szCs w:val="24"/>
        </w:rPr>
      </w:pPr>
      <w:r>
        <w:rPr>
          <w:sz w:val="24"/>
          <w:szCs w:val="24"/>
        </w:rPr>
        <w:t xml:space="preserve">Department Head </w:t>
      </w:r>
    </w:p>
    <w:p w:rsidR="00F04CAC" w:rsidP="00F04CAC" w:rsidRDefault="00F04CAC" w14:paraId="2F582DF2" w14:textId="77777777">
      <w:pPr>
        <w:pStyle w:val="ListParagraph"/>
        <w:numPr>
          <w:ilvl w:val="0"/>
          <w:numId w:val="33"/>
        </w:numPr>
        <w:rPr>
          <w:sz w:val="24"/>
          <w:szCs w:val="24"/>
        </w:rPr>
      </w:pPr>
      <w:r>
        <w:rPr>
          <w:sz w:val="24"/>
          <w:szCs w:val="24"/>
        </w:rPr>
        <w:t xml:space="preserve">Unit Manager/Charge Nurse </w:t>
      </w:r>
    </w:p>
    <w:p w:rsidR="00F04CAC" w:rsidP="00F04CAC" w:rsidRDefault="00F04CAC" w14:paraId="64E75E53" w14:textId="77777777">
      <w:pPr>
        <w:pStyle w:val="ListParagraph"/>
        <w:numPr>
          <w:ilvl w:val="0"/>
          <w:numId w:val="33"/>
        </w:numPr>
        <w:rPr>
          <w:sz w:val="24"/>
          <w:szCs w:val="24"/>
        </w:rPr>
      </w:pPr>
      <w:r>
        <w:rPr>
          <w:sz w:val="24"/>
          <w:szCs w:val="24"/>
        </w:rPr>
        <w:t xml:space="preserve">Assistant Director/Assistant Manager </w:t>
      </w:r>
    </w:p>
    <w:p w:rsidR="00F04CAC" w:rsidP="00F04CAC" w:rsidRDefault="00F04CAC" w14:paraId="1B1A85F3" w14:textId="77777777">
      <w:pPr>
        <w:pStyle w:val="ListParagraph"/>
        <w:numPr>
          <w:ilvl w:val="0"/>
          <w:numId w:val="33"/>
        </w:numPr>
        <w:rPr>
          <w:sz w:val="24"/>
          <w:szCs w:val="24"/>
        </w:rPr>
      </w:pPr>
      <w:r>
        <w:rPr>
          <w:sz w:val="24"/>
          <w:szCs w:val="24"/>
        </w:rPr>
        <w:t>Minimum Data Set (MDS) Coordinator/ Resident Nurse Assessment Coordinator (RNAC)</w:t>
      </w:r>
    </w:p>
    <w:p w:rsidRPr="00012BF1" w:rsidR="00012BF1" w:rsidP="00012BF1" w:rsidRDefault="00012BF1" w14:paraId="377DEC14" w14:textId="77777777">
      <w:pPr>
        <w:pStyle w:val="ListParagraph"/>
        <w:rPr>
          <w:rStyle w:val="normaltextrun"/>
          <w:sz w:val="24"/>
          <w:szCs w:val="24"/>
        </w:rPr>
      </w:pPr>
    </w:p>
    <w:p w:rsidR="00505687" w:rsidP="00505687" w:rsidRDefault="00403147" w14:paraId="657BB5FB" w14:textId="7C6310F7">
      <w:pPr>
        <w:pStyle w:val="CommentText"/>
        <w:rPr>
          <w:sz w:val="24"/>
          <w:szCs w:val="24"/>
        </w:rPr>
      </w:pPr>
      <w:r w:rsidRPr="00560600">
        <w:rPr>
          <w:b/>
          <w:i/>
          <w:sz w:val="24"/>
          <w:szCs w:val="24"/>
        </w:rPr>
        <w:t>Key Informant Interviews</w:t>
      </w:r>
      <w:r w:rsidRPr="00560600" w:rsidR="00AC6FD1">
        <w:rPr>
          <w:b/>
          <w:i/>
          <w:sz w:val="24"/>
          <w:szCs w:val="24"/>
        </w:rPr>
        <w:t>.</w:t>
      </w:r>
      <w:r w:rsidRPr="00560600">
        <w:rPr>
          <w:b/>
          <w:i/>
          <w:sz w:val="24"/>
          <w:szCs w:val="24"/>
        </w:rPr>
        <w:t xml:space="preserve"> </w:t>
      </w:r>
      <w:r w:rsidRPr="00560600">
        <w:rPr>
          <w:sz w:val="24"/>
          <w:szCs w:val="24"/>
        </w:rPr>
        <w:t xml:space="preserve">The assessment team will conduct semi-structured interviews with </w:t>
      </w:r>
      <w:r w:rsidRPr="00560600" w:rsidR="00622FFD">
        <w:rPr>
          <w:sz w:val="24"/>
          <w:szCs w:val="24"/>
        </w:rPr>
        <w:t xml:space="preserve">up to three </w:t>
      </w:r>
      <w:r w:rsidRPr="00560600">
        <w:rPr>
          <w:sz w:val="24"/>
          <w:szCs w:val="24"/>
        </w:rPr>
        <w:t>Network</w:t>
      </w:r>
      <w:r w:rsidRPr="00560600" w:rsidR="00316708">
        <w:rPr>
          <w:sz w:val="24"/>
          <w:szCs w:val="24"/>
        </w:rPr>
        <w:t xml:space="preserve"> participants</w:t>
      </w:r>
      <w:r w:rsidRPr="00560600" w:rsidR="00622FFD">
        <w:rPr>
          <w:sz w:val="24"/>
          <w:szCs w:val="24"/>
        </w:rPr>
        <w:t xml:space="preserve"> per nursing home</w:t>
      </w:r>
      <w:r w:rsidRPr="00560600" w:rsidR="00316708">
        <w:rPr>
          <w:sz w:val="24"/>
          <w:szCs w:val="24"/>
        </w:rPr>
        <w:t>.</w:t>
      </w:r>
      <w:r w:rsidR="00505687">
        <w:t xml:space="preserve">  </w:t>
      </w:r>
      <w:r w:rsidR="00505687">
        <w:rPr>
          <w:sz w:val="24"/>
          <w:szCs w:val="24"/>
        </w:rPr>
        <w:t>The interviews will assess the following:</w:t>
      </w:r>
    </w:p>
    <w:p w:rsidRPr="00560600" w:rsidR="00505687" w:rsidP="00505687" w:rsidRDefault="00505687" w14:paraId="18513548" w14:textId="77777777">
      <w:pPr>
        <w:pStyle w:val="ListParagraph"/>
        <w:numPr>
          <w:ilvl w:val="0"/>
          <w:numId w:val="27"/>
        </w:numPr>
        <w:rPr>
          <w:bCs/>
          <w:sz w:val="24"/>
          <w:szCs w:val="24"/>
        </w:rPr>
      </w:pPr>
      <w:r w:rsidRPr="00505687">
        <w:rPr>
          <w:bCs/>
          <w:sz w:val="24"/>
          <w:szCs w:val="24"/>
        </w:rPr>
        <w:t>Motivations for participation in the Network</w:t>
      </w:r>
    </w:p>
    <w:p w:rsidRPr="00264E11" w:rsidR="00505687" w:rsidP="00505687" w:rsidRDefault="00505687" w14:paraId="7E75DCE6" w14:textId="77777777">
      <w:pPr>
        <w:pStyle w:val="ListParagraph"/>
        <w:numPr>
          <w:ilvl w:val="0"/>
          <w:numId w:val="27"/>
        </w:numPr>
        <w:rPr>
          <w:bCs/>
          <w:sz w:val="24"/>
          <w:szCs w:val="24"/>
        </w:rPr>
      </w:pPr>
      <w:r w:rsidRPr="00505687">
        <w:rPr>
          <w:sz w:val="24"/>
          <w:szCs w:val="24"/>
        </w:rPr>
        <w:t>Context of participation (including state and local context, and participation in other COVID-19 related-initiatives)</w:t>
      </w:r>
    </w:p>
    <w:p w:rsidRPr="00560600" w:rsidR="00505687" w:rsidP="00505687" w:rsidRDefault="00505687" w14:paraId="0AA86A48" w14:textId="30F770A7">
      <w:pPr>
        <w:pStyle w:val="ListParagraph"/>
        <w:numPr>
          <w:ilvl w:val="0"/>
          <w:numId w:val="27"/>
        </w:numPr>
        <w:rPr>
          <w:bCs/>
          <w:sz w:val="24"/>
          <w:szCs w:val="24"/>
        </w:rPr>
      </w:pPr>
      <w:r w:rsidRPr="00505687">
        <w:rPr>
          <w:bCs/>
          <w:sz w:val="24"/>
          <w:szCs w:val="24"/>
        </w:rPr>
        <w:lastRenderedPageBreak/>
        <w:t>Perceptions on recruitment, engagement, and retention, including facilitators and barriers of engagement and retention</w:t>
      </w:r>
    </w:p>
    <w:p w:rsidRPr="00560600" w:rsidR="00505687" w:rsidP="00560600" w:rsidRDefault="00505687" w14:paraId="7A01F00B" w14:textId="19282D2E">
      <w:pPr>
        <w:pStyle w:val="NORCTableBullet1"/>
        <w:numPr>
          <w:ilvl w:val="0"/>
          <w:numId w:val="27"/>
        </w:numPr>
        <w:rPr>
          <w:sz w:val="24"/>
          <w:szCs w:val="24"/>
        </w:rPr>
      </w:pPr>
      <w:r w:rsidRPr="00560600">
        <w:rPr>
          <w:rFonts w:ascii="Times New Roman" w:hAnsi="Times New Roman"/>
          <w:color w:val="auto"/>
          <w:sz w:val="24"/>
          <w:szCs w:val="24"/>
        </w:rPr>
        <w:t>Facility’s experience of participation in the Network training and activities</w:t>
      </w:r>
      <w:r w:rsidRPr="00560600">
        <w:rPr>
          <w:rFonts w:ascii="Times New Roman" w:hAnsi="Times New Roman"/>
          <w:bCs/>
          <w:sz w:val="24"/>
          <w:szCs w:val="24"/>
        </w:rPr>
        <w:t>, including access to and utility of the Network training and resources</w:t>
      </w:r>
    </w:p>
    <w:p w:rsidRPr="00505687" w:rsidR="00505687" w:rsidP="00505687" w:rsidRDefault="00505687" w14:paraId="3762D66D" w14:textId="77777777">
      <w:pPr>
        <w:pStyle w:val="ListParagraph"/>
        <w:numPr>
          <w:ilvl w:val="0"/>
          <w:numId w:val="27"/>
        </w:numPr>
        <w:rPr>
          <w:sz w:val="24"/>
          <w:szCs w:val="24"/>
        </w:rPr>
      </w:pPr>
      <w:r w:rsidRPr="00505687">
        <w:rPr>
          <w:sz w:val="24"/>
          <w:szCs w:val="24"/>
        </w:rPr>
        <w:t>Gaps in knowledge, skills, and resources required for identifying residents and staff infected with COVID-19</w:t>
      </w:r>
    </w:p>
    <w:p w:rsidRPr="00505687" w:rsidR="00505687" w:rsidP="00505687" w:rsidRDefault="00505687" w14:paraId="65C8D3F6" w14:textId="77777777">
      <w:pPr>
        <w:pStyle w:val="NORCTableBullet1"/>
        <w:numPr>
          <w:ilvl w:val="0"/>
          <w:numId w:val="27"/>
        </w:numPr>
        <w:rPr>
          <w:rFonts w:ascii="Times New Roman" w:hAnsi="Times New Roman"/>
          <w:color w:val="auto"/>
          <w:sz w:val="24"/>
          <w:szCs w:val="24"/>
        </w:rPr>
      </w:pPr>
      <w:r w:rsidRPr="00505687">
        <w:rPr>
          <w:rFonts w:ascii="Times New Roman" w:hAnsi="Times New Roman"/>
          <w:color w:val="auto"/>
          <w:sz w:val="24"/>
          <w:szCs w:val="24"/>
        </w:rPr>
        <w:t>Impacts on patient safety procedures, infection control protocols, quality improvement activities, vaccine rollout, capacity to obtain protective equipment, and capacity to obtain testing resources</w:t>
      </w:r>
    </w:p>
    <w:p w:rsidR="00505687" w:rsidP="00505687" w:rsidRDefault="00505687" w14:paraId="25269EB9" w14:textId="77777777">
      <w:pPr>
        <w:pStyle w:val="CommentText"/>
        <w:ind w:left="360"/>
      </w:pPr>
    </w:p>
    <w:p w:rsidRPr="002970B8" w:rsidR="00505687" w:rsidP="00505687" w:rsidRDefault="00505687" w14:paraId="55A3E5DD" w14:textId="77777777">
      <w:pPr>
        <w:pStyle w:val="CommentText"/>
        <w:rPr>
          <w:sz w:val="24"/>
          <w:szCs w:val="24"/>
        </w:rPr>
      </w:pPr>
      <w:r w:rsidRPr="002970B8">
        <w:rPr>
          <w:sz w:val="24"/>
          <w:szCs w:val="24"/>
        </w:rPr>
        <w:t xml:space="preserve">Collection of this information addresses all three goals of the performance assessment </w:t>
      </w:r>
      <w:r>
        <w:rPr>
          <w:sz w:val="24"/>
          <w:szCs w:val="24"/>
        </w:rPr>
        <w:t>by providing</w:t>
      </w:r>
      <w:r w:rsidRPr="002970B8">
        <w:rPr>
          <w:sz w:val="24"/>
          <w:szCs w:val="24"/>
        </w:rPr>
        <w:t xml:space="preserve"> insight into the reach, retention, and engagement of the Network;</w:t>
      </w:r>
      <w:r w:rsidRPr="003F2CBA">
        <w:rPr>
          <w:sz w:val="24"/>
          <w:szCs w:val="24"/>
        </w:rPr>
        <w:t xml:space="preserve"> </w:t>
      </w:r>
      <w:r w:rsidRPr="002970B8">
        <w:rPr>
          <w:sz w:val="24"/>
          <w:szCs w:val="24"/>
        </w:rPr>
        <w:t xml:space="preserve">the implementation approach, </w:t>
      </w:r>
      <w:proofErr w:type="gramStart"/>
      <w:r w:rsidRPr="002970B8">
        <w:rPr>
          <w:sz w:val="24"/>
          <w:szCs w:val="24"/>
        </w:rPr>
        <w:t>gaps</w:t>
      </w:r>
      <w:proofErr w:type="gramEnd"/>
      <w:r w:rsidRPr="002970B8">
        <w:rPr>
          <w:sz w:val="24"/>
          <w:szCs w:val="24"/>
        </w:rPr>
        <w:t xml:space="preserve"> and barriers;</w:t>
      </w:r>
      <w:r w:rsidRPr="003F2CBA">
        <w:rPr>
          <w:sz w:val="24"/>
          <w:szCs w:val="24"/>
        </w:rPr>
        <w:t xml:space="preserve"> and both short and</w:t>
      </w:r>
      <w:r w:rsidRPr="002970B8">
        <w:rPr>
          <w:sz w:val="24"/>
          <w:szCs w:val="24"/>
        </w:rPr>
        <w:t xml:space="preserve"> long-term impact</w:t>
      </w:r>
      <w:r w:rsidRPr="003F2CBA">
        <w:rPr>
          <w:sz w:val="24"/>
          <w:szCs w:val="24"/>
        </w:rPr>
        <w:t>s</w:t>
      </w:r>
      <w:r w:rsidRPr="002970B8">
        <w:rPr>
          <w:sz w:val="24"/>
          <w:szCs w:val="24"/>
        </w:rPr>
        <w:t xml:space="preserve"> of </w:t>
      </w:r>
      <w:r>
        <w:rPr>
          <w:sz w:val="24"/>
          <w:szCs w:val="24"/>
        </w:rPr>
        <w:t xml:space="preserve">Network </w:t>
      </w:r>
      <w:r w:rsidRPr="003F2CBA">
        <w:rPr>
          <w:sz w:val="24"/>
          <w:szCs w:val="24"/>
        </w:rPr>
        <w:t>participation</w:t>
      </w:r>
      <w:r w:rsidRPr="002970B8">
        <w:rPr>
          <w:sz w:val="24"/>
          <w:szCs w:val="24"/>
        </w:rPr>
        <w:t xml:space="preserve">. </w:t>
      </w:r>
    </w:p>
    <w:p w:rsidR="00505687" w:rsidP="00403147" w:rsidRDefault="00505687" w14:paraId="64785F54" w14:textId="77777777"/>
    <w:p w:rsidRPr="00841856" w:rsidR="00403147" w:rsidP="00403147" w:rsidRDefault="00AC7E19" w14:paraId="5A473816" w14:textId="7EC3BAD7">
      <w:pPr>
        <w:rPr>
          <w:color w:val="000000"/>
        </w:rPr>
      </w:pPr>
      <w:r>
        <w:t>The interviews will be conducted with respondents on a virtual web</w:t>
      </w:r>
      <w:r w:rsidR="00A608ED">
        <w:t xml:space="preserve"> </w:t>
      </w:r>
      <w:r>
        <w:t xml:space="preserve">platform. </w:t>
      </w:r>
      <w:r w:rsidR="00505687">
        <w:rPr>
          <w:color w:val="000000"/>
        </w:rPr>
        <w:t xml:space="preserve"> </w:t>
      </w:r>
      <w:r w:rsidR="00403147">
        <w:rPr>
          <w:color w:val="000000"/>
        </w:rPr>
        <w:t xml:space="preserve">Key informants represent the </w:t>
      </w:r>
      <w:r w:rsidRPr="00841856" w:rsidR="00403147">
        <w:rPr>
          <w:color w:val="000000"/>
        </w:rPr>
        <w:t>following</w:t>
      </w:r>
      <w:r w:rsidR="00403147">
        <w:rPr>
          <w:color w:val="000000"/>
        </w:rPr>
        <w:t xml:space="preserve"> general</w:t>
      </w:r>
      <w:r w:rsidRPr="00841856" w:rsidR="00403147">
        <w:rPr>
          <w:color w:val="000000"/>
        </w:rPr>
        <w:t xml:space="preserve"> groups:</w:t>
      </w:r>
    </w:p>
    <w:p w:rsidRPr="00021052" w:rsidR="00403147" w:rsidP="00403147" w:rsidRDefault="00403147" w14:paraId="793F8027" w14:textId="514847F9">
      <w:pPr>
        <w:pStyle w:val="ListParagraph"/>
        <w:numPr>
          <w:ilvl w:val="0"/>
          <w:numId w:val="6"/>
        </w:numPr>
        <w:spacing w:before="100" w:beforeAutospacing="1" w:after="100" w:afterAutospacing="1"/>
        <w:rPr>
          <w:sz w:val="24"/>
          <w:szCs w:val="24"/>
        </w:rPr>
      </w:pPr>
      <w:r w:rsidRPr="00021052">
        <w:rPr>
          <w:sz w:val="24"/>
          <w:szCs w:val="24"/>
        </w:rPr>
        <w:t>Leader</w:t>
      </w:r>
      <w:r>
        <w:rPr>
          <w:sz w:val="24"/>
          <w:szCs w:val="24"/>
        </w:rPr>
        <w:t>s</w:t>
      </w:r>
      <w:r w:rsidR="00CC2284">
        <w:rPr>
          <w:sz w:val="24"/>
          <w:szCs w:val="24"/>
        </w:rPr>
        <w:t>hip</w:t>
      </w:r>
      <w:r w:rsidRPr="00021052">
        <w:rPr>
          <w:sz w:val="24"/>
          <w:szCs w:val="24"/>
        </w:rPr>
        <w:t>: Includes</w:t>
      </w:r>
      <w:r w:rsidR="00083326">
        <w:rPr>
          <w:sz w:val="24"/>
          <w:szCs w:val="24"/>
        </w:rPr>
        <w:t xml:space="preserve"> Administrators, </w:t>
      </w:r>
      <w:r w:rsidR="0030757A">
        <w:rPr>
          <w:sz w:val="24"/>
          <w:szCs w:val="24"/>
        </w:rPr>
        <w:t>Executive Director</w:t>
      </w:r>
      <w:r w:rsidR="000E79A7">
        <w:rPr>
          <w:sz w:val="24"/>
          <w:szCs w:val="24"/>
        </w:rPr>
        <w:t>s</w:t>
      </w:r>
      <w:r w:rsidR="0030757A">
        <w:rPr>
          <w:sz w:val="24"/>
          <w:szCs w:val="24"/>
        </w:rPr>
        <w:t xml:space="preserve">, </w:t>
      </w:r>
      <w:r w:rsidR="00083326">
        <w:rPr>
          <w:sz w:val="24"/>
          <w:szCs w:val="24"/>
        </w:rPr>
        <w:t>Director</w:t>
      </w:r>
      <w:r w:rsidR="000E79A7">
        <w:rPr>
          <w:sz w:val="24"/>
          <w:szCs w:val="24"/>
        </w:rPr>
        <w:t>s</w:t>
      </w:r>
      <w:r w:rsidR="00083326">
        <w:rPr>
          <w:sz w:val="24"/>
          <w:szCs w:val="24"/>
        </w:rPr>
        <w:t xml:space="preserve"> of Health Services, Director</w:t>
      </w:r>
      <w:r w:rsidR="000E79A7">
        <w:rPr>
          <w:sz w:val="24"/>
          <w:szCs w:val="24"/>
        </w:rPr>
        <w:t>s</w:t>
      </w:r>
      <w:r w:rsidR="00083326">
        <w:rPr>
          <w:sz w:val="24"/>
          <w:szCs w:val="24"/>
        </w:rPr>
        <w:t xml:space="preserve"> of Nursing, </w:t>
      </w:r>
      <w:r w:rsidR="00B64A23">
        <w:rPr>
          <w:sz w:val="24"/>
          <w:szCs w:val="24"/>
        </w:rPr>
        <w:t xml:space="preserve">Assistant Directors of Nursing, </w:t>
      </w:r>
      <w:r w:rsidR="00083326">
        <w:rPr>
          <w:sz w:val="24"/>
          <w:szCs w:val="24"/>
        </w:rPr>
        <w:t>Director</w:t>
      </w:r>
      <w:r w:rsidR="000E79A7">
        <w:rPr>
          <w:sz w:val="24"/>
          <w:szCs w:val="24"/>
        </w:rPr>
        <w:t>s</w:t>
      </w:r>
      <w:r w:rsidR="00083326">
        <w:rPr>
          <w:sz w:val="24"/>
          <w:szCs w:val="24"/>
        </w:rPr>
        <w:t xml:space="preserve"> of Staff Development</w:t>
      </w:r>
      <w:r w:rsidR="00E50E6B">
        <w:rPr>
          <w:sz w:val="24"/>
          <w:szCs w:val="24"/>
        </w:rPr>
        <w:t>, Medical Director</w:t>
      </w:r>
      <w:r w:rsidR="000E79A7">
        <w:rPr>
          <w:sz w:val="24"/>
          <w:szCs w:val="24"/>
        </w:rPr>
        <w:t>s, and Q</w:t>
      </w:r>
      <w:r w:rsidR="00B64A23">
        <w:rPr>
          <w:sz w:val="24"/>
          <w:szCs w:val="24"/>
        </w:rPr>
        <w:t>uality Assurance and Performance Improvement (Q</w:t>
      </w:r>
      <w:r w:rsidR="000E79A7">
        <w:rPr>
          <w:sz w:val="24"/>
          <w:szCs w:val="24"/>
        </w:rPr>
        <w:t>API</w:t>
      </w:r>
      <w:r w:rsidR="00B64A23">
        <w:rPr>
          <w:sz w:val="24"/>
          <w:szCs w:val="24"/>
        </w:rPr>
        <w:t>)</w:t>
      </w:r>
      <w:r w:rsidR="000E79A7">
        <w:rPr>
          <w:sz w:val="24"/>
          <w:szCs w:val="24"/>
        </w:rPr>
        <w:t xml:space="preserve"> Specialists</w:t>
      </w:r>
      <w:r w:rsidR="0030757A">
        <w:rPr>
          <w:sz w:val="24"/>
          <w:szCs w:val="24"/>
        </w:rPr>
        <w:t xml:space="preserve"> </w:t>
      </w:r>
    </w:p>
    <w:p w:rsidRPr="00021052" w:rsidR="00403147" w:rsidP="00403147" w:rsidRDefault="000E79A7" w14:paraId="1424420B" w14:textId="0DE06106">
      <w:pPr>
        <w:pStyle w:val="ListParagraph"/>
        <w:numPr>
          <w:ilvl w:val="0"/>
          <w:numId w:val="6"/>
        </w:numPr>
        <w:spacing w:before="100" w:beforeAutospacing="1" w:after="100" w:afterAutospacing="1"/>
        <w:rPr>
          <w:sz w:val="24"/>
          <w:szCs w:val="24"/>
        </w:rPr>
      </w:pPr>
      <w:r>
        <w:rPr>
          <w:sz w:val="24"/>
          <w:szCs w:val="24"/>
        </w:rPr>
        <w:t>Staff</w:t>
      </w:r>
      <w:r w:rsidR="00316708">
        <w:rPr>
          <w:sz w:val="24"/>
          <w:szCs w:val="24"/>
        </w:rPr>
        <w:t xml:space="preserve">: </w:t>
      </w:r>
      <w:r w:rsidR="00451727">
        <w:rPr>
          <w:sz w:val="24"/>
          <w:szCs w:val="24"/>
        </w:rPr>
        <w:t xml:space="preserve">Includes </w:t>
      </w:r>
      <w:r>
        <w:rPr>
          <w:sz w:val="24"/>
          <w:szCs w:val="24"/>
        </w:rPr>
        <w:t xml:space="preserve">Registered Nurses (RNs), </w:t>
      </w:r>
      <w:r w:rsidR="00B775FC">
        <w:rPr>
          <w:sz w:val="24"/>
          <w:szCs w:val="24"/>
        </w:rPr>
        <w:t>L</w:t>
      </w:r>
      <w:r>
        <w:rPr>
          <w:sz w:val="24"/>
          <w:szCs w:val="24"/>
        </w:rPr>
        <w:t>icensed Practical Nurses or Licensed Vocational Nurses (LPNs/LVNs), Certified Nursing Assistants (CNAs)</w:t>
      </w:r>
      <w:r w:rsidR="0030757A">
        <w:rPr>
          <w:sz w:val="24"/>
          <w:szCs w:val="24"/>
        </w:rPr>
        <w:t>,</w:t>
      </w:r>
      <w:r w:rsidR="007134BF">
        <w:rPr>
          <w:sz w:val="24"/>
          <w:szCs w:val="24"/>
        </w:rPr>
        <w:t xml:space="preserve"> </w:t>
      </w:r>
      <w:r w:rsidR="00083326">
        <w:rPr>
          <w:sz w:val="24"/>
          <w:szCs w:val="24"/>
        </w:rPr>
        <w:t>Infection Preventionist</w:t>
      </w:r>
      <w:r>
        <w:rPr>
          <w:sz w:val="24"/>
          <w:szCs w:val="24"/>
        </w:rPr>
        <w:t>s</w:t>
      </w:r>
      <w:r w:rsidR="0030757A">
        <w:rPr>
          <w:sz w:val="24"/>
          <w:szCs w:val="24"/>
        </w:rPr>
        <w:t>,</w:t>
      </w:r>
      <w:r w:rsidRPr="0030757A" w:rsidR="0030757A">
        <w:rPr>
          <w:sz w:val="24"/>
          <w:szCs w:val="24"/>
        </w:rPr>
        <w:t xml:space="preserve"> </w:t>
      </w:r>
      <w:r w:rsidR="0030757A">
        <w:rPr>
          <w:sz w:val="24"/>
          <w:szCs w:val="24"/>
        </w:rPr>
        <w:t>Social Worker</w:t>
      </w:r>
      <w:r>
        <w:rPr>
          <w:sz w:val="24"/>
          <w:szCs w:val="24"/>
        </w:rPr>
        <w:t>s, Activities Directors, Human Resources, Dietary Managers, and Housekeeping S</w:t>
      </w:r>
      <w:r w:rsidR="00B64A23">
        <w:rPr>
          <w:sz w:val="24"/>
          <w:szCs w:val="24"/>
        </w:rPr>
        <w:t>upervisors</w:t>
      </w:r>
    </w:p>
    <w:p w:rsidR="001E3520" w:rsidP="001E3520" w:rsidRDefault="001E3520" w14:paraId="796B353F" w14:textId="288677FB">
      <w:pPr>
        <w:pStyle w:val="paragraph"/>
        <w:spacing w:after="120"/>
        <w:textAlignment w:val="baseline"/>
        <w:rPr>
          <w:rStyle w:val="normaltextrun"/>
        </w:rPr>
      </w:pPr>
      <w:r w:rsidRPr="001E3520">
        <w:rPr>
          <w:rStyle w:val="normaltextrun"/>
        </w:rPr>
        <w:t xml:space="preserve">AHRQ and </w:t>
      </w:r>
      <w:r w:rsidR="00A072B0">
        <w:rPr>
          <w:rStyle w:val="normaltextrun"/>
        </w:rPr>
        <w:t>NORC</w:t>
      </w:r>
      <w:r w:rsidRPr="001E3520">
        <w:rPr>
          <w:rStyle w:val="normaltextrun"/>
        </w:rPr>
        <w:t xml:space="preserve"> will create a list of eligible key informants that reflect the appropriate mix of roles and depth of experience to ensure </w:t>
      </w:r>
      <w:r>
        <w:rPr>
          <w:rStyle w:val="normaltextrun"/>
        </w:rPr>
        <w:t xml:space="preserve">a </w:t>
      </w:r>
      <w:r w:rsidRPr="001E3520">
        <w:rPr>
          <w:rStyle w:val="normaltextrun"/>
        </w:rPr>
        <w:t xml:space="preserve">comprehensive </w:t>
      </w:r>
      <w:r>
        <w:rPr>
          <w:rStyle w:val="normaltextrun"/>
        </w:rPr>
        <w:t>assessment.</w:t>
      </w:r>
      <w:r w:rsidRPr="001E3520">
        <w:rPr>
          <w:rStyle w:val="normaltextrun"/>
        </w:rPr>
        <w:t xml:space="preserve">   </w:t>
      </w:r>
    </w:p>
    <w:p w:rsidRPr="00EB7D09" w:rsidR="00316708" w:rsidP="001E3520" w:rsidRDefault="001E3520" w14:paraId="3BD4C59A" w14:textId="2C78D277">
      <w:pPr>
        <w:pStyle w:val="paragraph"/>
        <w:spacing w:before="0" w:beforeAutospacing="0" w:after="120" w:afterAutospacing="0"/>
        <w:textAlignment w:val="baseline"/>
        <w:rPr>
          <w:rStyle w:val="normaltextrun"/>
        </w:rPr>
      </w:pPr>
      <w:r w:rsidRPr="001E3520">
        <w:rPr>
          <w:rStyle w:val="normaltextrun"/>
        </w:rPr>
        <w:t xml:space="preserve">The primary topics covered in the interviews are shown in </w:t>
      </w:r>
      <w:r w:rsidRPr="00EB7D09">
        <w:rPr>
          <w:rStyle w:val="normaltextrun"/>
        </w:rPr>
        <w:t xml:space="preserve">Exhibit </w:t>
      </w:r>
      <w:r w:rsidR="00864592">
        <w:rPr>
          <w:rStyle w:val="normaltextrun"/>
        </w:rPr>
        <w:t>2</w:t>
      </w:r>
      <w:r w:rsidRPr="00EB7D09">
        <w:rPr>
          <w:rStyle w:val="normaltextrun"/>
        </w:rPr>
        <w:t>.</w:t>
      </w:r>
    </w:p>
    <w:p w:rsidRPr="00EB7D09" w:rsidR="00EB7D09" w:rsidP="00EB7D09" w:rsidRDefault="00EB7D09" w14:paraId="15C50C61" w14:textId="4F60B5D9">
      <w:pPr>
        <w:pStyle w:val="NORCCaption-Exhibit"/>
        <w:pBdr>
          <w:top w:val="single" w:color="BFB6AC" w:sz="4" w:space="0"/>
        </w:pBdr>
        <w:spacing w:before="100" w:beforeAutospacing="1" w:line="276" w:lineRule="auto"/>
        <w:rPr>
          <w:rStyle w:val="normaltextrun"/>
        </w:rPr>
      </w:pPr>
      <w:r w:rsidRPr="00EB7D09">
        <w:rPr>
          <w:rStyle w:val="NORCCaption-Color"/>
          <w:color w:val="000000" w:themeColor="text1"/>
        </w:rPr>
        <w:lastRenderedPageBreak/>
        <w:t xml:space="preserve">Exhibit </w:t>
      </w:r>
      <w:r w:rsidR="00864592">
        <w:rPr>
          <w:rStyle w:val="NORCCaption-Color"/>
          <w:color w:val="000000" w:themeColor="text1"/>
        </w:rPr>
        <w:t>2</w:t>
      </w:r>
      <w:r w:rsidRPr="00EB7D09">
        <w:rPr>
          <w:rStyle w:val="NORCCaption-Color"/>
          <w:color w:val="000000" w:themeColor="text1"/>
        </w:rPr>
        <w:t xml:space="preserve">. Assessment topics </w:t>
      </w:r>
    </w:p>
    <w:tbl>
      <w:tblPr>
        <w:tblW w:w="4958" w:type="pct"/>
        <w:tblInd w:w="2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8558"/>
      </w:tblGrid>
      <w:tr w:rsidRPr="00AC7E19" w:rsidR="00E76E7C" w:rsidTr="00F04CAC" w14:paraId="1BEF0D45" w14:textId="77777777">
        <w:trPr>
          <w:cantSplit/>
          <w:trHeight w:val="224"/>
        </w:trPr>
        <w:tc>
          <w:tcPr>
            <w:tcW w:w="5000" w:type="pct"/>
            <w:shd w:val="clear" w:color="auto" w:fill="BFB6AC"/>
            <w:tcMar>
              <w:top w:w="0" w:type="dxa"/>
              <w:left w:w="108" w:type="dxa"/>
              <w:bottom w:w="0" w:type="dxa"/>
              <w:right w:w="108" w:type="dxa"/>
            </w:tcMar>
            <w:hideMark/>
          </w:tcPr>
          <w:p w:rsidRPr="004151EA" w:rsidR="00E76E7C" w:rsidP="00066F27" w:rsidRDefault="00E76E7C" w14:paraId="1483B623" w14:textId="43FAA9B4">
            <w:pPr>
              <w:pStyle w:val="NORCTableHeader1"/>
              <w:rPr>
                <w:rFonts w:ascii="Times New Roman" w:hAnsi="Times New Roman" w:cs="Times New Roman"/>
                <w:sz w:val="20"/>
              </w:rPr>
            </w:pPr>
            <w:r w:rsidRPr="004151EA">
              <w:rPr>
                <w:rFonts w:ascii="Times New Roman" w:hAnsi="Times New Roman" w:cs="Times New Roman"/>
                <w:sz w:val="20"/>
              </w:rPr>
              <w:t xml:space="preserve">Assessment Topics </w:t>
            </w:r>
          </w:p>
        </w:tc>
      </w:tr>
      <w:tr w:rsidRPr="00AC7E19" w:rsidR="00E76E7C" w:rsidTr="00F04CAC" w14:paraId="1DA9C2E5" w14:textId="77777777">
        <w:trPr>
          <w:cantSplit/>
          <w:trHeight w:val="522"/>
        </w:trPr>
        <w:tc>
          <w:tcPr>
            <w:tcW w:w="5000" w:type="pct"/>
            <w:tcMar>
              <w:top w:w="0" w:type="dxa"/>
              <w:left w:w="108" w:type="dxa"/>
              <w:bottom w:w="0" w:type="dxa"/>
              <w:right w:w="108" w:type="dxa"/>
            </w:tcMar>
            <w:hideMark/>
          </w:tcPr>
          <w:p w:rsidR="009B2C23" w:rsidP="00066F27" w:rsidRDefault="009B2C23" w14:paraId="5CF33A54" w14:textId="69DFB1B8">
            <w:pPr>
              <w:pStyle w:val="NORCTableBullet1"/>
              <w:rPr>
                <w:rFonts w:ascii="Times New Roman" w:hAnsi="Times New Roman"/>
                <w:color w:val="auto"/>
                <w:sz w:val="20"/>
              </w:rPr>
            </w:pPr>
            <w:r>
              <w:rPr>
                <w:rFonts w:ascii="Times New Roman" w:hAnsi="Times New Roman"/>
                <w:color w:val="auto"/>
                <w:sz w:val="20"/>
              </w:rPr>
              <w:t>Facility’s experience with managing the COVID-19 pandemic, including state and local context</w:t>
            </w:r>
          </w:p>
          <w:p w:rsidRPr="004151EA" w:rsidR="009B2C23" w:rsidP="009B2C23" w:rsidRDefault="009B2C23" w14:paraId="17761703" w14:textId="77777777">
            <w:pPr>
              <w:pStyle w:val="NORCTableBullet1"/>
              <w:rPr>
                <w:rFonts w:ascii="Times New Roman" w:hAnsi="Times New Roman"/>
                <w:color w:val="auto"/>
                <w:sz w:val="20"/>
              </w:rPr>
            </w:pPr>
            <w:r w:rsidRPr="004151EA">
              <w:rPr>
                <w:rFonts w:ascii="Times New Roman" w:hAnsi="Times New Roman"/>
                <w:color w:val="auto"/>
                <w:sz w:val="20"/>
              </w:rPr>
              <w:t xml:space="preserve">Participation in other COVID-19 related-initiatives </w:t>
            </w:r>
          </w:p>
          <w:p w:rsidR="009B2C23" w:rsidP="00066F27" w:rsidRDefault="009B2C23" w14:paraId="5D2B4531" w14:textId="77777777">
            <w:pPr>
              <w:pStyle w:val="NORCTableBullet1"/>
              <w:rPr>
                <w:rFonts w:ascii="Times New Roman" w:hAnsi="Times New Roman"/>
                <w:color w:val="auto"/>
                <w:sz w:val="20"/>
              </w:rPr>
            </w:pPr>
            <w:r>
              <w:rPr>
                <w:rFonts w:ascii="Times New Roman" w:hAnsi="Times New Roman"/>
                <w:color w:val="auto"/>
                <w:sz w:val="20"/>
              </w:rPr>
              <w:t>Recruitment into the Network</w:t>
            </w:r>
          </w:p>
          <w:p w:rsidR="00E76E7C" w:rsidP="00066F27" w:rsidRDefault="00E76E7C" w14:paraId="0576B4E9" w14:textId="3354F442">
            <w:pPr>
              <w:pStyle w:val="NORCTableBullet1"/>
              <w:rPr>
                <w:rFonts w:ascii="Times New Roman" w:hAnsi="Times New Roman"/>
                <w:color w:val="auto"/>
                <w:sz w:val="20"/>
              </w:rPr>
            </w:pPr>
            <w:r w:rsidRPr="004151EA">
              <w:rPr>
                <w:rFonts w:ascii="Times New Roman" w:hAnsi="Times New Roman"/>
                <w:color w:val="auto"/>
                <w:sz w:val="20"/>
              </w:rPr>
              <w:t>Motivation for participation</w:t>
            </w:r>
          </w:p>
          <w:p w:rsidR="009B2C23" w:rsidP="00066F27" w:rsidRDefault="009B2C23" w14:paraId="0BD4BF3B" w14:textId="2CD52C62">
            <w:pPr>
              <w:pStyle w:val="NORCTableBullet1"/>
              <w:rPr>
                <w:rFonts w:ascii="Times New Roman" w:hAnsi="Times New Roman"/>
                <w:color w:val="auto"/>
                <w:sz w:val="20"/>
              </w:rPr>
            </w:pPr>
            <w:r>
              <w:rPr>
                <w:rFonts w:ascii="Times New Roman" w:hAnsi="Times New Roman"/>
                <w:color w:val="auto"/>
                <w:sz w:val="20"/>
              </w:rPr>
              <w:t>Facility’s experience of participation in the Network training and activities</w:t>
            </w:r>
          </w:p>
          <w:p w:rsidR="009B2C23" w:rsidP="00066F27" w:rsidRDefault="009B2C23" w14:paraId="09146BF8" w14:textId="36309419">
            <w:pPr>
              <w:pStyle w:val="NORCTableBullet1"/>
              <w:rPr>
                <w:rFonts w:ascii="Times New Roman" w:hAnsi="Times New Roman"/>
                <w:color w:val="auto"/>
                <w:sz w:val="20"/>
              </w:rPr>
            </w:pPr>
            <w:r>
              <w:rPr>
                <w:rFonts w:ascii="Times New Roman" w:hAnsi="Times New Roman"/>
                <w:color w:val="auto"/>
                <w:sz w:val="20"/>
              </w:rPr>
              <w:t xml:space="preserve">Interactions with affiliated Training Center </w:t>
            </w:r>
          </w:p>
          <w:p w:rsidR="009B2C23" w:rsidP="00066F27" w:rsidRDefault="009B2C23" w14:paraId="00AE50B7" w14:textId="6476B8C4">
            <w:pPr>
              <w:pStyle w:val="NORCTableBullet1"/>
              <w:rPr>
                <w:rFonts w:ascii="Times New Roman" w:hAnsi="Times New Roman"/>
                <w:color w:val="auto"/>
                <w:sz w:val="20"/>
              </w:rPr>
            </w:pPr>
            <w:r>
              <w:rPr>
                <w:rFonts w:ascii="Times New Roman" w:hAnsi="Times New Roman"/>
                <w:color w:val="auto"/>
                <w:sz w:val="20"/>
              </w:rPr>
              <w:t xml:space="preserve">Access to and utility of Network’s </w:t>
            </w:r>
            <w:r w:rsidR="00120911">
              <w:rPr>
                <w:rFonts w:ascii="Times New Roman" w:hAnsi="Times New Roman"/>
                <w:color w:val="auto"/>
                <w:sz w:val="20"/>
              </w:rPr>
              <w:t>training and mentorship</w:t>
            </w:r>
            <w:r>
              <w:rPr>
                <w:rFonts w:ascii="Times New Roman" w:hAnsi="Times New Roman"/>
                <w:color w:val="auto"/>
                <w:sz w:val="20"/>
              </w:rPr>
              <w:t xml:space="preserve"> resources</w:t>
            </w:r>
          </w:p>
          <w:p w:rsidR="00120911" w:rsidP="00066F27" w:rsidRDefault="00120911" w14:paraId="399B2234" w14:textId="021785B2">
            <w:pPr>
              <w:pStyle w:val="NORCTableBullet1"/>
              <w:rPr>
                <w:rFonts w:ascii="Times New Roman" w:hAnsi="Times New Roman"/>
                <w:color w:val="auto"/>
                <w:sz w:val="20"/>
              </w:rPr>
            </w:pPr>
            <w:r>
              <w:rPr>
                <w:rFonts w:ascii="Times New Roman" w:hAnsi="Times New Roman"/>
                <w:color w:val="auto"/>
                <w:sz w:val="20"/>
              </w:rPr>
              <w:t>Interactions with other nursing homes within the same cohort</w:t>
            </w:r>
          </w:p>
          <w:p w:rsidRPr="005977DC" w:rsidR="009B2C23" w:rsidRDefault="005977DC" w14:paraId="73A05B69" w14:textId="64E299BD">
            <w:pPr>
              <w:pStyle w:val="NORCTableBullet1"/>
              <w:rPr>
                <w:rFonts w:ascii="Times New Roman" w:hAnsi="Times New Roman"/>
                <w:color w:val="auto"/>
                <w:sz w:val="20"/>
              </w:rPr>
            </w:pPr>
            <w:r>
              <w:rPr>
                <w:rFonts w:ascii="Times New Roman" w:hAnsi="Times New Roman"/>
                <w:color w:val="auto"/>
                <w:sz w:val="20"/>
              </w:rPr>
              <w:t>Changes</w:t>
            </w:r>
            <w:r w:rsidRPr="004151EA">
              <w:rPr>
                <w:rFonts w:ascii="Times New Roman" w:hAnsi="Times New Roman"/>
                <w:color w:val="auto"/>
                <w:sz w:val="20"/>
              </w:rPr>
              <w:t xml:space="preserve"> made </w:t>
            </w:r>
            <w:proofErr w:type="gramStart"/>
            <w:r w:rsidRPr="004151EA">
              <w:rPr>
                <w:rFonts w:ascii="Times New Roman" w:hAnsi="Times New Roman"/>
                <w:color w:val="auto"/>
                <w:sz w:val="20"/>
              </w:rPr>
              <w:t>as a result of</w:t>
            </w:r>
            <w:proofErr w:type="gramEnd"/>
            <w:r w:rsidRPr="004151EA">
              <w:rPr>
                <w:rFonts w:ascii="Times New Roman" w:hAnsi="Times New Roman"/>
                <w:color w:val="auto"/>
                <w:sz w:val="20"/>
              </w:rPr>
              <w:t xml:space="preserve"> participation</w:t>
            </w:r>
          </w:p>
          <w:p w:rsidR="00E76E7C" w:rsidP="00066F27" w:rsidRDefault="00E76E7C" w14:paraId="1871A972" w14:textId="77777777">
            <w:pPr>
              <w:pStyle w:val="NORCTableBullet1"/>
              <w:rPr>
                <w:rFonts w:ascii="Times New Roman" w:hAnsi="Times New Roman"/>
                <w:color w:val="auto"/>
                <w:sz w:val="20"/>
              </w:rPr>
            </w:pPr>
            <w:r w:rsidRPr="004151EA">
              <w:rPr>
                <w:rFonts w:ascii="Times New Roman" w:hAnsi="Times New Roman"/>
                <w:color w:val="auto"/>
                <w:sz w:val="20"/>
              </w:rPr>
              <w:t>Facilitators and barriers to engagement</w:t>
            </w:r>
          </w:p>
          <w:p w:rsidRPr="004151EA" w:rsidR="00E34D17" w:rsidP="00066F27" w:rsidRDefault="005977DC" w14:paraId="0EAEE218" w14:textId="4C2D272A">
            <w:pPr>
              <w:pStyle w:val="NORCTableBullet1"/>
              <w:rPr>
                <w:rFonts w:ascii="Times New Roman" w:hAnsi="Times New Roman"/>
                <w:color w:val="auto"/>
                <w:sz w:val="20"/>
              </w:rPr>
            </w:pPr>
            <w:r>
              <w:rPr>
                <w:rFonts w:ascii="Times New Roman" w:hAnsi="Times New Roman"/>
                <w:color w:val="auto"/>
                <w:sz w:val="20"/>
              </w:rPr>
              <w:t xml:space="preserve">Impacts on </w:t>
            </w:r>
            <w:r w:rsidRPr="004151EA">
              <w:rPr>
                <w:rFonts w:ascii="Times New Roman" w:hAnsi="Times New Roman"/>
                <w:color w:val="auto"/>
                <w:sz w:val="20"/>
              </w:rPr>
              <w:t>patient safety procedures, infection control protocols, and quality improvement activities</w:t>
            </w:r>
            <w:r>
              <w:rPr>
                <w:rFonts w:ascii="Times New Roman" w:hAnsi="Times New Roman"/>
                <w:color w:val="auto"/>
                <w:sz w:val="20"/>
              </w:rPr>
              <w:t>, vaccine rollout, capacity to obtain protective equipment, and capacity to obtain testing resources</w:t>
            </w:r>
          </w:p>
          <w:p w:rsidRPr="004151EA" w:rsidR="00E76E7C" w:rsidP="003F2CBA" w:rsidRDefault="00120911" w14:paraId="4819B7B7" w14:textId="6F8523C5">
            <w:pPr>
              <w:pStyle w:val="NORCTableBullet1"/>
              <w:rPr>
                <w:rFonts w:ascii="Times New Roman" w:hAnsi="Times New Roman"/>
                <w:color w:val="auto"/>
                <w:sz w:val="20"/>
              </w:rPr>
            </w:pPr>
            <w:r w:rsidRPr="004151EA">
              <w:rPr>
                <w:rFonts w:ascii="Times New Roman" w:hAnsi="Times New Roman"/>
                <w:color w:val="auto"/>
                <w:sz w:val="20"/>
              </w:rPr>
              <w:t>Gaps in knowledge, skills, and resources required for identifying residents and staff infected with COVID-19</w:t>
            </w:r>
          </w:p>
        </w:tc>
      </w:tr>
    </w:tbl>
    <w:p w:rsidRPr="001E3520" w:rsidR="00AC7E19" w:rsidP="00AC7E19" w:rsidRDefault="00AC7E19" w14:paraId="29D3DB3A" w14:textId="08A6D177">
      <w:pPr>
        <w:pStyle w:val="paragraph"/>
        <w:spacing w:after="120"/>
        <w:textAlignment w:val="baseline"/>
        <w:rPr>
          <w:rStyle w:val="normaltextrun"/>
        </w:rPr>
      </w:pPr>
      <w:r>
        <w:rPr>
          <w:rStyle w:val="normaltextrun"/>
        </w:rPr>
        <w:t>The key informant interview gui</w:t>
      </w:r>
      <w:r w:rsidR="004A4AD2">
        <w:rPr>
          <w:rStyle w:val="normaltextrun"/>
        </w:rPr>
        <w:t>des for Nursing Home</w:t>
      </w:r>
      <w:r w:rsidR="00E76E7C">
        <w:rPr>
          <w:rStyle w:val="normaltextrun"/>
        </w:rPr>
        <w:t xml:space="preserve">s </w:t>
      </w:r>
      <w:r>
        <w:rPr>
          <w:rStyle w:val="normaltextrun"/>
        </w:rPr>
        <w:t xml:space="preserve">are contained </w:t>
      </w:r>
      <w:r w:rsidRPr="00A71B09">
        <w:rPr>
          <w:rStyle w:val="normaltextrun"/>
        </w:rPr>
        <w:t xml:space="preserve">in </w:t>
      </w:r>
      <w:r w:rsidR="004A4AD2">
        <w:rPr>
          <w:rStyle w:val="normaltextrun"/>
        </w:rPr>
        <w:t xml:space="preserve">Attachment </w:t>
      </w:r>
      <w:r w:rsidR="00AC6FD1">
        <w:rPr>
          <w:rStyle w:val="normaltextrun"/>
        </w:rPr>
        <w:t>E</w:t>
      </w:r>
      <w:r w:rsidRPr="00A71B09">
        <w:rPr>
          <w:rStyle w:val="normaltextrun"/>
        </w:rPr>
        <w:t>.</w:t>
      </w:r>
      <w:r>
        <w:rPr>
          <w:rStyle w:val="normaltextrun"/>
        </w:rPr>
        <w:t xml:space="preserve"> </w:t>
      </w:r>
    </w:p>
    <w:p w:rsidR="00333779" w:rsidP="00333779" w:rsidRDefault="009B633D" w14:paraId="69C44DF9" w14:textId="2489795B">
      <w:pPr>
        <w:pStyle w:val="Heading2"/>
        <w:rPr>
          <w:sz w:val="24"/>
        </w:rPr>
      </w:pPr>
      <w:bookmarkStart w:name="_Toc83639748" w:id="12"/>
      <w:r w:rsidRPr="00983636">
        <w:rPr>
          <w:sz w:val="24"/>
        </w:rPr>
        <w:t>3. Use of Improved Information Technology</w:t>
      </w:r>
      <w:bookmarkStart w:name="_Toc151782179" w:id="13"/>
      <w:bookmarkStart w:name="_Toc158526219" w:id="14"/>
      <w:bookmarkEnd w:id="10"/>
      <w:bookmarkEnd w:id="11"/>
      <w:bookmarkEnd w:id="12"/>
    </w:p>
    <w:p w:rsidR="00012BF1" w:rsidP="00012BF1" w:rsidRDefault="00AC6FD1" w14:paraId="08159FE5" w14:textId="476FD905">
      <w:pPr>
        <w:pStyle w:val="BodyText"/>
        <w:spacing w:before="240" w:after="0"/>
      </w:pPr>
      <w:r>
        <w:rPr>
          <w:b/>
          <w:i/>
        </w:rPr>
        <w:t xml:space="preserve">Survey. </w:t>
      </w:r>
      <w:proofErr w:type="gramStart"/>
      <w:r w:rsidR="00537B9B">
        <w:t>In order to</w:t>
      </w:r>
      <w:proofErr w:type="gramEnd"/>
      <w:r w:rsidR="00537B9B">
        <w:t xml:space="preserve"> minimize respondent burden and to permit the electronic submission of survey responses, the </w:t>
      </w:r>
      <w:r w:rsidR="00ED2DC5">
        <w:t>P</w:t>
      </w:r>
      <w:r w:rsidR="004230A5">
        <w:t xml:space="preserve">articipant </w:t>
      </w:r>
      <w:r w:rsidR="00ED2DC5">
        <w:t xml:space="preserve">Survey </w:t>
      </w:r>
      <w:r w:rsidR="00537B9B">
        <w:t xml:space="preserve">will be </w:t>
      </w:r>
      <w:r w:rsidRPr="00FE58E6" w:rsidR="00537B9B">
        <w:t xml:space="preserve">deployed using a low burden and respondent-friendly </w:t>
      </w:r>
      <w:r w:rsidR="00352DE6">
        <w:t xml:space="preserve">web-based </w:t>
      </w:r>
      <w:r w:rsidR="001236F3">
        <w:t>self-administered questionnaire</w:t>
      </w:r>
      <w:r w:rsidR="009A2D3E">
        <w:t xml:space="preserve"> (sometimes called computer-assisted web interview or CAWI)</w:t>
      </w:r>
      <w:r w:rsidRPr="00FE58E6" w:rsidR="00537B9B">
        <w:t xml:space="preserve">. </w:t>
      </w:r>
      <w:r w:rsidRPr="00F46586" w:rsidR="000D0C69">
        <w:t>CAWI technology minimizes respondent burden by 1) automatically providing text fills within questions and handling skip patterns based on responses to each question; 2) allowing respondents to complete the survey at a convenient time; 3) allowing respondents to stop and re-enter the survey if needed; and 4) capturing data in real-time, thereby eliminating the need for manual data entry.</w:t>
      </w:r>
      <w:bookmarkStart w:name="A4._Efforts_to_Identify_Duplication_and_" w:id="15"/>
      <w:bookmarkStart w:name="A5._Impact_on_Small_Businesses_and_Other" w:id="16"/>
      <w:bookmarkEnd w:id="15"/>
      <w:bookmarkEnd w:id="16"/>
    </w:p>
    <w:p w:rsidR="004230A5" w:rsidP="00012BF1" w:rsidRDefault="004230A5" w14:paraId="043F28E8" w14:textId="6046222C">
      <w:pPr>
        <w:pStyle w:val="BodyText"/>
        <w:spacing w:before="240" w:after="0"/>
      </w:pPr>
      <w:r>
        <w:t xml:space="preserve">Given </w:t>
      </w:r>
      <w:r w:rsidR="00ED2DC5">
        <w:t>the low anticipated burden</w:t>
      </w:r>
      <w:r>
        <w:t xml:space="preserve"> of the </w:t>
      </w:r>
      <w:r w:rsidR="00ED2DC5">
        <w:t>N</w:t>
      </w:r>
      <w:r>
        <w:t>on-</w:t>
      </w:r>
      <w:r w:rsidR="00ED2DC5">
        <w:t>P</w:t>
      </w:r>
      <w:r>
        <w:t xml:space="preserve">articipant </w:t>
      </w:r>
      <w:r w:rsidR="00ED2DC5">
        <w:t>S</w:t>
      </w:r>
      <w:r>
        <w:t>urvey (</w:t>
      </w:r>
      <w:r w:rsidR="00ED2DC5">
        <w:t xml:space="preserve">about </w:t>
      </w:r>
      <w:r>
        <w:t>5 minutes</w:t>
      </w:r>
      <w:r w:rsidR="00ED2DC5">
        <w:t xml:space="preserve"> in duration</w:t>
      </w:r>
      <w:r>
        <w:t>), this survey will also be deployed as a telephone survey using computer-assisted telephone interview</w:t>
      </w:r>
      <w:r w:rsidR="00ED2DC5">
        <w:t>ing</w:t>
      </w:r>
      <w:r>
        <w:t xml:space="preserve"> (CATI) technology.</w:t>
      </w:r>
      <w:r w:rsidR="00ED2DC5">
        <w:t xml:space="preserve"> The survey will be administered by trained telephone interviewers employed by NORC. </w:t>
      </w:r>
      <w:proofErr w:type="gramStart"/>
      <w:r w:rsidRPr="00F46586" w:rsidR="00ED2DC5">
        <w:t>Similar to</w:t>
      </w:r>
      <w:proofErr w:type="gramEnd"/>
      <w:r w:rsidRPr="00F46586" w:rsidR="00ED2DC5">
        <w:t xml:space="preserve"> CAWI technology, CATI technology helps minimize respondent burden with built-in functionality that moves through skip patterns seamlessly to increase efficiency. CATI tailors the sequence of the questions based on the answers of the respondent, resulting in few – if any – skip errors, and automatically provides text fills within questions based on responses to each question. Data collected via </w:t>
      </w:r>
      <w:r w:rsidR="00ED2DC5">
        <w:t xml:space="preserve">CAWI and </w:t>
      </w:r>
      <w:r w:rsidRPr="00F46586" w:rsidR="00ED2DC5">
        <w:t xml:space="preserve">CATI are also automatically stored electronically, eliminating the need for manual data entry. </w:t>
      </w:r>
    </w:p>
    <w:p w:rsidR="000D0C69" w:rsidP="00012BF1" w:rsidRDefault="009A2D3E" w14:paraId="1CFF5EFF" w14:textId="7D99D99B">
      <w:pPr>
        <w:pStyle w:val="BodyText"/>
        <w:spacing w:before="240" w:after="0"/>
      </w:pPr>
      <w:r>
        <w:t xml:space="preserve">Initial invitations to complete the survey will be sent via mail and email (when email addresses are available).  </w:t>
      </w:r>
      <w:r w:rsidR="00ED2DC5">
        <w:t>For the Participant Survey, r</w:t>
      </w:r>
      <w:r w:rsidR="000D0C69">
        <w:t>espondents</w:t>
      </w:r>
      <w:r w:rsidRPr="00F46586" w:rsidR="000D0C69">
        <w:t xml:space="preserve"> who do not complete the self-administered web survey </w:t>
      </w:r>
      <w:r w:rsidR="00855827">
        <w:t xml:space="preserve">will receive </w:t>
      </w:r>
      <w:r w:rsidR="000D0C69">
        <w:t xml:space="preserve">follow-up </w:t>
      </w:r>
      <w:r>
        <w:t xml:space="preserve">prompts via email and/or mail. </w:t>
      </w:r>
      <w:r w:rsidR="00ED2DC5">
        <w:t xml:space="preserve">Mail prompts will also include a self-administered paper questionnaire (SAQ) that respondents can choose to complete and send back in a pre-paid envelope. </w:t>
      </w:r>
      <w:r>
        <w:t>Non-</w:t>
      </w:r>
      <w:r>
        <w:lastRenderedPageBreak/>
        <w:t xml:space="preserve">respondents will then be prompted (using trained interviewers) via telephone to complete the web </w:t>
      </w:r>
      <w:proofErr w:type="gramStart"/>
      <w:r>
        <w:t>survey, and</w:t>
      </w:r>
      <w:proofErr w:type="gramEnd"/>
      <w:r>
        <w:t xml:space="preserve"> will be offered the option to complete </w:t>
      </w:r>
      <w:r w:rsidRPr="00F46586" w:rsidR="000D0C69">
        <w:t xml:space="preserve">the </w:t>
      </w:r>
      <w:r w:rsidR="000D0C69">
        <w:t>survey</w:t>
      </w:r>
      <w:r w:rsidRPr="00F46586" w:rsidR="000D0C69">
        <w:t xml:space="preserve"> via telephone </w:t>
      </w:r>
      <w:r>
        <w:t>if preferred by the respondent</w:t>
      </w:r>
      <w:r w:rsidRPr="00F46586" w:rsidR="000D0C69">
        <w:t xml:space="preserve">. </w:t>
      </w:r>
      <w:r w:rsidR="00ED2DC5">
        <w:t>For the Non-Participant Survey, respondents who do not complete the self-administered web survey or the telephone survey will also be prompted via email and/or mail.</w:t>
      </w:r>
    </w:p>
    <w:p w:rsidR="000D0C69" w:rsidP="00333779" w:rsidRDefault="000D0C69" w14:paraId="2C75E49E" w14:textId="77777777">
      <w:pPr>
        <w:rPr>
          <w:b/>
          <w:i/>
        </w:rPr>
      </w:pPr>
    </w:p>
    <w:p w:rsidR="00333779" w:rsidP="00333779" w:rsidRDefault="00333779" w14:paraId="2AF03562" w14:textId="3376FD1F">
      <w:r w:rsidRPr="00333779">
        <w:rPr>
          <w:b/>
          <w:i/>
        </w:rPr>
        <w:t>Key Informant Interviews</w:t>
      </w:r>
      <w:r w:rsidR="00AC6FD1">
        <w:rPr>
          <w:b/>
          <w:i/>
        </w:rPr>
        <w:t>.</w:t>
      </w:r>
      <w:r>
        <w:t xml:space="preserve"> The key informant interviews will be semi-structured interviews conducted </w:t>
      </w:r>
      <w:r w:rsidR="00487AE5">
        <w:t>on a virtual web-platform with</w:t>
      </w:r>
      <w:r>
        <w:t xml:space="preserve"> study respondents. </w:t>
      </w:r>
      <w:r w:rsidR="00622FFD">
        <w:t xml:space="preserve">Up to three respondents can participate in the interview at one time, allowing for both individual and group interviews.  </w:t>
      </w:r>
      <w:r>
        <w:t>Because most interview questions are open-ended to allow for in-depth exploration of issues, electronic submission of responses is not a viable option.</w:t>
      </w:r>
      <w:r w:rsidR="0041780A">
        <w:t xml:space="preserve"> </w:t>
      </w:r>
    </w:p>
    <w:p w:rsidR="009B633D" w:rsidP="009B633D" w:rsidRDefault="009B633D" w14:paraId="216C49A3" w14:textId="77777777">
      <w:pPr>
        <w:pStyle w:val="Heading2"/>
        <w:rPr>
          <w:sz w:val="24"/>
        </w:rPr>
      </w:pPr>
      <w:bookmarkStart w:name="_Toc83639749" w:id="17"/>
      <w:bookmarkStart w:name="_Hlk95472206" w:id="18"/>
      <w:r w:rsidRPr="00983636">
        <w:rPr>
          <w:sz w:val="24"/>
        </w:rPr>
        <w:t>4. Efforts to Identify Duplication</w:t>
      </w:r>
      <w:bookmarkEnd w:id="13"/>
      <w:bookmarkEnd w:id="14"/>
      <w:bookmarkEnd w:id="17"/>
    </w:p>
    <w:p w:rsidR="007E4359" w:rsidP="007E4359" w:rsidRDefault="00F54F78" w14:paraId="224E1D77" w14:textId="4D3E0BEA">
      <w:r w:rsidRPr="00F54F78">
        <w:t>This is the first assessment of the Network</w:t>
      </w:r>
      <w:r w:rsidRPr="00F54F78" w:rsidR="00C00123">
        <w:t>.</w:t>
      </w:r>
      <w:r w:rsidRPr="00F54F78" w:rsidR="0041780A">
        <w:t xml:space="preserve"> </w:t>
      </w:r>
      <w:r w:rsidRPr="00F54F78">
        <w:t>The Network</w:t>
      </w:r>
      <w:r w:rsidRPr="00F54F78" w:rsidR="00C00123">
        <w:t xml:space="preserve"> may have generated </w:t>
      </w:r>
      <w:r w:rsidRPr="00F54F78">
        <w:t xml:space="preserve">internal </w:t>
      </w:r>
      <w:r w:rsidRPr="00F54F78" w:rsidR="00C00123">
        <w:t xml:space="preserve">reports, which will be used as a source of material for this </w:t>
      </w:r>
      <w:r w:rsidRPr="00F54F78">
        <w:t>assessment.</w:t>
      </w:r>
      <w:r w:rsidRPr="00F54F78" w:rsidR="00C00123">
        <w:t xml:space="preserve"> </w:t>
      </w:r>
      <w:r w:rsidRPr="00990991" w:rsidR="00990991">
        <w:t>About 1,500 nursing homes that are being targeted by other federal data collection efforts will also be excluded from the survey frame to minimize respondent burden</w:t>
      </w:r>
      <w:r w:rsidRPr="00F54F78">
        <w:t>.</w:t>
      </w:r>
      <w:r w:rsidR="00AC6FD1">
        <w:t xml:space="preserve"> </w:t>
      </w:r>
    </w:p>
    <w:p w:rsidRPr="00983636" w:rsidR="009B633D" w:rsidP="009B633D" w:rsidRDefault="009B633D" w14:paraId="29CD221E" w14:textId="77777777">
      <w:pPr>
        <w:pStyle w:val="Heading2"/>
        <w:rPr>
          <w:sz w:val="24"/>
        </w:rPr>
      </w:pPr>
      <w:bookmarkStart w:name="_Toc151782180" w:id="19"/>
      <w:bookmarkStart w:name="_Toc158526220" w:id="20"/>
      <w:bookmarkStart w:name="_Toc83639750" w:id="21"/>
      <w:bookmarkEnd w:id="18"/>
      <w:r w:rsidRPr="00983636">
        <w:rPr>
          <w:sz w:val="24"/>
        </w:rPr>
        <w:t>5. Involvement of Small Entities</w:t>
      </w:r>
      <w:bookmarkEnd w:id="19"/>
      <w:bookmarkEnd w:id="20"/>
      <w:bookmarkEnd w:id="21"/>
    </w:p>
    <w:p w:rsidRPr="00F60488" w:rsidR="00F60488" w:rsidP="00C00123" w:rsidRDefault="00C00123" w14:paraId="2331AB0B" w14:textId="54843F6C">
      <w:pPr>
        <w:spacing w:before="100" w:beforeAutospacing="1" w:after="100" w:afterAutospacing="1"/>
        <w:rPr>
          <w:i/>
        </w:rPr>
      </w:pPr>
      <w:r>
        <w:t>The information collected m</w:t>
      </w:r>
      <w:r w:rsidRPr="00F54F78">
        <w:t xml:space="preserve">ay involve small entities, as some of </w:t>
      </w:r>
      <w:r w:rsidRPr="00F54F78" w:rsidR="00F54F78">
        <w:t>the nursing homes may qualify as such</w:t>
      </w:r>
      <w:r w:rsidRPr="00F54F78">
        <w:t>. For this project</w:t>
      </w:r>
      <w:r>
        <w:t xml:space="preserve">, only items that provide critical information for conducting the </w:t>
      </w:r>
      <w:r w:rsidR="00B313A9">
        <w:t>assessment</w:t>
      </w:r>
      <w:r>
        <w:t xml:space="preserve"> will be included, and the information being requested has been held to the absolute minimum required for the intended use.</w:t>
      </w:r>
      <w:r w:rsidRPr="00F60488" w:rsidR="00F60488">
        <w:rPr>
          <w:i/>
        </w:rPr>
        <w:t xml:space="preserve"> </w:t>
      </w:r>
    </w:p>
    <w:p w:rsidRPr="00983636" w:rsidR="009B633D" w:rsidP="009B633D" w:rsidRDefault="009B633D" w14:paraId="437B988B" w14:textId="529DEF12">
      <w:pPr>
        <w:pStyle w:val="Heading2"/>
        <w:rPr>
          <w:sz w:val="24"/>
        </w:rPr>
      </w:pPr>
      <w:bookmarkStart w:name="_Toc151782181" w:id="22"/>
      <w:bookmarkStart w:name="_Toc158526221" w:id="23"/>
      <w:bookmarkStart w:name="_Toc83639751" w:id="24"/>
      <w:r w:rsidRPr="00983636">
        <w:rPr>
          <w:sz w:val="24"/>
        </w:rPr>
        <w:t>6. Consequences if Information Collected Less Frequently</w:t>
      </w:r>
      <w:bookmarkEnd w:id="22"/>
      <w:bookmarkEnd w:id="23"/>
      <w:bookmarkEnd w:id="24"/>
    </w:p>
    <w:p w:rsidR="00C00123" w:rsidP="00C00123" w:rsidRDefault="00C00123" w14:paraId="7797D446" w14:textId="77777777">
      <w:bookmarkStart w:name="_Toc151782182" w:id="25"/>
      <w:bookmarkStart w:name="_Toc158526222" w:id="26"/>
      <w:r>
        <w:t>This is a one-time collection.</w:t>
      </w:r>
    </w:p>
    <w:p w:rsidR="009B633D" w:rsidP="009B633D" w:rsidRDefault="009B633D" w14:paraId="16B78216" w14:textId="77777777">
      <w:pPr>
        <w:pStyle w:val="Heading2"/>
        <w:rPr>
          <w:sz w:val="24"/>
        </w:rPr>
      </w:pPr>
      <w:bookmarkStart w:name="_Toc83639752" w:id="27"/>
      <w:r w:rsidRPr="00412C6F">
        <w:rPr>
          <w:sz w:val="24"/>
        </w:rPr>
        <w:t>7. Special Circumstances</w:t>
      </w:r>
      <w:bookmarkEnd w:id="25"/>
      <w:bookmarkEnd w:id="26"/>
      <w:bookmarkEnd w:id="27"/>
    </w:p>
    <w:p w:rsidR="009B633D" w:rsidP="009B633D" w:rsidRDefault="009B633D" w14:paraId="190634D3" w14:textId="05857DC7">
      <w:pPr>
        <w:spacing w:before="120"/>
      </w:pPr>
      <w:r w:rsidRPr="004F03D2">
        <w:t>This request is consistent with the general information collection guid</w:t>
      </w:r>
      <w:r>
        <w:t>elines of 5 CFR 1320.5(d)(2).</w:t>
      </w:r>
      <w:r w:rsidR="0041780A">
        <w:t xml:space="preserve"> </w:t>
      </w:r>
      <w:r>
        <w:t>No special circumstances apply.</w:t>
      </w:r>
    </w:p>
    <w:p w:rsidR="004E3A1B" w:rsidP="004E3A1B" w:rsidRDefault="009B633D" w14:paraId="1E254A49" w14:textId="77777777">
      <w:pPr>
        <w:pStyle w:val="Heading2"/>
        <w:rPr>
          <w:sz w:val="24"/>
          <w:szCs w:val="24"/>
        </w:rPr>
      </w:pPr>
      <w:bookmarkStart w:name="_Toc151782183" w:id="28"/>
      <w:bookmarkStart w:name="_Toc158526223" w:id="29"/>
      <w:bookmarkStart w:name="_Toc83639753" w:id="30"/>
      <w:r w:rsidRPr="00412C6F">
        <w:rPr>
          <w:sz w:val="24"/>
        </w:rPr>
        <w:t>8.</w:t>
      </w:r>
      <w:r w:rsidRPr="004E3A1B">
        <w:rPr>
          <w:sz w:val="24"/>
          <w:szCs w:val="24"/>
        </w:rPr>
        <w:t xml:space="preserve"> </w:t>
      </w:r>
      <w:bookmarkEnd w:id="28"/>
      <w:bookmarkEnd w:id="29"/>
      <w:r w:rsidRPr="004E3A1B" w:rsidR="004E3A1B">
        <w:rPr>
          <w:sz w:val="24"/>
          <w:szCs w:val="24"/>
        </w:rPr>
        <w:t>Federal Register Notice and Outside Consultations</w:t>
      </w:r>
      <w:bookmarkEnd w:id="30"/>
    </w:p>
    <w:p w:rsidR="004E3A1B" w:rsidP="004E3A1B" w:rsidRDefault="004E3A1B" w14:paraId="179F9EE0" w14:textId="77777777"/>
    <w:p w:rsidR="00131443" w:rsidP="004E3A1B" w:rsidRDefault="004E3A1B" w14:paraId="619EAE5F" w14:textId="77777777">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0C55C6" w:rsidP="00421105" w:rsidRDefault="000C55C6" w14:paraId="20311E51" w14:textId="6DC1B218">
      <w:pPr>
        <w:autoSpaceDE w:val="0"/>
        <w:autoSpaceDN w:val="0"/>
        <w:adjustRightInd w:val="0"/>
      </w:pPr>
      <w:r w:rsidRPr="00421105">
        <w:t xml:space="preserve">In accordance with the Paperwork Reduction Act of 1995 (Pub. L. 104-13) and Office of Management and Budget (OMB) regulations at 5 CFR Part 1320 (60 FR 44978, August 29, 1995), AHRQ published a notice in the Federal Register announcing the agency’s intention to request an OMB review of this information collection activity. This notice was published on </w:t>
      </w:r>
      <w:r w:rsidR="001C400F">
        <w:rPr>
          <w:highlight w:val="yellow"/>
        </w:rPr>
        <w:t>December 8, 2021</w:t>
      </w:r>
      <w:r w:rsidRPr="00560600">
        <w:rPr>
          <w:highlight w:val="yellow"/>
        </w:rPr>
        <w:t xml:space="preserve">, Volume </w:t>
      </w:r>
      <w:r w:rsidR="001C400F">
        <w:rPr>
          <w:highlight w:val="yellow"/>
        </w:rPr>
        <w:t>86</w:t>
      </w:r>
      <w:r w:rsidRPr="00560600">
        <w:rPr>
          <w:highlight w:val="yellow"/>
        </w:rPr>
        <w:t xml:space="preserve">, Number </w:t>
      </w:r>
      <w:r w:rsidR="001C400F">
        <w:rPr>
          <w:highlight w:val="yellow"/>
        </w:rPr>
        <w:t>233</w:t>
      </w:r>
      <w:r w:rsidRPr="00560600">
        <w:rPr>
          <w:highlight w:val="yellow"/>
        </w:rPr>
        <w:t xml:space="preserve">, page </w:t>
      </w:r>
      <w:r w:rsidR="001C400F">
        <w:rPr>
          <w:highlight w:val="yellow"/>
        </w:rPr>
        <w:t>69649</w:t>
      </w:r>
      <w:r w:rsidRPr="00560600">
        <w:rPr>
          <w:highlight w:val="yellow"/>
        </w:rPr>
        <w:t>,</w:t>
      </w:r>
      <w:r w:rsidRPr="00421105">
        <w:t xml:space="preserve"> and provided a sixty-day period for public comment. A copy of this notice is attached as </w:t>
      </w:r>
      <w:r w:rsidRPr="00560600">
        <w:rPr>
          <w:highlight w:val="yellow"/>
        </w:rPr>
        <w:t xml:space="preserve">Attachment </w:t>
      </w:r>
      <w:r w:rsidR="006C7B55">
        <w:t>F</w:t>
      </w:r>
      <w:r w:rsidRPr="00421105">
        <w:t xml:space="preserve">. During the notice and comment period, the government </w:t>
      </w:r>
      <w:r w:rsidRPr="00881DB3">
        <w:t xml:space="preserve">received </w:t>
      </w:r>
      <w:r w:rsidRPr="00881DB3" w:rsidR="001C400F">
        <w:t>no</w:t>
      </w:r>
      <w:r w:rsidRPr="00881DB3">
        <w:t xml:space="preserve"> requests</w:t>
      </w:r>
      <w:r w:rsidRPr="00421105">
        <w:t xml:space="preserve"> for information or substantive comments.</w:t>
      </w:r>
    </w:p>
    <w:p w:rsidRPr="00421105" w:rsidR="00421105" w:rsidP="00421105" w:rsidRDefault="00421105" w14:paraId="27BC92DC" w14:textId="77777777">
      <w:pPr>
        <w:autoSpaceDE w:val="0"/>
        <w:autoSpaceDN w:val="0"/>
        <w:adjustRightInd w:val="0"/>
      </w:pPr>
    </w:p>
    <w:p w:rsidRPr="00421105" w:rsidR="009B633D" w:rsidP="00421105" w:rsidRDefault="004E3A1B" w14:paraId="19630B05" w14:textId="1F76809F">
      <w:pPr>
        <w:rPr>
          <w:rFonts w:ascii="Arial" w:hAnsi="Arial" w:cs="Arial"/>
          <w:b/>
          <w:i/>
        </w:rPr>
      </w:pPr>
      <w:r w:rsidRPr="00421105">
        <w:rPr>
          <w:rFonts w:ascii="Arial" w:hAnsi="Arial" w:cs="Arial"/>
          <w:b/>
          <w:i/>
        </w:rPr>
        <w:t>8.b.</w:t>
      </w:r>
      <w:r w:rsidRPr="00421105" w:rsidR="0041780A">
        <w:rPr>
          <w:rFonts w:ascii="Arial" w:hAnsi="Arial" w:cs="Arial"/>
          <w:b/>
          <w:i/>
        </w:rPr>
        <w:t xml:space="preserve"> </w:t>
      </w:r>
      <w:r w:rsidRPr="00421105">
        <w:rPr>
          <w:rFonts w:ascii="Arial" w:hAnsi="Arial" w:cs="Arial"/>
          <w:b/>
          <w:i/>
        </w:rPr>
        <w:t>Outside Consultations</w:t>
      </w:r>
    </w:p>
    <w:p w:rsidR="00E54549" w:rsidP="00C00123" w:rsidRDefault="001679CA" w14:paraId="72F79408" w14:textId="67D58A9C">
      <w:pPr>
        <w:autoSpaceDE w:val="0"/>
        <w:autoSpaceDN w:val="0"/>
        <w:adjustRightInd w:val="0"/>
      </w:pPr>
      <w:bookmarkStart w:name="_Toc457285506" w:id="31"/>
      <w:bookmarkStart w:name="_Toc58725294" w:id="32"/>
      <w:bookmarkStart w:name="_Toc151782184" w:id="33"/>
      <w:bookmarkStart w:name="_Toc158526224" w:id="34"/>
      <w:r>
        <w:t xml:space="preserve">AHRQ has and will continue to engage experts and key stakeholders for </w:t>
      </w:r>
      <w:r w:rsidR="00CA070A">
        <w:t>the Network initiative</w:t>
      </w:r>
      <w:r>
        <w:t xml:space="preserve"> and assessment. AHRQ and N</w:t>
      </w:r>
      <w:r w:rsidR="00350271">
        <w:t>ORC</w:t>
      </w:r>
      <w:r>
        <w:t>,</w:t>
      </w:r>
      <w:r w:rsidR="00C00123">
        <w:t xml:space="preserve"> </w:t>
      </w:r>
      <w:r w:rsidR="00E54549">
        <w:t xml:space="preserve">AHRQ’s </w:t>
      </w:r>
      <w:r w:rsidR="00A072B0">
        <w:t xml:space="preserve">Coordinating Center </w:t>
      </w:r>
      <w:r w:rsidR="00E54549">
        <w:t xml:space="preserve">contractor, </w:t>
      </w:r>
      <w:r>
        <w:lastRenderedPageBreak/>
        <w:t xml:space="preserve">are </w:t>
      </w:r>
      <w:r w:rsidR="00C00123">
        <w:t>consult</w:t>
      </w:r>
      <w:r w:rsidR="0085659E">
        <w:t>ing</w:t>
      </w:r>
      <w:r w:rsidRPr="00E64791" w:rsidR="00C00123">
        <w:t xml:space="preserve"> with</w:t>
      </w:r>
      <w:r w:rsidR="00C00123">
        <w:t xml:space="preserve"> </w:t>
      </w:r>
      <w:r w:rsidR="00E54549">
        <w:t xml:space="preserve">the following experts in </w:t>
      </w:r>
      <w:r w:rsidR="00B64660">
        <w:t xml:space="preserve">nursing home </w:t>
      </w:r>
      <w:r w:rsidR="00E54549">
        <w:t xml:space="preserve">quality and patient safety to design the assessment: </w:t>
      </w:r>
    </w:p>
    <w:p w:rsidRPr="004151EA" w:rsidR="00E54549" w:rsidP="00E54549" w:rsidRDefault="00E54549" w14:paraId="186DF4D6" w14:textId="7E9114E8">
      <w:pPr>
        <w:pStyle w:val="ListParagraph"/>
        <w:numPr>
          <w:ilvl w:val="0"/>
          <w:numId w:val="17"/>
        </w:numPr>
        <w:autoSpaceDE w:val="0"/>
        <w:autoSpaceDN w:val="0"/>
        <w:adjustRightInd w:val="0"/>
        <w:rPr>
          <w:sz w:val="24"/>
          <w:szCs w:val="24"/>
        </w:rPr>
      </w:pPr>
      <w:r w:rsidRPr="004151EA">
        <w:rPr>
          <w:sz w:val="24"/>
          <w:szCs w:val="24"/>
        </w:rPr>
        <w:t>Lilly Engineer, MD, DrPH, The Johns Hopkins University School of Medicine</w:t>
      </w:r>
    </w:p>
    <w:p w:rsidRPr="004151EA" w:rsidR="00E54549" w:rsidP="00E54549" w:rsidRDefault="00E54549" w14:paraId="3751BA73" w14:textId="1C2C97EF">
      <w:pPr>
        <w:pStyle w:val="ListParagraph"/>
        <w:numPr>
          <w:ilvl w:val="0"/>
          <w:numId w:val="17"/>
        </w:numPr>
        <w:autoSpaceDE w:val="0"/>
        <w:autoSpaceDN w:val="0"/>
        <w:adjustRightInd w:val="0"/>
        <w:rPr>
          <w:sz w:val="24"/>
          <w:szCs w:val="24"/>
        </w:rPr>
      </w:pPr>
      <w:r w:rsidRPr="004151EA">
        <w:rPr>
          <w:sz w:val="24"/>
          <w:szCs w:val="24"/>
        </w:rPr>
        <w:t>Brad Winters, MD, PhD, The Johns Hopkins University School of Medicine</w:t>
      </w:r>
    </w:p>
    <w:p w:rsidR="001679CA" w:rsidP="001679CA" w:rsidRDefault="00E54549" w14:paraId="07D1F461" w14:textId="77777777">
      <w:pPr>
        <w:pStyle w:val="ListParagraph"/>
        <w:numPr>
          <w:ilvl w:val="0"/>
          <w:numId w:val="17"/>
        </w:numPr>
        <w:autoSpaceDE w:val="0"/>
        <w:autoSpaceDN w:val="0"/>
        <w:adjustRightInd w:val="0"/>
        <w:rPr>
          <w:sz w:val="24"/>
          <w:szCs w:val="24"/>
        </w:rPr>
      </w:pPr>
      <w:r w:rsidRPr="004151EA">
        <w:rPr>
          <w:sz w:val="24"/>
          <w:szCs w:val="24"/>
        </w:rPr>
        <w:t xml:space="preserve">Tamara </w:t>
      </w:r>
      <w:proofErr w:type="spellStart"/>
      <w:r w:rsidRPr="004151EA">
        <w:rPr>
          <w:sz w:val="24"/>
          <w:szCs w:val="24"/>
        </w:rPr>
        <w:t>Konetzka</w:t>
      </w:r>
      <w:proofErr w:type="spellEnd"/>
      <w:r w:rsidRPr="004151EA">
        <w:rPr>
          <w:sz w:val="24"/>
          <w:szCs w:val="24"/>
        </w:rPr>
        <w:t>, PhD, University of Chicago</w:t>
      </w:r>
    </w:p>
    <w:p w:rsidR="002B4041" w:rsidP="001679CA" w:rsidRDefault="002B4041" w14:paraId="4FBC958F" w14:textId="1EEF13EE">
      <w:pPr>
        <w:pStyle w:val="ListParagraph"/>
        <w:numPr>
          <w:ilvl w:val="0"/>
          <w:numId w:val="17"/>
        </w:numPr>
        <w:autoSpaceDE w:val="0"/>
        <w:autoSpaceDN w:val="0"/>
        <w:adjustRightInd w:val="0"/>
        <w:rPr>
          <w:sz w:val="24"/>
          <w:szCs w:val="24"/>
        </w:rPr>
      </w:pPr>
      <w:r>
        <w:rPr>
          <w:sz w:val="24"/>
          <w:szCs w:val="24"/>
        </w:rPr>
        <w:t>Robin Jump, MD, PhD. Case Western Reserve University</w:t>
      </w:r>
    </w:p>
    <w:p w:rsidR="001679CA" w:rsidP="00E92E75" w:rsidRDefault="001679CA" w14:paraId="2E08F424" w14:textId="6559F4D9">
      <w:pPr>
        <w:autoSpaceDE w:val="0"/>
        <w:autoSpaceDN w:val="0"/>
        <w:adjustRightInd w:val="0"/>
      </w:pPr>
    </w:p>
    <w:p w:rsidR="000D6288" w:rsidP="00E92E75" w:rsidRDefault="000D6288" w14:paraId="47131926" w14:textId="2926B2D2">
      <w:pPr>
        <w:autoSpaceDE w:val="0"/>
        <w:autoSpaceDN w:val="0"/>
        <w:adjustRightInd w:val="0"/>
      </w:pPr>
      <w:r>
        <w:t xml:space="preserve">In addition, AHRQ meets monthly with a variety of stakeholders to inform the Network, including: </w:t>
      </w:r>
    </w:p>
    <w:p w:rsidRPr="00E907B3" w:rsidR="00B82D4F" w:rsidRDefault="00B82D4F" w14:paraId="3B00FF7F" w14:textId="48BCBEFB">
      <w:pPr>
        <w:pStyle w:val="ListParagraph"/>
        <w:numPr>
          <w:ilvl w:val="1"/>
          <w:numId w:val="32"/>
        </w:numPr>
        <w:spacing w:after="160" w:line="256" w:lineRule="auto"/>
        <w:rPr>
          <w:sz w:val="24"/>
          <w:szCs w:val="24"/>
        </w:rPr>
      </w:pPr>
      <w:r w:rsidRPr="00E907B3">
        <w:rPr>
          <w:b/>
          <w:sz w:val="24"/>
          <w:szCs w:val="24"/>
        </w:rPr>
        <w:t xml:space="preserve">Nursing Home Industry and Professional Groups: </w:t>
      </w:r>
      <w:r w:rsidRPr="00E907B3">
        <w:rPr>
          <w:sz w:val="24"/>
          <w:szCs w:val="24"/>
        </w:rPr>
        <w:t>National professional nursing home associations, trade organizations, and professional organizations.</w:t>
      </w:r>
    </w:p>
    <w:p w:rsidRPr="00E907B3" w:rsidR="00B82D4F" w:rsidP="00E92E75" w:rsidRDefault="00B82D4F" w14:paraId="30566D73" w14:textId="77777777">
      <w:pPr>
        <w:pStyle w:val="ListParagraph"/>
        <w:numPr>
          <w:ilvl w:val="2"/>
          <w:numId w:val="32"/>
        </w:numPr>
        <w:spacing w:line="256" w:lineRule="auto"/>
        <w:rPr>
          <w:sz w:val="24"/>
          <w:szCs w:val="24"/>
        </w:rPr>
      </w:pPr>
      <w:r w:rsidRPr="00E907B3">
        <w:rPr>
          <w:i/>
          <w:sz w:val="24"/>
          <w:szCs w:val="24"/>
        </w:rPr>
        <w:t>Purpose:</w:t>
      </w:r>
      <w:r w:rsidRPr="00E907B3">
        <w:rPr>
          <w:sz w:val="24"/>
          <w:szCs w:val="24"/>
        </w:rPr>
        <w:t xml:space="preserve"> To exchange information about Network activities; to stay abreast of state, regional, and commercial/private COVID-related initiatives and industry resource or training needs; and to identify or develop mechanisms for broad dissemination of the Network’s tools and resources.</w:t>
      </w:r>
    </w:p>
    <w:p w:rsidRPr="00E907B3" w:rsidR="00B82D4F" w:rsidRDefault="00B82D4F" w14:paraId="2634C4E4" w14:textId="4BAB5B72">
      <w:pPr>
        <w:pStyle w:val="ListParagraph"/>
        <w:numPr>
          <w:ilvl w:val="1"/>
          <w:numId w:val="32"/>
        </w:numPr>
        <w:spacing w:after="160" w:line="256" w:lineRule="auto"/>
        <w:rPr>
          <w:sz w:val="24"/>
          <w:szCs w:val="24"/>
        </w:rPr>
      </w:pPr>
      <w:r w:rsidRPr="00E907B3">
        <w:rPr>
          <w:b/>
          <w:sz w:val="24"/>
          <w:szCs w:val="24"/>
        </w:rPr>
        <w:t xml:space="preserve">Technical Expert Panel​: </w:t>
      </w:r>
      <w:r w:rsidRPr="00E907B3">
        <w:rPr>
          <w:sz w:val="24"/>
          <w:szCs w:val="24"/>
        </w:rPr>
        <w:t>Scientific experts in infection control, COVID-19, quality improvement, nursing home management and financing.</w:t>
      </w:r>
    </w:p>
    <w:p w:rsidRPr="00E907B3" w:rsidR="00B82D4F" w:rsidP="00E92E75" w:rsidRDefault="00B82D4F" w14:paraId="51722ACE" w14:textId="397FBA63">
      <w:pPr>
        <w:pStyle w:val="ListParagraph"/>
        <w:numPr>
          <w:ilvl w:val="2"/>
          <w:numId w:val="32"/>
        </w:numPr>
        <w:spacing w:after="160" w:line="256" w:lineRule="auto"/>
        <w:rPr>
          <w:sz w:val="24"/>
          <w:szCs w:val="24"/>
        </w:rPr>
      </w:pPr>
      <w:r w:rsidRPr="00E907B3">
        <w:rPr>
          <w:i/>
          <w:sz w:val="24"/>
          <w:szCs w:val="24"/>
        </w:rPr>
        <w:t xml:space="preserve"> Purpose</w:t>
      </w:r>
      <w:r w:rsidRPr="00E907B3">
        <w:rPr>
          <w:sz w:val="24"/>
          <w:szCs w:val="24"/>
        </w:rPr>
        <w:t xml:space="preserve">: To exchange information about Network activities, gather feedback on new materials or documents developed by the NHCCC, and provide information on evidence-based practices related to infection control.  </w:t>
      </w:r>
    </w:p>
    <w:p w:rsidRPr="00E907B3" w:rsidR="00B82D4F" w:rsidRDefault="00B82D4F" w14:paraId="66884187" w14:textId="6613277A">
      <w:pPr>
        <w:pStyle w:val="ListParagraph"/>
        <w:numPr>
          <w:ilvl w:val="1"/>
          <w:numId w:val="32"/>
        </w:numPr>
        <w:spacing w:after="160" w:line="256" w:lineRule="auto"/>
        <w:rPr>
          <w:sz w:val="24"/>
          <w:szCs w:val="24"/>
        </w:rPr>
      </w:pPr>
      <w:r w:rsidRPr="00E907B3">
        <w:rPr>
          <w:b/>
          <w:sz w:val="24"/>
          <w:szCs w:val="24"/>
        </w:rPr>
        <w:t xml:space="preserve">Group C: Federal Partner Workgroup​: </w:t>
      </w:r>
      <w:r w:rsidRPr="00E907B3">
        <w:rPr>
          <w:sz w:val="24"/>
          <w:szCs w:val="24"/>
        </w:rPr>
        <w:t>Representatives of federal agencies working on issues related to COVID-19 in nursing homes</w:t>
      </w:r>
    </w:p>
    <w:p w:rsidRPr="00E907B3" w:rsidR="000D6288" w:rsidP="00E907B3" w:rsidRDefault="00B82D4F" w14:paraId="4CA6F95B" w14:textId="0C79C691">
      <w:pPr>
        <w:pStyle w:val="ListParagraph"/>
        <w:numPr>
          <w:ilvl w:val="2"/>
          <w:numId w:val="32"/>
        </w:numPr>
        <w:spacing w:after="160" w:line="256" w:lineRule="auto"/>
        <w:rPr>
          <w:sz w:val="24"/>
          <w:szCs w:val="24"/>
        </w:rPr>
      </w:pPr>
      <w:r w:rsidRPr="00E907B3">
        <w:rPr>
          <w:i/>
          <w:sz w:val="24"/>
          <w:szCs w:val="24"/>
        </w:rPr>
        <w:t>Purpose</w:t>
      </w:r>
      <w:r w:rsidRPr="00E907B3">
        <w:rPr>
          <w:sz w:val="24"/>
          <w:szCs w:val="24"/>
        </w:rPr>
        <w:t xml:space="preserve">: To facilitate the exchange of information about Network activities, as well as news and information on activities that federal agencies are undertaking to address COVID-19 in nursing homes. </w:t>
      </w:r>
    </w:p>
    <w:p w:rsidRPr="001679CA" w:rsidR="001679CA" w:rsidP="001679CA" w:rsidRDefault="00B82D4F" w14:paraId="3B0B112E" w14:textId="12630C2E">
      <w:pPr>
        <w:autoSpaceDE w:val="0"/>
        <w:autoSpaceDN w:val="0"/>
        <w:adjustRightInd w:val="0"/>
      </w:pPr>
      <w:r>
        <w:t xml:space="preserve">These groups </w:t>
      </w:r>
      <w:r w:rsidR="00D63096">
        <w:t xml:space="preserve">will </w:t>
      </w:r>
      <w:r>
        <w:t>provide</w:t>
      </w:r>
      <w:r w:rsidR="005B3A67">
        <w:t xml:space="preserve"> input on the topics for the interview guides</w:t>
      </w:r>
      <w:r w:rsidR="00350271">
        <w:t xml:space="preserve"> and interpretation of secondary data analysis</w:t>
      </w:r>
      <w:r w:rsidR="00D63096">
        <w:t>, as needed</w:t>
      </w:r>
      <w:r w:rsidR="005B3A67">
        <w:t xml:space="preserve">. </w:t>
      </w:r>
    </w:p>
    <w:p w:rsidRPr="00AD4663" w:rsidR="0038217D" w:rsidP="0038217D" w:rsidRDefault="009B633D" w14:paraId="7CC7635A" w14:textId="77777777">
      <w:pPr>
        <w:pStyle w:val="Heading2"/>
        <w:rPr>
          <w:sz w:val="24"/>
          <w:szCs w:val="24"/>
        </w:rPr>
      </w:pPr>
      <w:bookmarkStart w:name="_Toc83639754" w:id="35"/>
      <w:r w:rsidRPr="00AD4663">
        <w:rPr>
          <w:sz w:val="24"/>
          <w:szCs w:val="24"/>
        </w:rPr>
        <w:t>9. Payments/Gifts to Respondents</w:t>
      </w:r>
      <w:bookmarkEnd w:id="31"/>
      <w:bookmarkEnd w:id="32"/>
      <w:bookmarkEnd w:id="33"/>
      <w:bookmarkEnd w:id="34"/>
      <w:bookmarkEnd w:id="35"/>
    </w:p>
    <w:p w:rsidRPr="00AD4663" w:rsidR="00B915F1" w:rsidP="009B633D" w:rsidRDefault="00C00123" w14:paraId="6BEE2F78" w14:textId="6DC05553">
      <w:pPr>
        <w:jc w:val="both"/>
      </w:pPr>
      <w:r>
        <w:t>There will be no remuneration to respondents.</w:t>
      </w:r>
    </w:p>
    <w:p w:rsidRPr="00412C6F" w:rsidR="009B633D" w:rsidP="009B633D" w:rsidRDefault="009B633D" w14:paraId="2B9FFF70" w14:textId="77777777">
      <w:pPr>
        <w:pStyle w:val="Heading2"/>
        <w:rPr>
          <w:sz w:val="24"/>
        </w:rPr>
      </w:pPr>
      <w:bookmarkStart w:name="_Toc151782185" w:id="36"/>
      <w:bookmarkStart w:name="_Toc158526225" w:id="37"/>
      <w:bookmarkStart w:name="_Toc83639755" w:id="38"/>
      <w:r w:rsidRPr="00412C6F">
        <w:rPr>
          <w:sz w:val="24"/>
        </w:rPr>
        <w:t>10. Assurance of Confidentiality</w:t>
      </w:r>
      <w:bookmarkEnd w:id="36"/>
      <w:bookmarkEnd w:id="37"/>
      <w:bookmarkEnd w:id="38"/>
    </w:p>
    <w:p w:rsidR="00577174" w:rsidP="00577174" w:rsidRDefault="00E54549" w14:paraId="51784AB7" w14:textId="1BAC56D5">
      <w:pPr>
        <w:spacing w:before="100" w:beforeAutospacing="1" w:after="100" w:afterAutospacing="1"/>
      </w:pPr>
      <w:bookmarkStart w:name="_Toc151782186" w:id="39"/>
      <w:bookmarkStart w:name="_Toc158526226" w:id="40"/>
      <w:r>
        <w:t xml:space="preserve">For </w:t>
      </w:r>
      <w:r w:rsidR="00577174">
        <w:t xml:space="preserve">the survey </w:t>
      </w:r>
      <w:r w:rsidR="001236F3">
        <w:t xml:space="preserve">respondents </w:t>
      </w:r>
      <w:r w:rsidR="00577174">
        <w:t xml:space="preserve">and </w:t>
      </w:r>
      <w:r>
        <w:t>all key informant interviews</w:t>
      </w:r>
      <w:r w:rsidR="0033653E">
        <w:t>, i</w:t>
      </w:r>
      <w:r w:rsidRPr="00521449" w:rsidR="0033653E">
        <w:t>ndividuals and organizations will be assured of the confidentiality of their replies under Section 934(c) of the Public Health Service Act, 42 USC 299c-3(c).</w:t>
      </w:r>
      <w:r w:rsidR="0041780A">
        <w:t xml:space="preserve"> </w:t>
      </w:r>
      <w:r w:rsidRPr="00521449" w:rsidR="0033653E">
        <w:t>They will be told the purposes for which the information is collected and that, in accordance with this statute, any identifiable information about them will not be used or disclosed for any other purpose</w:t>
      </w:r>
      <w:r w:rsidR="0033653E">
        <w:t xml:space="preserve"> without their prior consent</w:t>
      </w:r>
      <w:r w:rsidRPr="00521449" w:rsidR="0033653E">
        <w:t xml:space="preserve">. </w:t>
      </w:r>
    </w:p>
    <w:p w:rsidR="0033653E" w:rsidP="0033653E" w:rsidRDefault="0033653E" w14:paraId="29EB4A35" w14:textId="34020DE3">
      <w:pPr>
        <w:autoSpaceDE w:val="0"/>
        <w:autoSpaceDN w:val="0"/>
        <w:adjustRightInd w:val="0"/>
      </w:pPr>
      <w:r w:rsidRPr="00333779">
        <w:rPr>
          <w:b/>
          <w:i/>
        </w:rPr>
        <w:t>Key informant interviews</w:t>
      </w:r>
      <w:r>
        <w:t xml:space="preserve">. During the key informant interviews, NORC will </w:t>
      </w:r>
      <w:r w:rsidRPr="00917699">
        <w:t>collect the respondent’s name, phone number, organ</w:t>
      </w:r>
      <w:r>
        <w:t xml:space="preserve">izational affiliation, and title </w:t>
      </w:r>
      <w:r w:rsidRPr="00917699">
        <w:t>for case tracking purposes or for clarification call backs. The</w:t>
      </w:r>
      <w:r>
        <w:t>y will not collect a</w:t>
      </w:r>
      <w:r w:rsidRPr="00917699">
        <w:t xml:space="preserve">ny </w:t>
      </w:r>
      <w:r>
        <w:t xml:space="preserve">other </w:t>
      </w:r>
      <w:r w:rsidRPr="00917699">
        <w:t>information about either the respondent or any in</w:t>
      </w:r>
      <w:r>
        <w:t>dividual in the establishment, outs</w:t>
      </w:r>
      <w:r w:rsidR="008254DB">
        <w:t xml:space="preserve">ide of their role at the </w:t>
      </w:r>
      <w:r w:rsidR="005660C9">
        <w:t>nursing home</w:t>
      </w:r>
      <w:r>
        <w:t xml:space="preserve">. </w:t>
      </w:r>
      <w:r w:rsidRPr="00917699">
        <w:t xml:space="preserve">All electronic files will be password protected and accessible only from a </w:t>
      </w:r>
      <w:r w:rsidRPr="00917699">
        <w:lastRenderedPageBreak/>
        <w:t>secured network. When not in use by project staff, all printed information or materials that could potentially id</w:t>
      </w:r>
      <w:r w:rsidR="008254DB">
        <w:t>entify participants in the assessment</w:t>
      </w:r>
      <w:r w:rsidRPr="00917699">
        <w:t xml:space="preserve"> will be stored in locked cabinets that are accessible only to project team members.</w:t>
      </w:r>
      <w:r>
        <w:t xml:space="preserve"> </w:t>
      </w:r>
    </w:p>
    <w:p w:rsidR="0033653E" w:rsidP="0033653E" w:rsidRDefault="0033653E" w14:paraId="428AAF6A" w14:textId="77777777">
      <w:pPr>
        <w:autoSpaceDE w:val="0"/>
        <w:autoSpaceDN w:val="0"/>
        <w:adjustRightInd w:val="0"/>
      </w:pPr>
    </w:p>
    <w:p w:rsidR="0033653E" w:rsidP="0033653E" w:rsidRDefault="0033653E" w14:paraId="5D785F61" w14:textId="4DDB8D43">
      <w:pPr>
        <w:autoSpaceDE w:val="0"/>
        <w:autoSpaceDN w:val="0"/>
        <w:adjustRightInd w:val="0"/>
      </w:pPr>
      <w:r>
        <w:t xml:space="preserve">All respondent involvement will be voluntary. </w:t>
      </w:r>
      <w:r w:rsidR="007A66CA">
        <w:t xml:space="preserve">Verbal </w:t>
      </w:r>
      <w:r>
        <w:t xml:space="preserve">consent for participation will be obtained from respondents. Respondents will be informed that: (1) copies of the interview notes </w:t>
      </w:r>
      <w:r w:rsidR="00FC6596">
        <w:t xml:space="preserve">will not be shared with </w:t>
      </w:r>
      <w:r>
        <w:t>anyone outside of the team; (2) respondent comments may be included in reports and publications but will not be attributed to specific individuals or organizations; and (3) the interviewers have a system to mark specific comments in interview notes as off-limits for reports and publications when notified to do so by the respondent.</w:t>
      </w:r>
    </w:p>
    <w:p w:rsidR="00333779" w:rsidP="002C0104" w:rsidRDefault="00333779" w14:paraId="154B94A3" w14:textId="332459AB">
      <w:pPr>
        <w:spacing w:before="100" w:beforeAutospacing="1" w:after="100" w:afterAutospacing="1"/>
      </w:pPr>
      <w:r>
        <w:t xml:space="preserve">All data will be collected by AHRQ’s </w:t>
      </w:r>
      <w:r w:rsidR="00A072B0">
        <w:t xml:space="preserve">Coordinating Center </w:t>
      </w:r>
      <w:r>
        <w:t>contractor, NORC</w:t>
      </w:r>
      <w:r w:rsidR="005B3A67">
        <w:t>,</w:t>
      </w:r>
      <w:r w:rsidR="008254DB">
        <w:t xml:space="preserve"> and will be stored on NORC’s secure servers. </w:t>
      </w:r>
    </w:p>
    <w:p w:rsidRPr="00412C6F" w:rsidR="009B633D" w:rsidP="009B633D" w:rsidRDefault="009B633D" w14:paraId="6DEFFF53" w14:textId="77777777">
      <w:pPr>
        <w:pStyle w:val="Heading2"/>
        <w:rPr>
          <w:sz w:val="24"/>
        </w:rPr>
      </w:pPr>
      <w:bookmarkStart w:name="_Toc83639756" w:id="41"/>
      <w:r w:rsidRPr="00412C6F">
        <w:rPr>
          <w:sz w:val="24"/>
        </w:rPr>
        <w:t>11. Questions of a Sensitive Nature</w:t>
      </w:r>
      <w:bookmarkEnd w:id="39"/>
      <w:bookmarkEnd w:id="40"/>
      <w:bookmarkEnd w:id="41"/>
    </w:p>
    <w:p w:rsidR="00BB7136" w:rsidP="00ED0EBB" w:rsidRDefault="0033653E" w14:paraId="7BAA5BCD" w14:textId="76AAD42A">
      <w:pPr>
        <w:rPr>
          <w:i/>
        </w:rPr>
      </w:pPr>
      <w:r w:rsidRPr="00816005">
        <w:t xml:space="preserve">No </w:t>
      </w:r>
      <w:r>
        <w:t>questions of a sensitive nature will be asked</w:t>
      </w:r>
      <w:r w:rsidR="00577174">
        <w:t xml:space="preserve"> through the survey or interviews</w:t>
      </w:r>
      <w:r>
        <w:t>. Further, during the introduction to the interview, respondents will be informed that their participation is voluntary and that they can refuse to answer any question.</w:t>
      </w:r>
      <w:r w:rsidR="0041780A">
        <w:t xml:space="preserve"> </w:t>
      </w:r>
    </w:p>
    <w:p w:rsidRPr="00412C6F" w:rsidR="009B633D" w:rsidP="009B633D" w:rsidRDefault="009B633D" w14:paraId="5190CE31" w14:textId="77777777">
      <w:pPr>
        <w:pStyle w:val="Heading2"/>
        <w:rPr>
          <w:sz w:val="24"/>
        </w:rPr>
      </w:pPr>
      <w:bookmarkStart w:name="_Toc151782187" w:id="42"/>
      <w:bookmarkStart w:name="_Toc158526227" w:id="43"/>
      <w:bookmarkStart w:name="_Toc83639757" w:id="44"/>
      <w:r w:rsidRPr="00412C6F">
        <w:rPr>
          <w:sz w:val="24"/>
        </w:rPr>
        <w:t>12. Estimates of Annualized Burden Hours and Costs</w:t>
      </w:r>
      <w:bookmarkEnd w:id="42"/>
      <w:bookmarkEnd w:id="43"/>
      <w:bookmarkEnd w:id="44"/>
    </w:p>
    <w:p w:rsidR="00FC5BE9" w:rsidP="0033653E" w:rsidRDefault="00FC5BE9" w14:paraId="44700005" w14:textId="77777777">
      <w:pPr>
        <w:rPr>
          <w:color w:val="000000"/>
        </w:rPr>
      </w:pPr>
    </w:p>
    <w:p w:rsidR="00A7231C" w:rsidP="00A75F12" w:rsidRDefault="002C74C8" w14:paraId="07FC244E" w14:textId="1EAC83DB">
      <w:pPr>
        <w:tabs>
          <w:tab w:val="left" w:pos="0"/>
        </w:tabs>
        <w:rPr>
          <w:color w:val="000000"/>
        </w:rPr>
      </w:pPr>
      <w:r>
        <w:rPr>
          <w:b/>
          <w:i/>
          <w:color w:val="000000"/>
        </w:rPr>
        <w:t>Survey</w:t>
      </w:r>
      <w:r>
        <w:rPr>
          <w:color w:val="000000"/>
        </w:rPr>
        <w:t xml:space="preserve">. </w:t>
      </w:r>
      <w:r w:rsidR="00A75F12">
        <w:rPr>
          <w:color w:val="000000"/>
        </w:rPr>
        <w:t xml:space="preserve">The nursing home survey </w:t>
      </w:r>
      <w:r w:rsidR="00A7231C">
        <w:rPr>
          <w:color w:val="000000"/>
        </w:rPr>
        <w:t xml:space="preserve">will have two </w:t>
      </w:r>
      <w:r w:rsidR="005B2E28">
        <w:rPr>
          <w:color w:val="000000"/>
        </w:rPr>
        <w:t>survey instrument</w:t>
      </w:r>
      <w:r w:rsidR="00A7231C">
        <w:rPr>
          <w:color w:val="000000"/>
        </w:rPr>
        <w:t>s:</w:t>
      </w:r>
    </w:p>
    <w:p w:rsidR="00A7231C" w:rsidP="00A75F12" w:rsidRDefault="00A7231C" w14:paraId="47FB41B5" w14:textId="77777777">
      <w:pPr>
        <w:tabs>
          <w:tab w:val="left" w:pos="0"/>
        </w:tabs>
        <w:rPr>
          <w:color w:val="000000"/>
        </w:rPr>
      </w:pPr>
    </w:p>
    <w:p w:rsidR="00A7231C" w:rsidP="00A75F12" w:rsidRDefault="00A7231C" w14:paraId="3E604D11" w14:textId="68D61A39">
      <w:pPr>
        <w:tabs>
          <w:tab w:val="left" w:pos="0"/>
        </w:tabs>
        <w:rPr>
          <w:color w:val="000000"/>
        </w:rPr>
      </w:pPr>
      <w:r>
        <w:rPr>
          <w:color w:val="000000"/>
        </w:rPr>
        <w:t>-</w:t>
      </w:r>
      <w:r w:rsidRPr="00560600">
        <w:rPr>
          <w:b/>
          <w:color w:val="000000"/>
        </w:rPr>
        <w:t>Participant Survey</w:t>
      </w:r>
      <w:r>
        <w:rPr>
          <w:color w:val="000000"/>
        </w:rPr>
        <w:t xml:space="preserve"> for nursing home facilities that participated in the Network</w:t>
      </w:r>
    </w:p>
    <w:p w:rsidR="00A7231C" w:rsidP="00A75F12" w:rsidRDefault="00A7231C" w14:paraId="68B9686B" w14:textId="51793527">
      <w:pPr>
        <w:tabs>
          <w:tab w:val="left" w:pos="0"/>
        </w:tabs>
        <w:rPr>
          <w:color w:val="000000"/>
        </w:rPr>
      </w:pPr>
      <w:r>
        <w:rPr>
          <w:color w:val="000000"/>
        </w:rPr>
        <w:t>-</w:t>
      </w:r>
      <w:r w:rsidRPr="00560600">
        <w:rPr>
          <w:b/>
          <w:color w:val="000000"/>
        </w:rPr>
        <w:t>Non-Participant Survey</w:t>
      </w:r>
      <w:r>
        <w:rPr>
          <w:color w:val="000000"/>
        </w:rPr>
        <w:t xml:space="preserve"> for nursing homes that did not participate in the Network</w:t>
      </w:r>
    </w:p>
    <w:p w:rsidR="00A7231C" w:rsidP="00A75F12" w:rsidRDefault="00A7231C" w14:paraId="505ACE48" w14:textId="5B4B35A9">
      <w:pPr>
        <w:tabs>
          <w:tab w:val="left" w:pos="0"/>
        </w:tabs>
        <w:rPr>
          <w:color w:val="000000"/>
        </w:rPr>
      </w:pPr>
    </w:p>
    <w:p w:rsidR="00C86132" w:rsidP="00560600" w:rsidRDefault="00A7231C" w14:paraId="557A4F4A" w14:textId="41CB4AE2">
      <w:pPr>
        <w:tabs>
          <w:tab w:val="left" w:pos="0"/>
        </w:tabs>
        <w:rPr>
          <w:color w:val="000000"/>
        </w:rPr>
      </w:pPr>
      <w:bookmarkStart w:name="_Hlk95404834" w:id="45"/>
      <w:r>
        <w:rPr>
          <w:color w:val="000000"/>
        </w:rPr>
        <w:t xml:space="preserve">For the Participant Survey </w:t>
      </w:r>
      <w:r>
        <w:t>w</w:t>
      </w:r>
      <w:r w:rsidR="00E401FF">
        <w:t xml:space="preserve">e expect that </w:t>
      </w:r>
      <w:r w:rsidR="001C400F">
        <w:t>1,662</w:t>
      </w:r>
      <w:r w:rsidR="00E401FF">
        <w:t xml:space="preserve"> participants</w:t>
      </w:r>
      <w:r w:rsidR="00EE7CD5">
        <w:t xml:space="preserve"> (20% response rate)</w:t>
      </w:r>
      <w:r w:rsidR="00E401FF">
        <w:t xml:space="preserve"> will agree to participate</w:t>
      </w:r>
      <w:r>
        <w:t xml:space="preserve"> on behalf of their facilit</w:t>
      </w:r>
      <w:r w:rsidR="00EE7CD5">
        <w:t>ies</w:t>
      </w:r>
      <w:r w:rsidR="00E401FF">
        <w:t xml:space="preserve"> and that the survey will </w:t>
      </w:r>
      <w:r w:rsidR="005B2E28">
        <w:rPr>
          <w:color w:val="000000"/>
        </w:rPr>
        <w:t xml:space="preserve">take </w:t>
      </w:r>
      <w:r w:rsidR="007A1E90">
        <w:rPr>
          <w:color w:val="000000"/>
        </w:rPr>
        <w:t>about</w:t>
      </w:r>
      <w:r w:rsidR="005B2E28">
        <w:rPr>
          <w:color w:val="000000"/>
        </w:rPr>
        <w:t xml:space="preserve"> 20</w:t>
      </w:r>
      <w:r w:rsidR="002C74C8">
        <w:rPr>
          <w:color w:val="000000"/>
        </w:rPr>
        <w:t xml:space="preserve"> minutes</w:t>
      </w:r>
      <w:r w:rsidR="00E401FF">
        <w:rPr>
          <w:color w:val="000000"/>
        </w:rPr>
        <w:t xml:space="preserve"> to complete</w:t>
      </w:r>
      <w:r w:rsidR="005B2E28">
        <w:rPr>
          <w:color w:val="000000"/>
        </w:rPr>
        <w:t>.</w:t>
      </w:r>
      <w:r w:rsidR="007A1E90">
        <w:rPr>
          <w:color w:val="000000"/>
        </w:rPr>
        <w:t xml:space="preserve"> </w:t>
      </w:r>
      <w:r>
        <w:rPr>
          <w:color w:val="000000"/>
        </w:rPr>
        <w:t xml:space="preserve">For the Non-Participant </w:t>
      </w:r>
      <w:r w:rsidR="00ED2DC5">
        <w:rPr>
          <w:color w:val="000000"/>
        </w:rPr>
        <w:t>Survey</w:t>
      </w:r>
      <w:r>
        <w:rPr>
          <w:color w:val="000000"/>
        </w:rPr>
        <w:t>, w</w:t>
      </w:r>
      <w:r w:rsidR="00E401FF">
        <w:rPr>
          <w:color w:val="000000"/>
        </w:rPr>
        <w:t xml:space="preserve">e expect that </w:t>
      </w:r>
      <w:r w:rsidR="001C400F">
        <w:t>556</w:t>
      </w:r>
      <w:r>
        <w:t xml:space="preserve"> participants will agree to participate</w:t>
      </w:r>
      <w:r w:rsidR="00EE7CD5">
        <w:t xml:space="preserve"> (20% response rate)</w:t>
      </w:r>
      <w:r>
        <w:t xml:space="preserve"> on behalf of their facilit</w:t>
      </w:r>
      <w:r w:rsidR="00EE7CD5">
        <w:t>ies</w:t>
      </w:r>
      <w:r>
        <w:t xml:space="preserve"> and that the survey </w:t>
      </w:r>
      <w:r w:rsidR="00E401FF">
        <w:rPr>
          <w:color w:val="000000"/>
        </w:rPr>
        <w:t xml:space="preserve">will take about 5 minutes to complete. </w:t>
      </w:r>
      <w:r w:rsidR="00A75F12">
        <w:rPr>
          <w:color w:val="000000"/>
        </w:rPr>
        <w:t xml:space="preserve"> </w:t>
      </w:r>
      <w:r w:rsidR="00C86132">
        <w:rPr>
          <w:color w:val="000000"/>
        </w:rPr>
        <w:t xml:space="preserve">This estimate is based on prior provider survey experience and the response rate for the Customer Satisfaction survey which was approximately 20%. </w:t>
      </w:r>
    </w:p>
    <w:bookmarkEnd w:id="45"/>
    <w:p w:rsidR="00A75F12" w:rsidP="002C74C8" w:rsidRDefault="00A75F12" w14:paraId="10A37BEB" w14:textId="77777777">
      <w:pPr>
        <w:rPr>
          <w:color w:val="000000"/>
        </w:rPr>
      </w:pPr>
    </w:p>
    <w:p w:rsidR="00DA1B20" w:rsidP="00A75F12" w:rsidRDefault="00A75F12" w14:paraId="205D53B5" w14:textId="72B6E2D9">
      <w:pPr>
        <w:rPr>
          <w:color w:val="000000"/>
        </w:rPr>
      </w:pPr>
      <w:r w:rsidRPr="00333779">
        <w:rPr>
          <w:b/>
          <w:i/>
          <w:color w:val="000000"/>
        </w:rPr>
        <w:t>Key Informant Interviews</w:t>
      </w:r>
      <w:r>
        <w:rPr>
          <w:color w:val="000000"/>
        </w:rPr>
        <w:t xml:space="preserve">. Key informant interviews will be conducted </w:t>
      </w:r>
      <w:r w:rsidRPr="00A71B09">
        <w:rPr>
          <w:color w:val="000000"/>
        </w:rPr>
        <w:t xml:space="preserve">with up to </w:t>
      </w:r>
      <w:r w:rsidR="00DF6AA5">
        <w:rPr>
          <w:color w:val="000000"/>
        </w:rPr>
        <w:t xml:space="preserve">32 nursing homes </w:t>
      </w:r>
      <w:r w:rsidR="00AA4B07">
        <w:rPr>
          <w:color w:val="000000"/>
        </w:rPr>
        <w:t xml:space="preserve">(up to 96 staff) </w:t>
      </w:r>
      <w:r>
        <w:rPr>
          <w:color w:val="000000"/>
        </w:rPr>
        <w:t>involved in the Network</w:t>
      </w:r>
      <w:r w:rsidR="0077256A">
        <w:rPr>
          <w:color w:val="000000"/>
        </w:rPr>
        <w:t>.</w:t>
      </w:r>
      <w:r>
        <w:rPr>
          <w:color w:val="000000"/>
        </w:rPr>
        <w:t xml:space="preserve"> We will use one protocol (see Exhibit 6). </w:t>
      </w:r>
      <w:r w:rsidRPr="00A71B09">
        <w:rPr>
          <w:color w:val="000000"/>
        </w:rPr>
        <w:t xml:space="preserve">Attachment </w:t>
      </w:r>
      <w:r>
        <w:rPr>
          <w:color w:val="000000"/>
        </w:rPr>
        <w:t>C</w:t>
      </w:r>
      <w:r w:rsidRPr="00A71B09">
        <w:rPr>
          <w:color w:val="000000"/>
        </w:rPr>
        <w:t xml:space="preserve"> includes the </w:t>
      </w:r>
      <w:r w:rsidRPr="00A71B09">
        <w:t xml:space="preserve">interview recruitment materials and thank you e-mail template, and Attachment </w:t>
      </w:r>
      <w:r>
        <w:t>D</w:t>
      </w:r>
      <w:r w:rsidRPr="00A71B09">
        <w:t xml:space="preserve"> </w:t>
      </w:r>
      <w:r w:rsidRPr="00A71B09">
        <w:rPr>
          <w:color w:val="000000"/>
        </w:rPr>
        <w:t xml:space="preserve">includes the </w:t>
      </w:r>
      <w:r w:rsidRPr="00A71B09">
        <w:t xml:space="preserve">information sheets. </w:t>
      </w:r>
      <w:r w:rsidRPr="00A71B09">
        <w:rPr>
          <w:color w:val="000000"/>
        </w:rPr>
        <w:t xml:space="preserve">Attachments </w:t>
      </w:r>
      <w:r>
        <w:rPr>
          <w:color w:val="000000"/>
        </w:rPr>
        <w:t>E</w:t>
      </w:r>
      <w:r w:rsidRPr="00A71B09">
        <w:rPr>
          <w:color w:val="000000"/>
        </w:rPr>
        <w:t xml:space="preserve"> include</w:t>
      </w:r>
      <w:r w:rsidR="00DF6AA5">
        <w:rPr>
          <w:color w:val="000000"/>
        </w:rPr>
        <w:t>s</w:t>
      </w:r>
      <w:r>
        <w:rPr>
          <w:color w:val="000000"/>
        </w:rPr>
        <w:t xml:space="preserve"> the </w:t>
      </w:r>
      <w:r w:rsidRPr="00C078CD">
        <w:t>interview protocol</w:t>
      </w:r>
      <w:r>
        <w:t xml:space="preserve">. </w:t>
      </w:r>
      <w:r>
        <w:rPr>
          <w:color w:val="000000"/>
        </w:rPr>
        <w:t xml:space="preserve">All interviews are expected to last </w:t>
      </w:r>
      <w:r w:rsidR="00AA4B07">
        <w:rPr>
          <w:color w:val="000000"/>
        </w:rPr>
        <w:t>60</w:t>
      </w:r>
      <w:r>
        <w:rPr>
          <w:color w:val="000000"/>
        </w:rPr>
        <w:t xml:space="preserve"> minutes, including time for respondents to provide verbal consent for participation and ask any questions at the start. </w:t>
      </w:r>
    </w:p>
    <w:p w:rsidR="00DA1B20" w:rsidP="00A75F12" w:rsidRDefault="00DA1B20" w14:paraId="227FEC2A" w14:textId="77777777">
      <w:pPr>
        <w:rPr>
          <w:color w:val="000000"/>
        </w:rPr>
      </w:pPr>
    </w:p>
    <w:p w:rsidR="00A75F12" w:rsidP="00A75F12" w:rsidRDefault="00A75F12" w14:paraId="6AD5B259" w14:textId="4303152E">
      <w:pPr>
        <w:rPr>
          <w:color w:val="000000"/>
        </w:rPr>
      </w:pPr>
      <w:r>
        <w:rPr>
          <w:bCs/>
        </w:rPr>
        <w:t>The total annual burden hours for the</w:t>
      </w:r>
      <w:r w:rsidR="00DA1B20">
        <w:rPr>
          <w:bCs/>
        </w:rPr>
        <w:t xml:space="preserve"> survey and</w:t>
      </w:r>
      <w:r>
        <w:rPr>
          <w:bCs/>
        </w:rPr>
        <w:t xml:space="preserve"> key informant interviews are </w:t>
      </w:r>
      <w:r w:rsidRPr="008254DB">
        <w:rPr>
          <w:bCs/>
        </w:rPr>
        <w:t>e</w:t>
      </w:r>
      <w:r>
        <w:rPr>
          <w:bCs/>
        </w:rPr>
        <w:t xml:space="preserve">stimated to be </w:t>
      </w:r>
      <w:r w:rsidR="00916683">
        <w:rPr>
          <w:bCs/>
        </w:rPr>
        <w:t>6</w:t>
      </w:r>
      <w:r w:rsidR="00EC2402">
        <w:rPr>
          <w:bCs/>
        </w:rPr>
        <w:t>8</w:t>
      </w:r>
      <w:r w:rsidR="00916683">
        <w:rPr>
          <w:bCs/>
        </w:rPr>
        <w:t>8</w:t>
      </w:r>
      <w:r>
        <w:rPr>
          <w:bCs/>
        </w:rPr>
        <w:t xml:space="preserve"> hours, as shown in Exhibit </w:t>
      </w:r>
      <w:r w:rsidR="00E401FF">
        <w:rPr>
          <w:bCs/>
        </w:rPr>
        <w:t>3</w:t>
      </w:r>
      <w:r>
        <w:rPr>
          <w:bCs/>
        </w:rPr>
        <w:t>.</w:t>
      </w:r>
    </w:p>
    <w:p w:rsidR="002C74C8" w:rsidP="002C74C8" w:rsidRDefault="002C74C8" w14:paraId="4FA56395" w14:textId="77777777">
      <w:pPr>
        <w:rPr>
          <w:color w:val="000000"/>
        </w:rPr>
      </w:pPr>
    </w:p>
    <w:p w:rsidRPr="004B0B18" w:rsidR="002C74C8" w:rsidP="002C74C8" w:rsidRDefault="002C74C8" w14:paraId="303728A7" w14:textId="406F2ABE">
      <w:pPr>
        <w:pStyle w:val="NORCCaption-Exhibit"/>
        <w:pBdr>
          <w:top w:val="single" w:color="BFB6AC" w:sz="4" w:space="0"/>
        </w:pBdr>
        <w:spacing w:before="100" w:beforeAutospacing="1" w:line="276" w:lineRule="auto"/>
        <w:rPr>
          <w:rStyle w:val="NORCCaption-Color"/>
          <w:color w:val="000000" w:themeColor="text1"/>
        </w:rPr>
      </w:pPr>
      <w:r w:rsidRPr="004B0B18">
        <w:rPr>
          <w:rStyle w:val="NORCCaption-Color"/>
          <w:color w:val="000000" w:themeColor="text1"/>
        </w:rPr>
        <w:lastRenderedPageBreak/>
        <w:t xml:space="preserve">Exhibit </w:t>
      </w:r>
      <w:r>
        <w:rPr>
          <w:rStyle w:val="NORCCaption-Color"/>
          <w:color w:val="000000" w:themeColor="text1"/>
        </w:rPr>
        <w:t>3</w:t>
      </w:r>
      <w:r w:rsidRPr="004B0B18">
        <w:rPr>
          <w:rStyle w:val="NORCCaption-Color"/>
          <w:color w:val="000000" w:themeColor="text1"/>
        </w:rPr>
        <w:t>. Estimated Annualized Burden Hours</w:t>
      </w:r>
    </w:p>
    <w:tbl>
      <w:tblPr>
        <w:tblW w:w="8478" w:type="dxa"/>
        <w:tblLayout w:type="fixed"/>
        <w:tblCellMar>
          <w:left w:w="0" w:type="dxa"/>
          <w:right w:w="0" w:type="dxa"/>
        </w:tblCellMar>
        <w:tblLook w:val="0000" w:firstRow="0" w:lastRow="0" w:firstColumn="0" w:lastColumn="0" w:noHBand="0" w:noVBand="0"/>
      </w:tblPr>
      <w:tblGrid>
        <w:gridCol w:w="4760"/>
        <w:gridCol w:w="1558"/>
        <w:gridCol w:w="1080"/>
        <w:gridCol w:w="1080"/>
      </w:tblGrid>
      <w:tr w:rsidRPr="001369DB" w:rsidR="002C74C8" w:rsidTr="00937F26" w14:paraId="6D076CF5" w14:textId="77777777">
        <w:trPr>
          <w:cantSplit/>
          <w:tblHeader/>
        </w:trPr>
        <w:tc>
          <w:tcPr>
            <w:tcW w:w="476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369DB" w:rsidR="002C74C8" w:rsidP="002C74C8" w:rsidRDefault="002C74C8" w14:paraId="4F1F6B94" w14:textId="77777777">
            <w:pPr>
              <w:keepNext/>
              <w:jc w:val="center"/>
              <w:rPr>
                <w:b/>
                <w:sz w:val="22"/>
                <w:szCs w:val="22"/>
              </w:rPr>
            </w:pPr>
            <w:r w:rsidRPr="001369DB">
              <w:rPr>
                <w:b/>
                <w:color w:val="000000"/>
                <w:sz w:val="22"/>
                <w:szCs w:val="22"/>
              </w:rPr>
              <w:t xml:space="preserve">Form </w:t>
            </w:r>
            <w:r>
              <w:rPr>
                <w:b/>
                <w:color w:val="000000"/>
                <w:sz w:val="22"/>
                <w:szCs w:val="22"/>
              </w:rPr>
              <w:t>N</w:t>
            </w:r>
            <w:r w:rsidRPr="001369DB">
              <w:rPr>
                <w:b/>
                <w:color w:val="000000"/>
                <w:sz w:val="22"/>
                <w:szCs w:val="22"/>
              </w:rPr>
              <w:t>ame</w:t>
            </w:r>
          </w:p>
        </w:tc>
        <w:tc>
          <w:tcPr>
            <w:tcW w:w="155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1369DB" w:rsidR="002C74C8" w:rsidP="00F009FE" w:rsidRDefault="002C74C8" w14:paraId="036EEF9A" w14:textId="44BD0BEA">
            <w:pPr>
              <w:keepNext/>
              <w:jc w:val="center"/>
              <w:rPr>
                <w:b/>
                <w:sz w:val="22"/>
                <w:szCs w:val="22"/>
              </w:rPr>
            </w:pPr>
            <w:r w:rsidRPr="001369DB">
              <w:rPr>
                <w:b/>
                <w:color w:val="000000"/>
                <w:sz w:val="22"/>
                <w:szCs w:val="22"/>
              </w:rPr>
              <w:t xml:space="preserve">Number of </w:t>
            </w:r>
            <w:r>
              <w:rPr>
                <w:b/>
                <w:color w:val="000000"/>
                <w:sz w:val="22"/>
                <w:szCs w:val="22"/>
              </w:rPr>
              <w:t>respondents</w:t>
            </w:r>
            <w:r w:rsidR="00F009FE">
              <w:rPr>
                <w:sz w:val="20"/>
                <w:szCs w:val="20"/>
              </w:rPr>
              <w:t>*</w:t>
            </w:r>
          </w:p>
        </w:tc>
        <w:tc>
          <w:tcPr>
            <w:tcW w:w="1080" w:type="dxa"/>
            <w:tcBorders>
              <w:top w:val="single" w:color="auto" w:sz="8" w:space="0"/>
              <w:left w:val="single" w:color="auto" w:sz="8" w:space="0"/>
              <w:bottom w:val="single" w:color="auto" w:sz="8" w:space="0"/>
              <w:right w:val="single" w:color="auto" w:sz="8" w:space="0"/>
            </w:tcBorders>
          </w:tcPr>
          <w:p w:rsidRPr="001369DB" w:rsidR="002C74C8" w:rsidP="002C74C8" w:rsidRDefault="002C74C8" w14:paraId="51EA8A76" w14:textId="77777777">
            <w:pPr>
              <w:keepNext/>
              <w:jc w:val="center"/>
              <w:rPr>
                <w:b/>
                <w:color w:val="000000"/>
                <w:sz w:val="22"/>
                <w:szCs w:val="22"/>
              </w:rPr>
            </w:pPr>
            <w:r>
              <w:rPr>
                <w:b/>
                <w:color w:val="000000"/>
                <w:sz w:val="22"/>
                <w:szCs w:val="22"/>
              </w:rPr>
              <w:t>Hours per response</w:t>
            </w:r>
            <w:r w:rsidRPr="001369DB">
              <w:rPr>
                <w:b/>
                <w:color w:val="000000"/>
                <w:sz w:val="22"/>
                <w:szCs w:val="22"/>
              </w:rPr>
              <w:t xml:space="preserve"> </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1369DB" w:rsidR="002C74C8" w:rsidP="002C74C8" w:rsidRDefault="002C74C8" w14:paraId="2DCEAE74" w14:textId="77777777">
            <w:pPr>
              <w:keepNext/>
              <w:jc w:val="center"/>
              <w:rPr>
                <w:b/>
                <w:sz w:val="22"/>
                <w:szCs w:val="22"/>
              </w:rPr>
            </w:pPr>
            <w:r w:rsidRPr="001369DB">
              <w:rPr>
                <w:b/>
                <w:color w:val="000000"/>
                <w:sz w:val="22"/>
                <w:szCs w:val="22"/>
              </w:rPr>
              <w:t>Total burden hours</w:t>
            </w:r>
          </w:p>
        </w:tc>
      </w:tr>
      <w:tr w:rsidRPr="001369DB" w:rsidR="00EC2402" w:rsidTr="00C330E1" w14:paraId="09179BDA" w14:textId="77777777">
        <w:trPr>
          <w:cantSplit/>
          <w:trHeight w:val="358"/>
        </w:trPr>
        <w:tc>
          <w:tcPr>
            <w:tcW w:w="47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2C0104" w:rsidR="00EC2402" w:rsidP="00EC2402" w:rsidRDefault="00EC2402" w14:paraId="50EBE485" w14:textId="7EC4D29F">
            <w:pPr>
              <w:rPr>
                <w:sz w:val="22"/>
                <w:szCs w:val="22"/>
              </w:rPr>
            </w:pPr>
            <w:r>
              <w:rPr>
                <w:sz w:val="22"/>
                <w:szCs w:val="22"/>
              </w:rPr>
              <w:t>Attachment B: Survey instrument - participant</w:t>
            </w:r>
          </w:p>
        </w:tc>
        <w:tc>
          <w:tcPr>
            <w:tcW w:w="155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2C0104" w:rsidR="00EC2402" w:rsidP="00EC2402" w:rsidRDefault="00EC2402" w14:paraId="04AAA35A" w14:textId="6A7FCE4C">
            <w:pPr>
              <w:jc w:val="center"/>
              <w:rPr>
                <w:sz w:val="22"/>
                <w:szCs w:val="22"/>
              </w:rPr>
            </w:pPr>
            <w:r w:rsidRPr="009C7A41">
              <w:t>1,662</w:t>
            </w:r>
          </w:p>
        </w:tc>
        <w:tc>
          <w:tcPr>
            <w:tcW w:w="1080" w:type="dxa"/>
            <w:tcBorders>
              <w:top w:val="single" w:color="auto" w:sz="8" w:space="0"/>
              <w:left w:val="single" w:color="auto" w:sz="8" w:space="0"/>
              <w:bottom w:val="single" w:color="auto" w:sz="8" w:space="0"/>
              <w:right w:val="single" w:color="auto" w:sz="8" w:space="0"/>
            </w:tcBorders>
          </w:tcPr>
          <w:p w:rsidRPr="002C0104" w:rsidR="00EC2402" w:rsidP="00EC2402" w:rsidRDefault="00EC2402" w14:paraId="21496FCA" w14:textId="3CAFF7AB">
            <w:pPr>
              <w:jc w:val="center"/>
              <w:rPr>
                <w:sz w:val="22"/>
                <w:szCs w:val="22"/>
              </w:rPr>
            </w:pPr>
            <w:r w:rsidRPr="009C7A41">
              <w:t>.33</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2C0104" w:rsidR="00EC2402" w:rsidP="00EC2402" w:rsidRDefault="00EC2402" w14:paraId="195265C9" w14:textId="03C5B427">
            <w:pPr>
              <w:jc w:val="center"/>
              <w:rPr>
                <w:sz w:val="22"/>
                <w:szCs w:val="22"/>
              </w:rPr>
            </w:pPr>
            <w:r w:rsidRPr="009C7A41">
              <w:t>548</w:t>
            </w:r>
          </w:p>
        </w:tc>
      </w:tr>
      <w:tr w:rsidRPr="001369DB" w:rsidR="00EC2402" w:rsidTr="00C330E1" w14:paraId="0D2C7D05" w14:textId="77777777">
        <w:trPr>
          <w:cantSplit/>
          <w:trHeight w:val="358"/>
        </w:trPr>
        <w:tc>
          <w:tcPr>
            <w:tcW w:w="47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C2402" w:rsidP="00EC2402" w:rsidRDefault="00EC2402" w14:paraId="5629BA7F" w14:textId="087F96C8">
            <w:pPr>
              <w:rPr>
                <w:sz w:val="22"/>
                <w:szCs w:val="22"/>
              </w:rPr>
            </w:pPr>
            <w:r>
              <w:rPr>
                <w:sz w:val="22"/>
                <w:szCs w:val="22"/>
              </w:rPr>
              <w:t>Attachment B: Survey instrument - nonparticipant</w:t>
            </w:r>
          </w:p>
        </w:tc>
        <w:tc>
          <w:tcPr>
            <w:tcW w:w="155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EC2402" w:rsidP="00EC2402" w:rsidRDefault="00EC2402" w14:paraId="19E4909A" w14:textId="66B1407F">
            <w:pPr>
              <w:jc w:val="center"/>
              <w:rPr>
                <w:sz w:val="22"/>
                <w:szCs w:val="22"/>
              </w:rPr>
            </w:pPr>
            <w:r w:rsidRPr="009C7A41">
              <w:t>556</w:t>
            </w:r>
          </w:p>
        </w:tc>
        <w:tc>
          <w:tcPr>
            <w:tcW w:w="1080" w:type="dxa"/>
            <w:tcBorders>
              <w:top w:val="single" w:color="auto" w:sz="8" w:space="0"/>
              <w:left w:val="single" w:color="auto" w:sz="8" w:space="0"/>
              <w:bottom w:val="single" w:color="auto" w:sz="8" w:space="0"/>
              <w:right w:val="single" w:color="auto" w:sz="8" w:space="0"/>
            </w:tcBorders>
          </w:tcPr>
          <w:p w:rsidR="00EC2402" w:rsidP="00EC2402" w:rsidRDefault="00EC2402" w14:paraId="708C1E16" w14:textId="6F5BBCB2">
            <w:pPr>
              <w:jc w:val="center"/>
              <w:rPr>
                <w:sz w:val="22"/>
                <w:szCs w:val="22"/>
              </w:rPr>
            </w:pPr>
            <w:r w:rsidRPr="009C7A41">
              <w:t>.08</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00EC2402" w:rsidP="00EC2402" w:rsidRDefault="00EC2402" w14:paraId="4A6B3065" w14:textId="47208359">
            <w:pPr>
              <w:jc w:val="center"/>
              <w:rPr>
                <w:sz w:val="22"/>
                <w:szCs w:val="22"/>
              </w:rPr>
            </w:pPr>
            <w:r w:rsidRPr="009C7A41">
              <w:t>44</w:t>
            </w:r>
          </w:p>
        </w:tc>
      </w:tr>
      <w:tr w:rsidRPr="001369DB" w:rsidR="00EC2402" w:rsidTr="00C330E1" w14:paraId="04739483" w14:textId="77777777">
        <w:trPr>
          <w:cantSplit/>
          <w:trHeight w:val="358"/>
        </w:trPr>
        <w:tc>
          <w:tcPr>
            <w:tcW w:w="47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00EC2402" w:rsidP="00EC2402" w:rsidRDefault="00EC2402" w14:paraId="3425FBA2" w14:textId="069C7C20">
            <w:pPr>
              <w:rPr>
                <w:sz w:val="22"/>
                <w:szCs w:val="22"/>
              </w:rPr>
            </w:pPr>
            <w:r>
              <w:rPr>
                <w:sz w:val="22"/>
                <w:szCs w:val="22"/>
              </w:rPr>
              <w:t>Attachment E: Nursing Home Key Informant Interview</w:t>
            </w:r>
          </w:p>
        </w:tc>
        <w:tc>
          <w:tcPr>
            <w:tcW w:w="155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00EC2402" w:rsidP="00EC2402" w:rsidRDefault="00EC2402" w14:paraId="30335683" w14:textId="6A7F30FA">
            <w:pPr>
              <w:jc w:val="center"/>
              <w:rPr>
                <w:sz w:val="22"/>
                <w:szCs w:val="22"/>
              </w:rPr>
            </w:pPr>
            <w:r w:rsidRPr="009C7A41">
              <w:t>96</w:t>
            </w:r>
          </w:p>
        </w:tc>
        <w:tc>
          <w:tcPr>
            <w:tcW w:w="1080" w:type="dxa"/>
            <w:tcBorders>
              <w:top w:val="single" w:color="auto" w:sz="8" w:space="0"/>
              <w:left w:val="single" w:color="auto" w:sz="8" w:space="0"/>
              <w:bottom w:val="single" w:color="auto" w:sz="8" w:space="0"/>
              <w:right w:val="single" w:color="auto" w:sz="8" w:space="0"/>
            </w:tcBorders>
          </w:tcPr>
          <w:p w:rsidR="00EC2402" w:rsidP="00EC2402" w:rsidRDefault="00EC2402" w14:paraId="3C8A9F34" w14:textId="4B8DE30E">
            <w:pPr>
              <w:jc w:val="center"/>
              <w:rPr>
                <w:sz w:val="22"/>
                <w:szCs w:val="22"/>
              </w:rPr>
            </w:pPr>
            <w:r w:rsidRPr="009C7A41">
              <w:t>1</w:t>
            </w: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00EC2402" w:rsidP="00EC2402" w:rsidRDefault="00EC2402" w14:paraId="2D0A6FE6" w14:textId="16046C3B">
            <w:pPr>
              <w:jc w:val="center"/>
              <w:rPr>
                <w:sz w:val="22"/>
                <w:szCs w:val="22"/>
              </w:rPr>
            </w:pPr>
            <w:r w:rsidRPr="009C7A41">
              <w:t>96</w:t>
            </w:r>
          </w:p>
        </w:tc>
      </w:tr>
      <w:tr w:rsidRPr="00AD4663" w:rsidR="00EC2402" w:rsidTr="00C330E1" w14:paraId="04C68615" w14:textId="77777777">
        <w:trPr>
          <w:cantSplit/>
          <w:trHeight w:val="115"/>
        </w:trPr>
        <w:tc>
          <w:tcPr>
            <w:tcW w:w="476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D4663" w:rsidR="00EC2402" w:rsidP="00EC2402" w:rsidRDefault="00EC2402" w14:paraId="5E8F6BBC" w14:textId="77777777">
            <w:pPr>
              <w:rPr>
                <w:b/>
                <w:sz w:val="22"/>
                <w:szCs w:val="22"/>
              </w:rPr>
            </w:pPr>
            <w:r w:rsidRPr="00AD4663">
              <w:rPr>
                <w:b/>
                <w:sz w:val="22"/>
                <w:szCs w:val="22"/>
              </w:rPr>
              <w:t>Total</w:t>
            </w:r>
          </w:p>
        </w:tc>
        <w:tc>
          <w:tcPr>
            <w:tcW w:w="1558" w:type="dxa"/>
            <w:tcBorders>
              <w:top w:val="nil"/>
              <w:left w:val="nil"/>
              <w:bottom w:val="single" w:color="auto" w:sz="8" w:space="0"/>
              <w:right w:val="single" w:color="auto" w:sz="8" w:space="0"/>
            </w:tcBorders>
            <w:shd w:val="clear" w:color="auto" w:fill="auto"/>
            <w:tcMar>
              <w:top w:w="0" w:type="dxa"/>
              <w:left w:w="108" w:type="dxa"/>
              <w:bottom w:w="0" w:type="dxa"/>
              <w:right w:w="108" w:type="dxa"/>
            </w:tcMar>
          </w:tcPr>
          <w:p w:rsidRPr="00AD4663" w:rsidR="00EC2402" w:rsidP="00EC2402" w:rsidRDefault="00EC2402" w14:paraId="3F250009" w14:textId="488529DB">
            <w:pPr>
              <w:jc w:val="center"/>
              <w:rPr>
                <w:sz w:val="22"/>
                <w:szCs w:val="22"/>
              </w:rPr>
            </w:pPr>
            <w:r w:rsidRPr="009C7A41">
              <w:t>2,314</w:t>
            </w:r>
          </w:p>
        </w:tc>
        <w:tc>
          <w:tcPr>
            <w:tcW w:w="1080" w:type="dxa"/>
            <w:tcBorders>
              <w:top w:val="single" w:color="auto" w:sz="8" w:space="0"/>
              <w:left w:val="single" w:color="auto" w:sz="8" w:space="0"/>
              <w:bottom w:val="single" w:color="auto" w:sz="8" w:space="0"/>
              <w:right w:val="single" w:color="auto" w:sz="8" w:space="0"/>
            </w:tcBorders>
          </w:tcPr>
          <w:p w:rsidRPr="00AD4663" w:rsidR="00EC2402" w:rsidP="00EC2402" w:rsidRDefault="00EC2402" w14:paraId="097F32F6" w14:textId="77777777">
            <w:pPr>
              <w:jc w:val="center"/>
              <w:rPr>
                <w:sz w:val="22"/>
                <w:szCs w:val="22"/>
              </w:rPr>
            </w:pPr>
          </w:p>
        </w:tc>
        <w:tc>
          <w:tcPr>
            <w:tcW w:w="108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AD4663" w:rsidR="00EC2402" w:rsidP="00EC2402" w:rsidRDefault="00EC2402" w14:paraId="6FD2CB1A" w14:textId="190CC90C">
            <w:pPr>
              <w:jc w:val="center"/>
              <w:rPr>
                <w:sz w:val="22"/>
                <w:szCs w:val="22"/>
              </w:rPr>
            </w:pPr>
            <w:r w:rsidRPr="009C7A41">
              <w:t>688</w:t>
            </w:r>
          </w:p>
        </w:tc>
      </w:tr>
    </w:tbl>
    <w:p w:rsidRPr="00B213CD" w:rsidR="00DA1B20" w:rsidP="00DA1B20" w:rsidRDefault="00F009FE" w14:paraId="76745FAB" w14:textId="54FDF11A">
      <w:pPr>
        <w:rPr>
          <w:sz w:val="20"/>
          <w:szCs w:val="20"/>
        </w:rPr>
      </w:pPr>
      <w:r>
        <w:rPr>
          <w:sz w:val="20"/>
          <w:szCs w:val="20"/>
        </w:rPr>
        <w:t>*</w:t>
      </w:r>
      <w:r w:rsidRPr="00B213CD" w:rsidR="00DA1B20">
        <w:rPr>
          <w:sz w:val="20"/>
          <w:szCs w:val="20"/>
        </w:rPr>
        <w:t xml:space="preserve"> The number of respondents per data collection effort is calculat</w:t>
      </w:r>
      <w:r w:rsidR="00DA1B20">
        <w:rPr>
          <w:sz w:val="20"/>
          <w:szCs w:val="20"/>
        </w:rPr>
        <w:t xml:space="preserve">ed by dividing the expected number of respondents </w:t>
      </w:r>
      <w:r w:rsidRPr="00B213CD" w:rsidR="00DA1B20">
        <w:rPr>
          <w:sz w:val="20"/>
          <w:szCs w:val="20"/>
        </w:rPr>
        <w:t>by three to capture an annualized number.</w:t>
      </w:r>
    </w:p>
    <w:p w:rsidRPr="00AD4663" w:rsidR="002C74C8" w:rsidP="002C74C8" w:rsidRDefault="002C74C8" w14:paraId="4F127AD1" w14:textId="77777777"/>
    <w:p w:rsidR="002C74C8" w:rsidP="002C74C8" w:rsidRDefault="002C74C8" w14:paraId="12FE7DB1" w14:textId="50867254">
      <w:pPr>
        <w:keepNext/>
        <w:rPr>
          <w:sz w:val="22"/>
          <w:szCs w:val="22"/>
        </w:rPr>
      </w:pPr>
      <w:r w:rsidRPr="00AD4663">
        <w:rPr>
          <w:bCs/>
        </w:rPr>
        <w:t xml:space="preserve">Exhibit </w:t>
      </w:r>
      <w:r>
        <w:rPr>
          <w:bCs/>
        </w:rPr>
        <w:t>4</w:t>
      </w:r>
      <w:r w:rsidRPr="00AD4663">
        <w:rPr>
          <w:bCs/>
        </w:rPr>
        <w:t xml:space="preserve"> shows the estimated annual cost burden associated with the respondents' time to participate in this information collection, which </w:t>
      </w:r>
      <w:r w:rsidRPr="00056128">
        <w:rPr>
          <w:bCs/>
        </w:rPr>
        <w:t xml:space="preserve">comes </w:t>
      </w:r>
      <w:r w:rsidRPr="007A66CA">
        <w:rPr>
          <w:bCs/>
        </w:rPr>
        <w:t xml:space="preserve">to </w:t>
      </w:r>
      <w:r w:rsidR="0040348E">
        <w:t>$41,837.28</w:t>
      </w:r>
    </w:p>
    <w:p w:rsidR="002C74C8" w:rsidP="002C74C8" w:rsidRDefault="002C74C8" w14:paraId="4828BA01" w14:textId="77777777">
      <w:pPr>
        <w:keepNext/>
        <w:rPr>
          <w:sz w:val="22"/>
          <w:szCs w:val="22"/>
        </w:rPr>
      </w:pPr>
    </w:p>
    <w:p w:rsidRPr="004B0B18" w:rsidR="002C74C8" w:rsidP="002C74C8" w:rsidRDefault="002C74C8" w14:paraId="5D7495DF" w14:textId="1A9294DD">
      <w:pPr>
        <w:pStyle w:val="NORCCaption-Exhibit"/>
        <w:pBdr>
          <w:top w:val="single" w:color="BFB6AC" w:sz="4" w:space="0"/>
        </w:pBdr>
        <w:spacing w:before="100" w:beforeAutospacing="1" w:line="276" w:lineRule="auto"/>
        <w:rPr>
          <w:rStyle w:val="NORCCaption-Color"/>
          <w:color w:val="000000" w:themeColor="text1"/>
        </w:rPr>
      </w:pPr>
      <w:r w:rsidRPr="004B0B18">
        <w:rPr>
          <w:rStyle w:val="NORCCaption-Color"/>
          <w:color w:val="000000" w:themeColor="text1"/>
        </w:rPr>
        <w:t xml:space="preserve">Exhibit </w:t>
      </w:r>
      <w:r>
        <w:rPr>
          <w:rStyle w:val="NORCCaption-Color"/>
          <w:color w:val="000000" w:themeColor="text1"/>
        </w:rPr>
        <w:t>4</w:t>
      </w:r>
      <w:r w:rsidRPr="004B0B18">
        <w:rPr>
          <w:rStyle w:val="NORCCaption-Color"/>
          <w:color w:val="000000" w:themeColor="text1"/>
        </w:rPr>
        <w:t>. Estimated Annualized Cost Burden</w:t>
      </w:r>
    </w:p>
    <w:tbl>
      <w:tblPr>
        <w:tblW w:w="5000" w:type="pct"/>
        <w:tblInd w:w="-75" w:type="dxa"/>
        <w:tblLayout w:type="fixed"/>
        <w:tblCellMar>
          <w:left w:w="29" w:type="dxa"/>
          <w:right w:w="29" w:type="dxa"/>
        </w:tblCellMar>
        <w:tblLook w:val="04A0" w:firstRow="1" w:lastRow="0" w:firstColumn="1" w:lastColumn="0" w:noHBand="0" w:noVBand="1"/>
      </w:tblPr>
      <w:tblGrid>
        <w:gridCol w:w="3759"/>
        <w:gridCol w:w="1216"/>
        <w:gridCol w:w="1215"/>
        <w:gridCol w:w="1215"/>
        <w:gridCol w:w="1215"/>
      </w:tblGrid>
      <w:tr w:rsidRPr="00744949" w:rsidR="002C74C8" w:rsidTr="00DB7166" w14:paraId="60364A76" w14:textId="77777777">
        <w:trPr>
          <w:cantSplit/>
          <w:trHeight w:val="838"/>
        </w:trPr>
        <w:tc>
          <w:tcPr>
            <w:tcW w:w="2180" w:type="pct"/>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744949" w:rsidR="002C74C8" w:rsidP="002C74C8" w:rsidRDefault="002C74C8" w14:paraId="5CA68039" w14:textId="77777777">
            <w:pPr>
              <w:keepNext/>
              <w:jc w:val="center"/>
              <w:rPr>
                <w:b/>
                <w:color w:val="000000"/>
                <w:sz w:val="20"/>
                <w:szCs w:val="20"/>
              </w:rPr>
            </w:pPr>
            <w:r w:rsidRPr="00744949">
              <w:rPr>
                <w:b/>
                <w:color w:val="000000"/>
                <w:sz w:val="20"/>
                <w:szCs w:val="20"/>
              </w:rPr>
              <w:t>Form name</w:t>
            </w:r>
          </w:p>
        </w:tc>
        <w:tc>
          <w:tcPr>
            <w:tcW w:w="705" w:type="pct"/>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744949" w:rsidR="002C74C8" w:rsidP="002C74C8" w:rsidRDefault="002C74C8" w14:paraId="7A920057" w14:textId="77777777">
            <w:pPr>
              <w:keepNext/>
              <w:jc w:val="center"/>
              <w:rPr>
                <w:b/>
                <w:color w:val="000000"/>
                <w:sz w:val="20"/>
                <w:szCs w:val="20"/>
              </w:rPr>
            </w:pPr>
            <w:r w:rsidRPr="00744949">
              <w:rPr>
                <w:b/>
                <w:color w:val="000000"/>
                <w:sz w:val="20"/>
                <w:szCs w:val="20"/>
              </w:rPr>
              <w:t xml:space="preserve">Number of </w:t>
            </w:r>
            <w:r>
              <w:rPr>
                <w:b/>
                <w:color w:val="000000"/>
                <w:sz w:val="20"/>
                <w:szCs w:val="20"/>
              </w:rPr>
              <w:t>respondents</w:t>
            </w:r>
          </w:p>
        </w:tc>
        <w:tc>
          <w:tcPr>
            <w:tcW w:w="705" w:type="pct"/>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744949" w:rsidR="002C74C8" w:rsidP="002C74C8" w:rsidRDefault="002C74C8" w14:paraId="4E24108D" w14:textId="77777777">
            <w:pPr>
              <w:keepNext/>
              <w:jc w:val="center"/>
              <w:rPr>
                <w:b/>
                <w:color w:val="000000"/>
                <w:sz w:val="20"/>
                <w:szCs w:val="20"/>
              </w:rPr>
            </w:pPr>
            <w:r w:rsidRPr="00744949">
              <w:rPr>
                <w:b/>
                <w:color w:val="000000"/>
                <w:sz w:val="20"/>
                <w:szCs w:val="20"/>
              </w:rPr>
              <w:t>Total</w:t>
            </w:r>
          </w:p>
          <w:p w:rsidRPr="00744949" w:rsidR="002C74C8" w:rsidP="002C74C8" w:rsidRDefault="002C74C8" w14:paraId="589BD04E" w14:textId="77777777">
            <w:pPr>
              <w:keepNext/>
              <w:jc w:val="center"/>
              <w:rPr>
                <w:b/>
                <w:color w:val="000000"/>
                <w:sz w:val="20"/>
                <w:szCs w:val="20"/>
              </w:rPr>
            </w:pPr>
            <w:r w:rsidRPr="00744949">
              <w:rPr>
                <w:b/>
                <w:color w:val="000000"/>
                <w:sz w:val="20"/>
                <w:szCs w:val="20"/>
              </w:rPr>
              <w:t>burden hours</w:t>
            </w:r>
          </w:p>
        </w:tc>
        <w:tc>
          <w:tcPr>
            <w:tcW w:w="705" w:type="pct"/>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744949" w:rsidR="002C74C8" w:rsidP="002C74C8" w:rsidRDefault="002C74C8" w14:paraId="6C932D6E" w14:textId="77777777">
            <w:pPr>
              <w:keepNext/>
              <w:jc w:val="center"/>
              <w:rPr>
                <w:b/>
                <w:color w:val="000000"/>
                <w:sz w:val="20"/>
                <w:szCs w:val="20"/>
              </w:rPr>
            </w:pPr>
            <w:r w:rsidRPr="00744949">
              <w:rPr>
                <w:b/>
                <w:color w:val="000000"/>
                <w:sz w:val="20"/>
                <w:szCs w:val="20"/>
              </w:rPr>
              <w:t>Average hourly wage rate**</w:t>
            </w:r>
          </w:p>
        </w:tc>
        <w:tc>
          <w:tcPr>
            <w:tcW w:w="705" w:type="pct"/>
            <w:tcBorders>
              <w:top w:val="single" w:color="auto" w:sz="8" w:space="0"/>
              <w:left w:val="nil"/>
              <w:bottom w:val="single" w:color="auto" w:sz="8" w:space="0"/>
              <w:right w:val="single" w:color="auto" w:sz="8" w:space="0"/>
            </w:tcBorders>
            <w:shd w:val="clear" w:color="auto" w:fill="auto"/>
            <w:tcMar>
              <w:top w:w="15" w:type="dxa"/>
              <w:left w:w="15" w:type="dxa"/>
              <w:bottom w:w="0" w:type="dxa"/>
              <w:right w:w="15" w:type="dxa"/>
            </w:tcMar>
            <w:vAlign w:val="center"/>
          </w:tcPr>
          <w:p w:rsidRPr="00744949" w:rsidR="002C74C8" w:rsidP="002C74C8" w:rsidRDefault="002C74C8" w14:paraId="6542C0C8" w14:textId="77777777">
            <w:pPr>
              <w:keepNext/>
              <w:jc w:val="center"/>
              <w:rPr>
                <w:b/>
                <w:color w:val="000000"/>
                <w:sz w:val="20"/>
                <w:szCs w:val="20"/>
              </w:rPr>
            </w:pPr>
            <w:r w:rsidRPr="00744949">
              <w:rPr>
                <w:b/>
                <w:color w:val="000000"/>
                <w:sz w:val="20"/>
                <w:szCs w:val="20"/>
              </w:rPr>
              <w:t>Total</w:t>
            </w:r>
          </w:p>
          <w:p w:rsidRPr="00744949" w:rsidR="002C74C8" w:rsidP="002C74C8" w:rsidRDefault="002C74C8" w14:paraId="4CEAA12E" w14:textId="77777777">
            <w:pPr>
              <w:keepNext/>
              <w:jc w:val="center"/>
              <w:rPr>
                <w:b/>
                <w:color w:val="000000"/>
                <w:sz w:val="20"/>
                <w:szCs w:val="20"/>
              </w:rPr>
            </w:pPr>
            <w:r w:rsidRPr="00744949">
              <w:rPr>
                <w:b/>
                <w:color w:val="000000"/>
                <w:sz w:val="20"/>
                <w:szCs w:val="20"/>
              </w:rPr>
              <w:t>cost burden</w:t>
            </w:r>
          </w:p>
        </w:tc>
      </w:tr>
      <w:tr w:rsidRPr="00744949" w:rsidR="00EC2402" w:rsidTr="006058F8" w14:paraId="1AE3C7C1" w14:textId="77777777">
        <w:trPr>
          <w:cantSplit/>
          <w:trHeight w:val="288"/>
        </w:trPr>
        <w:tc>
          <w:tcPr>
            <w:tcW w:w="2180"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E401FF" w:rsidR="00EC2402" w:rsidP="00EC2402" w:rsidRDefault="00EC2402" w14:paraId="1DD36829" w14:textId="54B08F02">
            <w:pPr>
              <w:ind w:left="140"/>
              <w:rPr>
                <w:sz w:val="22"/>
                <w:szCs w:val="22"/>
                <w:highlight w:val="yellow"/>
              </w:rPr>
            </w:pPr>
            <w:r w:rsidRPr="00560600">
              <w:rPr>
                <w:sz w:val="22"/>
                <w:szCs w:val="22"/>
              </w:rPr>
              <w:t>Attachment B: Survey instrument - participant</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524FB7D2" w14:textId="2B3E0C5E">
            <w:pPr>
              <w:keepNext/>
              <w:jc w:val="center"/>
              <w:rPr>
                <w:color w:val="000000"/>
                <w:sz w:val="22"/>
                <w:szCs w:val="22"/>
              </w:rPr>
            </w:pPr>
            <w:r w:rsidRPr="00EC2402">
              <w:rPr>
                <w:sz w:val="22"/>
                <w:szCs w:val="22"/>
              </w:rPr>
              <w:t>1,662</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574BE5B4" w14:textId="261807FA">
            <w:pPr>
              <w:keepNext/>
              <w:jc w:val="center"/>
              <w:rPr>
                <w:color w:val="000000"/>
                <w:sz w:val="22"/>
                <w:szCs w:val="22"/>
              </w:rPr>
            </w:pPr>
            <w:r w:rsidRPr="00EC2402">
              <w:rPr>
                <w:sz w:val="22"/>
                <w:szCs w:val="22"/>
              </w:rPr>
              <w:t>548</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15B8123F" w14:textId="023B29D2">
            <w:pPr>
              <w:keepNext/>
              <w:jc w:val="center"/>
              <w:rPr>
                <w:color w:val="000000"/>
                <w:sz w:val="22"/>
                <w:szCs w:val="22"/>
                <w:highlight w:val="yellow"/>
              </w:rPr>
            </w:pPr>
            <w:r w:rsidRPr="00EC2402">
              <w:rPr>
                <w:sz w:val="22"/>
                <w:szCs w:val="22"/>
              </w:rPr>
              <w:t>$60.81</w:t>
            </w:r>
            <w:r>
              <w:rPr>
                <w:color w:val="000000"/>
                <w:vertAlign w:val="superscript"/>
              </w:rPr>
              <w:t>1</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51A0A4EC" w14:textId="33197512">
            <w:pPr>
              <w:ind w:right="170"/>
              <w:jc w:val="center"/>
              <w:rPr>
                <w:color w:val="000000"/>
                <w:sz w:val="22"/>
                <w:szCs w:val="22"/>
              </w:rPr>
            </w:pPr>
            <w:r w:rsidRPr="00EC2402">
              <w:rPr>
                <w:sz w:val="22"/>
                <w:szCs w:val="22"/>
              </w:rPr>
              <w:t xml:space="preserve">$33,323.88 </w:t>
            </w:r>
          </w:p>
        </w:tc>
      </w:tr>
      <w:tr w:rsidRPr="00744949" w:rsidR="00EC2402" w:rsidTr="006058F8" w14:paraId="44E7F283" w14:textId="77777777">
        <w:trPr>
          <w:cantSplit/>
          <w:trHeight w:val="288"/>
        </w:trPr>
        <w:tc>
          <w:tcPr>
            <w:tcW w:w="2180"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tcPr>
          <w:p w:rsidRPr="00E401FF" w:rsidR="00EC2402" w:rsidP="00EC2402" w:rsidRDefault="00EC2402" w14:paraId="6E7CB86C" w14:textId="146B130D">
            <w:pPr>
              <w:ind w:left="140"/>
              <w:rPr>
                <w:sz w:val="22"/>
                <w:szCs w:val="22"/>
              </w:rPr>
            </w:pPr>
            <w:r w:rsidRPr="00560600">
              <w:rPr>
                <w:sz w:val="22"/>
                <w:szCs w:val="22"/>
              </w:rPr>
              <w:t>Attachment B: Survey instrument - nonparticipant</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41BBFAED" w14:textId="72D32053">
            <w:pPr>
              <w:keepNext/>
              <w:jc w:val="center"/>
              <w:rPr>
                <w:color w:val="000000"/>
                <w:sz w:val="22"/>
                <w:szCs w:val="22"/>
              </w:rPr>
            </w:pPr>
            <w:r w:rsidRPr="00EC2402">
              <w:rPr>
                <w:sz w:val="22"/>
                <w:szCs w:val="22"/>
              </w:rPr>
              <w:t>556</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63961AF4" w14:textId="1C5CF2D9">
            <w:pPr>
              <w:keepNext/>
              <w:jc w:val="center"/>
              <w:rPr>
                <w:color w:val="000000"/>
                <w:sz w:val="22"/>
                <w:szCs w:val="22"/>
              </w:rPr>
            </w:pPr>
            <w:r w:rsidRPr="00EC2402">
              <w:rPr>
                <w:sz w:val="22"/>
                <w:szCs w:val="22"/>
              </w:rPr>
              <w:t>44</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10950013" w14:textId="20648E22">
            <w:pPr>
              <w:keepNext/>
              <w:jc w:val="center"/>
              <w:rPr>
                <w:color w:val="000000"/>
                <w:sz w:val="22"/>
                <w:szCs w:val="22"/>
              </w:rPr>
            </w:pPr>
            <w:r w:rsidRPr="00EC2402">
              <w:rPr>
                <w:sz w:val="22"/>
                <w:szCs w:val="22"/>
              </w:rPr>
              <w:t>$60.81</w:t>
            </w:r>
            <w:r>
              <w:rPr>
                <w:color w:val="000000"/>
                <w:vertAlign w:val="superscript"/>
              </w:rPr>
              <w:t>1</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3F308EED" w14:textId="544FB9ED">
            <w:pPr>
              <w:ind w:right="170"/>
              <w:jc w:val="center"/>
              <w:rPr>
                <w:color w:val="000000"/>
                <w:sz w:val="22"/>
                <w:szCs w:val="22"/>
              </w:rPr>
            </w:pPr>
            <w:r w:rsidRPr="00EC2402">
              <w:rPr>
                <w:sz w:val="22"/>
                <w:szCs w:val="22"/>
              </w:rPr>
              <w:t xml:space="preserve">$2,675.64 </w:t>
            </w:r>
          </w:p>
        </w:tc>
      </w:tr>
      <w:tr w:rsidRPr="00744949" w:rsidR="00EC2402" w:rsidTr="006058F8" w14:paraId="4F7DEABD" w14:textId="77777777">
        <w:trPr>
          <w:cantSplit/>
          <w:trHeight w:val="288"/>
        </w:trPr>
        <w:tc>
          <w:tcPr>
            <w:tcW w:w="2180"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center"/>
          </w:tcPr>
          <w:p w:rsidRPr="00524ABD" w:rsidR="00EC2402" w:rsidP="00EC2402" w:rsidRDefault="00EC2402" w14:paraId="0CC7BD6F" w14:textId="168A4D76">
            <w:pPr>
              <w:ind w:left="140"/>
            </w:pPr>
            <w:r>
              <w:rPr>
                <w:sz w:val="22"/>
                <w:szCs w:val="22"/>
              </w:rPr>
              <w:t>Attachment E: Nursing Home Key Informant Interview (Management)</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65BAF01D" w14:textId="4041E167">
            <w:pPr>
              <w:keepNext/>
              <w:jc w:val="center"/>
              <w:rPr>
                <w:color w:val="000000"/>
                <w:sz w:val="22"/>
                <w:szCs w:val="22"/>
              </w:rPr>
            </w:pPr>
            <w:r w:rsidRPr="00EC2402">
              <w:rPr>
                <w:sz w:val="22"/>
                <w:szCs w:val="22"/>
              </w:rPr>
              <w:t>96</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4F9A697E" w14:textId="1A15E5AA">
            <w:pPr>
              <w:keepNext/>
              <w:jc w:val="center"/>
              <w:rPr>
                <w:color w:val="000000"/>
                <w:sz w:val="22"/>
                <w:szCs w:val="22"/>
              </w:rPr>
            </w:pPr>
            <w:r w:rsidRPr="00EC2402">
              <w:rPr>
                <w:sz w:val="22"/>
                <w:szCs w:val="22"/>
              </w:rPr>
              <w:t>96</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71CDE242" w14:textId="68221C69">
            <w:pPr>
              <w:keepNext/>
              <w:jc w:val="center"/>
              <w:rPr>
                <w:color w:val="000000"/>
                <w:sz w:val="22"/>
                <w:szCs w:val="22"/>
              </w:rPr>
            </w:pPr>
            <w:r w:rsidRPr="00EC2402">
              <w:rPr>
                <w:sz w:val="22"/>
                <w:szCs w:val="22"/>
              </w:rPr>
              <w:t>$60.81</w:t>
            </w:r>
            <w:r>
              <w:rPr>
                <w:color w:val="000000"/>
                <w:vertAlign w:val="superscript"/>
              </w:rPr>
              <w:t>1</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026DF5DE" w14:textId="1A647BB7">
            <w:pPr>
              <w:ind w:right="170"/>
              <w:jc w:val="center"/>
              <w:rPr>
                <w:color w:val="000000"/>
                <w:sz w:val="22"/>
                <w:szCs w:val="22"/>
              </w:rPr>
            </w:pPr>
            <w:r w:rsidRPr="00EC2402">
              <w:rPr>
                <w:sz w:val="22"/>
                <w:szCs w:val="22"/>
              </w:rPr>
              <w:t xml:space="preserve">5,837.76 </w:t>
            </w:r>
          </w:p>
        </w:tc>
      </w:tr>
      <w:tr w:rsidRPr="00AD4663" w:rsidR="00EC2402" w:rsidTr="006058F8" w14:paraId="2DDD615C" w14:textId="77777777">
        <w:trPr>
          <w:cantSplit/>
          <w:trHeight w:val="330"/>
        </w:trPr>
        <w:tc>
          <w:tcPr>
            <w:tcW w:w="2180" w:type="pct"/>
            <w:tcBorders>
              <w:top w:val="nil"/>
              <w:left w:val="single" w:color="auto" w:sz="8" w:space="0"/>
              <w:bottom w:val="single" w:color="auto" w:sz="8" w:space="0"/>
              <w:right w:val="single" w:color="auto" w:sz="8" w:space="0"/>
            </w:tcBorders>
            <w:shd w:val="clear" w:color="auto" w:fill="auto"/>
            <w:tcMar>
              <w:top w:w="15" w:type="dxa"/>
              <w:left w:w="15" w:type="dxa"/>
              <w:bottom w:w="0" w:type="dxa"/>
              <w:right w:w="15" w:type="dxa"/>
            </w:tcMar>
            <w:vAlign w:val="bottom"/>
          </w:tcPr>
          <w:p w:rsidRPr="00AD4663" w:rsidR="00EC2402" w:rsidP="00EC2402" w:rsidRDefault="00EC2402" w14:paraId="3AD5AA42" w14:textId="77777777">
            <w:pPr>
              <w:keepNext/>
              <w:ind w:left="140"/>
              <w:rPr>
                <w:b/>
                <w:bCs/>
                <w:color w:val="000000"/>
                <w:sz w:val="22"/>
                <w:szCs w:val="22"/>
              </w:rPr>
            </w:pPr>
            <w:r w:rsidRPr="00AD4663">
              <w:rPr>
                <w:b/>
                <w:sz w:val="22"/>
                <w:szCs w:val="22"/>
              </w:rPr>
              <w:t>Total</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31F17613" w14:textId="1C09680C">
            <w:pPr>
              <w:keepNext/>
              <w:jc w:val="center"/>
              <w:rPr>
                <w:sz w:val="22"/>
                <w:szCs w:val="22"/>
              </w:rPr>
            </w:pPr>
            <w:r w:rsidRPr="00EC2402">
              <w:rPr>
                <w:sz w:val="22"/>
                <w:szCs w:val="22"/>
              </w:rPr>
              <w:t>2,314</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174B976A" w14:textId="2FE94F1B">
            <w:pPr>
              <w:keepNext/>
              <w:jc w:val="center"/>
              <w:rPr>
                <w:sz w:val="22"/>
                <w:szCs w:val="22"/>
              </w:rPr>
            </w:pPr>
            <w:r w:rsidRPr="00EC2402">
              <w:rPr>
                <w:sz w:val="22"/>
                <w:szCs w:val="22"/>
              </w:rPr>
              <w:t>688</w:t>
            </w: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49FC6F2F" w14:textId="77777777">
            <w:pPr>
              <w:keepNext/>
              <w:jc w:val="center"/>
              <w:rPr>
                <w:sz w:val="22"/>
                <w:szCs w:val="22"/>
              </w:rPr>
            </w:pPr>
          </w:p>
        </w:tc>
        <w:tc>
          <w:tcPr>
            <w:tcW w:w="705" w:type="pct"/>
            <w:tcBorders>
              <w:top w:val="nil"/>
              <w:left w:val="nil"/>
              <w:bottom w:val="single" w:color="auto" w:sz="8" w:space="0"/>
              <w:right w:val="single" w:color="auto" w:sz="8" w:space="0"/>
            </w:tcBorders>
            <w:shd w:val="clear" w:color="auto" w:fill="auto"/>
            <w:tcMar>
              <w:top w:w="15" w:type="dxa"/>
              <w:left w:w="15" w:type="dxa"/>
              <w:bottom w:w="0" w:type="dxa"/>
              <w:right w:w="15" w:type="dxa"/>
            </w:tcMar>
          </w:tcPr>
          <w:p w:rsidRPr="00EC2402" w:rsidR="00EC2402" w:rsidP="00EC2402" w:rsidRDefault="00EC2402" w14:paraId="74424852" w14:textId="3D5F114B">
            <w:pPr>
              <w:ind w:right="170"/>
              <w:jc w:val="center"/>
              <w:rPr>
                <w:sz w:val="22"/>
                <w:szCs w:val="22"/>
              </w:rPr>
            </w:pPr>
            <w:r w:rsidRPr="00EC2402">
              <w:rPr>
                <w:sz w:val="22"/>
                <w:szCs w:val="22"/>
              </w:rPr>
              <w:t>$41,837.28</w:t>
            </w:r>
          </w:p>
        </w:tc>
      </w:tr>
    </w:tbl>
    <w:p w:rsidRPr="00AD4663" w:rsidR="002C74C8" w:rsidP="002C74C8" w:rsidRDefault="002C74C8" w14:paraId="20ECCBBC" w14:textId="77777777">
      <w:pPr>
        <w:rPr>
          <w:color w:val="000000"/>
          <w:sz w:val="20"/>
          <w:szCs w:val="20"/>
        </w:rPr>
      </w:pPr>
    </w:p>
    <w:p w:rsidRPr="00744949" w:rsidR="002C74C8" w:rsidP="002C74C8" w:rsidRDefault="002C74C8" w14:paraId="37509F73" w14:textId="58E48644">
      <w:pPr>
        <w:rPr>
          <w:sz w:val="20"/>
          <w:szCs w:val="20"/>
        </w:rPr>
      </w:pPr>
      <w:r w:rsidRPr="00AD4663">
        <w:rPr>
          <w:color w:val="000000"/>
          <w:sz w:val="20"/>
          <w:szCs w:val="20"/>
        </w:rPr>
        <w:t>**Wage rates were calculated using the mean hourly wage from the U.S. Department of Labor, Bureau</w:t>
      </w:r>
      <w:r w:rsidRPr="00744949">
        <w:rPr>
          <w:color w:val="000000"/>
          <w:sz w:val="20"/>
          <w:szCs w:val="20"/>
        </w:rPr>
        <w:t xml:space="preserve"> of Labor Statistics, May 20</w:t>
      </w:r>
      <w:r w:rsidR="00E401FF">
        <w:rPr>
          <w:color w:val="000000"/>
          <w:sz w:val="20"/>
          <w:szCs w:val="20"/>
        </w:rPr>
        <w:t>20</w:t>
      </w:r>
      <w:r w:rsidRPr="00744949">
        <w:rPr>
          <w:color w:val="000000"/>
          <w:sz w:val="20"/>
          <w:szCs w:val="20"/>
        </w:rPr>
        <w:t xml:space="preserve"> National Occupational Employment and Wage Estimates for the United States, </w:t>
      </w:r>
      <w:hyperlink w:history="1" r:id="rId8">
        <w:r w:rsidRPr="00C25336">
          <w:rPr>
            <w:rStyle w:val="Hyperlink"/>
            <w:sz w:val="20"/>
            <w:szCs w:val="20"/>
          </w:rPr>
          <w:t>https://www.bls.gov/oes/current/oes_nat.htm</w:t>
        </w:r>
      </w:hyperlink>
    </w:p>
    <w:p w:rsidR="002C74C8" w:rsidP="002C74C8" w:rsidRDefault="002C74C8" w14:paraId="2B01C270" w14:textId="77777777">
      <w:pPr>
        <w:rPr>
          <w:sz w:val="20"/>
          <w:szCs w:val="20"/>
        </w:rPr>
      </w:pPr>
      <w:r w:rsidRPr="00744949">
        <w:rPr>
          <w:sz w:val="20"/>
          <w:szCs w:val="20"/>
          <w:vertAlign w:val="superscript"/>
        </w:rPr>
        <w:t xml:space="preserve">1 </w:t>
      </w:r>
      <w:r w:rsidRPr="00C25336">
        <w:rPr>
          <w:sz w:val="20"/>
          <w:szCs w:val="20"/>
        </w:rPr>
        <w:t xml:space="preserve">Average rate for </w:t>
      </w:r>
      <w:r>
        <w:rPr>
          <w:sz w:val="20"/>
          <w:szCs w:val="20"/>
        </w:rPr>
        <w:t>Nursing Care Facilities: Management Occupations</w:t>
      </w:r>
    </w:p>
    <w:p w:rsidRPr="00C25336" w:rsidR="00E401FF" w:rsidP="00E401FF" w:rsidRDefault="00E401FF" w14:paraId="0E6B78C5" w14:textId="7FA8D576">
      <w:pPr>
        <w:rPr>
          <w:sz w:val="20"/>
          <w:szCs w:val="20"/>
        </w:rPr>
      </w:pPr>
    </w:p>
    <w:p w:rsidR="00744949" w:rsidP="00744949" w:rsidRDefault="00744949" w14:paraId="0FFD8F6B" w14:textId="017E31CD">
      <w:pPr>
        <w:rPr>
          <w:sz w:val="20"/>
          <w:szCs w:val="20"/>
        </w:rPr>
      </w:pPr>
      <w:bookmarkStart w:name="_Toc151782188" w:id="46"/>
      <w:bookmarkStart w:name="_Toc158526228" w:id="47"/>
    </w:p>
    <w:p w:rsidRPr="00412C6F" w:rsidR="009B633D" w:rsidP="009B633D" w:rsidRDefault="009B633D" w14:paraId="2B73AB7D" w14:textId="77777777">
      <w:pPr>
        <w:pStyle w:val="Heading2"/>
        <w:rPr>
          <w:sz w:val="24"/>
        </w:rPr>
      </w:pPr>
      <w:bookmarkStart w:name="_Toc83639758" w:id="48"/>
      <w:r w:rsidRPr="00412C6F">
        <w:rPr>
          <w:sz w:val="24"/>
        </w:rPr>
        <w:t>13. Estimates of Annualized Respondent Capital and Maintenance Costs</w:t>
      </w:r>
      <w:bookmarkEnd w:id="46"/>
      <w:bookmarkEnd w:id="47"/>
      <w:bookmarkEnd w:id="48"/>
    </w:p>
    <w:p w:rsidR="009C4881" w:rsidP="00AD4663" w:rsidRDefault="00C205C8" w14:paraId="388DC8AC" w14:textId="724E160E">
      <w:pPr>
        <w:spacing w:before="120"/>
      </w:pPr>
      <w:r>
        <w:t>T</w:t>
      </w:r>
      <w:r w:rsidR="0080612B">
        <w:t xml:space="preserve">here are no direct costs to respondents other than their time to participate in the </w:t>
      </w:r>
      <w:r w:rsidR="004D1AFC">
        <w:t>interview</w:t>
      </w:r>
      <w:r w:rsidR="0080612B">
        <w:t>.</w:t>
      </w:r>
    </w:p>
    <w:p w:rsidR="009B633D" w:rsidP="009B633D" w:rsidRDefault="009B633D" w14:paraId="325839A3" w14:textId="77777777">
      <w:pPr>
        <w:pStyle w:val="Heading2"/>
        <w:rPr>
          <w:sz w:val="24"/>
        </w:rPr>
      </w:pPr>
      <w:bookmarkStart w:name="_Toc58725299" w:id="49"/>
      <w:bookmarkStart w:name="_Toc151782189" w:id="50"/>
      <w:bookmarkStart w:name="_Toc158526229" w:id="51"/>
      <w:bookmarkStart w:name="_Toc83639759" w:id="52"/>
      <w:r w:rsidRPr="00412C6F">
        <w:rPr>
          <w:sz w:val="24"/>
        </w:rPr>
        <w:t xml:space="preserve">14. Estimates of </w:t>
      </w:r>
      <w:r w:rsidR="00DA79B5">
        <w:rPr>
          <w:sz w:val="24"/>
        </w:rPr>
        <w:t xml:space="preserve">Total and </w:t>
      </w:r>
      <w:r w:rsidRPr="00412C6F">
        <w:rPr>
          <w:sz w:val="24"/>
        </w:rPr>
        <w:t>Annualized Cost to the Government</w:t>
      </w:r>
      <w:bookmarkEnd w:id="49"/>
      <w:bookmarkEnd w:id="50"/>
      <w:bookmarkEnd w:id="51"/>
      <w:bookmarkEnd w:id="52"/>
    </w:p>
    <w:p w:rsidR="00063E36" w:rsidP="00063E36" w:rsidRDefault="00063E36" w14:paraId="7DA8032B" w14:textId="77777777"/>
    <w:p w:rsidRPr="00063E36" w:rsidR="00063E36" w:rsidP="00063E36" w:rsidRDefault="00063E36" w14:paraId="36EF9E03" w14:textId="3BE29B67">
      <w:r w:rsidRPr="007657D6">
        <w:rPr>
          <w:bCs/>
        </w:rPr>
        <w:t xml:space="preserve">The estimated total cost to the Federal Government </w:t>
      </w:r>
      <w:r w:rsidR="007657D6">
        <w:rPr>
          <w:bCs/>
        </w:rPr>
        <w:t xml:space="preserve">for </w:t>
      </w:r>
      <w:r w:rsidR="0070732E">
        <w:rPr>
          <w:bCs/>
        </w:rPr>
        <w:t xml:space="preserve">developing, programming, and administering the nursing home surveys, </w:t>
      </w:r>
      <w:r w:rsidR="007657D6">
        <w:rPr>
          <w:bCs/>
        </w:rPr>
        <w:t xml:space="preserve">developing the key informant interview guides, key informant data collection, and conducting the analysis </w:t>
      </w:r>
      <w:r w:rsidRPr="00B70DD3" w:rsidR="004D1AFC">
        <w:rPr>
          <w:bCs/>
        </w:rPr>
        <w:t>is $</w:t>
      </w:r>
      <w:r w:rsidRPr="00B70DD3" w:rsidR="00B70DD3">
        <w:rPr>
          <w:bCs/>
        </w:rPr>
        <w:t>810</w:t>
      </w:r>
      <w:r w:rsidR="00CF1F13">
        <w:rPr>
          <w:bCs/>
        </w:rPr>
        <w:t>,</w:t>
      </w:r>
      <w:r w:rsidR="00B70DD3">
        <w:rPr>
          <w:bCs/>
        </w:rPr>
        <w:t>101</w:t>
      </w:r>
      <w:r w:rsidRPr="007657D6" w:rsidR="00550174">
        <w:rPr>
          <w:bCs/>
        </w:rPr>
        <w:t>.</w:t>
      </w:r>
      <w:r w:rsidRPr="007657D6">
        <w:rPr>
          <w:bCs/>
        </w:rPr>
        <w:t xml:space="preserve"> Exhibit </w:t>
      </w:r>
      <w:r w:rsidR="001A24AA">
        <w:rPr>
          <w:bCs/>
        </w:rPr>
        <w:t>7a</w:t>
      </w:r>
      <w:r w:rsidRPr="007657D6" w:rsidR="001A24AA">
        <w:rPr>
          <w:bCs/>
        </w:rPr>
        <w:t xml:space="preserve"> </w:t>
      </w:r>
      <w:r w:rsidRPr="007657D6">
        <w:rPr>
          <w:bCs/>
        </w:rPr>
        <w:t>provides a breakdown of the estimated total and average annual costs by category.</w:t>
      </w:r>
      <w:r w:rsidRPr="00063E36" w:rsidDel="00CB1733">
        <w:t xml:space="preserve"> </w:t>
      </w:r>
    </w:p>
    <w:p w:rsidRPr="00AA5479" w:rsidR="00012FB9" w:rsidP="001700D8" w:rsidRDefault="00012FB9" w14:paraId="09990E14" w14:textId="4582C724">
      <w:pPr>
        <w:pStyle w:val="NORCCaption-Exhibit"/>
        <w:pBdr>
          <w:top w:val="single" w:color="BFB6AC" w:sz="4" w:space="0"/>
        </w:pBdr>
        <w:spacing w:before="100" w:beforeAutospacing="1" w:line="276" w:lineRule="auto"/>
        <w:rPr>
          <w:rStyle w:val="NORCCaption-Color"/>
          <w:color w:val="000000" w:themeColor="text1"/>
        </w:rPr>
      </w:pPr>
      <w:bookmarkStart w:name="_Toc151782190" w:id="53"/>
      <w:bookmarkStart w:name="_Toc158526230" w:id="54"/>
      <w:r w:rsidRPr="00AA5479">
        <w:rPr>
          <w:rStyle w:val="NORCCaption-Color"/>
          <w:color w:val="000000" w:themeColor="text1"/>
        </w:rPr>
        <w:lastRenderedPageBreak/>
        <w:t xml:space="preserve">Exhibit </w:t>
      </w:r>
      <w:r w:rsidR="001A24AA">
        <w:rPr>
          <w:rStyle w:val="NORCCaption-Color"/>
          <w:color w:val="000000" w:themeColor="text1"/>
        </w:rPr>
        <w:t>7a</w:t>
      </w:r>
      <w:r w:rsidRPr="00AA5479">
        <w:rPr>
          <w:rStyle w:val="NORCCaption-Color"/>
          <w:color w:val="000000" w:themeColor="text1"/>
        </w:rPr>
        <w:t>.</w:t>
      </w:r>
      <w:r w:rsidR="0041780A">
        <w:rPr>
          <w:rStyle w:val="NORCCaption-Color"/>
          <w:color w:val="000000" w:themeColor="text1"/>
        </w:rPr>
        <w:t xml:space="preserve"> </w:t>
      </w:r>
      <w:r w:rsidRPr="00AA5479">
        <w:rPr>
          <w:rStyle w:val="NORCCaption-Color"/>
          <w:color w:val="000000" w:themeColor="text1"/>
        </w:rPr>
        <w:t>Estimated</w:t>
      </w:r>
      <w:r w:rsidRPr="00AA5479" w:rsidR="00FD1D9C">
        <w:rPr>
          <w:rStyle w:val="NORCCaption-Color"/>
          <w:color w:val="000000" w:themeColor="text1"/>
        </w:rPr>
        <w:t xml:space="preserve"> Total and Annualized</w:t>
      </w:r>
      <w:r w:rsidRPr="00AA5479">
        <w:rPr>
          <w:rStyle w:val="NORCCaption-Color"/>
          <w:color w:val="000000" w:themeColor="text1"/>
        </w:rPr>
        <w:t xml:space="preserve"> Cost</w:t>
      </w:r>
    </w:p>
    <w:tbl>
      <w:tblPr>
        <w:tblW w:w="8522" w:type="dxa"/>
        <w:tblInd w:w="108" w:type="dxa"/>
        <w:tblCellMar>
          <w:left w:w="0" w:type="dxa"/>
          <w:right w:w="0" w:type="dxa"/>
        </w:tblCellMar>
        <w:tblLook w:val="0000" w:firstRow="0" w:lastRow="0" w:firstColumn="0" w:lastColumn="0" w:noHBand="0" w:noVBand="0"/>
      </w:tblPr>
      <w:tblGrid>
        <w:gridCol w:w="5192"/>
        <w:gridCol w:w="1530"/>
        <w:gridCol w:w="1800"/>
      </w:tblGrid>
      <w:tr w:rsidR="00012FB9" w:rsidTr="00E907B3" w14:paraId="09C8202E" w14:textId="77777777">
        <w:tc>
          <w:tcPr>
            <w:tcW w:w="5192"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E907B3" w:rsidR="00012FB9" w:rsidP="00012FB9" w:rsidRDefault="00012FB9" w14:paraId="4FBDBA48" w14:textId="77777777">
            <w:pPr>
              <w:rPr>
                <w:b/>
                <w:sz w:val="22"/>
                <w:szCs w:val="22"/>
              </w:rPr>
            </w:pPr>
            <w:r w:rsidRPr="00E907B3">
              <w:rPr>
                <w:b/>
                <w:color w:val="000000"/>
                <w:sz w:val="22"/>
                <w:szCs w:val="22"/>
              </w:rPr>
              <w:t xml:space="preserve">Cost Component </w:t>
            </w:r>
          </w:p>
        </w:tc>
        <w:tc>
          <w:tcPr>
            <w:tcW w:w="153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012FB9" w:rsidP="001A28C0" w:rsidRDefault="00012FB9" w14:paraId="3CA02BA8" w14:textId="77777777">
            <w:pPr>
              <w:jc w:val="center"/>
              <w:rPr>
                <w:b/>
                <w:sz w:val="22"/>
                <w:szCs w:val="22"/>
              </w:rPr>
            </w:pPr>
            <w:r w:rsidRPr="00E907B3">
              <w:rPr>
                <w:b/>
                <w:sz w:val="22"/>
                <w:szCs w:val="22"/>
              </w:rPr>
              <w:t>Total Cost</w:t>
            </w:r>
          </w:p>
        </w:tc>
        <w:tc>
          <w:tcPr>
            <w:tcW w:w="180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012FB9" w:rsidP="001A28C0" w:rsidRDefault="00012FB9" w14:paraId="67B79B27" w14:textId="77777777">
            <w:pPr>
              <w:jc w:val="center"/>
              <w:rPr>
                <w:b/>
                <w:sz w:val="22"/>
                <w:szCs w:val="22"/>
              </w:rPr>
            </w:pPr>
            <w:r w:rsidRPr="00E907B3">
              <w:rPr>
                <w:b/>
                <w:sz w:val="22"/>
                <w:szCs w:val="22"/>
              </w:rPr>
              <w:t>Annualized Cost</w:t>
            </w:r>
          </w:p>
        </w:tc>
      </w:tr>
      <w:tr w:rsidR="00B70DD3" w:rsidTr="00E907B3" w14:paraId="27BAD422" w14:textId="77777777">
        <w:tc>
          <w:tcPr>
            <w:tcW w:w="51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63CAE95D" w14:textId="41BCC3C2">
            <w:pPr>
              <w:rPr>
                <w:sz w:val="22"/>
                <w:szCs w:val="22"/>
              </w:rPr>
            </w:pPr>
            <w:r w:rsidRPr="00E907B3">
              <w:rPr>
                <w:sz w:val="22"/>
                <w:szCs w:val="22"/>
              </w:rPr>
              <w:t>Conduct survey and follow-up and analyze results</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7A678639" w14:textId="1E34EF4E">
            <w:pPr>
              <w:jc w:val="center"/>
              <w:rPr>
                <w:bCs/>
                <w:color w:val="000000"/>
                <w:sz w:val="22"/>
                <w:szCs w:val="22"/>
                <w:highlight w:val="yellow"/>
              </w:rPr>
            </w:pPr>
            <w:r w:rsidRPr="00E907B3">
              <w:rPr>
                <w:sz w:val="22"/>
                <w:szCs w:val="22"/>
              </w:rPr>
              <w:t>$725,000</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7095390E" w14:textId="2F3B158C">
            <w:pPr>
              <w:jc w:val="center"/>
              <w:rPr>
                <w:bCs/>
                <w:color w:val="000000"/>
                <w:sz w:val="22"/>
                <w:szCs w:val="22"/>
                <w:highlight w:val="yellow"/>
              </w:rPr>
            </w:pPr>
            <w:r w:rsidRPr="00E907B3">
              <w:rPr>
                <w:sz w:val="22"/>
                <w:szCs w:val="22"/>
              </w:rPr>
              <w:t>$725,000</w:t>
            </w:r>
          </w:p>
        </w:tc>
      </w:tr>
      <w:tr w:rsidR="00B70DD3" w:rsidTr="00E907B3" w14:paraId="2BA2E8D6" w14:textId="77777777">
        <w:tc>
          <w:tcPr>
            <w:tcW w:w="51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5D874599" w14:textId="38997CB0">
            <w:pPr>
              <w:rPr>
                <w:sz w:val="22"/>
                <w:szCs w:val="22"/>
              </w:rPr>
            </w:pPr>
            <w:r w:rsidRPr="00E907B3">
              <w:rPr>
                <w:sz w:val="22"/>
                <w:szCs w:val="22"/>
              </w:rPr>
              <w:t xml:space="preserve">Development of Assessment Plan and Key Informant Interview Guides </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2985E3F6" w14:textId="56955653">
            <w:pPr>
              <w:jc w:val="center"/>
              <w:rPr>
                <w:bCs/>
                <w:color w:val="000000"/>
                <w:sz w:val="22"/>
                <w:szCs w:val="22"/>
              </w:rPr>
            </w:pPr>
            <w:r w:rsidRPr="00E907B3">
              <w:rPr>
                <w:sz w:val="22"/>
                <w:szCs w:val="22"/>
              </w:rPr>
              <w:t>$21,275</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108724FE" w14:textId="1C2493DC">
            <w:pPr>
              <w:jc w:val="center"/>
              <w:rPr>
                <w:bCs/>
                <w:color w:val="000000"/>
                <w:sz w:val="22"/>
                <w:szCs w:val="22"/>
              </w:rPr>
            </w:pPr>
            <w:r w:rsidRPr="00E907B3">
              <w:rPr>
                <w:sz w:val="22"/>
                <w:szCs w:val="22"/>
              </w:rPr>
              <w:t>$21,275</w:t>
            </w:r>
          </w:p>
        </w:tc>
      </w:tr>
      <w:tr w:rsidR="00B70DD3" w:rsidTr="00E907B3" w14:paraId="04548295" w14:textId="77777777">
        <w:tc>
          <w:tcPr>
            <w:tcW w:w="51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23CB14F0" w14:textId="7D951212">
            <w:pPr>
              <w:rPr>
                <w:sz w:val="22"/>
                <w:szCs w:val="22"/>
              </w:rPr>
            </w:pPr>
            <w:r w:rsidRPr="00E907B3">
              <w:rPr>
                <w:sz w:val="22"/>
                <w:szCs w:val="22"/>
              </w:rPr>
              <w:t>Conduct Key Informant Interviews and Analyze Results</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40EF01B2" w14:textId="092E1AE7">
            <w:pPr>
              <w:jc w:val="center"/>
              <w:rPr>
                <w:bCs/>
                <w:color w:val="000000"/>
                <w:sz w:val="22"/>
                <w:szCs w:val="22"/>
              </w:rPr>
            </w:pPr>
            <w:r w:rsidRPr="00E907B3">
              <w:rPr>
                <w:sz w:val="22"/>
                <w:szCs w:val="22"/>
              </w:rPr>
              <w:t>$63,826</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2C20E095" w14:textId="24B41701">
            <w:pPr>
              <w:jc w:val="center"/>
              <w:rPr>
                <w:bCs/>
                <w:color w:val="000000"/>
                <w:sz w:val="22"/>
                <w:szCs w:val="22"/>
              </w:rPr>
            </w:pPr>
            <w:r w:rsidRPr="00E907B3">
              <w:rPr>
                <w:sz w:val="22"/>
                <w:szCs w:val="22"/>
              </w:rPr>
              <w:t>$63,826</w:t>
            </w:r>
          </w:p>
        </w:tc>
      </w:tr>
      <w:tr w:rsidR="00B70DD3" w:rsidTr="00E907B3" w14:paraId="416B544B" w14:textId="77777777">
        <w:tc>
          <w:tcPr>
            <w:tcW w:w="5192"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6F1FE865" w14:textId="77777777">
            <w:pPr>
              <w:rPr>
                <w:sz w:val="22"/>
                <w:szCs w:val="22"/>
              </w:rPr>
            </w:pPr>
            <w:r w:rsidRPr="00E907B3">
              <w:rPr>
                <w:b/>
                <w:bCs/>
                <w:color w:val="000000"/>
                <w:sz w:val="22"/>
                <w:szCs w:val="22"/>
              </w:rPr>
              <w:t>Total</w:t>
            </w:r>
          </w:p>
        </w:tc>
        <w:tc>
          <w:tcPr>
            <w:tcW w:w="153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362364E6" w14:textId="4A34C253">
            <w:pPr>
              <w:jc w:val="center"/>
              <w:rPr>
                <w:color w:val="000000"/>
                <w:sz w:val="22"/>
                <w:szCs w:val="22"/>
                <w:highlight w:val="yellow"/>
              </w:rPr>
            </w:pPr>
            <w:r w:rsidRPr="00E907B3">
              <w:rPr>
                <w:sz w:val="22"/>
                <w:szCs w:val="22"/>
              </w:rPr>
              <w:t>$810,101</w:t>
            </w:r>
          </w:p>
        </w:tc>
        <w:tc>
          <w:tcPr>
            <w:tcW w:w="180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907B3" w:rsidR="00B70DD3" w:rsidP="00B70DD3" w:rsidRDefault="00B70DD3" w14:paraId="06E2AF4A" w14:textId="28437FEE">
            <w:pPr>
              <w:jc w:val="center"/>
              <w:rPr>
                <w:bCs/>
                <w:color w:val="000000"/>
                <w:sz w:val="22"/>
                <w:szCs w:val="22"/>
                <w:highlight w:val="yellow"/>
              </w:rPr>
            </w:pPr>
            <w:r w:rsidRPr="00E907B3">
              <w:rPr>
                <w:sz w:val="22"/>
                <w:szCs w:val="22"/>
              </w:rPr>
              <w:t>$810,101</w:t>
            </w:r>
          </w:p>
        </w:tc>
      </w:tr>
    </w:tbl>
    <w:p w:rsidR="004C0BC9" w:rsidP="00666A1B" w:rsidRDefault="004C0BC9" w14:paraId="298EF324" w14:textId="77777777"/>
    <w:p w:rsidRPr="00AD4663" w:rsidR="00AD121B" w:rsidP="00666A1B" w:rsidRDefault="00AD121B" w14:paraId="69A2411E" w14:textId="53217DF2">
      <w:r w:rsidRPr="001700D8">
        <w:t xml:space="preserve">The estimated annual cost for AHRQ oversight of the </w:t>
      </w:r>
      <w:r w:rsidR="002E2705">
        <w:t xml:space="preserve">assessment </w:t>
      </w:r>
      <w:r w:rsidR="005A3B16">
        <w:t xml:space="preserve">is </w:t>
      </w:r>
      <w:r w:rsidR="00EB7D09">
        <w:t xml:space="preserve">shown in Exhibit </w:t>
      </w:r>
      <w:r w:rsidR="001A24AA">
        <w:t>7</w:t>
      </w:r>
      <w:r w:rsidRPr="001700D8" w:rsidR="001A24AA">
        <w:t>b</w:t>
      </w:r>
      <w:r w:rsidRPr="001700D8">
        <w:t>.</w:t>
      </w:r>
    </w:p>
    <w:p w:rsidRPr="004B0B18" w:rsidR="00AD121B" w:rsidP="001700D8" w:rsidRDefault="00AD121B" w14:paraId="60696395" w14:textId="08EEBFC3">
      <w:pPr>
        <w:pStyle w:val="NORCCaption-Exhibit"/>
        <w:pBdr>
          <w:top w:val="single" w:color="BFB6AC" w:sz="4" w:space="0"/>
        </w:pBdr>
        <w:spacing w:before="100" w:beforeAutospacing="1" w:line="276" w:lineRule="auto"/>
        <w:rPr>
          <w:rStyle w:val="NORCCaption-Color"/>
          <w:color w:val="000000" w:themeColor="text1"/>
        </w:rPr>
      </w:pPr>
      <w:r w:rsidRPr="004B0B18">
        <w:rPr>
          <w:rStyle w:val="NORCCaption-Color"/>
          <w:color w:val="000000" w:themeColor="text1"/>
        </w:rPr>
        <w:t xml:space="preserve">Exhibit </w:t>
      </w:r>
      <w:r w:rsidR="001A24AA">
        <w:rPr>
          <w:rStyle w:val="NORCCaption-Color"/>
          <w:color w:val="000000" w:themeColor="text1"/>
        </w:rPr>
        <w:t>7</w:t>
      </w:r>
      <w:r w:rsidRPr="004B0B18" w:rsidR="001A24AA">
        <w:rPr>
          <w:rStyle w:val="NORCCaption-Color"/>
          <w:color w:val="000000" w:themeColor="text1"/>
        </w:rPr>
        <w:t>b</w:t>
      </w:r>
      <w:r w:rsidRPr="004B0B18">
        <w:rPr>
          <w:rStyle w:val="NORCCaption-Color"/>
          <w:color w:val="000000" w:themeColor="text1"/>
        </w:rPr>
        <w:t>. Federal Government Personnel Cost</w:t>
      </w:r>
    </w:p>
    <w:tbl>
      <w:tblPr>
        <w:tblW w:w="5000" w:type="pct"/>
        <w:jc w:val="center"/>
        <w:tblCellMar>
          <w:left w:w="100" w:type="dxa"/>
          <w:right w:w="100" w:type="dxa"/>
        </w:tblCellMar>
        <w:tblLook w:val="04A0" w:firstRow="1" w:lastRow="0" w:firstColumn="1" w:lastColumn="0" w:noHBand="0" w:noVBand="1"/>
      </w:tblPr>
      <w:tblGrid>
        <w:gridCol w:w="2790"/>
        <w:gridCol w:w="1951"/>
        <w:gridCol w:w="1432"/>
        <w:gridCol w:w="1275"/>
        <w:gridCol w:w="1176"/>
      </w:tblGrid>
      <w:tr w:rsidR="00AD121B" w:rsidTr="00666A1B" w14:paraId="7AF1FCFB" w14:textId="77777777">
        <w:trPr>
          <w:cantSplit/>
          <w:trHeight w:val="403"/>
          <w:jc w:val="center"/>
        </w:trPr>
        <w:tc>
          <w:tcPr>
            <w:tcW w:w="1618" w:type="pct"/>
            <w:tcBorders>
              <w:top w:val="single" w:color="auto" w:sz="6" w:space="0"/>
              <w:left w:val="single" w:color="auto" w:sz="6" w:space="0"/>
              <w:bottom w:val="nil"/>
              <w:right w:val="nil"/>
            </w:tcBorders>
            <w:vAlign w:val="bottom"/>
            <w:hideMark/>
          </w:tcPr>
          <w:p w:rsidRPr="004B77C9" w:rsidR="00AD121B" w:rsidRDefault="00AD121B" w14:paraId="461E2977" w14:textId="77777777">
            <w:pPr>
              <w:jc w:val="center"/>
              <w:rPr>
                <w:b/>
                <w:bCs/>
                <w:sz w:val="22"/>
                <w:szCs w:val="22"/>
              </w:rPr>
            </w:pPr>
            <w:r w:rsidRPr="004B77C9">
              <w:rPr>
                <w:b/>
                <w:bCs/>
                <w:sz w:val="22"/>
                <w:szCs w:val="22"/>
              </w:rPr>
              <w:t>Activity</w:t>
            </w:r>
          </w:p>
        </w:tc>
        <w:tc>
          <w:tcPr>
            <w:tcW w:w="1131" w:type="pct"/>
            <w:tcBorders>
              <w:top w:val="single" w:color="auto" w:sz="6" w:space="0"/>
              <w:left w:val="single" w:color="auto" w:sz="6" w:space="0"/>
              <w:bottom w:val="single" w:color="auto" w:sz="6" w:space="0"/>
              <w:right w:val="nil"/>
            </w:tcBorders>
            <w:vAlign w:val="bottom"/>
            <w:hideMark/>
          </w:tcPr>
          <w:p w:rsidRPr="004B77C9" w:rsidR="00AD121B" w:rsidRDefault="00AD121B" w14:paraId="0E298802" w14:textId="77777777">
            <w:pPr>
              <w:jc w:val="center"/>
              <w:rPr>
                <w:b/>
                <w:bCs/>
                <w:sz w:val="22"/>
                <w:szCs w:val="22"/>
              </w:rPr>
            </w:pPr>
            <w:r w:rsidRPr="004B77C9">
              <w:rPr>
                <w:b/>
                <w:bCs/>
                <w:sz w:val="22"/>
                <w:szCs w:val="22"/>
              </w:rPr>
              <w:t>Federal Personnel</w:t>
            </w:r>
          </w:p>
        </w:tc>
        <w:tc>
          <w:tcPr>
            <w:tcW w:w="830" w:type="pct"/>
            <w:tcBorders>
              <w:top w:val="single" w:color="auto" w:sz="6" w:space="0"/>
              <w:left w:val="single" w:color="auto" w:sz="6" w:space="0"/>
              <w:bottom w:val="single" w:color="auto" w:sz="6" w:space="0"/>
              <w:right w:val="single" w:color="auto" w:sz="6" w:space="0"/>
            </w:tcBorders>
            <w:vAlign w:val="bottom"/>
            <w:hideMark/>
          </w:tcPr>
          <w:p w:rsidRPr="004B77C9" w:rsidR="00AD121B" w:rsidRDefault="00AD121B" w14:paraId="6A537D08" w14:textId="77777777">
            <w:pPr>
              <w:jc w:val="center"/>
              <w:rPr>
                <w:b/>
                <w:bCs/>
                <w:sz w:val="22"/>
                <w:szCs w:val="22"/>
              </w:rPr>
            </w:pPr>
            <w:r w:rsidRPr="004B77C9">
              <w:rPr>
                <w:b/>
                <w:bCs/>
                <w:sz w:val="22"/>
                <w:szCs w:val="22"/>
              </w:rPr>
              <w:t>Annual Salary</w:t>
            </w:r>
          </w:p>
        </w:tc>
        <w:tc>
          <w:tcPr>
            <w:tcW w:w="739" w:type="pct"/>
            <w:tcBorders>
              <w:top w:val="single" w:color="auto" w:sz="6" w:space="0"/>
              <w:left w:val="single" w:color="auto" w:sz="6" w:space="0"/>
              <w:bottom w:val="single" w:color="auto" w:sz="6" w:space="0"/>
              <w:right w:val="nil"/>
            </w:tcBorders>
            <w:vAlign w:val="bottom"/>
            <w:hideMark/>
          </w:tcPr>
          <w:p w:rsidRPr="004B77C9" w:rsidR="00AD121B" w:rsidRDefault="00AD121B" w14:paraId="1FF0809D" w14:textId="77777777">
            <w:pPr>
              <w:jc w:val="center"/>
              <w:rPr>
                <w:b/>
                <w:bCs/>
                <w:sz w:val="22"/>
                <w:szCs w:val="22"/>
              </w:rPr>
            </w:pPr>
            <w:r w:rsidRPr="004B77C9">
              <w:rPr>
                <w:b/>
                <w:bCs/>
                <w:sz w:val="22"/>
                <w:szCs w:val="22"/>
              </w:rPr>
              <w:t>% of Time</w:t>
            </w:r>
          </w:p>
        </w:tc>
        <w:tc>
          <w:tcPr>
            <w:tcW w:w="682" w:type="pct"/>
            <w:tcBorders>
              <w:top w:val="single" w:color="auto" w:sz="6" w:space="0"/>
              <w:left w:val="single" w:color="auto" w:sz="6" w:space="0"/>
              <w:bottom w:val="single" w:color="auto" w:sz="6" w:space="0"/>
              <w:right w:val="single" w:color="auto" w:sz="6" w:space="0"/>
            </w:tcBorders>
            <w:vAlign w:val="bottom"/>
            <w:hideMark/>
          </w:tcPr>
          <w:p w:rsidRPr="004B77C9" w:rsidR="00AD121B" w:rsidRDefault="00AD121B" w14:paraId="6882BF4E" w14:textId="77777777">
            <w:pPr>
              <w:jc w:val="center"/>
              <w:rPr>
                <w:b/>
                <w:bCs/>
                <w:sz w:val="22"/>
                <w:szCs w:val="22"/>
              </w:rPr>
            </w:pPr>
            <w:r w:rsidRPr="004B77C9">
              <w:rPr>
                <w:b/>
                <w:bCs/>
                <w:sz w:val="22"/>
                <w:szCs w:val="22"/>
              </w:rPr>
              <w:t>Cost</w:t>
            </w:r>
          </w:p>
        </w:tc>
      </w:tr>
      <w:tr w:rsidR="00AD121B" w:rsidTr="00666A1B" w14:paraId="4B43F999" w14:textId="77777777">
        <w:trPr>
          <w:cantSplit/>
          <w:trHeight w:val="403"/>
          <w:jc w:val="center"/>
        </w:trPr>
        <w:tc>
          <w:tcPr>
            <w:tcW w:w="1618" w:type="pct"/>
            <w:tcBorders>
              <w:top w:val="single" w:color="auto" w:sz="6" w:space="0"/>
              <w:left w:val="single" w:color="auto" w:sz="6" w:space="0"/>
              <w:bottom w:val="nil"/>
              <w:right w:val="nil"/>
            </w:tcBorders>
            <w:vAlign w:val="center"/>
          </w:tcPr>
          <w:p w:rsidRPr="004B77C9" w:rsidR="00AD121B" w:rsidRDefault="003B42D5" w14:paraId="30832DBC" w14:textId="1C271BDE">
            <w:pPr>
              <w:jc w:val="center"/>
              <w:rPr>
                <w:sz w:val="22"/>
                <w:szCs w:val="22"/>
              </w:rPr>
            </w:pPr>
            <w:r w:rsidRPr="004B77C9">
              <w:rPr>
                <w:sz w:val="22"/>
                <w:szCs w:val="22"/>
              </w:rPr>
              <w:t>Project oversight to include data collection oversight and review of results</w:t>
            </w:r>
          </w:p>
        </w:tc>
        <w:tc>
          <w:tcPr>
            <w:tcW w:w="1131" w:type="pct"/>
            <w:tcBorders>
              <w:top w:val="single" w:color="auto" w:sz="6" w:space="0"/>
              <w:left w:val="single" w:color="auto" w:sz="6" w:space="0"/>
              <w:bottom w:val="single" w:color="auto" w:sz="6" w:space="0"/>
              <w:right w:val="nil"/>
            </w:tcBorders>
            <w:vAlign w:val="center"/>
          </w:tcPr>
          <w:p w:rsidRPr="004B77C9" w:rsidR="00AD121B" w:rsidRDefault="003B42D5" w14:paraId="337E4536" w14:textId="00894CE8">
            <w:pPr>
              <w:jc w:val="center"/>
              <w:rPr>
                <w:sz w:val="22"/>
                <w:szCs w:val="22"/>
              </w:rPr>
            </w:pPr>
            <w:r w:rsidRPr="004B77C9">
              <w:rPr>
                <w:sz w:val="22"/>
                <w:szCs w:val="22"/>
              </w:rPr>
              <w:t>Project Officer (GS-14)</w:t>
            </w:r>
          </w:p>
        </w:tc>
        <w:tc>
          <w:tcPr>
            <w:tcW w:w="830" w:type="pct"/>
            <w:tcBorders>
              <w:top w:val="single" w:color="auto" w:sz="6" w:space="0"/>
              <w:left w:val="single" w:color="auto" w:sz="6" w:space="0"/>
              <w:bottom w:val="single" w:color="auto" w:sz="6" w:space="0"/>
              <w:right w:val="single" w:color="auto" w:sz="6" w:space="0"/>
            </w:tcBorders>
            <w:vAlign w:val="center"/>
          </w:tcPr>
          <w:p w:rsidRPr="004B77C9" w:rsidR="00AD121B" w:rsidP="004B77C9" w:rsidRDefault="004B77C9" w14:paraId="0E320023" w14:textId="6E78476F">
            <w:pPr>
              <w:jc w:val="center"/>
              <w:rPr>
                <w:sz w:val="22"/>
                <w:szCs w:val="22"/>
              </w:rPr>
            </w:pPr>
            <w:r w:rsidRPr="004B77C9">
              <w:rPr>
                <w:sz w:val="22"/>
                <w:szCs w:val="22"/>
              </w:rPr>
              <w:t xml:space="preserve">$ </w:t>
            </w:r>
            <w:r w:rsidRPr="004B77C9">
              <w:rPr>
                <w:sz w:val="22"/>
                <w:szCs w:val="22"/>
              </w:rPr>
              <w:t>143</w:t>
            </w:r>
            <w:r w:rsidRPr="004B77C9">
              <w:rPr>
                <w:sz w:val="22"/>
                <w:szCs w:val="22"/>
              </w:rPr>
              <w:t>,</w:t>
            </w:r>
            <w:r w:rsidRPr="004B77C9">
              <w:rPr>
                <w:sz w:val="22"/>
                <w:szCs w:val="22"/>
              </w:rPr>
              <w:t>064</w:t>
            </w:r>
          </w:p>
        </w:tc>
        <w:tc>
          <w:tcPr>
            <w:tcW w:w="739" w:type="pct"/>
            <w:tcBorders>
              <w:top w:val="single" w:color="auto" w:sz="6" w:space="0"/>
              <w:left w:val="single" w:color="auto" w:sz="6" w:space="0"/>
              <w:bottom w:val="single" w:color="auto" w:sz="6" w:space="0"/>
              <w:right w:val="nil"/>
            </w:tcBorders>
            <w:vAlign w:val="center"/>
          </w:tcPr>
          <w:p w:rsidRPr="004B77C9" w:rsidR="00AD121B" w:rsidRDefault="003B42D5" w14:paraId="2F3BF830" w14:textId="03C14DBD">
            <w:pPr>
              <w:jc w:val="center"/>
              <w:rPr>
                <w:sz w:val="22"/>
                <w:szCs w:val="22"/>
              </w:rPr>
            </w:pPr>
            <w:r w:rsidRPr="004B77C9">
              <w:rPr>
                <w:sz w:val="22"/>
                <w:szCs w:val="22"/>
              </w:rPr>
              <w:t>10</w:t>
            </w:r>
          </w:p>
        </w:tc>
        <w:tc>
          <w:tcPr>
            <w:tcW w:w="682" w:type="pct"/>
            <w:tcBorders>
              <w:top w:val="single" w:color="auto" w:sz="6" w:space="0"/>
              <w:left w:val="single" w:color="auto" w:sz="6" w:space="0"/>
              <w:bottom w:val="single" w:color="auto" w:sz="6" w:space="0"/>
              <w:right w:val="single" w:color="auto" w:sz="6" w:space="0"/>
            </w:tcBorders>
            <w:vAlign w:val="center"/>
          </w:tcPr>
          <w:p w:rsidRPr="004B77C9" w:rsidR="00AD121B" w:rsidRDefault="004B77C9" w14:paraId="2AAD0921" w14:textId="540D62F6">
            <w:pPr>
              <w:jc w:val="center"/>
              <w:rPr>
                <w:sz w:val="22"/>
                <w:szCs w:val="22"/>
              </w:rPr>
            </w:pPr>
            <w:r w:rsidRPr="004B77C9">
              <w:rPr>
                <w:sz w:val="22"/>
                <w:szCs w:val="22"/>
              </w:rPr>
              <w:t>$14,306</w:t>
            </w:r>
          </w:p>
        </w:tc>
      </w:tr>
      <w:tr w:rsidR="00AD121B" w:rsidTr="00666A1B" w14:paraId="76283D10" w14:textId="77777777">
        <w:trPr>
          <w:cantSplit/>
          <w:trHeight w:val="403"/>
          <w:jc w:val="center"/>
        </w:trPr>
        <w:tc>
          <w:tcPr>
            <w:tcW w:w="1618" w:type="pct"/>
            <w:tcBorders>
              <w:top w:val="single" w:color="auto" w:sz="6" w:space="0"/>
              <w:left w:val="single" w:color="auto" w:sz="6" w:space="0"/>
              <w:bottom w:val="nil"/>
              <w:right w:val="nil"/>
            </w:tcBorders>
            <w:vAlign w:val="center"/>
          </w:tcPr>
          <w:p w:rsidRPr="004B77C9" w:rsidR="00AD121B" w:rsidRDefault="003B42D5" w14:paraId="09CB4EC8" w14:textId="316C691A">
            <w:pPr>
              <w:jc w:val="center"/>
              <w:rPr>
                <w:sz w:val="22"/>
                <w:szCs w:val="22"/>
              </w:rPr>
            </w:pPr>
            <w:r w:rsidRPr="004B77C9">
              <w:rPr>
                <w:sz w:val="22"/>
                <w:szCs w:val="22"/>
              </w:rPr>
              <w:t>Project oversight to include data collection oversight and review of results</w:t>
            </w:r>
          </w:p>
        </w:tc>
        <w:tc>
          <w:tcPr>
            <w:tcW w:w="1131" w:type="pct"/>
            <w:tcBorders>
              <w:top w:val="single" w:color="auto" w:sz="6" w:space="0"/>
              <w:left w:val="single" w:color="auto" w:sz="6" w:space="0"/>
              <w:bottom w:val="single" w:color="auto" w:sz="6" w:space="0"/>
              <w:right w:val="nil"/>
            </w:tcBorders>
            <w:vAlign w:val="center"/>
          </w:tcPr>
          <w:p w:rsidRPr="004B77C9" w:rsidR="00AD121B" w:rsidRDefault="003B42D5" w14:paraId="579A0D38" w14:textId="2DFE267C">
            <w:pPr>
              <w:jc w:val="center"/>
              <w:rPr>
                <w:sz w:val="22"/>
                <w:szCs w:val="22"/>
              </w:rPr>
            </w:pPr>
            <w:r w:rsidRPr="004B77C9">
              <w:rPr>
                <w:sz w:val="22"/>
                <w:szCs w:val="22"/>
              </w:rPr>
              <w:t>Technical Lead (GS-15)</w:t>
            </w:r>
          </w:p>
        </w:tc>
        <w:tc>
          <w:tcPr>
            <w:tcW w:w="830" w:type="pct"/>
            <w:tcBorders>
              <w:top w:val="single" w:color="auto" w:sz="6" w:space="0"/>
              <w:left w:val="single" w:color="auto" w:sz="6" w:space="0"/>
              <w:bottom w:val="single" w:color="auto" w:sz="6" w:space="0"/>
              <w:right w:val="single" w:color="auto" w:sz="6" w:space="0"/>
            </w:tcBorders>
            <w:vAlign w:val="center"/>
          </w:tcPr>
          <w:p w:rsidRPr="004B77C9" w:rsidR="00AD121B" w:rsidRDefault="004B77C9" w14:paraId="4BFA10E2" w14:textId="2B0EAFD1">
            <w:pPr>
              <w:pStyle w:val="Default"/>
              <w:jc w:val="center"/>
              <w:rPr>
                <w:sz w:val="22"/>
                <w:szCs w:val="22"/>
              </w:rPr>
            </w:pPr>
            <w:r w:rsidRPr="004B77C9">
              <w:rPr>
                <w:sz w:val="22"/>
                <w:szCs w:val="22"/>
              </w:rPr>
              <w:t>$</w:t>
            </w:r>
            <w:r w:rsidRPr="004B77C9">
              <w:rPr>
                <w:sz w:val="22"/>
                <w:szCs w:val="22"/>
              </w:rPr>
              <w:t>176</w:t>
            </w:r>
            <w:r w:rsidRPr="004B77C9">
              <w:rPr>
                <w:sz w:val="22"/>
                <w:szCs w:val="22"/>
              </w:rPr>
              <w:t>,</w:t>
            </w:r>
            <w:r w:rsidRPr="004B77C9">
              <w:rPr>
                <w:sz w:val="22"/>
                <w:szCs w:val="22"/>
              </w:rPr>
              <w:t>300</w:t>
            </w:r>
          </w:p>
        </w:tc>
        <w:tc>
          <w:tcPr>
            <w:tcW w:w="739" w:type="pct"/>
            <w:tcBorders>
              <w:top w:val="single" w:color="auto" w:sz="6" w:space="0"/>
              <w:left w:val="single" w:color="auto" w:sz="6" w:space="0"/>
              <w:bottom w:val="single" w:color="auto" w:sz="6" w:space="0"/>
              <w:right w:val="nil"/>
            </w:tcBorders>
            <w:vAlign w:val="center"/>
          </w:tcPr>
          <w:p w:rsidRPr="004B77C9" w:rsidR="003B42D5" w:rsidP="003B42D5" w:rsidRDefault="003B42D5" w14:paraId="53668B63" w14:textId="641F3658">
            <w:pPr>
              <w:jc w:val="center"/>
              <w:rPr>
                <w:sz w:val="22"/>
                <w:szCs w:val="22"/>
              </w:rPr>
            </w:pPr>
            <w:r w:rsidRPr="004B77C9">
              <w:rPr>
                <w:sz w:val="22"/>
                <w:szCs w:val="22"/>
              </w:rPr>
              <w:t>10</w:t>
            </w:r>
          </w:p>
        </w:tc>
        <w:tc>
          <w:tcPr>
            <w:tcW w:w="682" w:type="pct"/>
            <w:tcBorders>
              <w:top w:val="single" w:color="auto" w:sz="6" w:space="0"/>
              <w:left w:val="single" w:color="auto" w:sz="6" w:space="0"/>
              <w:bottom w:val="single" w:color="auto" w:sz="6" w:space="0"/>
              <w:right w:val="single" w:color="auto" w:sz="6" w:space="0"/>
            </w:tcBorders>
            <w:vAlign w:val="center"/>
          </w:tcPr>
          <w:p w:rsidRPr="004B77C9" w:rsidR="00AD121B" w:rsidRDefault="004B77C9" w14:paraId="1FFE3447" w14:textId="436CD856">
            <w:pPr>
              <w:jc w:val="center"/>
              <w:rPr>
                <w:sz w:val="22"/>
                <w:szCs w:val="22"/>
              </w:rPr>
            </w:pPr>
            <w:r w:rsidRPr="004B77C9">
              <w:rPr>
                <w:sz w:val="22"/>
                <w:szCs w:val="22"/>
              </w:rPr>
              <w:t>$17,630</w:t>
            </w:r>
          </w:p>
        </w:tc>
      </w:tr>
      <w:tr w:rsidR="003B42D5" w:rsidTr="00666A1B" w14:paraId="58AA7F3B" w14:textId="77777777">
        <w:trPr>
          <w:cantSplit/>
          <w:trHeight w:val="403"/>
          <w:jc w:val="center"/>
        </w:trPr>
        <w:tc>
          <w:tcPr>
            <w:tcW w:w="1618" w:type="pct"/>
            <w:tcBorders>
              <w:top w:val="single" w:color="auto" w:sz="6" w:space="0"/>
              <w:left w:val="single" w:color="auto" w:sz="6" w:space="0"/>
              <w:bottom w:val="nil"/>
              <w:right w:val="nil"/>
            </w:tcBorders>
            <w:vAlign w:val="center"/>
          </w:tcPr>
          <w:p w:rsidRPr="004B77C9" w:rsidR="003B42D5" w:rsidRDefault="003B42D5" w14:paraId="1E0A1D79" w14:textId="7EE80E19">
            <w:pPr>
              <w:jc w:val="center"/>
              <w:rPr>
                <w:sz w:val="22"/>
                <w:szCs w:val="22"/>
              </w:rPr>
            </w:pPr>
            <w:r w:rsidRPr="004B77C9">
              <w:rPr>
                <w:sz w:val="22"/>
                <w:szCs w:val="22"/>
              </w:rPr>
              <w:t xml:space="preserve">Review of agreements and compliance </w:t>
            </w:r>
          </w:p>
        </w:tc>
        <w:tc>
          <w:tcPr>
            <w:tcW w:w="1131" w:type="pct"/>
            <w:tcBorders>
              <w:top w:val="single" w:color="auto" w:sz="6" w:space="0"/>
              <w:left w:val="single" w:color="auto" w:sz="6" w:space="0"/>
              <w:bottom w:val="single" w:color="auto" w:sz="6" w:space="0"/>
              <w:right w:val="nil"/>
            </w:tcBorders>
            <w:vAlign w:val="center"/>
          </w:tcPr>
          <w:p w:rsidRPr="004B77C9" w:rsidR="003B42D5" w:rsidRDefault="003B42D5" w14:paraId="3BE1D931" w14:textId="77777777">
            <w:pPr>
              <w:jc w:val="center"/>
              <w:rPr>
                <w:sz w:val="22"/>
                <w:szCs w:val="22"/>
              </w:rPr>
            </w:pPr>
            <w:r w:rsidRPr="004B77C9">
              <w:rPr>
                <w:sz w:val="22"/>
                <w:szCs w:val="22"/>
              </w:rPr>
              <w:t>Program Manager</w:t>
            </w:r>
          </w:p>
          <w:p w:rsidRPr="004B77C9" w:rsidR="003B42D5" w:rsidRDefault="003B42D5" w14:paraId="0519755D" w14:textId="3589949A">
            <w:pPr>
              <w:jc w:val="center"/>
              <w:rPr>
                <w:sz w:val="22"/>
                <w:szCs w:val="22"/>
              </w:rPr>
            </w:pPr>
            <w:r w:rsidRPr="004B77C9">
              <w:rPr>
                <w:sz w:val="22"/>
                <w:szCs w:val="22"/>
              </w:rPr>
              <w:t>(GS-14)</w:t>
            </w:r>
          </w:p>
        </w:tc>
        <w:tc>
          <w:tcPr>
            <w:tcW w:w="830" w:type="pct"/>
            <w:tcBorders>
              <w:top w:val="single" w:color="auto" w:sz="6" w:space="0"/>
              <w:left w:val="single" w:color="auto" w:sz="6" w:space="0"/>
              <w:bottom w:val="single" w:color="auto" w:sz="6" w:space="0"/>
              <w:right w:val="single" w:color="auto" w:sz="6" w:space="0"/>
            </w:tcBorders>
            <w:vAlign w:val="center"/>
          </w:tcPr>
          <w:p w:rsidRPr="004B77C9" w:rsidR="003B42D5" w:rsidRDefault="004B77C9" w14:paraId="3CB8326C" w14:textId="5A25444F">
            <w:pPr>
              <w:pStyle w:val="Default"/>
              <w:jc w:val="center"/>
              <w:rPr>
                <w:sz w:val="22"/>
                <w:szCs w:val="22"/>
              </w:rPr>
            </w:pPr>
            <w:r w:rsidRPr="004B77C9">
              <w:rPr>
                <w:sz w:val="22"/>
                <w:szCs w:val="22"/>
              </w:rPr>
              <w:t>$ 143,064</w:t>
            </w:r>
          </w:p>
        </w:tc>
        <w:tc>
          <w:tcPr>
            <w:tcW w:w="739" w:type="pct"/>
            <w:tcBorders>
              <w:top w:val="single" w:color="auto" w:sz="6" w:space="0"/>
              <w:left w:val="single" w:color="auto" w:sz="6" w:space="0"/>
              <w:bottom w:val="single" w:color="auto" w:sz="6" w:space="0"/>
              <w:right w:val="nil"/>
            </w:tcBorders>
            <w:vAlign w:val="center"/>
          </w:tcPr>
          <w:p w:rsidRPr="004B77C9" w:rsidR="003B42D5" w:rsidP="003B42D5" w:rsidRDefault="003B42D5" w14:paraId="01733793" w14:textId="025B2DD3">
            <w:pPr>
              <w:jc w:val="center"/>
              <w:rPr>
                <w:sz w:val="22"/>
                <w:szCs w:val="22"/>
              </w:rPr>
            </w:pPr>
            <w:r w:rsidRPr="004B77C9">
              <w:rPr>
                <w:sz w:val="22"/>
                <w:szCs w:val="22"/>
              </w:rPr>
              <w:t>5</w:t>
            </w:r>
          </w:p>
        </w:tc>
        <w:tc>
          <w:tcPr>
            <w:tcW w:w="682" w:type="pct"/>
            <w:tcBorders>
              <w:top w:val="single" w:color="auto" w:sz="6" w:space="0"/>
              <w:left w:val="single" w:color="auto" w:sz="6" w:space="0"/>
              <w:bottom w:val="single" w:color="auto" w:sz="6" w:space="0"/>
              <w:right w:val="single" w:color="auto" w:sz="6" w:space="0"/>
            </w:tcBorders>
            <w:vAlign w:val="center"/>
          </w:tcPr>
          <w:p w:rsidRPr="004B77C9" w:rsidR="003B42D5" w:rsidRDefault="004B77C9" w14:paraId="3C27A9D1" w14:textId="16613624">
            <w:pPr>
              <w:jc w:val="center"/>
              <w:rPr>
                <w:sz w:val="22"/>
                <w:szCs w:val="22"/>
              </w:rPr>
            </w:pPr>
            <w:r w:rsidRPr="004B77C9">
              <w:rPr>
                <w:sz w:val="22"/>
                <w:szCs w:val="22"/>
              </w:rPr>
              <w:t>$14,306</w:t>
            </w:r>
          </w:p>
        </w:tc>
      </w:tr>
      <w:tr w:rsidRPr="004B77C9" w:rsidR="00AD121B" w:rsidTr="00666A1B" w14:paraId="7850908E" w14:textId="77777777">
        <w:trPr>
          <w:cantSplit/>
          <w:trHeight w:val="403"/>
          <w:jc w:val="center"/>
        </w:trPr>
        <w:tc>
          <w:tcPr>
            <w:tcW w:w="4318" w:type="pct"/>
            <w:gridSpan w:val="4"/>
            <w:tcBorders>
              <w:top w:val="single" w:color="auto" w:sz="6" w:space="0"/>
              <w:left w:val="single" w:color="auto" w:sz="6" w:space="0"/>
              <w:bottom w:val="single" w:color="auto" w:sz="6" w:space="0"/>
              <w:right w:val="nil"/>
            </w:tcBorders>
            <w:vAlign w:val="bottom"/>
            <w:hideMark/>
          </w:tcPr>
          <w:p w:rsidRPr="004B77C9" w:rsidR="00AD121B" w:rsidRDefault="00AD121B" w14:paraId="00BB94A3" w14:textId="77777777">
            <w:pPr>
              <w:rPr>
                <w:b/>
                <w:bCs/>
              </w:rPr>
            </w:pPr>
            <w:r w:rsidRPr="004B77C9">
              <w:rPr>
                <w:b/>
                <w:bCs/>
              </w:rPr>
              <w:t>Total</w:t>
            </w:r>
          </w:p>
        </w:tc>
        <w:tc>
          <w:tcPr>
            <w:tcW w:w="682" w:type="pct"/>
            <w:tcBorders>
              <w:top w:val="single" w:color="auto" w:sz="6" w:space="0"/>
              <w:left w:val="single" w:color="auto" w:sz="6" w:space="0"/>
              <w:bottom w:val="single" w:color="auto" w:sz="6" w:space="0"/>
              <w:right w:val="single" w:color="auto" w:sz="6" w:space="0"/>
            </w:tcBorders>
            <w:vAlign w:val="bottom"/>
            <w:hideMark/>
          </w:tcPr>
          <w:p w:rsidRPr="004B77C9" w:rsidR="00AD121B" w:rsidRDefault="004B77C9" w14:paraId="3741F494" w14:textId="5931108A">
            <w:pPr>
              <w:jc w:val="center"/>
              <w:rPr>
                <w:b/>
                <w:bCs/>
              </w:rPr>
            </w:pPr>
            <w:r w:rsidRPr="004B77C9">
              <w:rPr>
                <w:b/>
                <w:bCs/>
              </w:rPr>
              <w:t>$46,242</w:t>
            </w:r>
          </w:p>
        </w:tc>
      </w:tr>
    </w:tbl>
    <w:p w:rsidRPr="00AD121B" w:rsidR="00AD121B" w:rsidP="00AD121B" w:rsidRDefault="00AD121B" w14:paraId="45C68522" w14:textId="2EDA84CC">
      <w:pPr>
        <w:rPr>
          <w:sz w:val="20"/>
          <w:szCs w:val="20"/>
        </w:rPr>
      </w:pPr>
      <w:r w:rsidRPr="004B77C9">
        <w:rPr>
          <w:color w:val="000000"/>
          <w:sz w:val="20"/>
          <w:szCs w:val="20"/>
        </w:rPr>
        <w:t>Annual salaries based on 202</w:t>
      </w:r>
      <w:r w:rsidRPr="004B77C9" w:rsidR="004B77C9">
        <w:rPr>
          <w:color w:val="000000"/>
          <w:sz w:val="20"/>
          <w:szCs w:val="20"/>
        </w:rPr>
        <w:t>2</w:t>
      </w:r>
      <w:r w:rsidRPr="00AD121B">
        <w:rPr>
          <w:color w:val="000000"/>
          <w:sz w:val="20"/>
          <w:szCs w:val="20"/>
        </w:rPr>
        <w:t xml:space="preserve"> OPM Pay Schedule for Washington/DC area:</w:t>
      </w:r>
      <w:r w:rsidRPr="00AD121B">
        <w:rPr>
          <w:sz w:val="20"/>
          <w:szCs w:val="20"/>
        </w:rPr>
        <w:t xml:space="preserve"> </w:t>
      </w:r>
      <w:r w:rsidRPr="00093610" w:rsidR="00093610">
        <w:rPr>
          <w:sz w:val="20"/>
          <w:szCs w:val="20"/>
        </w:rPr>
        <w:t>https://www.opm.gov/policy-data-oversight/pay-leave/salaries-wages/salary-tables/22Tables/html/DCB.aspx</w:t>
      </w:r>
    </w:p>
    <w:p w:rsidRPr="00412C6F" w:rsidR="009B633D" w:rsidP="009B633D" w:rsidRDefault="009B633D" w14:paraId="53358F50" w14:textId="77777777">
      <w:pPr>
        <w:pStyle w:val="Heading2"/>
        <w:rPr>
          <w:sz w:val="24"/>
        </w:rPr>
      </w:pPr>
      <w:bookmarkStart w:name="_Toc83639760" w:id="55"/>
      <w:r w:rsidRPr="00412C6F">
        <w:rPr>
          <w:sz w:val="24"/>
        </w:rPr>
        <w:t>15. Changes in Hour Burden</w:t>
      </w:r>
      <w:bookmarkEnd w:id="53"/>
      <w:bookmarkEnd w:id="54"/>
      <w:bookmarkEnd w:id="55"/>
    </w:p>
    <w:p w:rsidRPr="00345B21" w:rsidR="00063E36" w:rsidP="00063E36" w:rsidRDefault="00063E36" w14:paraId="48C7DC09" w14:textId="77777777">
      <w:bookmarkStart w:name="_Toc151782191" w:id="56"/>
      <w:bookmarkStart w:name="_Toc158526231" w:id="57"/>
      <w:r w:rsidRPr="00345B21">
        <w:t>T</w:t>
      </w:r>
      <w:r>
        <w:t>his is a new collection of information.</w:t>
      </w:r>
    </w:p>
    <w:p w:rsidRPr="00412C6F" w:rsidR="009B633D" w:rsidP="009B633D" w:rsidRDefault="009B633D" w14:paraId="3651154B" w14:textId="77777777">
      <w:pPr>
        <w:pStyle w:val="Heading2"/>
        <w:rPr>
          <w:sz w:val="24"/>
        </w:rPr>
      </w:pPr>
      <w:bookmarkStart w:name="_Toc83639761" w:id="58"/>
      <w:r w:rsidRPr="00412C6F">
        <w:rPr>
          <w:sz w:val="24"/>
        </w:rPr>
        <w:t>16. Time Schedule, Publication and Analysis Plans</w:t>
      </w:r>
      <w:bookmarkEnd w:id="56"/>
      <w:bookmarkEnd w:id="57"/>
      <w:bookmarkEnd w:id="58"/>
    </w:p>
    <w:p w:rsidR="00063E36" w:rsidP="00063E36" w:rsidRDefault="00063E36" w14:paraId="5FAAB7C9" w14:textId="2361B4BF">
      <w:bookmarkStart w:name="_Toc151782196" w:id="59"/>
      <w:bookmarkStart w:name="_Toc158526232" w:id="60"/>
      <w:r w:rsidRPr="00C30C86">
        <w:rPr>
          <w:b/>
        </w:rPr>
        <w:t>Time schedule and publication plans.</w:t>
      </w:r>
      <w:r w:rsidRPr="00C30C86">
        <w:t xml:space="preserve"> The anticipated schedule for this project is shown in Exhibit </w:t>
      </w:r>
      <w:r w:rsidR="00D37ACC">
        <w:t>8</w:t>
      </w:r>
      <w:r w:rsidRPr="00C30C86">
        <w:t>. Once clearance from the Office of Management and Budget is obtained, AHRQ</w:t>
      </w:r>
      <w:r w:rsidR="007A66CA">
        <w:t>’s</w:t>
      </w:r>
      <w:r w:rsidR="00A072B0">
        <w:t xml:space="preserve"> Coordinating Center</w:t>
      </w:r>
      <w:r w:rsidR="007A66CA">
        <w:t xml:space="preserve"> contractor, NORC,</w:t>
      </w:r>
      <w:r w:rsidRPr="00C30C86">
        <w:t xml:space="preserve"> will begin </w:t>
      </w:r>
      <w:r w:rsidR="0070732E">
        <w:t xml:space="preserve">outreach to respondents to complete the survey, as well as </w:t>
      </w:r>
      <w:r w:rsidRPr="00C30C86">
        <w:t xml:space="preserve">identifying appropriate respondents </w:t>
      </w:r>
      <w:r w:rsidR="0070732E">
        <w:t xml:space="preserve">for the key informant interviews </w:t>
      </w:r>
      <w:r w:rsidRPr="00C30C86">
        <w:t>and scheduling and conducting interviews.</w:t>
      </w:r>
      <w:r w:rsidR="0041780A">
        <w:t xml:space="preserve"> </w:t>
      </w:r>
    </w:p>
    <w:p w:rsidR="00C86132" w:rsidP="00063E36" w:rsidRDefault="00C86132" w14:paraId="4645B708" w14:textId="77777777"/>
    <w:p w:rsidRPr="00C30C86" w:rsidR="00C86132" w:rsidP="00063E36" w:rsidRDefault="00C86132" w14:paraId="7B8B98C0" w14:textId="356FFEB4">
      <w:r>
        <w:t>Results of assessment will be made available through reports from coordinating center, ad-hoc requests from the department, and presentations to the department and summary data/results may be presented on AHRQ’s website, in national conferences, publications in peer-reviewed journal articles and white papers.</w:t>
      </w:r>
    </w:p>
    <w:p w:rsidRPr="004B0B18" w:rsidR="00063E36" w:rsidP="001700D8" w:rsidRDefault="00063E36" w14:paraId="0A17AC97" w14:textId="765FD834">
      <w:pPr>
        <w:pStyle w:val="NORCCaption-Exhibit"/>
        <w:pBdr>
          <w:top w:val="single" w:color="BFB6AC" w:sz="4" w:space="0"/>
        </w:pBdr>
        <w:spacing w:before="100" w:beforeAutospacing="1" w:line="276" w:lineRule="auto"/>
        <w:rPr>
          <w:rStyle w:val="NORCCaption-Color"/>
          <w:color w:val="000000" w:themeColor="text1"/>
        </w:rPr>
      </w:pPr>
      <w:r w:rsidRPr="004B0B18">
        <w:rPr>
          <w:rStyle w:val="NORCCaption-Color"/>
          <w:color w:val="000000" w:themeColor="text1"/>
        </w:rPr>
        <w:t xml:space="preserve">Exhibit </w:t>
      </w:r>
      <w:r w:rsidR="00D37ACC">
        <w:rPr>
          <w:rStyle w:val="NORCCaption-Color"/>
          <w:color w:val="000000" w:themeColor="text1"/>
        </w:rPr>
        <w:t>8</w:t>
      </w:r>
      <w:r w:rsidRPr="004B0B18">
        <w:rPr>
          <w:rStyle w:val="NORCCaption-Color"/>
          <w:color w:val="000000" w:themeColor="text1"/>
        </w:rPr>
        <w:t xml:space="preserve">. Anticipated Schedule </w:t>
      </w:r>
    </w:p>
    <w:tbl>
      <w:tblPr>
        <w:tblW w:w="4733" w:type="pct"/>
        <w:tblBorders>
          <w:top w:val="single" w:color="717074" w:sz="4" w:space="0"/>
          <w:left w:val="single" w:color="717074" w:sz="4" w:space="0"/>
          <w:bottom w:val="single" w:color="717074" w:sz="4" w:space="0"/>
          <w:right w:val="single" w:color="717074" w:sz="4" w:space="0"/>
          <w:insideH w:val="single" w:color="717074" w:sz="4" w:space="0"/>
          <w:insideV w:val="single" w:color="717074" w:sz="4" w:space="0"/>
        </w:tblBorders>
        <w:tblLook w:val="04A0" w:firstRow="1" w:lastRow="0" w:firstColumn="1" w:lastColumn="0" w:noHBand="0" w:noVBand="1"/>
      </w:tblPr>
      <w:tblGrid>
        <w:gridCol w:w="5129"/>
        <w:gridCol w:w="1163"/>
        <w:gridCol w:w="1877"/>
      </w:tblGrid>
      <w:tr w:rsidR="001210CF" w:rsidTr="00370880" w14:paraId="46871D42" w14:textId="77777777">
        <w:tc>
          <w:tcPr>
            <w:tcW w:w="5129"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1210CF" w14:paraId="6E02152E" w14:textId="77777777">
            <w:pPr>
              <w:tabs>
                <w:tab w:val="left" w:pos="1080"/>
              </w:tabs>
              <w:spacing w:before="30" w:after="30"/>
              <w:rPr>
                <w:b/>
                <w:color w:val="000000"/>
                <w:sz w:val="22"/>
                <w:szCs w:val="22"/>
              </w:rPr>
            </w:pPr>
            <w:r>
              <w:rPr>
                <w:b/>
                <w:color w:val="000000"/>
                <w:sz w:val="22"/>
                <w:szCs w:val="22"/>
              </w:rPr>
              <w:t>Activity</w:t>
            </w:r>
          </w:p>
        </w:tc>
        <w:tc>
          <w:tcPr>
            <w:tcW w:w="1163"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1210CF" w14:paraId="60F37DBF" w14:textId="77777777">
            <w:pPr>
              <w:tabs>
                <w:tab w:val="left" w:pos="1080"/>
              </w:tabs>
              <w:spacing w:before="30" w:after="30"/>
              <w:jc w:val="center"/>
              <w:rPr>
                <w:b/>
                <w:color w:val="000000"/>
                <w:sz w:val="22"/>
                <w:szCs w:val="22"/>
              </w:rPr>
            </w:pPr>
            <w:r>
              <w:rPr>
                <w:b/>
                <w:color w:val="000000"/>
                <w:sz w:val="22"/>
                <w:szCs w:val="22"/>
              </w:rPr>
              <w:t>Length</w:t>
            </w:r>
          </w:p>
        </w:tc>
        <w:tc>
          <w:tcPr>
            <w:tcW w:w="1877"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1210CF" w14:paraId="782BE1EC" w14:textId="77777777">
            <w:pPr>
              <w:tabs>
                <w:tab w:val="left" w:pos="1080"/>
              </w:tabs>
              <w:spacing w:before="30" w:after="30"/>
              <w:jc w:val="center"/>
              <w:rPr>
                <w:b/>
                <w:color w:val="000000"/>
                <w:sz w:val="22"/>
                <w:szCs w:val="22"/>
              </w:rPr>
            </w:pPr>
            <w:r>
              <w:rPr>
                <w:b/>
                <w:color w:val="000000"/>
                <w:sz w:val="22"/>
                <w:szCs w:val="22"/>
              </w:rPr>
              <w:t xml:space="preserve">Estimated timeline </w:t>
            </w:r>
            <w:r w:rsidRPr="00C25336">
              <w:rPr>
                <w:b/>
                <w:color w:val="000000"/>
                <w:sz w:val="22"/>
                <w:szCs w:val="22"/>
              </w:rPr>
              <w:t>following OMB clearance</w:t>
            </w:r>
          </w:p>
        </w:tc>
      </w:tr>
      <w:tr w:rsidR="00D37ACC" w:rsidTr="00352DE6" w14:paraId="5333C73D" w14:textId="77777777">
        <w:tc>
          <w:tcPr>
            <w:tcW w:w="8169" w:type="dxa"/>
            <w:gridSpan w:val="3"/>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tcPr>
          <w:p w:rsidR="00D37ACC" w:rsidP="00D37ACC" w:rsidRDefault="00D37ACC" w14:paraId="6EABE316" w14:textId="758CBF25">
            <w:pPr>
              <w:tabs>
                <w:tab w:val="left" w:pos="1080"/>
              </w:tabs>
              <w:spacing w:before="30" w:after="30"/>
              <w:rPr>
                <w:b/>
                <w:color w:val="000000"/>
                <w:sz w:val="22"/>
                <w:szCs w:val="22"/>
              </w:rPr>
            </w:pPr>
            <w:r>
              <w:rPr>
                <w:b/>
                <w:color w:val="000000"/>
                <w:sz w:val="22"/>
                <w:szCs w:val="22"/>
              </w:rPr>
              <w:t>Conduct Survey and Analyze Survey results</w:t>
            </w:r>
          </w:p>
        </w:tc>
      </w:tr>
      <w:tr w:rsidR="00D37ACC" w:rsidTr="00370880" w14:paraId="20E3868A" w14:textId="77777777">
        <w:tc>
          <w:tcPr>
            <w:tcW w:w="5129"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tcPr>
          <w:p w:rsidRPr="00D37ACC" w:rsidR="00D37ACC" w:rsidP="00B67320" w:rsidRDefault="00D37ACC" w14:paraId="53494837" w14:textId="2482DBD6">
            <w:pPr>
              <w:tabs>
                <w:tab w:val="left" w:pos="1080"/>
              </w:tabs>
              <w:spacing w:before="30" w:after="30"/>
              <w:rPr>
                <w:color w:val="000000"/>
                <w:sz w:val="22"/>
                <w:szCs w:val="22"/>
              </w:rPr>
            </w:pPr>
            <w:r w:rsidRPr="00D37ACC">
              <w:rPr>
                <w:color w:val="000000"/>
                <w:sz w:val="22"/>
                <w:szCs w:val="22"/>
              </w:rPr>
              <w:lastRenderedPageBreak/>
              <w:t>Conduct survey</w:t>
            </w:r>
            <w:r>
              <w:rPr>
                <w:color w:val="000000"/>
                <w:sz w:val="22"/>
                <w:szCs w:val="22"/>
              </w:rPr>
              <w:t xml:space="preserve"> and follow-ups</w:t>
            </w:r>
          </w:p>
        </w:tc>
        <w:tc>
          <w:tcPr>
            <w:tcW w:w="1163"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tcPr>
          <w:p w:rsidRPr="00D37ACC" w:rsidR="00D37ACC" w:rsidP="00B67320" w:rsidRDefault="0032380F" w14:paraId="3D643FF8" w14:textId="55F63468">
            <w:pPr>
              <w:tabs>
                <w:tab w:val="left" w:pos="1080"/>
              </w:tabs>
              <w:spacing w:before="30" w:after="30"/>
              <w:jc w:val="center"/>
              <w:rPr>
                <w:color w:val="000000"/>
                <w:sz w:val="22"/>
                <w:szCs w:val="22"/>
              </w:rPr>
            </w:pPr>
            <w:r>
              <w:rPr>
                <w:color w:val="000000"/>
                <w:sz w:val="22"/>
                <w:szCs w:val="22"/>
              </w:rPr>
              <w:t>16</w:t>
            </w:r>
            <w:r w:rsidRPr="00D37ACC" w:rsidR="00D37ACC">
              <w:rPr>
                <w:color w:val="000000"/>
                <w:sz w:val="22"/>
                <w:szCs w:val="22"/>
              </w:rPr>
              <w:t xml:space="preserve"> weeks</w:t>
            </w:r>
          </w:p>
        </w:tc>
        <w:tc>
          <w:tcPr>
            <w:tcW w:w="1877"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tcPr>
          <w:p w:rsidRPr="00D37ACC" w:rsidR="00D37ACC" w:rsidP="00560600" w:rsidRDefault="00D37ACC" w14:paraId="49F6ECB4" w14:textId="61455AD0">
            <w:pPr>
              <w:tabs>
                <w:tab w:val="left" w:pos="1080"/>
              </w:tabs>
              <w:spacing w:before="30" w:after="30"/>
              <w:jc w:val="center"/>
              <w:rPr>
                <w:color w:val="000000"/>
                <w:sz w:val="22"/>
                <w:szCs w:val="22"/>
              </w:rPr>
            </w:pPr>
            <w:r w:rsidRPr="00D37ACC">
              <w:rPr>
                <w:color w:val="000000"/>
                <w:sz w:val="22"/>
                <w:szCs w:val="22"/>
              </w:rPr>
              <w:t>Month 1-</w:t>
            </w:r>
            <w:r w:rsidR="0032380F">
              <w:rPr>
                <w:color w:val="000000"/>
                <w:sz w:val="22"/>
                <w:szCs w:val="22"/>
              </w:rPr>
              <w:t>4</w:t>
            </w:r>
          </w:p>
        </w:tc>
      </w:tr>
      <w:tr w:rsidR="00D37ACC" w:rsidTr="00370880" w14:paraId="457A217F" w14:textId="77777777">
        <w:tc>
          <w:tcPr>
            <w:tcW w:w="5129"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tcPr>
          <w:p w:rsidRPr="00D37ACC" w:rsidR="00D37ACC" w:rsidP="00B67320" w:rsidRDefault="00D37ACC" w14:paraId="58F18FC0" w14:textId="4B386B72">
            <w:pPr>
              <w:tabs>
                <w:tab w:val="left" w:pos="1080"/>
              </w:tabs>
              <w:spacing w:before="30" w:after="30"/>
              <w:rPr>
                <w:color w:val="000000"/>
                <w:sz w:val="22"/>
                <w:szCs w:val="22"/>
              </w:rPr>
            </w:pPr>
            <w:r w:rsidRPr="00D37ACC">
              <w:rPr>
                <w:color w:val="000000"/>
                <w:sz w:val="22"/>
                <w:szCs w:val="22"/>
              </w:rPr>
              <w:t>Analyze survey results</w:t>
            </w:r>
          </w:p>
        </w:tc>
        <w:tc>
          <w:tcPr>
            <w:tcW w:w="1163"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tcPr>
          <w:p w:rsidRPr="00D37ACC" w:rsidR="00D37ACC" w:rsidP="00B67320" w:rsidRDefault="00D37ACC" w14:paraId="4624B162" w14:textId="4E7ED1ED">
            <w:pPr>
              <w:tabs>
                <w:tab w:val="left" w:pos="1080"/>
              </w:tabs>
              <w:spacing w:before="30" w:after="30"/>
              <w:jc w:val="center"/>
              <w:rPr>
                <w:color w:val="000000"/>
                <w:sz w:val="22"/>
                <w:szCs w:val="22"/>
              </w:rPr>
            </w:pPr>
            <w:r w:rsidRPr="00D37ACC">
              <w:rPr>
                <w:color w:val="000000"/>
                <w:sz w:val="22"/>
                <w:szCs w:val="22"/>
              </w:rPr>
              <w:t>8 weeks</w:t>
            </w:r>
          </w:p>
        </w:tc>
        <w:tc>
          <w:tcPr>
            <w:tcW w:w="1877"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tcPr>
          <w:p w:rsidRPr="00D37ACC" w:rsidR="00D37ACC" w:rsidP="00B67320" w:rsidRDefault="0032380F" w14:paraId="08B5E761" w14:textId="5799B15B">
            <w:pPr>
              <w:tabs>
                <w:tab w:val="left" w:pos="1080"/>
              </w:tabs>
              <w:spacing w:before="30" w:after="30"/>
              <w:jc w:val="center"/>
              <w:rPr>
                <w:color w:val="000000"/>
                <w:sz w:val="22"/>
                <w:szCs w:val="22"/>
              </w:rPr>
            </w:pPr>
            <w:r>
              <w:rPr>
                <w:color w:val="000000"/>
                <w:sz w:val="22"/>
                <w:szCs w:val="22"/>
              </w:rPr>
              <w:t xml:space="preserve"> </w:t>
            </w:r>
            <w:r w:rsidRPr="00D37ACC" w:rsidR="00D37ACC">
              <w:rPr>
                <w:color w:val="000000"/>
                <w:sz w:val="22"/>
                <w:szCs w:val="22"/>
              </w:rPr>
              <w:t>Months 3-4</w:t>
            </w:r>
          </w:p>
        </w:tc>
      </w:tr>
      <w:tr w:rsidR="001210CF" w:rsidTr="00370880" w14:paraId="186875AA" w14:textId="77777777">
        <w:tc>
          <w:tcPr>
            <w:tcW w:w="8169" w:type="dxa"/>
            <w:gridSpan w:val="3"/>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hideMark/>
          </w:tcPr>
          <w:p w:rsidR="001210CF" w:rsidP="00B67320" w:rsidRDefault="001210CF" w14:paraId="487A5700" w14:textId="77777777">
            <w:pPr>
              <w:tabs>
                <w:tab w:val="left" w:pos="1080"/>
              </w:tabs>
              <w:spacing w:before="30" w:after="30"/>
              <w:rPr>
                <w:color w:val="000000"/>
                <w:sz w:val="22"/>
                <w:szCs w:val="22"/>
              </w:rPr>
            </w:pPr>
            <w:r>
              <w:rPr>
                <w:b/>
                <w:color w:val="000000"/>
                <w:sz w:val="22"/>
                <w:szCs w:val="22"/>
              </w:rPr>
              <w:t>Conduct and Analyze Key Informant Interviews</w:t>
            </w:r>
          </w:p>
        </w:tc>
      </w:tr>
      <w:tr w:rsidR="001210CF" w:rsidTr="00370880" w14:paraId="0BE7744A" w14:textId="77777777">
        <w:tc>
          <w:tcPr>
            <w:tcW w:w="5129"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7B3CA5" w:rsidRDefault="0041780A" w14:paraId="7A76CC5A" w14:textId="642ED804">
            <w:pPr>
              <w:tabs>
                <w:tab w:val="left" w:pos="1080"/>
              </w:tabs>
              <w:spacing w:before="30" w:after="30"/>
              <w:rPr>
                <w:sz w:val="22"/>
                <w:szCs w:val="22"/>
              </w:rPr>
            </w:pPr>
            <w:r>
              <w:rPr>
                <w:color w:val="000000"/>
                <w:sz w:val="22"/>
                <w:szCs w:val="22"/>
              </w:rPr>
              <w:t xml:space="preserve"> </w:t>
            </w:r>
            <w:r w:rsidR="007E5B71">
              <w:rPr>
                <w:color w:val="000000"/>
                <w:sz w:val="22"/>
                <w:szCs w:val="22"/>
              </w:rPr>
              <w:t xml:space="preserve">Interview </w:t>
            </w:r>
            <w:r w:rsidR="007B3CA5">
              <w:rPr>
                <w:color w:val="000000"/>
                <w:sz w:val="22"/>
                <w:szCs w:val="22"/>
              </w:rPr>
              <w:t xml:space="preserve">nursing home leadership </w:t>
            </w:r>
            <w:r w:rsidR="00634196">
              <w:rPr>
                <w:color w:val="000000"/>
                <w:sz w:val="22"/>
                <w:szCs w:val="22"/>
              </w:rPr>
              <w:t>and s</w:t>
            </w:r>
            <w:r w:rsidR="00C25336">
              <w:rPr>
                <w:color w:val="000000"/>
                <w:sz w:val="22"/>
                <w:szCs w:val="22"/>
              </w:rPr>
              <w:t xml:space="preserve">taff </w:t>
            </w:r>
            <w:r w:rsidR="001210CF">
              <w:rPr>
                <w:color w:val="000000"/>
                <w:sz w:val="22"/>
                <w:szCs w:val="22"/>
              </w:rPr>
              <w:t xml:space="preserve"> </w:t>
            </w:r>
          </w:p>
        </w:tc>
        <w:tc>
          <w:tcPr>
            <w:tcW w:w="1163"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C25336" w14:paraId="3A8A917B" w14:textId="5B74B31A">
            <w:pPr>
              <w:tabs>
                <w:tab w:val="left" w:pos="1080"/>
              </w:tabs>
              <w:spacing w:before="30" w:after="30"/>
              <w:jc w:val="center"/>
              <w:rPr>
                <w:color w:val="000000"/>
                <w:sz w:val="22"/>
                <w:szCs w:val="22"/>
              </w:rPr>
            </w:pPr>
            <w:r>
              <w:rPr>
                <w:color w:val="000000"/>
                <w:sz w:val="22"/>
                <w:szCs w:val="22"/>
              </w:rPr>
              <w:t>8</w:t>
            </w:r>
            <w:r w:rsidR="001210CF">
              <w:rPr>
                <w:color w:val="000000"/>
                <w:sz w:val="22"/>
                <w:szCs w:val="22"/>
              </w:rPr>
              <w:t xml:space="preserve"> weeks</w:t>
            </w:r>
          </w:p>
        </w:tc>
        <w:tc>
          <w:tcPr>
            <w:tcW w:w="1877"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C25336" w:rsidRDefault="001210CF" w14:paraId="70FBEE07" w14:textId="60678AC0">
            <w:pPr>
              <w:tabs>
                <w:tab w:val="left" w:pos="1080"/>
              </w:tabs>
              <w:spacing w:before="30" w:after="30"/>
              <w:jc w:val="center"/>
              <w:rPr>
                <w:color w:val="000000"/>
                <w:sz w:val="22"/>
                <w:szCs w:val="22"/>
              </w:rPr>
            </w:pPr>
            <w:r>
              <w:rPr>
                <w:color w:val="000000"/>
                <w:sz w:val="22"/>
                <w:szCs w:val="22"/>
              </w:rPr>
              <w:t xml:space="preserve">Month </w:t>
            </w:r>
            <w:r w:rsidR="00C25336">
              <w:rPr>
                <w:color w:val="000000"/>
                <w:sz w:val="22"/>
                <w:szCs w:val="22"/>
              </w:rPr>
              <w:t>1-</w:t>
            </w:r>
            <w:r w:rsidR="007E5B71">
              <w:rPr>
                <w:color w:val="000000"/>
                <w:sz w:val="22"/>
                <w:szCs w:val="22"/>
              </w:rPr>
              <w:t>2</w:t>
            </w:r>
          </w:p>
        </w:tc>
      </w:tr>
      <w:tr w:rsidR="001210CF" w:rsidTr="00370880" w14:paraId="192F5B3C" w14:textId="77777777">
        <w:tc>
          <w:tcPr>
            <w:tcW w:w="5129"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Pr="00E25AFC" w:rsidR="001210CF" w:rsidP="00B67320" w:rsidRDefault="0041780A" w14:paraId="3E3B2A0C" w14:textId="619404B3">
            <w:pPr>
              <w:autoSpaceDE w:val="0"/>
              <w:autoSpaceDN w:val="0"/>
              <w:adjustRightInd w:val="0"/>
              <w:rPr>
                <w:color w:val="000000"/>
                <w:sz w:val="22"/>
                <w:szCs w:val="22"/>
              </w:rPr>
            </w:pPr>
            <w:r>
              <w:rPr>
                <w:color w:val="000000"/>
                <w:sz w:val="22"/>
                <w:szCs w:val="22"/>
              </w:rPr>
              <w:t xml:space="preserve"> </w:t>
            </w:r>
            <w:r w:rsidRPr="00E25AFC" w:rsidR="001210CF">
              <w:rPr>
                <w:color w:val="000000"/>
                <w:sz w:val="22"/>
                <w:szCs w:val="22"/>
              </w:rPr>
              <w:t xml:space="preserve">Qualitative data analysis of key informant interviews </w:t>
            </w:r>
          </w:p>
        </w:tc>
        <w:tc>
          <w:tcPr>
            <w:tcW w:w="1163"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C25336" w14:paraId="7EC8F24F" w14:textId="1907D934">
            <w:pPr>
              <w:tabs>
                <w:tab w:val="left" w:pos="1080"/>
              </w:tabs>
              <w:spacing w:before="30" w:after="30"/>
              <w:jc w:val="center"/>
              <w:rPr>
                <w:color w:val="000000"/>
                <w:sz w:val="22"/>
                <w:szCs w:val="22"/>
              </w:rPr>
            </w:pPr>
            <w:r>
              <w:rPr>
                <w:color w:val="000000"/>
                <w:sz w:val="22"/>
                <w:szCs w:val="22"/>
              </w:rPr>
              <w:t>8</w:t>
            </w:r>
            <w:r w:rsidR="001210CF">
              <w:rPr>
                <w:color w:val="000000"/>
                <w:sz w:val="22"/>
                <w:szCs w:val="22"/>
              </w:rPr>
              <w:t xml:space="preserve"> weeks</w:t>
            </w:r>
          </w:p>
        </w:tc>
        <w:tc>
          <w:tcPr>
            <w:tcW w:w="1877"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B67320" w:rsidRDefault="00C25336" w14:paraId="7E04CCBD" w14:textId="3ED8B1BA">
            <w:pPr>
              <w:tabs>
                <w:tab w:val="left" w:pos="1080"/>
              </w:tabs>
              <w:spacing w:before="30" w:after="30"/>
              <w:jc w:val="center"/>
              <w:rPr>
                <w:color w:val="000000"/>
                <w:sz w:val="22"/>
                <w:szCs w:val="22"/>
              </w:rPr>
            </w:pPr>
            <w:r>
              <w:rPr>
                <w:color w:val="000000"/>
                <w:sz w:val="22"/>
                <w:szCs w:val="22"/>
              </w:rPr>
              <w:t>Months 3</w:t>
            </w:r>
            <w:r w:rsidR="007E5B71">
              <w:rPr>
                <w:color w:val="000000"/>
                <w:sz w:val="22"/>
                <w:szCs w:val="22"/>
              </w:rPr>
              <w:t>-4</w:t>
            </w:r>
          </w:p>
        </w:tc>
      </w:tr>
      <w:tr w:rsidR="001210CF" w:rsidTr="00370880" w14:paraId="0C7F870F" w14:textId="77777777">
        <w:tc>
          <w:tcPr>
            <w:tcW w:w="5129" w:type="dxa"/>
            <w:tcBorders>
              <w:top w:val="single" w:color="717074" w:sz="4" w:space="0"/>
              <w:left w:val="single" w:color="717074" w:sz="4" w:space="0"/>
              <w:bottom w:val="single" w:color="717074" w:sz="4" w:space="0"/>
              <w:right w:val="single" w:color="717074" w:sz="4" w:space="0"/>
            </w:tcBorders>
            <w:tcMar>
              <w:top w:w="0" w:type="dxa"/>
              <w:left w:w="58" w:type="dxa"/>
              <w:bottom w:w="0" w:type="dxa"/>
              <w:right w:w="58" w:type="dxa"/>
            </w:tcMar>
            <w:vAlign w:val="center"/>
            <w:hideMark/>
          </w:tcPr>
          <w:p w:rsidR="001210CF" w:rsidP="00B67320" w:rsidRDefault="007E5B71" w14:paraId="24BC4428" w14:textId="46FAE0ED">
            <w:pPr>
              <w:autoSpaceDE w:val="0"/>
              <w:autoSpaceDN w:val="0"/>
              <w:adjustRightInd w:val="0"/>
              <w:rPr>
                <w:b/>
                <w:color w:val="000000"/>
                <w:sz w:val="22"/>
                <w:szCs w:val="22"/>
              </w:rPr>
            </w:pPr>
            <w:r>
              <w:rPr>
                <w:b/>
                <w:color w:val="000000"/>
                <w:sz w:val="22"/>
                <w:szCs w:val="22"/>
              </w:rPr>
              <w:t xml:space="preserve">Performance Assessment Report </w:t>
            </w:r>
            <w:r w:rsidR="00C25336">
              <w:rPr>
                <w:b/>
                <w:color w:val="000000"/>
                <w:sz w:val="22"/>
                <w:szCs w:val="22"/>
              </w:rPr>
              <w:t xml:space="preserve"> </w:t>
            </w:r>
            <w:r w:rsidR="001210CF">
              <w:rPr>
                <w:b/>
                <w:color w:val="000000"/>
                <w:sz w:val="22"/>
                <w:szCs w:val="22"/>
              </w:rPr>
              <w:t xml:space="preserve"> </w:t>
            </w:r>
          </w:p>
        </w:tc>
        <w:tc>
          <w:tcPr>
            <w:tcW w:w="1163"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vAlign w:val="center"/>
            <w:hideMark/>
          </w:tcPr>
          <w:p w:rsidR="001210CF" w:rsidP="00B67320" w:rsidRDefault="007E5B71" w14:paraId="658F8939" w14:textId="6C29ACC1">
            <w:pPr>
              <w:tabs>
                <w:tab w:val="left" w:pos="1080"/>
              </w:tabs>
              <w:spacing w:before="30" w:after="30"/>
              <w:jc w:val="center"/>
              <w:rPr>
                <w:color w:val="000000"/>
                <w:sz w:val="22"/>
                <w:szCs w:val="22"/>
              </w:rPr>
            </w:pPr>
            <w:r>
              <w:rPr>
                <w:color w:val="000000"/>
                <w:sz w:val="22"/>
                <w:szCs w:val="22"/>
              </w:rPr>
              <w:t>20</w:t>
            </w:r>
            <w:r w:rsidR="001210CF">
              <w:rPr>
                <w:color w:val="000000"/>
                <w:sz w:val="22"/>
                <w:szCs w:val="22"/>
              </w:rPr>
              <w:t xml:space="preserve"> weeks</w:t>
            </w:r>
          </w:p>
        </w:tc>
        <w:tc>
          <w:tcPr>
            <w:tcW w:w="1877" w:type="dxa"/>
            <w:tcBorders>
              <w:top w:val="single" w:color="717074" w:sz="4" w:space="0"/>
              <w:left w:val="single" w:color="717074" w:sz="4" w:space="0"/>
              <w:bottom w:val="single" w:color="717074" w:sz="4" w:space="0"/>
              <w:right w:val="single" w:color="717074" w:sz="4" w:space="0"/>
            </w:tcBorders>
            <w:tcMar>
              <w:top w:w="15" w:type="dxa"/>
              <w:left w:w="15" w:type="dxa"/>
              <w:bottom w:w="15" w:type="dxa"/>
              <w:right w:w="15" w:type="dxa"/>
            </w:tcMar>
            <w:hideMark/>
          </w:tcPr>
          <w:p w:rsidR="001210CF" w:rsidP="007E5B71" w:rsidRDefault="001210CF" w14:paraId="4E902F9D" w14:textId="3B3B16A5">
            <w:pPr>
              <w:tabs>
                <w:tab w:val="left" w:pos="1080"/>
              </w:tabs>
              <w:spacing w:before="30" w:after="30"/>
              <w:jc w:val="center"/>
              <w:rPr>
                <w:color w:val="000000"/>
                <w:sz w:val="22"/>
                <w:szCs w:val="22"/>
              </w:rPr>
            </w:pPr>
            <w:r>
              <w:rPr>
                <w:color w:val="000000"/>
                <w:sz w:val="22"/>
                <w:szCs w:val="22"/>
              </w:rPr>
              <w:t xml:space="preserve">Months </w:t>
            </w:r>
            <w:r w:rsidR="007E5B71">
              <w:rPr>
                <w:color w:val="000000"/>
                <w:sz w:val="22"/>
                <w:szCs w:val="22"/>
              </w:rPr>
              <w:t>5-9</w:t>
            </w:r>
          </w:p>
        </w:tc>
      </w:tr>
    </w:tbl>
    <w:p w:rsidR="00063E36" w:rsidP="00063E36" w:rsidRDefault="00063E36" w14:paraId="1A343A21" w14:textId="77777777">
      <w:pPr>
        <w:rPr>
          <w:highlight w:val="yellow"/>
        </w:rPr>
      </w:pPr>
    </w:p>
    <w:p w:rsidR="00063E36" w:rsidP="00063E36" w:rsidRDefault="00063E36" w14:paraId="7A1ABC65" w14:textId="10D5B8FF">
      <w:r w:rsidRPr="00D92F93">
        <w:rPr>
          <w:b/>
        </w:rPr>
        <w:t>Analysis plans.</w:t>
      </w:r>
      <w:r w:rsidR="0041780A">
        <w:t xml:space="preserve"> </w:t>
      </w:r>
    </w:p>
    <w:p w:rsidR="00063E36" w:rsidP="00063E36" w:rsidRDefault="00063E36" w14:paraId="6EBA6899" w14:textId="77777777">
      <w:pPr>
        <w:tabs>
          <w:tab w:val="left" w:pos="1760"/>
        </w:tabs>
      </w:pPr>
      <w:r>
        <w:tab/>
      </w:r>
    </w:p>
    <w:p w:rsidRPr="00D37ACC" w:rsidR="003F2CBA" w:rsidP="00560600" w:rsidRDefault="00D37ACC" w14:paraId="091D6C43" w14:textId="16594DFC">
      <w:r>
        <w:rPr>
          <w:b/>
          <w:i/>
        </w:rPr>
        <w:t xml:space="preserve">Survey. </w:t>
      </w:r>
      <w:r w:rsidR="003A0BF0">
        <w:t xml:space="preserve">The assessment will employ post-stratification weighting procedures, such as raking to produce survey weights. The analysis will utilize appropriate survey analysis specifications and the survey weights to produce estimates that are representative of the target population and subpopulations. Analyses will include survey-weighted univariate and bivariate analysis to assess implementation and employ appropriate statistical tests to assess difference in responses across subpopulations.    </w:t>
      </w:r>
      <w:r w:rsidRPr="006C615D" w:rsidR="003A0BF0">
        <w:t xml:space="preserve"> </w:t>
      </w:r>
    </w:p>
    <w:p w:rsidR="003F2CBA" w:rsidP="003F2CBA" w:rsidRDefault="003F2CBA" w14:paraId="74D5F9D7" w14:textId="77777777">
      <w:pPr>
        <w:rPr>
          <w:b/>
          <w:i/>
        </w:rPr>
      </w:pPr>
    </w:p>
    <w:p w:rsidR="00063E36" w:rsidP="00063E36" w:rsidRDefault="00063E36" w14:paraId="227246CE" w14:textId="67C6DF0E">
      <w:r w:rsidRPr="004438E2">
        <w:rPr>
          <w:b/>
          <w:i/>
        </w:rPr>
        <w:t>Key informant interviews</w:t>
      </w:r>
      <w:r w:rsidR="007A66CA">
        <w:rPr>
          <w:b/>
          <w:i/>
        </w:rPr>
        <w:t>.</w:t>
      </w:r>
      <w:r w:rsidRPr="004438E2">
        <w:rPr>
          <w:b/>
          <w:i/>
        </w:rPr>
        <w:t xml:space="preserve"> </w:t>
      </w:r>
      <w:r w:rsidR="007E5B71">
        <w:t xml:space="preserve">The </w:t>
      </w:r>
      <w:r w:rsidR="007C2F41">
        <w:t>assessment</w:t>
      </w:r>
      <w:r>
        <w:t xml:space="preserve"> team will systematically code transcripts of interviews t</w:t>
      </w:r>
      <w:r w:rsidRPr="008F4548">
        <w:t>o iden</w:t>
      </w:r>
      <w:r>
        <w:t xml:space="preserve">tify factors that contribute to </w:t>
      </w:r>
      <w:r w:rsidR="002300E8">
        <w:t>reach, retention, and engagement</w:t>
      </w:r>
      <w:r w:rsidR="007B68C5">
        <w:t xml:space="preserve"> with the Network</w:t>
      </w:r>
      <w:r w:rsidR="0044310B">
        <w:t>;</w:t>
      </w:r>
      <w:r w:rsidR="007B68C5">
        <w:t xml:space="preserve"> implementation </w:t>
      </w:r>
      <w:r w:rsidR="0044310B">
        <w:t xml:space="preserve">approach, </w:t>
      </w:r>
      <w:proofErr w:type="gramStart"/>
      <w:r w:rsidR="007B68C5">
        <w:t>gaps</w:t>
      </w:r>
      <w:proofErr w:type="gramEnd"/>
      <w:r w:rsidR="007B68C5">
        <w:t xml:space="preserve"> and barriers</w:t>
      </w:r>
      <w:r w:rsidR="0044310B">
        <w:t>; and impacts as a result of participation</w:t>
      </w:r>
      <w:r w:rsidR="007B68C5">
        <w:t>.</w:t>
      </w:r>
    </w:p>
    <w:p w:rsidR="00063E36" w:rsidP="00063E36" w:rsidRDefault="00063E36" w14:paraId="15131824" w14:textId="77777777"/>
    <w:p w:rsidR="000643AC" w:rsidP="000643AC" w:rsidRDefault="000643AC" w14:paraId="46667532" w14:textId="0053061F">
      <w:pPr>
        <w:autoSpaceDE w:val="0"/>
        <w:autoSpaceDN w:val="0"/>
        <w:spacing w:before="40" w:after="40"/>
        <w:rPr>
          <w:sz w:val="22"/>
          <w:szCs w:val="22"/>
        </w:rPr>
      </w:pPr>
      <w:r>
        <w:t xml:space="preserve">Codes will also correspond to concepts identified from document review of information provided by the Network. Once documents are examined, we will meet to review excerpts and establish agreement in coding. Emergent codes will be considered to respond to unanticipated patterns among responses, and emergent codes will be added if the prevalence of these themes merit their inclusion. </w:t>
      </w:r>
      <w:r w:rsidR="00673AA7">
        <w:t xml:space="preserve">The team </w:t>
      </w:r>
      <w:r w:rsidRPr="008F4548" w:rsidR="00673AA7">
        <w:t xml:space="preserve">will </w:t>
      </w:r>
      <w:r w:rsidR="00673AA7">
        <w:t xml:space="preserve">then </w:t>
      </w:r>
      <w:r w:rsidRPr="008F4548" w:rsidR="00673AA7">
        <w:t>develop a codebook of existing (from the interview guide) and e</w:t>
      </w:r>
      <w:r w:rsidR="00673AA7">
        <w:t xml:space="preserve">mergent (from responses) themes.  </w:t>
      </w:r>
    </w:p>
    <w:p w:rsidRPr="00E16CBE" w:rsidR="00E16CBE" w:rsidP="000643AC" w:rsidRDefault="00E16CBE" w14:paraId="0C1E7402" w14:textId="77777777">
      <w:pPr>
        <w:autoSpaceDE w:val="0"/>
        <w:autoSpaceDN w:val="0"/>
        <w:spacing w:before="40" w:after="40"/>
        <w:rPr>
          <w:sz w:val="22"/>
          <w:szCs w:val="22"/>
        </w:rPr>
      </w:pPr>
    </w:p>
    <w:p w:rsidRPr="000643AC" w:rsidR="000643AC" w:rsidP="000643AC" w:rsidRDefault="000643AC" w14:paraId="52796066" w14:textId="52F71E2B">
      <w:pPr>
        <w:autoSpaceDE w:val="0"/>
        <w:autoSpaceDN w:val="0"/>
        <w:spacing w:before="40" w:after="40"/>
        <w:rPr>
          <w:sz w:val="22"/>
          <w:szCs w:val="22"/>
        </w:rPr>
      </w:pPr>
      <w:proofErr w:type="gramStart"/>
      <w:r>
        <w:t>In order to</w:t>
      </w:r>
      <w:proofErr w:type="gramEnd"/>
      <w:r>
        <w:t xml:space="preserve"> establish strong inter</w:t>
      </w:r>
      <w:r w:rsidR="00D03683">
        <w:t>-</w:t>
      </w:r>
      <w:r>
        <w:t>rater reliability and test the reliability of the codebook, two coders will independently code one-third of the interview notes for each type of interview data. Codes will also correspond to concepts identified from document review of information provided by the Network. Discrepancies will be discussed and resolved by the data analysis team and the codebooks will be revised as necessary. The analysis team will seek to achieve a kappa of &gt;.60.</w:t>
      </w:r>
      <w:r w:rsidR="00421105">
        <w:rPr>
          <w:rStyle w:val="EndnoteReference"/>
        </w:rPr>
        <w:endnoteReference w:id="7"/>
      </w:r>
      <w:r w:rsidR="00421105">
        <w:t xml:space="preserve"> </w:t>
      </w:r>
      <w:r>
        <w:t>Once inter</w:t>
      </w:r>
      <w:r w:rsidR="0044310B">
        <w:t>-</w:t>
      </w:r>
      <w:r>
        <w:t>rater reliability has been established to the satisfaction of the data analysis team, the remaining transcripts will be coded by one coder. To ensure quality control, however, a small random sample of the remaining transcripts (</w:t>
      </w:r>
      <w:proofErr w:type="gramStart"/>
      <w:r>
        <w:t>e.g.</w:t>
      </w:r>
      <w:proofErr w:type="gramEnd"/>
      <w:r>
        <w:t xml:space="preserve"> 10%) will be coded by two coders and the responses compared. Once coded, we will tabulate the data using </w:t>
      </w:r>
      <w:proofErr w:type="spellStart"/>
      <w:r>
        <w:t>Dedoose</w:t>
      </w:r>
      <w:proofErr w:type="spellEnd"/>
      <w:r>
        <w:t xml:space="preserve"> software to identify important themes, patterns, and illustrative quotes both within and across qualitative data sources. We will also analyze the themes that are identified</w:t>
      </w:r>
      <w:r>
        <w:rPr>
          <w:rFonts w:ascii="Segoe UI" w:hAnsi="Segoe UI" w:cs="Segoe UI"/>
          <w:color w:val="000000"/>
          <w:sz w:val="20"/>
          <w:szCs w:val="20"/>
        </w:rPr>
        <w:t xml:space="preserve"> </w:t>
      </w:r>
    </w:p>
    <w:p w:rsidR="00063E36" w:rsidP="00063E36" w:rsidRDefault="00063E36" w14:paraId="302264EB" w14:textId="77777777"/>
    <w:p w:rsidR="000029FB" w:rsidP="000029FB" w:rsidRDefault="00063E36" w14:paraId="391A1D4C" w14:textId="77777777">
      <w:r>
        <w:t>Coded data will be used to develop nar</w:t>
      </w:r>
      <w:r w:rsidR="00637E33">
        <w:t>ratives that answer the assessment</w:t>
      </w:r>
      <w:r>
        <w:t xml:space="preserve"> questions. Analysis of findings within codes will reveal similarities and differences in the perspectives of key informants, as well as the range of opinions and experiences on a given topic. Analysis of the relationship between codes or among a combination of codes </w:t>
      </w:r>
      <w:r>
        <w:lastRenderedPageBreak/>
        <w:t>will examine the interrelationship between themes or concepts.</w:t>
      </w:r>
      <w:r w:rsidR="000029FB">
        <w:t xml:space="preserve">  Comparative case analysis will also be used to help understand differences across the nursing homes participating in the Network, and to supplement the quantitative findings on variability in outcomes.</w:t>
      </w:r>
    </w:p>
    <w:p w:rsidR="00063E36" w:rsidP="00063E36" w:rsidRDefault="00063E36" w14:paraId="32865DA5" w14:textId="201DFA5A">
      <w:r>
        <w:t xml:space="preserve"> </w:t>
      </w:r>
    </w:p>
    <w:p w:rsidRPr="00424E6E" w:rsidR="009B633D" w:rsidP="009B633D" w:rsidRDefault="009B633D" w14:paraId="49951B51" w14:textId="77777777">
      <w:pPr>
        <w:pStyle w:val="Heading2"/>
        <w:rPr>
          <w:sz w:val="24"/>
        </w:rPr>
      </w:pPr>
      <w:bookmarkStart w:name="_Toc83639762" w:id="61"/>
      <w:r w:rsidRPr="00424E6E">
        <w:rPr>
          <w:sz w:val="24"/>
        </w:rPr>
        <w:t>17. Exemption for Display of Expiration Date</w:t>
      </w:r>
      <w:bookmarkEnd w:id="59"/>
      <w:bookmarkEnd w:id="60"/>
      <w:bookmarkEnd w:id="61"/>
    </w:p>
    <w:p w:rsidR="009B633D" w:rsidP="009B633D" w:rsidRDefault="009B633D" w14:paraId="7845C12C" w14:textId="77777777">
      <w:r w:rsidRPr="004F03D2">
        <w:t>AHRQ does not seek this exemption</w:t>
      </w:r>
      <w:r>
        <w:t>.</w:t>
      </w:r>
    </w:p>
    <w:p w:rsidRPr="00016560" w:rsidR="00016560" w:rsidP="00CE3206" w:rsidRDefault="00063E36" w14:paraId="2710B184" w14:textId="77777777">
      <w:pPr>
        <w:pStyle w:val="Heading2"/>
      </w:pPr>
      <w:r>
        <w:br w:type="page"/>
      </w:r>
      <w:bookmarkStart w:name="_Toc83639763" w:id="62"/>
      <w:r w:rsidR="00904CC3">
        <w:lastRenderedPageBreak/>
        <w:t xml:space="preserve">List of </w:t>
      </w:r>
      <w:r w:rsidRPr="00016560" w:rsidR="00016560">
        <w:t>Attachments:</w:t>
      </w:r>
      <w:bookmarkEnd w:id="62"/>
    </w:p>
    <w:p w:rsidR="000C365D" w:rsidP="008573ED" w:rsidRDefault="000C365D" w14:paraId="44F5A68D" w14:textId="78586335">
      <w:r>
        <w:t>Attachment A: Survey Recruitment Materials</w:t>
      </w:r>
    </w:p>
    <w:p w:rsidR="000C365D" w:rsidP="008573ED" w:rsidRDefault="000C365D" w14:paraId="1F034CBC" w14:textId="10E2DC4F">
      <w:r>
        <w:t>Attachment B: Survey Instrument</w:t>
      </w:r>
    </w:p>
    <w:p w:rsidR="00EE6E50" w:rsidP="008573ED" w:rsidRDefault="00637E33" w14:paraId="5B12BAA9" w14:textId="6083D328">
      <w:r>
        <w:t xml:space="preserve">Attachment </w:t>
      </w:r>
      <w:r w:rsidR="000C365D">
        <w:t>C</w:t>
      </w:r>
      <w:r w:rsidR="00BC72C2">
        <w:t>:</w:t>
      </w:r>
      <w:r w:rsidR="00EE6E50">
        <w:t xml:space="preserve"> Key Informant Interview Recruitment Materials</w:t>
      </w:r>
    </w:p>
    <w:p w:rsidR="0094702E" w:rsidP="008573ED" w:rsidRDefault="00637E33" w14:paraId="307FF0F6" w14:textId="3C487ED9">
      <w:r>
        <w:t xml:space="preserve">Attachment </w:t>
      </w:r>
      <w:r w:rsidR="000C365D">
        <w:t>D</w:t>
      </w:r>
      <w:r w:rsidR="00BC72C2">
        <w:t>:</w:t>
      </w:r>
      <w:r w:rsidR="00EE6E50">
        <w:t xml:space="preserve"> Key Informant Interview Information Sheet </w:t>
      </w:r>
    </w:p>
    <w:p w:rsidR="00161348" w:rsidP="00161348" w:rsidRDefault="00637E33" w14:paraId="341EB3C3" w14:textId="4D9BB002">
      <w:r>
        <w:t xml:space="preserve">Attachment </w:t>
      </w:r>
      <w:r w:rsidR="000C365D">
        <w:t>E</w:t>
      </w:r>
      <w:r w:rsidR="00161348">
        <w:t xml:space="preserve">: </w:t>
      </w:r>
      <w:r w:rsidR="00D2280B">
        <w:t>Key Informant Interview Guide</w:t>
      </w:r>
    </w:p>
    <w:p w:rsidR="00A15D49" w:rsidP="007208E0" w:rsidRDefault="00A15D49" w14:paraId="1662416C" w14:textId="557A369B">
      <w:r>
        <w:t xml:space="preserve">Attachment </w:t>
      </w:r>
      <w:r w:rsidR="00782532">
        <w:t>F</w:t>
      </w:r>
      <w:r w:rsidR="00637E33">
        <w:t xml:space="preserve">: </w:t>
      </w:r>
      <w:r>
        <w:t>Federal Register Notice</w:t>
      </w:r>
    </w:p>
    <w:p w:rsidR="007252D0" w:rsidRDefault="007252D0" w14:paraId="52749570" w14:textId="30B6E4A6">
      <w:pPr>
        <w:rPr>
          <w:i/>
        </w:rPr>
      </w:pPr>
      <w:r>
        <w:rPr>
          <w:i/>
        </w:rPr>
        <w:br w:type="page"/>
      </w:r>
    </w:p>
    <w:p w:rsidR="007252D0" w:rsidP="000311E8" w:rsidRDefault="000311E8" w14:paraId="736E847A" w14:textId="16BD86E7">
      <w:pPr>
        <w:pStyle w:val="Heading2"/>
      </w:pPr>
      <w:bookmarkStart w:name="_Toc83639764" w:id="63"/>
      <w:r>
        <w:lastRenderedPageBreak/>
        <w:t>References</w:t>
      </w:r>
      <w:bookmarkEnd w:id="63"/>
    </w:p>
    <w:sectPr w:rsidR="007252D0" w:rsidSect="009B633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800" w:bottom="1260" w:left="180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7AC8C" w14:textId="77777777" w:rsidR="007F252F" w:rsidRDefault="007F252F">
      <w:r>
        <w:separator/>
      </w:r>
    </w:p>
  </w:endnote>
  <w:endnote w:type="continuationSeparator" w:id="0">
    <w:p w14:paraId="5C791978" w14:textId="77777777" w:rsidR="007F252F" w:rsidRDefault="007F252F">
      <w:r>
        <w:continuationSeparator/>
      </w:r>
    </w:p>
  </w:endnote>
  <w:endnote w:id="1">
    <w:p w14:paraId="5B911DAC" w14:textId="4E8643B3" w:rsidR="00AC593C" w:rsidRDefault="00AC593C">
      <w:pPr>
        <w:pStyle w:val="EndnoteText"/>
      </w:pPr>
      <w:r>
        <w:rPr>
          <w:rStyle w:val="EndnoteReference"/>
        </w:rPr>
        <w:endnoteRef/>
      </w:r>
      <w:r>
        <w:t xml:space="preserve"> </w:t>
      </w:r>
      <w:r w:rsidRPr="009A1111">
        <w:rPr>
          <w:rFonts w:ascii="Arial Narrow" w:hAnsi="Arial Narrow"/>
        </w:rPr>
        <w:t xml:space="preserve">Agency for Healthcare Research and Quality. Healthcare Research and Quality Act of 1999. January 6, 1999. Accessed February 8, 2021. </w:t>
      </w:r>
      <w:hyperlink r:id="rId1" w:history="1">
        <w:r w:rsidRPr="002947E4">
          <w:rPr>
            <w:rStyle w:val="Hyperlink"/>
            <w:rFonts w:ascii="Arial Narrow" w:hAnsi="Arial Narrow"/>
          </w:rPr>
          <w:t>https://www.ahrq.gov/policymakers/hrqa99a.html</w:t>
        </w:r>
      </w:hyperlink>
      <w:r>
        <w:rPr>
          <w:rFonts w:ascii="Arial Narrow" w:hAnsi="Arial Narrow"/>
        </w:rPr>
        <w:t xml:space="preserve"> </w:t>
      </w:r>
    </w:p>
    <w:p w14:paraId="6B1EC2EF" w14:textId="77777777" w:rsidR="00AC593C" w:rsidRDefault="00AC593C">
      <w:pPr>
        <w:pStyle w:val="EndnoteText"/>
      </w:pPr>
    </w:p>
  </w:endnote>
  <w:endnote w:id="2">
    <w:p w14:paraId="5536F78F" w14:textId="474B0E70" w:rsidR="00AC593C" w:rsidRPr="00A71B09" w:rsidRDefault="00AC593C" w:rsidP="00A71B09">
      <w:pPr>
        <w:pStyle w:val="EndnoteText"/>
        <w:spacing w:after="240"/>
        <w:rPr>
          <w:rFonts w:ascii="Arial Narrow" w:hAnsi="Arial Narrow"/>
        </w:rPr>
      </w:pPr>
      <w:r>
        <w:rPr>
          <w:rStyle w:val="EndnoteReference"/>
        </w:rPr>
        <w:endnoteRef/>
      </w:r>
      <w:r>
        <w:t xml:space="preserve"> </w:t>
      </w:r>
      <w:r>
        <w:rPr>
          <w:rFonts w:ascii="Arial Narrow" w:hAnsi="Arial Narrow"/>
        </w:rPr>
        <w:t xml:space="preserve">Centers for Medicare and Medicaid Services. COVID-19 Nursing Home Data. </w:t>
      </w:r>
      <w:r w:rsidR="00CF4F96">
        <w:rPr>
          <w:rFonts w:ascii="Arial Narrow" w:hAnsi="Arial Narrow"/>
        </w:rPr>
        <w:t>February</w:t>
      </w:r>
      <w:r>
        <w:rPr>
          <w:rFonts w:ascii="Arial Narrow" w:hAnsi="Arial Narrow"/>
        </w:rPr>
        <w:t xml:space="preserve"> 3, 202</w:t>
      </w:r>
      <w:r w:rsidR="00CF4F96">
        <w:rPr>
          <w:rFonts w:ascii="Arial Narrow" w:hAnsi="Arial Narrow"/>
        </w:rPr>
        <w:t>2</w:t>
      </w:r>
      <w:r>
        <w:rPr>
          <w:rFonts w:ascii="Arial Narrow" w:hAnsi="Arial Narrow"/>
        </w:rPr>
        <w:t xml:space="preserve">. Accessed </w:t>
      </w:r>
      <w:r w:rsidR="00CF4F96">
        <w:rPr>
          <w:rFonts w:ascii="Arial Narrow" w:hAnsi="Arial Narrow"/>
        </w:rPr>
        <w:t>February</w:t>
      </w:r>
      <w:r>
        <w:rPr>
          <w:rFonts w:ascii="Arial Narrow" w:hAnsi="Arial Narrow"/>
        </w:rPr>
        <w:t xml:space="preserve"> </w:t>
      </w:r>
      <w:r w:rsidR="00CF4F96">
        <w:rPr>
          <w:rFonts w:ascii="Arial Narrow" w:hAnsi="Arial Narrow"/>
        </w:rPr>
        <w:t>9</w:t>
      </w:r>
      <w:r>
        <w:rPr>
          <w:rFonts w:ascii="Arial Narrow" w:hAnsi="Arial Narrow"/>
        </w:rPr>
        <w:t>, 202</w:t>
      </w:r>
      <w:r w:rsidR="00CF4F96">
        <w:rPr>
          <w:rFonts w:ascii="Arial Narrow" w:hAnsi="Arial Narrow"/>
        </w:rPr>
        <w:t>2</w:t>
      </w:r>
      <w:r>
        <w:rPr>
          <w:rFonts w:ascii="Arial Narrow" w:hAnsi="Arial Narrow"/>
        </w:rPr>
        <w:t xml:space="preserve">. </w:t>
      </w:r>
      <w:hyperlink r:id="rId2" w:history="1">
        <w:r>
          <w:rPr>
            <w:rStyle w:val="Hyperlink"/>
            <w:rFonts w:ascii="Arial Narrow" w:hAnsi="Arial Narrow"/>
          </w:rPr>
          <w:t>https://data.cms.gov/stories/s/COVID-19-Nursing-Home-Data/bkwz-xpvg/</w:t>
        </w:r>
      </w:hyperlink>
    </w:p>
  </w:endnote>
  <w:endnote w:id="3">
    <w:p w14:paraId="1BF4EBAC" w14:textId="54D2F920" w:rsidR="00AC593C" w:rsidRPr="00407814" w:rsidRDefault="00AC593C" w:rsidP="005E3564">
      <w:pPr>
        <w:pStyle w:val="EndnoteText"/>
        <w:keepLines/>
        <w:spacing w:after="240"/>
        <w:rPr>
          <w:rFonts w:ascii="Arial Narrow" w:hAnsi="Arial Narrow"/>
        </w:rPr>
      </w:pPr>
      <w:r w:rsidRPr="00407814">
        <w:rPr>
          <w:rStyle w:val="EndnoteReference"/>
          <w:rFonts w:ascii="Arial Narrow" w:hAnsi="Arial Narrow"/>
        </w:rPr>
        <w:endnoteRef/>
      </w:r>
      <w:r w:rsidRPr="00407814">
        <w:rPr>
          <w:rFonts w:ascii="Arial Narrow" w:hAnsi="Arial Narrow"/>
        </w:rPr>
        <w:t xml:space="preserve"> U.S. Department of Health and Human Services. CARES Act Provider Relief Fund: General Information.  Accessed November 18, 2020. </w:t>
      </w:r>
      <w:hyperlink r:id="rId3" w:history="1">
        <w:r w:rsidRPr="002947E4">
          <w:rPr>
            <w:rStyle w:val="Hyperlink"/>
            <w:rFonts w:ascii="Arial Narrow" w:hAnsi="Arial Narrow"/>
          </w:rPr>
          <w:t>https://www.hhs.gov/coronavirus/cares-act-provider-relief-fund/general-information/index.html</w:t>
        </w:r>
      </w:hyperlink>
      <w:r>
        <w:rPr>
          <w:rFonts w:ascii="Arial Narrow" w:hAnsi="Arial Narrow"/>
        </w:rPr>
        <w:t xml:space="preserve"> </w:t>
      </w:r>
    </w:p>
  </w:endnote>
  <w:endnote w:id="4">
    <w:p w14:paraId="3409B979" w14:textId="754A7B83" w:rsidR="00AC593C" w:rsidRPr="00407814" w:rsidRDefault="00AC593C" w:rsidP="005E3564">
      <w:pPr>
        <w:pStyle w:val="EndnoteText"/>
        <w:keepLines/>
        <w:spacing w:after="240"/>
        <w:rPr>
          <w:rFonts w:ascii="Arial Narrow" w:hAnsi="Arial Narrow"/>
        </w:rPr>
      </w:pPr>
      <w:r w:rsidRPr="00407814">
        <w:rPr>
          <w:rStyle w:val="EndnoteReference"/>
          <w:rFonts w:ascii="Arial Narrow" w:hAnsi="Arial Narrow"/>
        </w:rPr>
        <w:endnoteRef/>
      </w:r>
      <w:r w:rsidRPr="00407814">
        <w:rPr>
          <w:rFonts w:ascii="Arial Narrow" w:hAnsi="Arial Narrow"/>
        </w:rPr>
        <w:t xml:space="preserve"> Agency for Healthcare Research and Quality. AHRQ ECHO National Nursing Home COVID-19 Action Network. October 2020. Accessed November 18, 2020. </w:t>
      </w:r>
      <w:hyperlink r:id="rId4" w:history="1">
        <w:r w:rsidRPr="002947E4">
          <w:rPr>
            <w:rStyle w:val="Hyperlink"/>
            <w:rFonts w:ascii="Arial Narrow" w:hAnsi="Arial Narrow"/>
          </w:rPr>
          <w:t>https://www.ahrq.gov/nursing-home/index.html</w:t>
        </w:r>
      </w:hyperlink>
      <w:r>
        <w:rPr>
          <w:rFonts w:ascii="Arial Narrow" w:hAnsi="Arial Narrow"/>
        </w:rPr>
        <w:t xml:space="preserve"> </w:t>
      </w:r>
    </w:p>
  </w:endnote>
  <w:endnote w:id="5">
    <w:p w14:paraId="741D1C43" w14:textId="0C630EAD" w:rsidR="00AC593C" w:rsidRPr="00407814" w:rsidRDefault="00AC593C" w:rsidP="005E3564">
      <w:pPr>
        <w:pStyle w:val="EndnoteText"/>
        <w:keepLines/>
        <w:spacing w:after="240"/>
        <w:rPr>
          <w:rFonts w:ascii="Arial Narrow" w:hAnsi="Arial Narrow"/>
        </w:rPr>
      </w:pPr>
      <w:r w:rsidRPr="00407814">
        <w:rPr>
          <w:rStyle w:val="EndnoteReference"/>
          <w:rFonts w:ascii="Arial Narrow" w:hAnsi="Arial Narrow"/>
        </w:rPr>
        <w:endnoteRef/>
      </w:r>
      <w:r w:rsidRPr="00407814">
        <w:rPr>
          <w:rFonts w:ascii="Arial Narrow" w:hAnsi="Arial Narrow"/>
        </w:rPr>
        <w:t xml:space="preserve"> Agency for Healthcare Research and Quality. AHRQ's Quality &amp; Patient Safety Programs by Setting: Long-Term Care. October 2019. Accessed November 18, 2020. </w:t>
      </w:r>
      <w:hyperlink r:id="rId5" w:history="1">
        <w:r w:rsidRPr="002947E4">
          <w:rPr>
            <w:rStyle w:val="Hyperlink"/>
            <w:rFonts w:ascii="Arial Narrow" w:hAnsi="Arial Narrow"/>
          </w:rPr>
          <w:t>https://www.ahrq.gov/patient-safety/settings/long-term-care/index.html</w:t>
        </w:r>
      </w:hyperlink>
      <w:r>
        <w:rPr>
          <w:rFonts w:ascii="Arial Narrow" w:hAnsi="Arial Narrow"/>
        </w:rPr>
        <w:t xml:space="preserve"> </w:t>
      </w:r>
    </w:p>
  </w:endnote>
  <w:endnote w:id="6">
    <w:p w14:paraId="1BD23738" w14:textId="2B1344D0" w:rsidR="00AC593C" w:rsidRPr="00407814" w:rsidRDefault="00AC593C" w:rsidP="005E3564">
      <w:pPr>
        <w:pStyle w:val="EndnoteText"/>
        <w:keepLines/>
        <w:spacing w:after="240"/>
        <w:rPr>
          <w:rFonts w:ascii="Arial Narrow" w:hAnsi="Arial Narrow"/>
        </w:rPr>
      </w:pPr>
      <w:r w:rsidRPr="00407814">
        <w:rPr>
          <w:rStyle w:val="EndnoteReference"/>
          <w:rFonts w:ascii="Arial Narrow" w:hAnsi="Arial Narrow"/>
        </w:rPr>
        <w:endnoteRef/>
      </w:r>
      <w:r w:rsidRPr="00407814">
        <w:rPr>
          <w:rFonts w:ascii="Arial Narrow" w:hAnsi="Arial Narrow"/>
        </w:rPr>
        <w:t xml:space="preserve"> Centers for Medicare and Medicaid Services. Current Emergencies. November 18, 2020. Accessed November 18, 2020. </w:t>
      </w:r>
      <w:hyperlink r:id="rId6" w:history="1">
        <w:r w:rsidRPr="002947E4">
          <w:rPr>
            <w:rStyle w:val="Hyperlink"/>
            <w:rFonts w:ascii="Arial Narrow" w:hAnsi="Arial Narrow"/>
          </w:rPr>
          <w:t>https://www.cms.gov/About-CMS/Agency-Information/Emergency/EPRO/Current-Emergencies/Current-Emergencies-page</w:t>
        </w:r>
      </w:hyperlink>
      <w:r>
        <w:rPr>
          <w:rFonts w:ascii="Arial Narrow" w:hAnsi="Arial Narrow"/>
        </w:rPr>
        <w:t xml:space="preserve"> </w:t>
      </w:r>
    </w:p>
  </w:endnote>
  <w:endnote w:id="7">
    <w:p w14:paraId="698AA587" w14:textId="2275C3EC" w:rsidR="00AC593C" w:rsidRPr="00F6545A" w:rsidRDefault="00AC593C">
      <w:pPr>
        <w:pStyle w:val="EndnoteText"/>
        <w:rPr>
          <w:rFonts w:ascii="Arial Narrow" w:hAnsi="Arial Narrow"/>
        </w:rPr>
      </w:pPr>
      <w:r>
        <w:rPr>
          <w:rStyle w:val="EndnoteReference"/>
        </w:rPr>
        <w:endnoteRef/>
      </w:r>
      <w:r>
        <w:t xml:space="preserve"> </w:t>
      </w:r>
      <w:r w:rsidRPr="00F6545A">
        <w:rPr>
          <w:rFonts w:ascii="Arial Narrow" w:hAnsi="Arial Narrow"/>
        </w:rPr>
        <w:t>Mchugh ML. Interrater reliability: the kappa statistic. Biochemia Medica. 2012:276-282. doi:10.11613/bm.2012.031</w:t>
      </w:r>
      <w:r>
        <w:rPr>
          <w:rFonts w:ascii="Arial Narrow" w:hAnsi="Arial Narrow"/>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52EDC" w14:textId="77777777" w:rsidR="00AC593C" w:rsidRDefault="00AC593C"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238B36" w14:textId="77777777" w:rsidR="00AC593C" w:rsidRDefault="00AC5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922F3" w14:textId="0BC605CE" w:rsidR="00AC593C" w:rsidRDefault="00AC593C" w:rsidP="009B63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C7B55">
      <w:rPr>
        <w:rStyle w:val="PageNumber"/>
        <w:noProof/>
      </w:rPr>
      <w:t>- 10 -</w:t>
    </w:r>
    <w:r>
      <w:rPr>
        <w:rStyle w:val="PageNumber"/>
      </w:rPr>
      <w:fldChar w:fldCharType="end"/>
    </w:r>
  </w:p>
  <w:p w14:paraId="1B5EA3BD" w14:textId="77777777" w:rsidR="00AC593C" w:rsidRDefault="00AC59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A0932" w14:textId="77777777" w:rsidR="00AC593C" w:rsidRDefault="00AC5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74E554" w14:textId="77777777" w:rsidR="007F252F" w:rsidRDefault="007F252F">
      <w:r>
        <w:separator/>
      </w:r>
    </w:p>
  </w:footnote>
  <w:footnote w:type="continuationSeparator" w:id="0">
    <w:p w14:paraId="58474EF5" w14:textId="77777777" w:rsidR="007F252F" w:rsidRDefault="007F2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1AC8C" w14:textId="77777777" w:rsidR="00AC593C" w:rsidRDefault="00AC5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D5126" w14:textId="77777777" w:rsidR="00AC593C" w:rsidRDefault="00AC5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7BA90" w14:textId="77777777" w:rsidR="00AC593C" w:rsidRDefault="00AC5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C3891"/>
    <w:multiLevelType w:val="hybridMultilevel"/>
    <w:tmpl w:val="5E2E89F4"/>
    <w:lvl w:ilvl="0" w:tplc="48A43EEE">
      <w:start w:val="1"/>
      <w:numFmt w:val="decimal"/>
      <w:lvlText w:val="%1)"/>
      <w:lvlJc w:val="left"/>
      <w:pPr>
        <w:ind w:left="1080" w:hanging="720"/>
      </w:pPr>
      <w:rPr>
        <w:rFonts w:hint="default"/>
      </w:rPr>
    </w:lvl>
    <w:lvl w:ilvl="1" w:tplc="CE9EF9F4">
      <w:start w:val="4"/>
      <w:numFmt w:val="lowerLetter"/>
      <w:lvlText w:val="%2."/>
      <w:lvlJc w:val="left"/>
      <w:pPr>
        <w:ind w:left="1440" w:hanging="360"/>
      </w:pPr>
      <w:rPr>
        <w:rFonts w:hint="default"/>
        <w:small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2321F"/>
    <w:multiLevelType w:val="hybridMultilevel"/>
    <w:tmpl w:val="229A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B7B58"/>
    <w:multiLevelType w:val="hybridMultilevel"/>
    <w:tmpl w:val="8ADCA798"/>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135A1"/>
    <w:multiLevelType w:val="hybridMultilevel"/>
    <w:tmpl w:val="4A7CC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25028D"/>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1268652F"/>
    <w:multiLevelType w:val="hybridMultilevel"/>
    <w:tmpl w:val="0BAE8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AA0B13"/>
    <w:multiLevelType w:val="hybridMultilevel"/>
    <w:tmpl w:val="F916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56083"/>
    <w:multiLevelType w:val="hybridMultilevel"/>
    <w:tmpl w:val="8716E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B4327"/>
    <w:multiLevelType w:val="hybridMultilevel"/>
    <w:tmpl w:val="D2EE7C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D0FA8"/>
    <w:multiLevelType w:val="hybridMultilevel"/>
    <w:tmpl w:val="989A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0571EA"/>
    <w:multiLevelType w:val="hybridMultilevel"/>
    <w:tmpl w:val="D4763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2" w15:restartNumberingAfterBreak="0">
    <w:nsid w:val="285E6622"/>
    <w:multiLevelType w:val="hybridMultilevel"/>
    <w:tmpl w:val="A08470D0"/>
    <w:lvl w:ilvl="0" w:tplc="DD1AB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E7A53"/>
    <w:multiLevelType w:val="hybridMultilevel"/>
    <w:tmpl w:val="2EEEA7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B325A63"/>
    <w:multiLevelType w:val="hybridMultilevel"/>
    <w:tmpl w:val="9C36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522C69"/>
    <w:multiLevelType w:val="hybridMultilevel"/>
    <w:tmpl w:val="4EB4D062"/>
    <w:lvl w:ilvl="0" w:tplc="48A43E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06B64"/>
    <w:multiLevelType w:val="hybridMultilevel"/>
    <w:tmpl w:val="7974DEFA"/>
    <w:lvl w:ilvl="0" w:tplc="04090011">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558CD"/>
    <w:multiLevelType w:val="hybridMultilevel"/>
    <w:tmpl w:val="11649E7C"/>
    <w:lvl w:ilvl="0" w:tplc="DD1AB3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507398"/>
    <w:multiLevelType w:val="hybridMultilevel"/>
    <w:tmpl w:val="AC969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AF484B"/>
    <w:multiLevelType w:val="hybridMultilevel"/>
    <w:tmpl w:val="3D78B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144DC6"/>
    <w:multiLevelType w:val="hybridMultilevel"/>
    <w:tmpl w:val="1FC64F1C"/>
    <w:lvl w:ilvl="0" w:tplc="04090011">
      <w:start w:val="1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A3748"/>
    <w:multiLevelType w:val="hybridMultilevel"/>
    <w:tmpl w:val="AD32F0D4"/>
    <w:lvl w:ilvl="0" w:tplc="48A43EEE">
      <w:start w:val="1"/>
      <w:numFmt w:val="decimal"/>
      <w:lvlText w:val="%1)"/>
      <w:lvlJc w:val="left"/>
      <w:pPr>
        <w:ind w:left="1080" w:hanging="720"/>
      </w:pPr>
      <w:rPr>
        <w:rFonts w:hint="default"/>
      </w:rPr>
    </w:lvl>
    <w:lvl w:ilvl="1" w:tplc="D35875B8">
      <w:start w:val="3"/>
      <w:numFmt w:val="upperLetter"/>
      <w:lvlText w:val="%2."/>
      <w:lvlJc w:val="left"/>
      <w:pPr>
        <w:ind w:left="1440" w:hanging="360"/>
      </w:pPr>
      <w:rPr>
        <w:rFonts w:hint="default"/>
        <w:smallCap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132377"/>
    <w:multiLevelType w:val="hybridMultilevel"/>
    <w:tmpl w:val="545EFA5A"/>
    <w:lvl w:ilvl="0" w:tplc="0764D364">
      <w:start w:val="1"/>
      <w:numFmt w:val="bullet"/>
      <w:pStyle w:val="NORCTableBullet1"/>
      <w:lvlText w:val="■"/>
      <w:lvlJc w:val="left"/>
      <w:pPr>
        <w:ind w:left="504" w:hanging="360"/>
      </w:pPr>
      <w:rPr>
        <w:rFonts w:ascii="Arial" w:hAnsi="Arial" w:cs="Arial" w:hint="default"/>
        <w:b w:val="0"/>
        <w:bCs w:val="0"/>
        <w:i w:val="0"/>
        <w:iCs w:val="0"/>
        <w:caps w:val="0"/>
        <w:smallCaps w:val="0"/>
        <w:strike w:val="0"/>
        <w:dstrike w:val="0"/>
        <w:noProof w:val="0"/>
        <w:vanish w:val="0"/>
        <w:color w:val="E57200"/>
        <w:spacing w:val="0"/>
        <w:kern w:val="0"/>
        <w:position w:val="0"/>
        <w:sz w:val="16"/>
        <w:szCs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3" w15:restartNumberingAfterBreak="0">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24" w15:restartNumberingAfterBreak="0">
    <w:nsid w:val="5ACF014E"/>
    <w:multiLevelType w:val="hybridMultilevel"/>
    <w:tmpl w:val="78722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252582"/>
    <w:multiLevelType w:val="hybridMultilevel"/>
    <w:tmpl w:val="4456F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7A7B82"/>
    <w:multiLevelType w:val="hybridMultilevel"/>
    <w:tmpl w:val="F9E8D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3D2B56"/>
    <w:multiLevelType w:val="hybridMultilevel"/>
    <w:tmpl w:val="85F6B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F4102C"/>
    <w:multiLevelType w:val="hybridMultilevel"/>
    <w:tmpl w:val="5D248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3C4D51"/>
    <w:multiLevelType w:val="hybridMultilevel"/>
    <w:tmpl w:val="B40CD69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0" w15:restartNumberingAfterBreak="0">
    <w:nsid w:val="7D462796"/>
    <w:multiLevelType w:val="hybridMultilevel"/>
    <w:tmpl w:val="B2C8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num w:numId="1">
    <w:abstractNumId w:val="31"/>
  </w:num>
  <w:num w:numId="2">
    <w:abstractNumId w:val="23"/>
  </w:num>
  <w:num w:numId="3">
    <w:abstractNumId w:val="9"/>
  </w:num>
  <w:num w:numId="4">
    <w:abstractNumId w:val="3"/>
  </w:num>
  <w:num w:numId="5">
    <w:abstractNumId w:val="1"/>
  </w:num>
  <w:num w:numId="6">
    <w:abstractNumId w:val="29"/>
  </w:num>
  <w:num w:numId="7">
    <w:abstractNumId w:val="7"/>
  </w:num>
  <w:num w:numId="8">
    <w:abstractNumId w:val="2"/>
  </w:num>
  <w:num w:numId="9">
    <w:abstractNumId w:val="0"/>
  </w:num>
  <w:num w:numId="10">
    <w:abstractNumId w:val="21"/>
  </w:num>
  <w:num w:numId="11">
    <w:abstractNumId w:val="22"/>
  </w:num>
  <w:num w:numId="12">
    <w:abstractNumId w:val="25"/>
  </w:num>
  <w:num w:numId="13">
    <w:abstractNumId w:val="17"/>
  </w:num>
  <w:num w:numId="14">
    <w:abstractNumId w:val="18"/>
  </w:num>
  <w:num w:numId="15">
    <w:abstractNumId w:val="15"/>
  </w:num>
  <w:num w:numId="16">
    <w:abstractNumId w:val="27"/>
  </w:num>
  <w:num w:numId="17">
    <w:abstractNumId w:val="30"/>
  </w:num>
  <w:num w:numId="18">
    <w:abstractNumId w:val="24"/>
  </w:num>
  <w:num w:numId="19">
    <w:abstractNumId w:val="28"/>
  </w:num>
  <w:num w:numId="20">
    <w:abstractNumId w:val="19"/>
  </w:num>
  <w:num w:numId="21">
    <w:abstractNumId w:val="26"/>
  </w:num>
  <w:num w:numId="22">
    <w:abstractNumId w:val="5"/>
  </w:num>
  <w:num w:numId="23">
    <w:abstractNumId w:val="10"/>
  </w:num>
  <w:num w:numId="24">
    <w:abstractNumId w:val="11"/>
  </w:num>
  <w:num w:numId="25">
    <w:abstractNumId w:val="20"/>
  </w:num>
  <w:num w:numId="26">
    <w:abstractNumId w:val="16"/>
  </w:num>
  <w:num w:numId="27">
    <w:abstractNumId w:val="6"/>
  </w:num>
  <w:num w:numId="28">
    <w:abstractNumId w:val="14"/>
  </w:num>
  <w:num w:numId="29">
    <w:abstractNumId w:val="12"/>
  </w:num>
  <w:num w:numId="30">
    <w:abstractNumId w:val="13"/>
  </w:num>
  <w:num w:numId="31">
    <w:abstractNumId w:val="8"/>
  </w:num>
  <w:num w:numId="32">
    <w:abstractNumId w:val="4"/>
  </w:num>
  <w:num w:numId="3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ewNDQzMTQ1NjEzNzVR0lEKTi0uzszPAykwqgUAVpnOKCwAAAA="/>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w:rsids>
    <w:rsidRoot w:val="00873F74"/>
    <w:rsid w:val="000027D5"/>
    <w:rsid w:val="000029FB"/>
    <w:rsid w:val="00002C8B"/>
    <w:rsid w:val="0000597D"/>
    <w:rsid w:val="0001000B"/>
    <w:rsid w:val="00011E85"/>
    <w:rsid w:val="00012921"/>
    <w:rsid w:val="00012BF1"/>
    <w:rsid w:val="00012FB9"/>
    <w:rsid w:val="00013BD5"/>
    <w:rsid w:val="00015AAF"/>
    <w:rsid w:val="00016560"/>
    <w:rsid w:val="00021052"/>
    <w:rsid w:val="00024FEE"/>
    <w:rsid w:val="000311E8"/>
    <w:rsid w:val="00033301"/>
    <w:rsid w:val="00037998"/>
    <w:rsid w:val="0004286E"/>
    <w:rsid w:val="00043473"/>
    <w:rsid w:val="00045959"/>
    <w:rsid w:val="00046359"/>
    <w:rsid w:val="00056128"/>
    <w:rsid w:val="0006207D"/>
    <w:rsid w:val="00063E36"/>
    <w:rsid w:val="000643AC"/>
    <w:rsid w:val="00066F27"/>
    <w:rsid w:val="000670F3"/>
    <w:rsid w:val="0006792F"/>
    <w:rsid w:val="000754C1"/>
    <w:rsid w:val="000769F7"/>
    <w:rsid w:val="000779A9"/>
    <w:rsid w:val="00082047"/>
    <w:rsid w:val="00083326"/>
    <w:rsid w:val="00093610"/>
    <w:rsid w:val="00094648"/>
    <w:rsid w:val="00096156"/>
    <w:rsid w:val="000A016A"/>
    <w:rsid w:val="000A140E"/>
    <w:rsid w:val="000A3475"/>
    <w:rsid w:val="000B78CB"/>
    <w:rsid w:val="000C365D"/>
    <w:rsid w:val="000C46E4"/>
    <w:rsid w:val="000C55C6"/>
    <w:rsid w:val="000C7993"/>
    <w:rsid w:val="000C7B2A"/>
    <w:rsid w:val="000D0C69"/>
    <w:rsid w:val="000D429E"/>
    <w:rsid w:val="000D6288"/>
    <w:rsid w:val="000E01D1"/>
    <w:rsid w:val="000E4300"/>
    <w:rsid w:val="000E79A7"/>
    <w:rsid w:val="000F1134"/>
    <w:rsid w:val="000F1328"/>
    <w:rsid w:val="000F1BB9"/>
    <w:rsid w:val="000F2001"/>
    <w:rsid w:val="000F2B59"/>
    <w:rsid w:val="000F7B90"/>
    <w:rsid w:val="001051C0"/>
    <w:rsid w:val="001075E0"/>
    <w:rsid w:val="00112475"/>
    <w:rsid w:val="00112DF2"/>
    <w:rsid w:val="00113059"/>
    <w:rsid w:val="0011591D"/>
    <w:rsid w:val="00120911"/>
    <w:rsid w:val="00120A0C"/>
    <w:rsid w:val="001210CF"/>
    <w:rsid w:val="001236F3"/>
    <w:rsid w:val="00124917"/>
    <w:rsid w:val="001301AA"/>
    <w:rsid w:val="00131044"/>
    <w:rsid w:val="00131443"/>
    <w:rsid w:val="00144A6A"/>
    <w:rsid w:val="00145A20"/>
    <w:rsid w:val="00150AF4"/>
    <w:rsid w:val="00150BD2"/>
    <w:rsid w:val="00156791"/>
    <w:rsid w:val="00161348"/>
    <w:rsid w:val="00162383"/>
    <w:rsid w:val="00162694"/>
    <w:rsid w:val="00166A69"/>
    <w:rsid w:val="001679CA"/>
    <w:rsid w:val="001700D8"/>
    <w:rsid w:val="001749A1"/>
    <w:rsid w:val="001754CB"/>
    <w:rsid w:val="001868E0"/>
    <w:rsid w:val="00187A50"/>
    <w:rsid w:val="001919C4"/>
    <w:rsid w:val="001968BD"/>
    <w:rsid w:val="001A24AA"/>
    <w:rsid w:val="001A28C0"/>
    <w:rsid w:val="001B1C61"/>
    <w:rsid w:val="001C24D9"/>
    <w:rsid w:val="001C400F"/>
    <w:rsid w:val="001C59E4"/>
    <w:rsid w:val="001D26D9"/>
    <w:rsid w:val="001E06E6"/>
    <w:rsid w:val="001E301D"/>
    <w:rsid w:val="001E3520"/>
    <w:rsid w:val="001E56A3"/>
    <w:rsid w:val="001E63C6"/>
    <w:rsid w:val="001F0CCD"/>
    <w:rsid w:val="001F5A8A"/>
    <w:rsid w:val="001F6C1D"/>
    <w:rsid w:val="0020647A"/>
    <w:rsid w:val="00206610"/>
    <w:rsid w:val="00211E70"/>
    <w:rsid w:val="00216E62"/>
    <w:rsid w:val="0022366A"/>
    <w:rsid w:val="0022569A"/>
    <w:rsid w:val="002300E8"/>
    <w:rsid w:val="00237C5C"/>
    <w:rsid w:val="00243E77"/>
    <w:rsid w:val="0024768C"/>
    <w:rsid w:val="00255BC3"/>
    <w:rsid w:val="002605D6"/>
    <w:rsid w:val="00260694"/>
    <w:rsid w:val="002622CD"/>
    <w:rsid w:val="00263596"/>
    <w:rsid w:val="0026424E"/>
    <w:rsid w:val="00264E11"/>
    <w:rsid w:val="00272E29"/>
    <w:rsid w:val="00275478"/>
    <w:rsid w:val="00282876"/>
    <w:rsid w:val="00285552"/>
    <w:rsid w:val="00285980"/>
    <w:rsid w:val="00291B73"/>
    <w:rsid w:val="002963FD"/>
    <w:rsid w:val="0029734C"/>
    <w:rsid w:val="002A668A"/>
    <w:rsid w:val="002B30EE"/>
    <w:rsid w:val="002B382B"/>
    <w:rsid w:val="002B4041"/>
    <w:rsid w:val="002B7635"/>
    <w:rsid w:val="002C0104"/>
    <w:rsid w:val="002C2640"/>
    <w:rsid w:val="002C74C8"/>
    <w:rsid w:val="002D0ADD"/>
    <w:rsid w:val="002D48D1"/>
    <w:rsid w:val="002D4DCC"/>
    <w:rsid w:val="002E0C5C"/>
    <w:rsid w:val="002E2705"/>
    <w:rsid w:val="002E54EF"/>
    <w:rsid w:val="002F4DE8"/>
    <w:rsid w:val="00306F0F"/>
    <w:rsid w:val="00307322"/>
    <w:rsid w:val="0030757A"/>
    <w:rsid w:val="00313F3C"/>
    <w:rsid w:val="00316708"/>
    <w:rsid w:val="0032380F"/>
    <w:rsid w:val="00325122"/>
    <w:rsid w:val="00325B9C"/>
    <w:rsid w:val="003270FA"/>
    <w:rsid w:val="00327FA2"/>
    <w:rsid w:val="00333779"/>
    <w:rsid w:val="0033653E"/>
    <w:rsid w:val="00340D97"/>
    <w:rsid w:val="0034325D"/>
    <w:rsid w:val="003456BD"/>
    <w:rsid w:val="00347CE4"/>
    <w:rsid w:val="00350271"/>
    <w:rsid w:val="00350E4E"/>
    <w:rsid w:val="00352965"/>
    <w:rsid w:val="00352DE6"/>
    <w:rsid w:val="00354FC8"/>
    <w:rsid w:val="00356697"/>
    <w:rsid w:val="00360F9C"/>
    <w:rsid w:val="00361F52"/>
    <w:rsid w:val="00365B7B"/>
    <w:rsid w:val="00370880"/>
    <w:rsid w:val="00370975"/>
    <w:rsid w:val="0037254D"/>
    <w:rsid w:val="0037427A"/>
    <w:rsid w:val="003761DD"/>
    <w:rsid w:val="00377301"/>
    <w:rsid w:val="003774A0"/>
    <w:rsid w:val="0037771B"/>
    <w:rsid w:val="00377D80"/>
    <w:rsid w:val="0038217D"/>
    <w:rsid w:val="00387BD0"/>
    <w:rsid w:val="00387E7F"/>
    <w:rsid w:val="003913A0"/>
    <w:rsid w:val="003A0672"/>
    <w:rsid w:val="003A0BF0"/>
    <w:rsid w:val="003B2951"/>
    <w:rsid w:val="003B42D5"/>
    <w:rsid w:val="003B5859"/>
    <w:rsid w:val="003B6092"/>
    <w:rsid w:val="003B6B41"/>
    <w:rsid w:val="003C23CE"/>
    <w:rsid w:val="003C60BD"/>
    <w:rsid w:val="003C7692"/>
    <w:rsid w:val="003D21A7"/>
    <w:rsid w:val="003D3937"/>
    <w:rsid w:val="003D73D8"/>
    <w:rsid w:val="003E09EC"/>
    <w:rsid w:val="003E204A"/>
    <w:rsid w:val="003E2801"/>
    <w:rsid w:val="003E5915"/>
    <w:rsid w:val="003E6345"/>
    <w:rsid w:val="003E70B1"/>
    <w:rsid w:val="003F2CBA"/>
    <w:rsid w:val="003F5921"/>
    <w:rsid w:val="00403147"/>
    <w:rsid w:val="0040348E"/>
    <w:rsid w:val="00405C0E"/>
    <w:rsid w:val="004131BC"/>
    <w:rsid w:val="00414C80"/>
    <w:rsid w:val="004151EA"/>
    <w:rsid w:val="004155E1"/>
    <w:rsid w:val="00415D5F"/>
    <w:rsid w:val="004174E7"/>
    <w:rsid w:val="0041780A"/>
    <w:rsid w:val="00421105"/>
    <w:rsid w:val="004230A5"/>
    <w:rsid w:val="00423E8F"/>
    <w:rsid w:val="00425974"/>
    <w:rsid w:val="0043596B"/>
    <w:rsid w:val="00435BE4"/>
    <w:rsid w:val="0043781D"/>
    <w:rsid w:val="0044310B"/>
    <w:rsid w:val="00443B2B"/>
    <w:rsid w:val="0044769A"/>
    <w:rsid w:val="00450538"/>
    <w:rsid w:val="00451727"/>
    <w:rsid w:val="00452268"/>
    <w:rsid w:val="00456179"/>
    <w:rsid w:val="00466955"/>
    <w:rsid w:val="004670C2"/>
    <w:rsid w:val="00467163"/>
    <w:rsid w:val="00473D56"/>
    <w:rsid w:val="0047504D"/>
    <w:rsid w:val="00480523"/>
    <w:rsid w:val="004811AD"/>
    <w:rsid w:val="00487AE5"/>
    <w:rsid w:val="00492F5F"/>
    <w:rsid w:val="0049708A"/>
    <w:rsid w:val="004A0B06"/>
    <w:rsid w:val="004A2D94"/>
    <w:rsid w:val="004A4AD2"/>
    <w:rsid w:val="004A624D"/>
    <w:rsid w:val="004B0B18"/>
    <w:rsid w:val="004B77C9"/>
    <w:rsid w:val="004B7E6B"/>
    <w:rsid w:val="004C0BC9"/>
    <w:rsid w:val="004C21F8"/>
    <w:rsid w:val="004C3BA7"/>
    <w:rsid w:val="004C434B"/>
    <w:rsid w:val="004C4A74"/>
    <w:rsid w:val="004D0398"/>
    <w:rsid w:val="004D04F4"/>
    <w:rsid w:val="004D1AFC"/>
    <w:rsid w:val="004D4036"/>
    <w:rsid w:val="004D67A3"/>
    <w:rsid w:val="004E16F6"/>
    <w:rsid w:val="004E3A1B"/>
    <w:rsid w:val="004F0874"/>
    <w:rsid w:val="004F66D9"/>
    <w:rsid w:val="00501308"/>
    <w:rsid w:val="00505687"/>
    <w:rsid w:val="0050695B"/>
    <w:rsid w:val="00510909"/>
    <w:rsid w:val="00515586"/>
    <w:rsid w:val="00520CE0"/>
    <w:rsid w:val="005251B5"/>
    <w:rsid w:val="00527BBD"/>
    <w:rsid w:val="00531701"/>
    <w:rsid w:val="00531857"/>
    <w:rsid w:val="00535B56"/>
    <w:rsid w:val="00537B9B"/>
    <w:rsid w:val="00543DCF"/>
    <w:rsid w:val="00550174"/>
    <w:rsid w:val="00556066"/>
    <w:rsid w:val="00560600"/>
    <w:rsid w:val="0056238F"/>
    <w:rsid w:val="00564F74"/>
    <w:rsid w:val="005660C9"/>
    <w:rsid w:val="00577174"/>
    <w:rsid w:val="00581FD2"/>
    <w:rsid w:val="00593E67"/>
    <w:rsid w:val="005977DC"/>
    <w:rsid w:val="005A3B16"/>
    <w:rsid w:val="005B2955"/>
    <w:rsid w:val="005B2E28"/>
    <w:rsid w:val="005B3A67"/>
    <w:rsid w:val="005B3C01"/>
    <w:rsid w:val="005B4902"/>
    <w:rsid w:val="005B62CF"/>
    <w:rsid w:val="005B6FAA"/>
    <w:rsid w:val="005B715B"/>
    <w:rsid w:val="005C393E"/>
    <w:rsid w:val="005C6AE3"/>
    <w:rsid w:val="005E3564"/>
    <w:rsid w:val="005E4424"/>
    <w:rsid w:val="005E49B8"/>
    <w:rsid w:val="005E564A"/>
    <w:rsid w:val="005E6C66"/>
    <w:rsid w:val="005F0B1B"/>
    <w:rsid w:val="005F4B12"/>
    <w:rsid w:val="005F6396"/>
    <w:rsid w:val="0060047D"/>
    <w:rsid w:val="006014DB"/>
    <w:rsid w:val="00604437"/>
    <w:rsid w:val="00606400"/>
    <w:rsid w:val="006124E9"/>
    <w:rsid w:val="00612E29"/>
    <w:rsid w:val="00613C05"/>
    <w:rsid w:val="0061582C"/>
    <w:rsid w:val="00617E35"/>
    <w:rsid w:val="00620B93"/>
    <w:rsid w:val="00622FFD"/>
    <w:rsid w:val="00624AB2"/>
    <w:rsid w:val="00625C1B"/>
    <w:rsid w:val="0062621B"/>
    <w:rsid w:val="00626D1D"/>
    <w:rsid w:val="00631C81"/>
    <w:rsid w:val="00633FDF"/>
    <w:rsid w:val="00634196"/>
    <w:rsid w:val="00635119"/>
    <w:rsid w:val="00636A0C"/>
    <w:rsid w:val="006371E7"/>
    <w:rsid w:val="006376C9"/>
    <w:rsid w:val="00637D34"/>
    <w:rsid w:val="00637E33"/>
    <w:rsid w:val="00653C0E"/>
    <w:rsid w:val="00655A17"/>
    <w:rsid w:val="006648CD"/>
    <w:rsid w:val="00666A1B"/>
    <w:rsid w:val="00666C44"/>
    <w:rsid w:val="00670B2E"/>
    <w:rsid w:val="00673146"/>
    <w:rsid w:val="00673643"/>
    <w:rsid w:val="00673AA7"/>
    <w:rsid w:val="006856F8"/>
    <w:rsid w:val="00686AB5"/>
    <w:rsid w:val="006957B5"/>
    <w:rsid w:val="0069633B"/>
    <w:rsid w:val="00696643"/>
    <w:rsid w:val="006976C1"/>
    <w:rsid w:val="006979BA"/>
    <w:rsid w:val="006A28E1"/>
    <w:rsid w:val="006A4D4E"/>
    <w:rsid w:val="006B1691"/>
    <w:rsid w:val="006B2D68"/>
    <w:rsid w:val="006C22EC"/>
    <w:rsid w:val="006C45D0"/>
    <w:rsid w:val="006C7B55"/>
    <w:rsid w:val="006D1C5E"/>
    <w:rsid w:val="006E2DEE"/>
    <w:rsid w:val="006E7E53"/>
    <w:rsid w:val="006F258D"/>
    <w:rsid w:val="0070072D"/>
    <w:rsid w:val="00703573"/>
    <w:rsid w:val="00704C13"/>
    <w:rsid w:val="00704E8F"/>
    <w:rsid w:val="0070732E"/>
    <w:rsid w:val="007109B1"/>
    <w:rsid w:val="00710C91"/>
    <w:rsid w:val="00710D21"/>
    <w:rsid w:val="007134BF"/>
    <w:rsid w:val="0071688E"/>
    <w:rsid w:val="007208E0"/>
    <w:rsid w:val="00723075"/>
    <w:rsid w:val="007252D0"/>
    <w:rsid w:val="00733323"/>
    <w:rsid w:val="00733B0E"/>
    <w:rsid w:val="00736A72"/>
    <w:rsid w:val="0074180F"/>
    <w:rsid w:val="00742939"/>
    <w:rsid w:val="00744949"/>
    <w:rsid w:val="00744D19"/>
    <w:rsid w:val="00745143"/>
    <w:rsid w:val="00747A7E"/>
    <w:rsid w:val="00747D2F"/>
    <w:rsid w:val="00752EA8"/>
    <w:rsid w:val="007530DE"/>
    <w:rsid w:val="00756014"/>
    <w:rsid w:val="007657D6"/>
    <w:rsid w:val="00765D1A"/>
    <w:rsid w:val="007700A7"/>
    <w:rsid w:val="007721F3"/>
    <w:rsid w:val="0077256A"/>
    <w:rsid w:val="0077307F"/>
    <w:rsid w:val="0077568C"/>
    <w:rsid w:val="00775BAB"/>
    <w:rsid w:val="00776654"/>
    <w:rsid w:val="00782532"/>
    <w:rsid w:val="0079747B"/>
    <w:rsid w:val="007A0DD2"/>
    <w:rsid w:val="007A1E90"/>
    <w:rsid w:val="007A265C"/>
    <w:rsid w:val="007A66CA"/>
    <w:rsid w:val="007B0CF3"/>
    <w:rsid w:val="007B34B5"/>
    <w:rsid w:val="007B3A8E"/>
    <w:rsid w:val="007B3CA5"/>
    <w:rsid w:val="007B6628"/>
    <w:rsid w:val="007B68C5"/>
    <w:rsid w:val="007C1ECB"/>
    <w:rsid w:val="007C2F41"/>
    <w:rsid w:val="007D0C08"/>
    <w:rsid w:val="007D13FE"/>
    <w:rsid w:val="007D307F"/>
    <w:rsid w:val="007D4F9F"/>
    <w:rsid w:val="007D74F2"/>
    <w:rsid w:val="007E20DA"/>
    <w:rsid w:val="007E4359"/>
    <w:rsid w:val="007E5B71"/>
    <w:rsid w:val="007F252F"/>
    <w:rsid w:val="0080128E"/>
    <w:rsid w:val="00801738"/>
    <w:rsid w:val="0080612B"/>
    <w:rsid w:val="00811735"/>
    <w:rsid w:val="008147C4"/>
    <w:rsid w:val="00817DA0"/>
    <w:rsid w:val="008254DB"/>
    <w:rsid w:val="0082596E"/>
    <w:rsid w:val="00825DA9"/>
    <w:rsid w:val="0083145C"/>
    <w:rsid w:val="0083200E"/>
    <w:rsid w:val="00841047"/>
    <w:rsid w:val="00841856"/>
    <w:rsid w:val="008450C0"/>
    <w:rsid w:val="00855827"/>
    <w:rsid w:val="0085659E"/>
    <w:rsid w:val="008573ED"/>
    <w:rsid w:val="00861E61"/>
    <w:rsid w:val="00864592"/>
    <w:rsid w:val="008728E0"/>
    <w:rsid w:val="00873F74"/>
    <w:rsid w:val="00877CF4"/>
    <w:rsid w:val="00880DFE"/>
    <w:rsid w:val="00881DB3"/>
    <w:rsid w:val="00882AAA"/>
    <w:rsid w:val="00887F65"/>
    <w:rsid w:val="00892655"/>
    <w:rsid w:val="008943CE"/>
    <w:rsid w:val="008A30B9"/>
    <w:rsid w:val="008A4233"/>
    <w:rsid w:val="008A6C20"/>
    <w:rsid w:val="008A79AB"/>
    <w:rsid w:val="008B4447"/>
    <w:rsid w:val="008B47A7"/>
    <w:rsid w:val="008B593F"/>
    <w:rsid w:val="008C16BF"/>
    <w:rsid w:val="008C4FDA"/>
    <w:rsid w:val="008C580E"/>
    <w:rsid w:val="008D028E"/>
    <w:rsid w:val="008D02C2"/>
    <w:rsid w:val="008E4FC9"/>
    <w:rsid w:val="008E567E"/>
    <w:rsid w:val="008F0359"/>
    <w:rsid w:val="008F0B8B"/>
    <w:rsid w:val="00904CC3"/>
    <w:rsid w:val="00905B0B"/>
    <w:rsid w:val="00907A6D"/>
    <w:rsid w:val="00916683"/>
    <w:rsid w:val="0092228B"/>
    <w:rsid w:val="00923A19"/>
    <w:rsid w:val="00923E81"/>
    <w:rsid w:val="009243E9"/>
    <w:rsid w:val="00931158"/>
    <w:rsid w:val="009374DF"/>
    <w:rsid w:val="00937F26"/>
    <w:rsid w:val="0094064F"/>
    <w:rsid w:val="009417F0"/>
    <w:rsid w:val="009437BA"/>
    <w:rsid w:val="0094702E"/>
    <w:rsid w:val="009471CD"/>
    <w:rsid w:val="00955553"/>
    <w:rsid w:val="00972C6B"/>
    <w:rsid w:val="009746A1"/>
    <w:rsid w:val="00975BF8"/>
    <w:rsid w:val="009763CC"/>
    <w:rsid w:val="00982496"/>
    <w:rsid w:val="009869E4"/>
    <w:rsid w:val="00990991"/>
    <w:rsid w:val="009943E2"/>
    <w:rsid w:val="009943E4"/>
    <w:rsid w:val="00994C16"/>
    <w:rsid w:val="0099646C"/>
    <w:rsid w:val="009A1111"/>
    <w:rsid w:val="009A237A"/>
    <w:rsid w:val="009A2D3E"/>
    <w:rsid w:val="009A3191"/>
    <w:rsid w:val="009A49A7"/>
    <w:rsid w:val="009B03F2"/>
    <w:rsid w:val="009B2007"/>
    <w:rsid w:val="009B2C23"/>
    <w:rsid w:val="009B3622"/>
    <w:rsid w:val="009B633D"/>
    <w:rsid w:val="009C0BD2"/>
    <w:rsid w:val="009C4881"/>
    <w:rsid w:val="009D3713"/>
    <w:rsid w:val="009D3DBB"/>
    <w:rsid w:val="009D609A"/>
    <w:rsid w:val="009D6B4B"/>
    <w:rsid w:val="009E385C"/>
    <w:rsid w:val="009F00C7"/>
    <w:rsid w:val="009F299E"/>
    <w:rsid w:val="009F43EA"/>
    <w:rsid w:val="009F597D"/>
    <w:rsid w:val="00A0132A"/>
    <w:rsid w:val="00A020D9"/>
    <w:rsid w:val="00A02951"/>
    <w:rsid w:val="00A03220"/>
    <w:rsid w:val="00A0476D"/>
    <w:rsid w:val="00A072B0"/>
    <w:rsid w:val="00A12E9A"/>
    <w:rsid w:val="00A13D8D"/>
    <w:rsid w:val="00A15D49"/>
    <w:rsid w:val="00A303A3"/>
    <w:rsid w:val="00A30D9A"/>
    <w:rsid w:val="00A377B8"/>
    <w:rsid w:val="00A41E26"/>
    <w:rsid w:val="00A44855"/>
    <w:rsid w:val="00A4694A"/>
    <w:rsid w:val="00A46F25"/>
    <w:rsid w:val="00A53AE9"/>
    <w:rsid w:val="00A5438F"/>
    <w:rsid w:val="00A574AE"/>
    <w:rsid w:val="00A608ED"/>
    <w:rsid w:val="00A61FA3"/>
    <w:rsid w:val="00A64E80"/>
    <w:rsid w:val="00A65884"/>
    <w:rsid w:val="00A71B09"/>
    <w:rsid w:val="00A7231C"/>
    <w:rsid w:val="00A74E0A"/>
    <w:rsid w:val="00A75F12"/>
    <w:rsid w:val="00A777E1"/>
    <w:rsid w:val="00A81A7B"/>
    <w:rsid w:val="00A835E4"/>
    <w:rsid w:val="00A905D8"/>
    <w:rsid w:val="00A92EB8"/>
    <w:rsid w:val="00A94219"/>
    <w:rsid w:val="00AA0B6B"/>
    <w:rsid w:val="00AA1DDC"/>
    <w:rsid w:val="00AA3F0B"/>
    <w:rsid w:val="00AA4B07"/>
    <w:rsid w:val="00AA5479"/>
    <w:rsid w:val="00AA755B"/>
    <w:rsid w:val="00AA788A"/>
    <w:rsid w:val="00AB194B"/>
    <w:rsid w:val="00AB1EB8"/>
    <w:rsid w:val="00AB3AA8"/>
    <w:rsid w:val="00AC593C"/>
    <w:rsid w:val="00AC6FD1"/>
    <w:rsid w:val="00AC7E19"/>
    <w:rsid w:val="00AD121B"/>
    <w:rsid w:val="00AD4663"/>
    <w:rsid w:val="00AD6516"/>
    <w:rsid w:val="00AE4702"/>
    <w:rsid w:val="00B06E69"/>
    <w:rsid w:val="00B133D2"/>
    <w:rsid w:val="00B211F7"/>
    <w:rsid w:val="00B238AD"/>
    <w:rsid w:val="00B257FE"/>
    <w:rsid w:val="00B30AB1"/>
    <w:rsid w:val="00B313A9"/>
    <w:rsid w:val="00B40D29"/>
    <w:rsid w:val="00B516D2"/>
    <w:rsid w:val="00B52533"/>
    <w:rsid w:val="00B56150"/>
    <w:rsid w:val="00B5671D"/>
    <w:rsid w:val="00B56E56"/>
    <w:rsid w:val="00B61FEB"/>
    <w:rsid w:val="00B645ED"/>
    <w:rsid w:val="00B64660"/>
    <w:rsid w:val="00B64A23"/>
    <w:rsid w:val="00B656E1"/>
    <w:rsid w:val="00B6592B"/>
    <w:rsid w:val="00B67320"/>
    <w:rsid w:val="00B707CC"/>
    <w:rsid w:val="00B70DD3"/>
    <w:rsid w:val="00B720EC"/>
    <w:rsid w:val="00B748B8"/>
    <w:rsid w:val="00B762E0"/>
    <w:rsid w:val="00B77224"/>
    <w:rsid w:val="00B775FC"/>
    <w:rsid w:val="00B81A32"/>
    <w:rsid w:val="00B825D0"/>
    <w:rsid w:val="00B82D4F"/>
    <w:rsid w:val="00B83929"/>
    <w:rsid w:val="00B84F88"/>
    <w:rsid w:val="00B85C07"/>
    <w:rsid w:val="00B915F1"/>
    <w:rsid w:val="00BA3D5D"/>
    <w:rsid w:val="00BA4F4C"/>
    <w:rsid w:val="00BA7DEC"/>
    <w:rsid w:val="00BB0448"/>
    <w:rsid w:val="00BB1C2F"/>
    <w:rsid w:val="00BB2479"/>
    <w:rsid w:val="00BB7136"/>
    <w:rsid w:val="00BC2E2E"/>
    <w:rsid w:val="00BC72C2"/>
    <w:rsid w:val="00BD16C2"/>
    <w:rsid w:val="00BD22AA"/>
    <w:rsid w:val="00BD357C"/>
    <w:rsid w:val="00BD6F50"/>
    <w:rsid w:val="00BE0430"/>
    <w:rsid w:val="00BE5AFA"/>
    <w:rsid w:val="00BE7102"/>
    <w:rsid w:val="00BF1A20"/>
    <w:rsid w:val="00BF735E"/>
    <w:rsid w:val="00C00123"/>
    <w:rsid w:val="00C0644C"/>
    <w:rsid w:val="00C078CD"/>
    <w:rsid w:val="00C145EB"/>
    <w:rsid w:val="00C163C6"/>
    <w:rsid w:val="00C17413"/>
    <w:rsid w:val="00C205C8"/>
    <w:rsid w:val="00C24861"/>
    <w:rsid w:val="00C25336"/>
    <w:rsid w:val="00C26B96"/>
    <w:rsid w:val="00C33BF3"/>
    <w:rsid w:val="00C4006D"/>
    <w:rsid w:val="00C42CC9"/>
    <w:rsid w:val="00C46919"/>
    <w:rsid w:val="00C51082"/>
    <w:rsid w:val="00C51492"/>
    <w:rsid w:val="00C54B4F"/>
    <w:rsid w:val="00C5502C"/>
    <w:rsid w:val="00C56ACB"/>
    <w:rsid w:val="00C61497"/>
    <w:rsid w:val="00C65B05"/>
    <w:rsid w:val="00C6705A"/>
    <w:rsid w:val="00C706F6"/>
    <w:rsid w:val="00C731DB"/>
    <w:rsid w:val="00C73F08"/>
    <w:rsid w:val="00C7564B"/>
    <w:rsid w:val="00C77433"/>
    <w:rsid w:val="00C80450"/>
    <w:rsid w:val="00C81AEB"/>
    <w:rsid w:val="00C84911"/>
    <w:rsid w:val="00C86132"/>
    <w:rsid w:val="00C929D4"/>
    <w:rsid w:val="00C933ED"/>
    <w:rsid w:val="00C94AE0"/>
    <w:rsid w:val="00C96EC0"/>
    <w:rsid w:val="00CA070A"/>
    <w:rsid w:val="00CA136B"/>
    <w:rsid w:val="00CA14DB"/>
    <w:rsid w:val="00CA7470"/>
    <w:rsid w:val="00CB0F83"/>
    <w:rsid w:val="00CB317A"/>
    <w:rsid w:val="00CC2284"/>
    <w:rsid w:val="00CC2FEA"/>
    <w:rsid w:val="00CC3476"/>
    <w:rsid w:val="00CC4443"/>
    <w:rsid w:val="00CC682F"/>
    <w:rsid w:val="00CC6C98"/>
    <w:rsid w:val="00CD655B"/>
    <w:rsid w:val="00CE3206"/>
    <w:rsid w:val="00CF0278"/>
    <w:rsid w:val="00CF1F13"/>
    <w:rsid w:val="00CF1F53"/>
    <w:rsid w:val="00CF3861"/>
    <w:rsid w:val="00CF4F96"/>
    <w:rsid w:val="00D0117F"/>
    <w:rsid w:val="00D03683"/>
    <w:rsid w:val="00D0660C"/>
    <w:rsid w:val="00D10773"/>
    <w:rsid w:val="00D11271"/>
    <w:rsid w:val="00D11EE0"/>
    <w:rsid w:val="00D150A9"/>
    <w:rsid w:val="00D16BB2"/>
    <w:rsid w:val="00D20C47"/>
    <w:rsid w:val="00D2280B"/>
    <w:rsid w:val="00D23B7B"/>
    <w:rsid w:val="00D2521F"/>
    <w:rsid w:val="00D27D52"/>
    <w:rsid w:val="00D304FB"/>
    <w:rsid w:val="00D305CA"/>
    <w:rsid w:val="00D30749"/>
    <w:rsid w:val="00D3540B"/>
    <w:rsid w:val="00D37ACC"/>
    <w:rsid w:val="00D41ACB"/>
    <w:rsid w:val="00D43456"/>
    <w:rsid w:val="00D4415C"/>
    <w:rsid w:val="00D44D4E"/>
    <w:rsid w:val="00D45AD1"/>
    <w:rsid w:val="00D46681"/>
    <w:rsid w:val="00D474B5"/>
    <w:rsid w:val="00D530CA"/>
    <w:rsid w:val="00D543D5"/>
    <w:rsid w:val="00D62325"/>
    <w:rsid w:val="00D63096"/>
    <w:rsid w:val="00D66E74"/>
    <w:rsid w:val="00D71264"/>
    <w:rsid w:val="00D726A1"/>
    <w:rsid w:val="00D77B5F"/>
    <w:rsid w:val="00D810D5"/>
    <w:rsid w:val="00D82586"/>
    <w:rsid w:val="00D95745"/>
    <w:rsid w:val="00DA069A"/>
    <w:rsid w:val="00DA097F"/>
    <w:rsid w:val="00DA1B20"/>
    <w:rsid w:val="00DA3E7C"/>
    <w:rsid w:val="00DA73A3"/>
    <w:rsid w:val="00DA79B5"/>
    <w:rsid w:val="00DB3948"/>
    <w:rsid w:val="00DB49A0"/>
    <w:rsid w:val="00DB6448"/>
    <w:rsid w:val="00DB7166"/>
    <w:rsid w:val="00DD0A49"/>
    <w:rsid w:val="00DD3E6E"/>
    <w:rsid w:val="00DE1C7E"/>
    <w:rsid w:val="00DE2E04"/>
    <w:rsid w:val="00DE6B26"/>
    <w:rsid w:val="00DF1C7E"/>
    <w:rsid w:val="00DF4F3C"/>
    <w:rsid w:val="00DF4F6F"/>
    <w:rsid w:val="00DF6AA5"/>
    <w:rsid w:val="00E047C1"/>
    <w:rsid w:val="00E04E24"/>
    <w:rsid w:val="00E076A3"/>
    <w:rsid w:val="00E1090F"/>
    <w:rsid w:val="00E14FC3"/>
    <w:rsid w:val="00E16CBE"/>
    <w:rsid w:val="00E17799"/>
    <w:rsid w:val="00E17907"/>
    <w:rsid w:val="00E244AB"/>
    <w:rsid w:val="00E2592B"/>
    <w:rsid w:val="00E25FDC"/>
    <w:rsid w:val="00E329EE"/>
    <w:rsid w:val="00E34D17"/>
    <w:rsid w:val="00E401FF"/>
    <w:rsid w:val="00E43EBB"/>
    <w:rsid w:val="00E43FF4"/>
    <w:rsid w:val="00E47851"/>
    <w:rsid w:val="00E50E6B"/>
    <w:rsid w:val="00E516FC"/>
    <w:rsid w:val="00E52235"/>
    <w:rsid w:val="00E54549"/>
    <w:rsid w:val="00E56716"/>
    <w:rsid w:val="00E662E9"/>
    <w:rsid w:val="00E706B3"/>
    <w:rsid w:val="00E7422B"/>
    <w:rsid w:val="00E76E7C"/>
    <w:rsid w:val="00E771C3"/>
    <w:rsid w:val="00E80EB7"/>
    <w:rsid w:val="00E907B3"/>
    <w:rsid w:val="00E9083A"/>
    <w:rsid w:val="00E90A56"/>
    <w:rsid w:val="00E92E75"/>
    <w:rsid w:val="00E961D4"/>
    <w:rsid w:val="00E97584"/>
    <w:rsid w:val="00EA608F"/>
    <w:rsid w:val="00EA7DE1"/>
    <w:rsid w:val="00EB2FAB"/>
    <w:rsid w:val="00EB58F3"/>
    <w:rsid w:val="00EB65D7"/>
    <w:rsid w:val="00EB7D09"/>
    <w:rsid w:val="00EC0162"/>
    <w:rsid w:val="00EC2402"/>
    <w:rsid w:val="00EC7CFE"/>
    <w:rsid w:val="00ED0EBB"/>
    <w:rsid w:val="00ED2DC5"/>
    <w:rsid w:val="00EE1D1E"/>
    <w:rsid w:val="00EE2EE2"/>
    <w:rsid w:val="00EE4455"/>
    <w:rsid w:val="00EE5833"/>
    <w:rsid w:val="00EE6E50"/>
    <w:rsid w:val="00EE7CD5"/>
    <w:rsid w:val="00EF001D"/>
    <w:rsid w:val="00F009FE"/>
    <w:rsid w:val="00F00EF3"/>
    <w:rsid w:val="00F04055"/>
    <w:rsid w:val="00F04CAC"/>
    <w:rsid w:val="00F07C5C"/>
    <w:rsid w:val="00F1022F"/>
    <w:rsid w:val="00F122B9"/>
    <w:rsid w:val="00F13F28"/>
    <w:rsid w:val="00F21CD9"/>
    <w:rsid w:val="00F22750"/>
    <w:rsid w:val="00F25A65"/>
    <w:rsid w:val="00F3207F"/>
    <w:rsid w:val="00F3541A"/>
    <w:rsid w:val="00F378FC"/>
    <w:rsid w:val="00F37FC6"/>
    <w:rsid w:val="00F45032"/>
    <w:rsid w:val="00F46275"/>
    <w:rsid w:val="00F546AD"/>
    <w:rsid w:val="00F54F78"/>
    <w:rsid w:val="00F565E6"/>
    <w:rsid w:val="00F5665F"/>
    <w:rsid w:val="00F5680D"/>
    <w:rsid w:val="00F60488"/>
    <w:rsid w:val="00F631B6"/>
    <w:rsid w:val="00F63BC0"/>
    <w:rsid w:val="00F640FB"/>
    <w:rsid w:val="00F6545A"/>
    <w:rsid w:val="00F70715"/>
    <w:rsid w:val="00F711D1"/>
    <w:rsid w:val="00F719B8"/>
    <w:rsid w:val="00F81A13"/>
    <w:rsid w:val="00F82BD3"/>
    <w:rsid w:val="00F8776F"/>
    <w:rsid w:val="00F94B00"/>
    <w:rsid w:val="00FA03AD"/>
    <w:rsid w:val="00FA2E89"/>
    <w:rsid w:val="00FB0826"/>
    <w:rsid w:val="00FB184F"/>
    <w:rsid w:val="00FB4BFF"/>
    <w:rsid w:val="00FB6500"/>
    <w:rsid w:val="00FC1F44"/>
    <w:rsid w:val="00FC430C"/>
    <w:rsid w:val="00FC55D0"/>
    <w:rsid w:val="00FC5BE9"/>
    <w:rsid w:val="00FC6596"/>
    <w:rsid w:val="00FC6BDB"/>
    <w:rsid w:val="00FC7332"/>
    <w:rsid w:val="00FD1D9C"/>
    <w:rsid w:val="00FD23C5"/>
    <w:rsid w:val="00FD5674"/>
    <w:rsid w:val="00FD74CA"/>
    <w:rsid w:val="00FD7D75"/>
    <w:rsid w:val="00FE0D9B"/>
    <w:rsid w:val="00FE757B"/>
    <w:rsid w:val="00FF0DF9"/>
    <w:rsid w:val="00FF42BD"/>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7D9F7"/>
  <w15:chartTrackingRefBased/>
  <w15:docId w15:val="{AAF19CD8-EFCE-4520-80D5-1C3F9A99B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List Number"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873F74"/>
    <w:pPr>
      <w:bidi/>
      <w:jc w:val="right"/>
    </w:pPr>
    <w:rPr>
      <w:sz w:val="20"/>
      <w:szCs w:val="20"/>
      <w:lang w:bidi="ar-QA"/>
    </w:rPr>
  </w:style>
  <w:style w:type="character" w:styleId="FootnoteReference">
    <w:name w:val="footnote reference"/>
    <w:uiPriority w:val="99"/>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1D0454"/>
  </w:style>
  <w:style w:type="paragraph" w:styleId="TOC2">
    <w:name w:val="toc 2"/>
    <w:basedOn w:val="Normal"/>
    <w:next w:val="Normal"/>
    <w:autoRedefine/>
    <w:uiPriority w:val="39"/>
    <w:rsid w:val="001D0454"/>
    <w:pPr>
      <w:ind w:left="240"/>
    </w:pPr>
  </w:style>
  <w:style w:type="paragraph" w:styleId="TOC3">
    <w:name w:val="toc 3"/>
    <w:basedOn w:val="Normal"/>
    <w:next w:val="Normal"/>
    <w:autoRedefine/>
    <w:semiHidden/>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uiPriority w:val="99"/>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uiPriority w:val="99"/>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styleId="BodyText">
    <w:name w:val="Body Text"/>
    <w:basedOn w:val="Normal"/>
    <w:link w:val="BodyTextChar"/>
    <w:rsid w:val="00C00123"/>
    <w:pPr>
      <w:spacing w:after="120"/>
    </w:pPr>
  </w:style>
  <w:style w:type="character" w:customStyle="1" w:styleId="BodyTextChar">
    <w:name w:val="Body Text Char"/>
    <w:link w:val="BodyText"/>
    <w:rsid w:val="00C00123"/>
    <w:rPr>
      <w:sz w:val="24"/>
      <w:szCs w:val="24"/>
    </w:rPr>
  </w:style>
  <w:style w:type="character" w:customStyle="1" w:styleId="EndnoteTextChar">
    <w:name w:val="Endnote Text Char"/>
    <w:link w:val="EndnoteText"/>
    <w:uiPriority w:val="99"/>
    <w:locked/>
    <w:rsid w:val="00C00123"/>
  </w:style>
  <w:style w:type="paragraph" w:customStyle="1" w:styleId="NormalDoubleSpaced">
    <w:name w:val="Normal Double Spaced"/>
    <w:basedOn w:val="Normal"/>
    <w:qFormat/>
    <w:rsid w:val="00C00123"/>
    <w:pPr>
      <w:suppressLineNumbers/>
      <w:suppressAutoHyphens/>
      <w:autoSpaceDE w:val="0"/>
      <w:autoSpaceDN w:val="0"/>
      <w:adjustRightInd w:val="0"/>
      <w:spacing w:line="480" w:lineRule="auto"/>
      <w:ind w:firstLine="216"/>
      <w:textboxTightWrap w:val="allLines"/>
    </w:pPr>
    <w:rPr>
      <w:rFonts w:ascii="Arial Narrow" w:hAnsi="Arial Narrow"/>
      <w:color w:val="000000"/>
      <w:sz w:val="22"/>
      <w:szCs w:val="22"/>
    </w:rPr>
  </w:style>
  <w:style w:type="paragraph" w:styleId="ListParagraph">
    <w:name w:val="List Paragraph"/>
    <w:basedOn w:val="Normal"/>
    <w:link w:val="ListParagraphChar"/>
    <w:uiPriority w:val="34"/>
    <w:qFormat/>
    <w:rsid w:val="00C00123"/>
    <w:pPr>
      <w:ind w:left="720"/>
      <w:contextualSpacing/>
    </w:pPr>
    <w:rPr>
      <w:rFonts w:eastAsia="Calibri"/>
      <w:sz w:val="22"/>
      <w:szCs w:val="22"/>
    </w:rPr>
  </w:style>
  <w:style w:type="character" w:customStyle="1" w:styleId="ListParagraphChar">
    <w:name w:val="List Paragraph Char"/>
    <w:link w:val="ListParagraph"/>
    <w:uiPriority w:val="34"/>
    <w:locked/>
    <w:rsid w:val="00C00123"/>
    <w:rPr>
      <w:rFonts w:eastAsia="Calibri"/>
      <w:sz w:val="22"/>
      <w:szCs w:val="22"/>
    </w:rPr>
  </w:style>
  <w:style w:type="paragraph" w:customStyle="1" w:styleId="paragraph">
    <w:name w:val="paragraph"/>
    <w:basedOn w:val="Normal"/>
    <w:rsid w:val="00C00123"/>
    <w:pPr>
      <w:spacing w:before="100" w:beforeAutospacing="1" w:after="100" w:afterAutospacing="1"/>
    </w:pPr>
  </w:style>
  <w:style w:type="character" w:customStyle="1" w:styleId="normaltextrun">
    <w:name w:val="normaltextrun"/>
    <w:rsid w:val="00C00123"/>
  </w:style>
  <w:style w:type="character" w:customStyle="1" w:styleId="eop">
    <w:name w:val="eop"/>
    <w:rsid w:val="00C00123"/>
  </w:style>
  <w:style w:type="character" w:customStyle="1" w:styleId="spellingerror">
    <w:name w:val="spellingerror"/>
    <w:rsid w:val="0033653E"/>
  </w:style>
  <w:style w:type="table" w:styleId="TableGridLight">
    <w:name w:val="Grid Table Light"/>
    <w:basedOn w:val="TableNormal"/>
    <w:uiPriority w:val="40"/>
    <w:rsid w:val="0033653E"/>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1Char">
    <w:name w:val="Heading 1 Char"/>
    <w:link w:val="Heading1"/>
    <w:rsid w:val="00C42CC9"/>
    <w:rPr>
      <w:rFonts w:ascii="Arial" w:hAnsi="Arial" w:cs="Arial"/>
      <w:b/>
      <w:bCs/>
      <w:kern w:val="32"/>
      <w:sz w:val="32"/>
      <w:szCs w:val="32"/>
    </w:rPr>
  </w:style>
  <w:style w:type="paragraph" w:styleId="TOCHeading">
    <w:name w:val="TOC Heading"/>
    <w:basedOn w:val="Heading1"/>
    <w:next w:val="Normal"/>
    <w:uiPriority w:val="39"/>
    <w:unhideWhenUsed/>
    <w:qFormat/>
    <w:rsid w:val="00CE3206"/>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character" w:customStyle="1" w:styleId="FootnoteTextChar">
    <w:name w:val="Footnote Text Char"/>
    <w:basedOn w:val="DefaultParagraphFont"/>
    <w:link w:val="FootnoteText"/>
    <w:uiPriority w:val="99"/>
    <w:rsid w:val="00D41ACB"/>
    <w:rPr>
      <w:lang w:bidi="ar-QA"/>
    </w:rPr>
  </w:style>
  <w:style w:type="table" w:customStyle="1" w:styleId="TableGridLight1">
    <w:name w:val="Table Grid Light1"/>
    <w:basedOn w:val="TableNormal"/>
    <w:uiPriority w:val="40"/>
    <w:rsid w:val="00653C0E"/>
    <w:rPr>
      <w:rFonts w:ascii="Arial" w:eastAsiaTheme="minorHAnsi" w:hAnsi="Arial" w:cstheme="minorBidi"/>
      <w:color w:val="000000" w:themeColor="text1"/>
      <w:sz w:val="18"/>
      <w:szCs w:val="22"/>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29" w:type="dxa"/>
        <w:bottom w:w="7" w:type="dxa"/>
        <w:right w:w="29" w:type="dxa"/>
      </w:tblCellMar>
    </w:tblPr>
    <w:tblStylePr w:type="firstRow">
      <w:pPr>
        <w:jc w:val="center"/>
      </w:pPr>
      <w:tblPr/>
      <w:tcPr>
        <w:shd w:val="clear" w:color="auto" w:fill="BFB6AD"/>
        <w:vAlign w:val="bottom"/>
      </w:tcPr>
    </w:tblStylePr>
    <w:tblStylePr w:type="firstCol">
      <w:pPr>
        <w:jc w:val="left"/>
      </w:pPr>
    </w:tblStylePr>
    <w:tblStylePr w:type="band2Horz">
      <w:tblPr/>
      <w:tcPr>
        <w:shd w:val="clear" w:color="auto" w:fill="E9E6E3"/>
      </w:tcPr>
    </w:tblStylePr>
  </w:style>
  <w:style w:type="paragraph" w:customStyle="1" w:styleId="NORCCaption-Exhibit">
    <w:name w:val="NORC Caption - Exhibit"/>
    <w:basedOn w:val="Normal"/>
    <w:qFormat/>
    <w:rsid w:val="002B30EE"/>
    <w:pPr>
      <w:keepNext/>
      <w:keepLines/>
      <w:pBdr>
        <w:top w:val="single" w:sz="4" w:space="5" w:color="BFB6AC"/>
        <w:bottom w:val="single" w:sz="4" w:space="3" w:color="BFB6AC"/>
      </w:pBdr>
      <w:tabs>
        <w:tab w:val="left" w:pos="1224"/>
      </w:tabs>
      <w:spacing w:before="320" w:after="120"/>
    </w:pPr>
    <w:rPr>
      <w:rFonts w:ascii="Arial" w:hAnsi="Arial" w:cs="Arial"/>
      <w:color w:val="000000" w:themeColor="text1"/>
      <w:sz w:val="20"/>
    </w:rPr>
  </w:style>
  <w:style w:type="character" w:customStyle="1" w:styleId="NORCCaption-Color">
    <w:name w:val="NORC Caption - Color"/>
    <w:qFormat/>
    <w:rsid w:val="002B30EE"/>
    <w:rPr>
      <w:rFonts w:ascii="Arial" w:hAnsi="Arial" w:cs="Arial" w:hint="default"/>
      <w:b/>
      <w:bCs w:val="0"/>
      <w:color w:val="53565A"/>
      <w:sz w:val="20"/>
    </w:rPr>
  </w:style>
  <w:style w:type="paragraph" w:customStyle="1" w:styleId="Default">
    <w:name w:val="Default"/>
    <w:rsid w:val="00AD121B"/>
    <w:pPr>
      <w:autoSpaceDE w:val="0"/>
      <w:autoSpaceDN w:val="0"/>
      <w:adjustRightInd w:val="0"/>
    </w:pPr>
    <w:rPr>
      <w:color w:val="000000"/>
      <w:sz w:val="24"/>
      <w:szCs w:val="24"/>
    </w:rPr>
  </w:style>
  <w:style w:type="paragraph" w:styleId="Revision">
    <w:name w:val="Revision"/>
    <w:hidden/>
    <w:uiPriority w:val="99"/>
    <w:semiHidden/>
    <w:rsid w:val="007D74F2"/>
    <w:rPr>
      <w:sz w:val="24"/>
      <w:szCs w:val="24"/>
    </w:rPr>
  </w:style>
  <w:style w:type="table" w:styleId="GridTable4-Accent3">
    <w:name w:val="Grid Table 4 Accent 3"/>
    <w:basedOn w:val="TableNormal"/>
    <w:uiPriority w:val="49"/>
    <w:rsid w:val="00A03220"/>
    <w:rPr>
      <w:rFonts w:asciiTheme="minorHAnsi" w:eastAsiaTheme="minorHAnsi" w:hAnsiTheme="minorHAnsi" w:cstheme="minorBidi"/>
      <w:sz w:val="22"/>
      <w:szCs w:val="2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NORCTableBullet1">
    <w:name w:val="NORC Table Bullet 1"/>
    <w:basedOn w:val="Normal"/>
    <w:qFormat/>
    <w:rsid w:val="001F6C1D"/>
    <w:pPr>
      <w:numPr>
        <w:numId w:val="11"/>
      </w:numPr>
      <w:tabs>
        <w:tab w:val="left" w:pos="144"/>
      </w:tabs>
      <w:spacing w:before="40" w:after="40"/>
      <w:ind w:left="144" w:hanging="144"/>
    </w:pPr>
    <w:rPr>
      <w:rFonts w:ascii="Arial" w:hAnsi="Arial"/>
      <w:color w:val="000000"/>
      <w:sz w:val="18"/>
      <w:szCs w:val="20"/>
    </w:rPr>
  </w:style>
  <w:style w:type="paragraph" w:customStyle="1" w:styleId="NORCTableBodyLeft">
    <w:name w:val="NORC Table Body Left"/>
    <w:qFormat/>
    <w:rsid w:val="001F6C1D"/>
    <w:pPr>
      <w:spacing w:before="40" w:after="40"/>
    </w:pPr>
    <w:rPr>
      <w:rFonts w:ascii="Arial" w:eastAsiaTheme="minorEastAsia" w:hAnsi="Arial"/>
      <w:sz w:val="18"/>
      <w:szCs w:val="22"/>
    </w:rPr>
  </w:style>
  <w:style w:type="paragraph" w:customStyle="1" w:styleId="NORCTableHeader2">
    <w:name w:val="NORC Table Header 2"/>
    <w:qFormat/>
    <w:rsid w:val="001F6C1D"/>
    <w:pPr>
      <w:spacing w:before="40" w:after="40"/>
    </w:pPr>
    <w:rPr>
      <w:rFonts w:ascii="Arial" w:eastAsia="MS Mincho" w:hAnsi="Arial" w:cs="Arial"/>
      <w:b/>
      <w:sz w:val="18"/>
      <w:szCs w:val="22"/>
    </w:rPr>
  </w:style>
  <w:style w:type="paragraph" w:customStyle="1" w:styleId="NORCTableHeader1">
    <w:name w:val="NORC Table Header 1"/>
    <w:basedOn w:val="Normal"/>
    <w:qFormat/>
    <w:rsid w:val="001F6C1D"/>
    <w:pPr>
      <w:keepNext/>
      <w:keepLines/>
      <w:spacing w:before="60" w:after="60"/>
      <w:jc w:val="center"/>
    </w:pPr>
    <w:rPr>
      <w:rFonts w:ascii="Arial" w:eastAsia="Calibri" w:hAnsi="Arial" w:cs="Arial"/>
      <w:b/>
      <w:sz w:val="18"/>
      <w:szCs w:val="20"/>
    </w:rPr>
  </w:style>
  <w:style w:type="character" w:customStyle="1" w:styleId="num">
    <w:name w:val="num"/>
    <w:basedOn w:val="DefaultParagraphFont"/>
    <w:rsid w:val="007E20DA"/>
  </w:style>
  <w:style w:type="character" w:customStyle="1" w:styleId="InlineLevel1Black">
    <w:name w:val="Inline Level 1 Black"/>
    <w:basedOn w:val="DefaultParagraphFont"/>
    <w:qFormat/>
    <w:rsid w:val="005660C9"/>
    <w:rPr>
      <w:rFonts w:ascii="Times New Roman" w:hAnsi="Times New Roman"/>
      <w:b/>
    </w:rPr>
  </w:style>
  <w:style w:type="paragraph" w:styleId="ListNumber">
    <w:name w:val="List Number"/>
    <w:basedOn w:val="Normal"/>
    <w:uiPriority w:val="99"/>
    <w:unhideWhenUsed/>
    <w:rsid w:val="003F2CBA"/>
    <w:pPr>
      <w:keepLines/>
      <w:tabs>
        <w:tab w:val="num" w:pos="360"/>
      </w:tabs>
      <w:spacing w:before="120" w:after="120" w:line="288" w:lineRule="auto"/>
      <w:ind w:left="360" w:hanging="360"/>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709737">
      <w:bodyDiv w:val="1"/>
      <w:marLeft w:val="0"/>
      <w:marRight w:val="0"/>
      <w:marTop w:val="0"/>
      <w:marBottom w:val="0"/>
      <w:divBdr>
        <w:top w:val="none" w:sz="0" w:space="0" w:color="auto"/>
        <w:left w:val="none" w:sz="0" w:space="0" w:color="auto"/>
        <w:bottom w:val="none" w:sz="0" w:space="0" w:color="auto"/>
        <w:right w:val="none" w:sz="0" w:space="0" w:color="auto"/>
      </w:divBdr>
    </w:div>
    <w:div w:id="77799401">
      <w:bodyDiv w:val="1"/>
      <w:marLeft w:val="0"/>
      <w:marRight w:val="0"/>
      <w:marTop w:val="0"/>
      <w:marBottom w:val="0"/>
      <w:divBdr>
        <w:top w:val="none" w:sz="0" w:space="0" w:color="auto"/>
        <w:left w:val="none" w:sz="0" w:space="0" w:color="auto"/>
        <w:bottom w:val="none" w:sz="0" w:space="0" w:color="auto"/>
        <w:right w:val="none" w:sz="0" w:space="0" w:color="auto"/>
      </w:divBdr>
    </w:div>
    <w:div w:id="132722812">
      <w:bodyDiv w:val="1"/>
      <w:marLeft w:val="0"/>
      <w:marRight w:val="0"/>
      <w:marTop w:val="0"/>
      <w:marBottom w:val="0"/>
      <w:divBdr>
        <w:top w:val="none" w:sz="0" w:space="0" w:color="auto"/>
        <w:left w:val="none" w:sz="0" w:space="0" w:color="auto"/>
        <w:bottom w:val="none" w:sz="0" w:space="0" w:color="auto"/>
        <w:right w:val="none" w:sz="0" w:space="0" w:color="auto"/>
      </w:divBdr>
    </w:div>
    <w:div w:id="167596061">
      <w:bodyDiv w:val="1"/>
      <w:marLeft w:val="0"/>
      <w:marRight w:val="0"/>
      <w:marTop w:val="0"/>
      <w:marBottom w:val="0"/>
      <w:divBdr>
        <w:top w:val="none" w:sz="0" w:space="0" w:color="auto"/>
        <w:left w:val="none" w:sz="0" w:space="0" w:color="auto"/>
        <w:bottom w:val="none" w:sz="0" w:space="0" w:color="auto"/>
        <w:right w:val="none" w:sz="0" w:space="0" w:color="auto"/>
      </w:divBdr>
    </w:div>
    <w:div w:id="196504747">
      <w:bodyDiv w:val="1"/>
      <w:marLeft w:val="0"/>
      <w:marRight w:val="0"/>
      <w:marTop w:val="0"/>
      <w:marBottom w:val="0"/>
      <w:divBdr>
        <w:top w:val="none" w:sz="0" w:space="0" w:color="auto"/>
        <w:left w:val="none" w:sz="0" w:space="0" w:color="auto"/>
        <w:bottom w:val="none" w:sz="0" w:space="0" w:color="auto"/>
        <w:right w:val="none" w:sz="0" w:space="0" w:color="auto"/>
      </w:divBdr>
    </w:div>
    <w:div w:id="257451337">
      <w:bodyDiv w:val="1"/>
      <w:marLeft w:val="0"/>
      <w:marRight w:val="0"/>
      <w:marTop w:val="0"/>
      <w:marBottom w:val="0"/>
      <w:divBdr>
        <w:top w:val="none" w:sz="0" w:space="0" w:color="auto"/>
        <w:left w:val="none" w:sz="0" w:space="0" w:color="auto"/>
        <w:bottom w:val="none" w:sz="0" w:space="0" w:color="auto"/>
        <w:right w:val="none" w:sz="0" w:space="0" w:color="auto"/>
      </w:divBdr>
    </w:div>
    <w:div w:id="303435207">
      <w:bodyDiv w:val="1"/>
      <w:marLeft w:val="0"/>
      <w:marRight w:val="0"/>
      <w:marTop w:val="0"/>
      <w:marBottom w:val="0"/>
      <w:divBdr>
        <w:top w:val="none" w:sz="0" w:space="0" w:color="auto"/>
        <w:left w:val="none" w:sz="0" w:space="0" w:color="auto"/>
        <w:bottom w:val="none" w:sz="0" w:space="0" w:color="auto"/>
        <w:right w:val="none" w:sz="0" w:space="0" w:color="auto"/>
      </w:divBdr>
    </w:div>
    <w:div w:id="304508312">
      <w:bodyDiv w:val="1"/>
      <w:marLeft w:val="0"/>
      <w:marRight w:val="0"/>
      <w:marTop w:val="0"/>
      <w:marBottom w:val="0"/>
      <w:divBdr>
        <w:top w:val="none" w:sz="0" w:space="0" w:color="auto"/>
        <w:left w:val="none" w:sz="0" w:space="0" w:color="auto"/>
        <w:bottom w:val="none" w:sz="0" w:space="0" w:color="auto"/>
        <w:right w:val="none" w:sz="0" w:space="0" w:color="auto"/>
      </w:divBdr>
    </w:div>
    <w:div w:id="480973861">
      <w:bodyDiv w:val="1"/>
      <w:marLeft w:val="0"/>
      <w:marRight w:val="0"/>
      <w:marTop w:val="0"/>
      <w:marBottom w:val="0"/>
      <w:divBdr>
        <w:top w:val="none" w:sz="0" w:space="0" w:color="auto"/>
        <w:left w:val="none" w:sz="0" w:space="0" w:color="auto"/>
        <w:bottom w:val="none" w:sz="0" w:space="0" w:color="auto"/>
        <w:right w:val="none" w:sz="0" w:space="0" w:color="auto"/>
      </w:divBdr>
    </w:div>
    <w:div w:id="592325632">
      <w:bodyDiv w:val="1"/>
      <w:marLeft w:val="0"/>
      <w:marRight w:val="0"/>
      <w:marTop w:val="0"/>
      <w:marBottom w:val="0"/>
      <w:divBdr>
        <w:top w:val="none" w:sz="0" w:space="0" w:color="auto"/>
        <w:left w:val="none" w:sz="0" w:space="0" w:color="auto"/>
        <w:bottom w:val="none" w:sz="0" w:space="0" w:color="auto"/>
        <w:right w:val="none" w:sz="0" w:space="0" w:color="auto"/>
      </w:divBdr>
    </w:div>
    <w:div w:id="641691447">
      <w:bodyDiv w:val="1"/>
      <w:marLeft w:val="0"/>
      <w:marRight w:val="0"/>
      <w:marTop w:val="0"/>
      <w:marBottom w:val="0"/>
      <w:divBdr>
        <w:top w:val="none" w:sz="0" w:space="0" w:color="auto"/>
        <w:left w:val="none" w:sz="0" w:space="0" w:color="auto"/>
        <w:bottom w:val="none" w:sz="0" w:space="0" w:color="auto"/>
        <w:right w:val="none" w:sz="0" w:space="0" w:color="auto"/>
      </w:divBdr>
    </w:div>
    <w:div w:id="684786933">
      <w:bodyDiv w:val="1"/>
      <w:marLeft w:val="0"/>
      <w:marRight w:val="0"/>
      <w:marTop w:val="0"/>
      <w:marBottom w:val="0"/>
      <w:divBdr>
        <w:top w:val="none" w:sz="0" w:space="0" w:color="auto"/>
        <w:left w:val="none" w:sz="0" w:space="0" w:color="auto"/>
        <w:bottom w:val="none" w:sz="0" w:space="0" w:color="auto"/>
        <w:right w:val="none" w:sz="0" w:space="0" w:color="auto"/>
      </w:divBdr>
    </w:div>
    <w:div w:id="686832369">
      <w:bodyDiv w:val="1"/>
      <w:marLeft w:val="0"/>
      <w:marRight w:val="0"/>
      <w:marTop w:val="0"/>
      <w:marBottom w:val="0"/>
      <w:divBdr>
        <w:top w:val="none" w:sz="0" w:space="0" w:color="auto"/>
        <w:left w:val="none" w:sz="0" w:space="0" w:color="auto"/>
        <w:bottom w:val="none" w:sz="0" w:space="0" w:color="auto"/>
        <w:right w:val="none" w:sz="0" w:space="0" w:color="auto"/>
      </w:divBdr>
    </w:div>
    <w:div w:id="797338142">
      <w:bodyDiv w:val="1"/>
      <w:marLeft w:val="0"/>
      <w:marRight w:val="0"/>
      <w:marTop w:val="0"/>
      <w:marBottom w:val="0"/>
      <w:divBdr>
        <w:top w:val="none" w:sz="0" w:space="0" w:color="auto"/>
        <w:left w:val="none" w:sz="0" w:space="0" w:color="auto"/>
        <w:bottom w:val="none" w:sz="0" w:space="0" w:color="auto"/>
        <w:right w:val="none" w:sz="0" w:space="0" w:color="auto"/>
      </w:divBdr>
    </w:div>
    <w:div w:id="809053242">
      <w:bodyDiv w:val="1"/>
      <w:marLeft w:val="0"/>
      <w:marRight w:val="0"/>
      <w:marTop w:val="0"/>
      <w:marBottom w:val="0"/>
      <w:divBdr>
        <w:top w:val="none" w:sz="0" w:space="0" w:color="auto"/>
        <w:left w:val="none" w:sz="0" w:space="0" w:color="auto"/>
        <w:bottom w:val="none" w:sz="0" w:space="0" w:color="auto"/>
        <w:right w:val="none" w:sz="0" w:space="0" w:color="auto"/>
      </w:divBdr>
    </w:div>
    <w:div w:id="811286106">
      <w:bodyDiv w:val="1"/>
      <w:marLeft w:val="0"/>
      <w:marRight w:val="0"/>
      <w:marTop w:val="0"/>
      <w:marBottom w:val="0"/>
      <w:divBdr>
        <w:top w:val="none" w:sz="0" w:space="0" w:color="auto"/>
        <w:left w:val="none" w:sz="0" w:space="0" w:color="auto"/>
        <w:bottom w:val="none" w:sz="0" w:space="0" w:color="auto"/>
        <w:right w:val="none" w:sz="0" w:space="0" w:color="auto"/>
      </w:divBdr>
    </w:div>
    <w:div w:id="840656279">
      <w:bodyDiv w:val="1"/>
      <w:marLeft w:val="0"/>
      <w:marRight w:val="0"/>
      <w:marTop w:val="0"/>
      <w:marBottom w:val="0"/>
      <w:divBdr>
        <w:top w:val="none" w:sz="0" w:space="0" w:color="auto"/>
        <w:left w:val="none" w:sz="0" w:space="0" w:color="auto"/>
        <w:bottom w:val="none" w:sz="0" w:space="0" w:color="auto"/>
        <w:right w:val="none" w:sz="0" w:space="0" w:color="auto"/>
      </w:divBdr>
    </w:div>
    <w:div w:id="854612193">
      <w:bodyDiv w:val="1"/>
      <w:marLeft w:val="0"/>
      <w:marRight w:val="0"/>
      <w:marTop w:val="0"/>
      <w:marBottom w:val="0"/>
      <w:divBdr>
        <w:top w:val="none" w:sz="0" w:space="0" w:color="auto"/>
        <w:left w:val="none" w:sz="0" w:space="0" w:color="auto"/>
        <w:bottom w:val="none" w:sz="0" w:space="0" w:color="auto"/>
        <w:right w:val="none" w:sz="0" w:space="0" w:color="auto"/>
      </w:divBdr>
    </w:div>
    <w:div w:id="871109736">
      <w:bodyDiv w:val="1"/>
      <w:marLeft w:val="0"/>
      <w:marRight w:val="0"/>
      <w:marTop w:val="0"/>
      <w:marBottom w:val="0"/>
      <w:divBdr>
        <w:top w:val="none" w:sz="0" w:space="0" w:color="auto"/>
        <w:left w:val="none" w:sz="0" w:space="0" w:color="auto"/>
        <w:bottom w:val="none" w:sz="0" w:space="0" w:color="auto"/>
        <w:right w:val="none" w:sz="0" w:space="0" w:color="auto"/>
      </w:divBdr>
    </w:div>
    <w:div w:id="974140355">
      <w:bodyDiv w:val="1"/>
      <w:marLeft w:val="0"/>
      <w:marRight w:val="0"/>
      <w:marTop w:val="0"/>
      <w:marBottom w:val="0"/>
      <w:divBdr>
        <w:top w:val="none" w:sz="0" w:space="0" w:color="auto"/>
        <w:left w:val="none" w:sz="0" w:space="0" w:color="auto"/>
        <w:bottom w:val="none" w:sz="0" w:space="0" w:color="auto"/>
        <w:right w:val="none" w:sz="0" w:space="0" w:color="auto"/>
      </w:divBdr>
    </w:div>
    <w:div w:id="1018389621">
      <w:bodyDiv w:val="1"/>
      <w:marLeft w:val="0"/>
      <w:marRight w:val="0"/>
      <w:marTop w:val="0"/>
      <w:marBottom w:val="0"/>
      <w:divBdr>
        <w:top w:val="none" w:sz="0" w:space="0" w:color="auto"/>
        <w:left w:val="none" w:sz="0" w:space="0" w:color="auto"/>
        <w:bottom w:val="none" w:sz="0" w:space="0" w:color="auto"/>
        <w:right w:val="none" w:sz="0" w:space="0" w:color="auto"/>
      </w:divBdr>
      <w:divsChild>
        <w:div w:id="47998658">
          <w:marLeft w:val="240"/>
          <w:marRight w:val="0"/>
          <w:marTop w:val="60"/>
          <w:marBottom w:val="60"/>
          <w:divBdr>
            <w:top w:val="none" w:sz="0" w:space="0" w:color="auto"/>
            <w:left w:val="none" w:sz="0" w:space="0" w:color="auto"/>
            <w:bottom w:val="none" w:sz="0" w:space="0" w:color="auto"/>
            <w:right w:val="none" w:sz="0" w:space="0" w:color="auto"/>
          </w:divBdr>
          <w:divsChild>
            <w:div w:id="1054230867">
              <w:marLeft w:val="0"/>
              <w:marRight w:val="0"/>
              <w:marTop w:val="0"/>
              <w:marBottom w:val="0"/>
              <w:divBdr>
                <w:top w:val="none" w:sz="0" w:space="0" w:color="auto"/>
                <w:left w:val="none" w:sz="0" w:space="0" w:color="auto"/>
                <w:bottom w:val="none" w:sz="0" w:space="0" w:color="auto"/>
                <w:right w:val="none" w:sz="0" w:space="0" w:color="auto"/>
              </w:divBdr>
            </w:div>
          </w:divsChild>
        </w:div>
        <w:div w:id="1641031151">
          <w:marLeft w:val="240"/>
          <w:marRight w:val="0"/>
          <w:marTop w:val="60"/>
          <w:marBottom w:val="60"/>
          <w:divBdr>
            <w:top w:val="none" w:sz="0" w:space="0" w:color="auto"/>
            <w:left w:val="none" w:sz="0" w:space="0" w:color="auto"/>
            <w:bottom w:val="none" w:sz="0" w:space="0" w:color="auto"/>
            <w:right w:val="none" w:sz="0" w:space="0" w:color="auto"/>
          </w:divBdr>
          <w:divsChild>
            <w:div w:id="1048723480">
              <w:marLeft w:val="0"/>
              <w:marRight w:val="0"/>
              <w:marTop w:val="0"/>
              <w:marBottom w:val="0"/>
              <w:divBdr>
                <w:top w:val="none" w:sz="0" w:space="0" w:color="auto"/>
                <w:left w:val="none" w:sz="0" w:space="0" w:color="auto"/>
                <w:bottom w:val="none" w:sz="0" w:space="0" w:color="auto"/>
                <w:right w:val="none" w:sz="0" w:space="0" w:color="auto"/>
              </w:divBdr>
            </w:div>
          </w:divsChild>
        </w:div>
        <w:div w:id="1543516066">
          <w:marLeft w:val="240"/>
          <w:marRight w:val="0"/>
          <w:marTop w:val="60"/>
          <w:marBottom w:val="60"/>
          <w:divBdr>
            <w:top w:val="none" w:sz="0" w:space="0" w:color="auto"/>
            <w:left w:val="none" w:sz="0" w:space="0" w:color="auto"/>
            <w:bottom w:val="none" w:sz="0" w:space="0" w:color="auto"/>
            <w:right w:val="none" w:sz="0" w:space="0" w:color="auto"/>
          </w:divBdr>
          <w:divsChild>
            <w:div w:id="1377468247">
              <w:marLeft w:val="0"/>
              <w:marRight w:val="0"/>
              <w:marTop w:val="0"/>
              <w:marBottom w:val="0"/>
              <w:divBdr>
                <w:top w:val="none" w:sz="0" w:space="0" w:color="auto"/>
                <w:left w:val="none" w:sz="0" w:space="0" w:color="auto"/>
                <w:bottom w:val="none" w:sz="0" w:space="0" w:color="auto"/>
                <w:right w:val="none" w:sz="0" w:space="0" w:color="auto"/>
              </w:divBdr>
            </w:div>
          </w:divsChild>
        </w:div>
        <w:div w:id="2050758045">
          <w:marLeft w:val="240"/>
          <w:marRight w:val="0"/>
          <w:marTop w:val="60"/>
          <w:marBottom w:val="60"/>
          <w:divBdr>
            <w:top w:val="none" w:sz="0" w:space="0" w:color="auto"/>
            <w:left w:val="none" w:sz="0" w:space="0" w:color="auto"/>
            <w:bottom w:val="none" w:sz="0" w:space="0" w:color="auto"/>
            <w:right w:val="none" w:sz="0" w:space="0" w:color="auto"/>
          </w:divBdr>
          <w:divsChild>
            <w:div w:id="1674066774">
              <w:marLeft w:val="0"/>
              <w:marRight w:val="0"/>
              <w:marTop w:val="0"/>
              <w:marBottom w:val="0"/>
              <w:divBdr>
                <w:top w:val="none" w:sz="0" w:space="0" w:color="auto"/>
                <w:left w:val="none" w:sz="0" w:space="0" w:color="auto"/>
                <w:bottom w:val="none" w:sz="0" w:space="0" w:color="auto"/>
                <w:right w:val="none" w:sz="0" w:space="0" w:color="auto"/>
              </w:divBdr>
            </w:div>
          </w:divsChild>
        </w:div>
        <w:div w:id="1069305696">
          <w:marLeft w:val="240"/>
          <w:marRight w:val="0"/>
          <w:marTop w:val="60"/>
          <w:marBottom w:val="60"/>
          <w:divBdr>
            <w:top w:val="none" w:sz="0" w:space="0" w:color="auto"/>
            <w:left w:val="none" w:sz="0" w:space="0" w:color="auto"/>
            <w:bottom w:val="none" w:sz="0" w:space="0" w:color="auto"/>
            <w:right w:val="none" w:sz="0" w:space="0" w:color="auto"/>
          </w:divBdr>
          <w:divsChild>
            <w:div w:id="1184246335">
              <w:marLeft w:val="0"/>
              <w:marRight w:val="0"/>
              <w:marTop w:val="0"/>
              <w:marBottom w:val="0"/>
              <w:divBdr>
                <w:top w:val="none" w:sz="0" w:space="0" w:color="auto"/>
                <w:left w:val="none" w:sz="0" w:space="0" w:color="auto"/>
                <w:bottom w:val="none" w:sz="0" w:space="0" w:color="auto"/>
                <w:right w:val="none" w:sz="0" w:space="0" w:color="auto"/>
              </w:divBdr>
            </w:div>
          </w:divsChild>
        </w:div>
        <w:div w:id="1059207343">
          <w:marLeft w:val="240"/>
          <w:marRight w:val="0"/>
          <w:marTop w:val="60"/>
          <w:marBottom w:val="60"/>
          <w:divBdr>
            <w:top w:val="none" w:sz="0" w:space="0" w:color="auto"/>
            <w:left w:val="none" w:sz="0" w:space="0" w:color="auto"/>
            <w:bottom w:val="none" w:sz="0" w:space="0" w:color="auto"/>
            <w:right w:val="none" w:sz="0" w:space="0" w:color="auto"/>
          </w:divBdr>
          <w:divsChild>
            <w:div w:id="605817755">
              <w:marLeft w:val="0"/>
              <w:marRight w:val="0"/>
              <w:marTop w:val="0"/>
              <w:marBottom w:val="0"/>
              <w:divBdr>
                <w:top w:val="none" w:sz="0" w:space="0" w:color="auto"/>
                <w:left w:val="none" w:sz="0" w:space="0" w:color="auto"/>
                <w:bottom w:val="none" w:sz="0" w:space="0" w:color="auto"/>
                <w:right w:val="none" w:sz="0" w:space="0" w:color="auto"/>
              </w:divBdr>
            </w:div>
          </w:divsChild>
        </w:div>
        <w:div w:id="1732850945">
          <w:marLeft w:val="240"/>
          <w:marRight w:val="0"/>
          <w:marTop w:val="60"/>
          <w:marBottom w:val="60"/>
          <w:divBdr>
            <w:top w:val="none" w:sz="0" w:space="0" w:color="auto"/>
            <w:left w:val="none" w:sz="0" w:space="0" w:color="auto"/>
            <w:bottom w:val="none" w:sz="0" w:space="0" w:color="auto"/>
            <w:right w:val="none" w:sz="0" w:space="0" w:color="auto"/>
          </w:divBdr>
          <w:divsChild>
            <w:div w:id="509955010">
              <w:marLeft w:val="0"/>
              <w:marRight w:val="0"/>
              <w:marTop w:val="0"/>
              <w:marBottom w:val="0"/>
              <w:divBdr>
                <w:top w:val="none" w:sz="0" w:space="0" w:color="auto"/>
                <w:left w:val="none" w:sz="0" w:space="0" w:color="auto"/>
                <w:bottom w:val="none" w:sz="0" w:space="0" w:color="auto"/>
                <w:right w:val="none" w:sz="0" w:space="0" w:color="auto"/>
              </w:divBdr>
            </w:div>
          </w:divsChild>
        </w:div>
        <w:div w:id="1251279373">
          <w:marLeft w:val="240"/>
          <w:marRight w:val="0"/>
          <w:marTop w:val="60"/>
          <w:marBottom w:val="60"/>
          <w:divBdr>
            <w:top w:val="none" w:sz="0" w:space="0" w:color="auto"/>
            <w:left w:val="none" w:sz="0" w:space="0" w:color="auto"/>
            <w:bottom w:val="none" w:sz="0" w:space="0" w:color="auto"/>
            <w:right w:val="none" w:sz="0" w:space="0" w:color="auto"/>
          </w:divBdr>
          <w:divsChild>
            <w:div w:id="98183790">
              <w:marLeft w:val="0"/>
              <w:marRight w:val="0"/>
              <w:marTop w:val="0"/>
              <w:marBottom w:val="0"/>
              <w:divBdr>
                <w:top w:val="none" w:sz="0" w:space="0" w:color="auto"/>
                <w:left w:val="none" w:sz="0" w:space="0" w:color="auto"/>
                <w:bottom w:val="none" w:sz="0" w:space="0" w:color="auto"/>
                <w:right w:val="none" w:sz="0" w:space="0" w:color="auto"/>
              </w:divBdr>
            </w:div>
          </w:divsChild>
        </w:div>
        <w:div w:id="1986347077">
          <w:marLeft w:val="240"/>
          <w:marRight w:val="0"/>
          <w:marTop w:val="60"/>
          <w:marBottom w:val="60"/>
          <w:divBdr>
            <w:top w:val="none" w:sz="0" w:space="0" w:color="auto"/>
            <w:left w:val="none" w:sz="0" w:space="0" w:color="auto"/>
            <w:bottom w:val="none" w:sz="0" w:space="0" w:color="auto"/>
            <w:right w:val="none" w:sz="0" w:space="0" w:color="auto"/>
          </w:divBdr>
          <w:divsChild>
            <w:div w:id="103731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6188">
      <w:bodyDiv w:val="1"/>
      <w:marLeft w:val="0"/>
      <w:marRight w:val="0"/>
      <w:marTop w:val="0"/>
      <w:marBottom w:val="0"/>
      <w:divBdr>
        <w:top w:val="none" w:sz="0" w:space="0" w:color="auto"/>
        <w:left w:val="none" w:sz="0" w:space="0" w:color="auto"/>
        <w:bottom w:val="none" w:sz="0" w:space="0" w:color="auto"/>
        <w:right w:val="none" w:sz="0" w:space="0" w:color="auto"/>
      </w:divBdr>
    </w:div>
    <w:div w:id="1053771174">
      <w:bodyDiv w:val="1"/>
      <w:marLeft w:val="0"/>
      <w:marRight w:val="0"/>
      <w:marTop w:val="0"/>
      <w:marBottom w:val="0"/>
      <w:divBdr>
        <w:top w:val="none" w:sz="0" w:space="0" w:color="auto"/>
        <w:left w:val="none" w:sz="0" w:space="0" w:color="auto"/>
        <w:bottom w:val="none" w:sz="0" w:space="0" w:color="auto"/>
        <w:right w:val="none" w:sz="0" w:space="0" w:color="auto"/>
      </w:divBdr>
    </w:div>
    <w:div w:id="1061369137">
      <w:bodyDiv w:val="1"/>
      <w:marLeft w:val="0"/>
      <w:marRight w:val="0"/>
      <w:marTop w:val="0"/>
      <w:marBottom w:val="0"/>
      <w:divBdr>
        <w:top w:val="none" w:sz="0" w:space="0" w:color="auto"/>
        <w:left w:val="none" w:sz="0" w:space="0" w:color="auto"/>
        <w:bottom w:val="none" w:sz="0" w:space="0" w:color="auto"/>
        <w:right w:val="none" w:sz="0" w:space="0" w:color="auto"/>
      </w:divBdr>
    </w:div>
    <w:div w:id="1094665979">
      <w:bodyDiv w:val="1"/>
      <w:marLeft w:val="0"/>
      <w:marRight w:val="0"/>
      <w:marTop w:val="0"/>
      <w:marBottom w:val="0"/>
      <w:divBdr>
        <w:top w:val="none" w:sz="0" w:space="0" w:color="auto"/>
        <w:left w:val="none" w:sz="0" w:space="0" w:color="auto"/>
        <w:bottom w:val="none" w:sz="0" w:space="0" w:color="auto"/>
        <w:right w:val="none" w:sz="0" w:space="0" w:color="auto"/>
      </w:divBdr>
    </w:div>
    <w:div w:id="1140802144">
      <w:bodyDiv w:val="1"/>
      <w:marLeft w:val="0"/>
      <w:marRight w:val="0"/>
      <w:marTop w:val="0"/>
      <w:marBottom w:val="0"/>
      <w:divBdr>
        <w:top w:val="none" w:sz="0" w:space="0" w:color="auto"/>
        <w:left w:val="none" w:sz="0" w:space="0" w:color="auto"/>
        <w:bottom w:val="none" w:sz="0" w:space="0" w:color="auto"/>
        <w:right w:val="none" w:sz="0" w:space="0" w:color="auto"/>
      </w:divBdr>
    </w:div>
    <w:div w:id="1177884515">
      <w:bodyDiv w:val="1"/>
      <w:marLeft w:val="0"/>
      <w:marRight w:val="0"/>
      <w:marTop w:val="0"/>
      <w:marBottom w:val="0"/>
      <w:divBdr>
        <w:top w:val="none" w:sz="0" w:space="0" w:color="auto"/>
        <w:left w:val="none" w:sz="0" w:space="0" w:color="auto"/>
        <w:bottom w:val="none" w:sz="0" w:space="0" w:color="auto"/>
        <w:right w:val="none" w:sz="0" w:space="0" w:color="auto"/>
      </w:divBdr>
    </w:div>
    <w:div w:id="1244143101">
      <w:bodyDiv w:val="1"/>
      <w:marLeft w:val="0"/>
      <w:marRight w:val="0"/>
      <w:marTop w:val="0"/>
      <w:marBottom w:val="0"/>
      <w:divBdr>
        <w:top w:val="none" w:sz="0" w:space="0" w:color="auto"/>
        <w:left w:val="none" w:sz="0" w:space="0" w:color="auto"/>
        <w:bottom w:val="none" w:sz="0" w:space="0" w:color="auto"/>
        <w:right w:val="none" w:sz="0" w:space="0" w:color="auto"/>
      </w:divBdr>
    </w:div>
    <w:div w:id="1303727724">
      <w:bodyDiv w:val="1"/>
      <w:marLeft w:val="0"/>
      <w:marRight w:val="0"/>
      <w:marTop w:val="0"/>
      <w:marBottom w:val="0"/>
      <w:divBdr>
        <w:top w:val="none" w:sz="0" w:space="0" w:color="auto"/>
        <w:left w:val="none" w:sz="0" w:space="0" w:color="auto"/>
        <w:bottom w:val="none" w:sz="0" w:space="0" w:color="auto"/>
        <w:right w:val="none" w:sz="0" w:space="0" w:color="auto"/>
      </w:divBdr>
    </w:div>
    <w:div w:id="1361467431">
      <w:bodyDiv w:val="1"/>
      <w:marLeft w:val="0"/>
      <w:marRight w:val="0"/>
      <w:marTop w:val="0"/>
      <w:marBottom w:val="0"/>
      <w:divBdr>
        <w:top w:val="none" w:sz="0" w:space="0" w:color="auto"/>
        <w:left w:val="none" w:sz="0" w:space="0" w:color="auto"/>
        <w:bottom w:val="none" w:sz="0" w:space="0" w:color="auto"/>
        <w:right w:val="none" w:sz="0" w:space="0" w:color="auto"/>
      </w:divBdr>
    </w:div>
    <w:div w:id="1459177632">
      <w:bodyDiv w:val="1"/>
      <w:marLeft w:val="0"/>
      <w:marRight w:val="0"/>
      <w:marTop w:val="0"/>
      <w:marBottom w:val="0"/>
      <w:divBdr>
        <w:top w:val="none" w:sz="0" w:space="0" w:color="auto"/>
        <w:left w:val="none" w:sz="0" w:space="0" w:color="auto"/>
        <w:bottom w:val="none" w:sz="0" w:space="0" w:color="auto"/>
        <w:right w:val="none" w:sz="0" w:space="0" w:color="auto"/>
      </w:divBdr>
    </w:div>
    <w:div w:id="1545025248">
      <w:bodyDiv w:val="1"/>
      <w:marLeft w:val="0"/>
      <w:marRight w:val="0"/>
      <w:marTop w:val="0"/>
      <w:marBottom w:val="0"/>
      <w:divBdr>
        <w:top w:val="none" w:sz="0" w:space="0" w:color="auto"/>
        <w:left w:val="none" w:sz="0" w:space="0" w:color="auto"/>
        <w:bottom w:val="none" w:sz="0" w:space="0" w:color="auto"/>
        <w:right w:val="none" w:sz="0" w:space="0" w:color="auto"/>
      </w:divBdr>
    </w:div>
    <w:div w:id="1581519585">
      <w:bodyDiv w:val="1"/>
      <w:marLeft w:val="0"/>
      <w:marRight w:val="0"/>
      <w:marTop w:val="0"/>
      <w:marBottom w:val="0"/>
      <w:divBdr>
        <w:top w:val="none" w:sz="0" w:space="0" w:color="auto"/>
        <w:left w:val="none" w:sz="0" w:space="0" w:color="auto"/>
        <w:bottom w:val="none" w:sz="0" w:space="0" w:color="auto"/>
        <w:right w:val="none" w:sz="0" w:space="0" w:color="auto"/>
      </w:divBdr>
    </w:div>
    <w:div w:id="1604531052">
      <w:bodyDiv w:val="1"/>
      <w:marLeft w:val="0"/>
      <w:marRight w:val="0"/>
      <w:marTop w:val="0"/>
      <w:marBottom w:val="0"/>
      <w:divBdr>
        <w:top w:val="none" w:sz="0" w:space="0" w:color="auto"/>
        <w:left w:val="none" w:sz="0" w:space="0" w:color="auto"/>
        <w:bottom w:val="none" w:sz="0" w:space="0" w:color="auto"/>
        <w:right w:val="none" w:sz="0" w:space="0" w:color="auto"/>
      </w:divBdr>
    </w:div>
    <w:div w:id="1619137910">
      <w:bodyDiv w:val="1"/>
      <w:marLeft w:val="0"/>
      <w:marRight w:val="0"/>
      <w:marTop w:val="0"/>
      <w:marBottom w:val="0"/>
      <w:divBdr>
        <w:top w:val="none" w:sz="0" w:space="0" w:color="auto"/>
        <w:left w:val="none" w:sz="0" w:space="0" w:color="auto"/>
        <w:bottom w:val="none" w:sz="0" w:space="0" w:color="auto"/>
        <w:right w:val="none" w:sz="0" w:space="0" w:color="auto"/>
      </w:divBdr>
    </w:div>
    <w:div w:id="1722052944">
      <w:bodyDiv w:val="1"/>
      <w:marLeft w:val="0"/>
      <w:marRight w:val="0"/>
      <w:marTop w:val="0"/>
      <w:marBottom w:val="0"/>
      <w:divBdr>
        <w:top w:val="none" w:sz="0" w:space="0" w:color="auto"/>
        <w:left w:val="none" w:sz="0" w:space="0" w:color="auto"/>
        <w:bottom w:val="none" w:sz="0" w:space="0" w:color="auto"/>
        <w:right w:val="none" w:sz="0" w:space="0" w:color="auto"/>
      </w:divBdr>
    </w:div>
    <w:div w:id="1762489009">
      <w:bodyDiv w:val="1"/>
      <w:marLeft w:val="0"/>
      <w:marRight w:val="0"/>
      <w:marTop w:val="0"/>
      <w:marBottom w:val="0"/>
      <w:divBdr>
        <w:top w:val="none" w:sz="0" w:space="0" w:color="auto"/>
        <w:left w:val="none" w:sz="0" w:space="0" w:color="auto"/>
        <w:bottom w:val="none" w:sz="0" w:space="0" w:color="auto"/>
        <w:right w:val="none" w:sz="0" w:space="0" w:color="auto"/>
      </w:divBdr>
    </w:div>
    <w:div w:id="1789472478">
      <w:bodyDiv w:val="1"/>
      <w:marLeft w:val="0"/>
      <w:marRight w:val="0"/>
      <w:marTop w:val="0"/>
      <w:marBottom w:val="0"/>
      <w:divBdr>
        <w:top w:val="none" w:sz="0" w:space="0" w:color="auto"/>
        <w:left w:val="none" w:sz="0" w:space="0" w:color="auto"/>
        <w:bottom w:val="none" w:sz="0" w:space="0" w:color="auto"/>
        <w:right w:val="none" w:sz="0" w:space="0" w:color="auto"/>
      </w:divBdr>
    </w:div>
    <w:div w:id="1790466086">
      <w:bodyDiv w:val="1"/>
      <w:marLeft w:val="0"/>
      <w:marRight w:val="0"/>
      <w:marTop w:val="0"/>
      <w:marBottom w:val="0"/>
      <w:divBdr>
        <w:top w:val="none" w:sz="0" w:space="0" w:color="auto"/>
        <w:left w:val="none" w:sz="0" w:space="0" w:color="auto"/>
        <w:bottom w:val="none" w:sz="0" w:space="0" w:color="auto"/>
        <w:right w:val="none" w:sz="0" w:space="0" w:color="auto"/>
      </w:divBdr>
    </w:div>
    <w:div w:id="1795321276">
      <w:bodyDiv w:val="1"/>
      <w:marLeft w:val="0"/>
      <w:marRight w:val="0"/>
      <w:marTop w:val="0"/>
      <w:marBottom w:val="0"/>
      <w:divBdr>
        <w:top w:val="none" w:sz="0" w:space="0" w:color="auto"/>
        <w:left w:val="none" w:sz="0" w:space="0" w:color="auto"/>
        <w:bottom w:val="none" w:sz="0" w:space="0" w:color="auto"/>
        <w:right w:val="none" w:sz="0" w:space="0" w:color="auto"/>
      </w:divBdr>
    </w:div>
    <w:div w:id="2000189297">
      <w:bodyDiv w:val="1"/>
      <w:marLeft w:val="0"/>
      <w:marRight w:val="0"/>
      <w:marTop w:val="0"/>
      <w:marBottom w:val="0"/>
      <w:divBdr>
        <w:top w:val="none" w:sz="0" w:space="0" w:color="auto"/>
        <w:left w:val="none" w:sz="0" w:space="0" w:color="auto"/>
        <w:bottom w:val="none" w:sz="0" w:space="0" w:color="auto"/>
        <w:right w:val="none" w:sz="0" w:space="0" w:color="auto"/>
      </w:divBdr>
      <w:divsChild>
        <w:div w:id="1438064501">
          <w:marLeft w:val="0"/>
          <w:marRight w:val="0"/>
          <w:marTop w:val="0"/>
          <w:marBottom w:val="0"/>
          <w:divBdr>
            <w:top w:val="none" w:sz="0" w:space="0" w:color="auto"/>
            <w:left w:val="none" w:sz="0" w:space="0" w:color="auto"/>
            <w:bottom w:val="none" w:sz="0" w:space="0" w:color="auto"/>
            <w:right w:val="none" w:sz="0" w:space="0" w:color="auto"/>
          </w:divBdr>
          <w:divsChild>
            <w:div w:id="71196094">
              <w:marLeft w:val="0"/>
              <w:marRight w:val="0"/>
              <w:marTop w:val="0"/>
              <w:marBottom w:val="0"/>
              <w:divBdr>
                <w:top w:val="none" w:sz="0" w:space="0" w:color="auto"/>
                <w:left w:val="none" w:sz="0" w:space="0" w:color="auto"/>
                <w:bottom w:val="none" w:sz="0" w:space="0" w:color="auto"/>
                <w:right w:val="none" w:sz="0" w:space="0" w:color="auto"/>
              </w:divBdr>
            </w:div>
          </w:divsChild>
        </w:div>
        <w:div w:id="918104070">
          <w:marLeft w:val="0"/>
          <w:marRight w:val="0"/>
          <w:marTop w:val="0"/>
          <w:marBottom w:val="0"/>
          <w:divBdr>
            <w:top w:val="none" w:sz="0" w:space="0" w:color="auto"/>
            <w:left w:val="none" w:sz="0" w:space="0" w:color="auto"/>
            <w:bottom w:val="none" w:sz="0" w:space="0" w:color="auto"/>
            <w:right w:val="none" w:sz="0" w:space="0" w:color="auto"/>
          </w:divBdr>
          <w:divsChild>
            <w:div w:id="1185051284">
              <w:marLeft w:val="0"/>
              <w:marRight w:val="0"/>
              <w:marTop w:val="0"/>
              <w:marBottom w:val="0"/>
              <w:divBdr>
                <w:top w:val="none" w:sz="0" w:space="0" w:color="auto"/>
                <w:left w:val="none" w:sz="0" w:space="0" w:color="auto"/>
                <w:bottom w:val="none" w:sz="0" w:space="0" w:color="auto"/>
                <w:right w:val="none" w:sz="0" w:space="0" w:color="auto"/>
              </w:divBdr>
            </w:div>
          </w:divsChild>
        </w:div>
        <w:div w:id="708994452">
          <w:marLeft w:val="0"/>
          <w:marRight w:val="0"/>
          <w:marTop w:val="0"/>
          <w:marBottom w:val="0"/>
          <w:divBdr>
            <w:top w:val="none" w:sz="0" w:space="0" w:color="auto"/>
            <w:left w:val="none" w:sz="0" w:space="0" w:color="auto"/>
            <w:bottom w:val="none" w:sz="0" w:space="0" w:color="auto"/>
            <w:right w:val="none" w:sz="0" w:space="0" w:color="auto"/>
          </w:divBdr>
          <w:divsChild>
            <w:div w:id="59142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5015">
      <w:bodyDiv w:val="1"/>
      <w:marLeft w:val="0"/>
      <w:marRight w:val="0"/>
      <w:marTop w:val="0"/>
      <w:marBottom w:val="0"/>
      <w:divBdr>
        <w:top w:val="none" w:sz="0" w:space="0" w:color="auto"/>
        <w:left w:val="none" w:sz="0" w:space="0" w:color="auto"/>
        <w:bottom w:val="none" w:sz="0" w:space="0" w:color="auto"/>
        <w:right w:val="none" w:sz="0" w:space="0" w:color="auto"/>
      </w:divBdr>
    </w:div>
    <w:div w:id="2050952511">
      <w:bodyDiv w:val="1"/>
      <w:marLeft w:val="0"/>
      <w:marRight w:val="0"/>
      <w:marTop w:val="0"/>
      <w:marBottom w:val="0"/>
      <w:divBdr>
        <w:top w:val="none" w:sz="0" w:space="0" w:color="auto"/>
        <w:left w:val="none" w:sz="0" w:space="0" w:color="auto"/>
        <w:bottom w:val="none" w:sz="0" w:space="0" w:color="auto"/>
        <w:right w:val="none" w:sz="0" w:space="0" w:color="auto"/>
      </w:divBdr>
    </w:div>
    <w:div w:id="209709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3" Type="http://schemas.openxmlformats.org/officeDocument/2006/relationships/hyperlink" Target="https://www.hhs.gov/coronavirus/cares-act-provider-relief-fund/general-information/index.html" TargetMode="External"/><Relationship Id="rId2" Type="http://schemas.openxmlformats.org/officeDocument/2006/relationships/hyperlink" Target="https://data.cms.gov/stories/s/COVID-19-Nursing-Home-Data/bkwz-xpvg/" TargetMode="External"/><Relationship Id="rId1" Type="http://schemas.openxmlformats.org/officeDocument/2006/relationships/hyperlink" Target="https://www.ahrq.gov/policymakers/hrqa99a.html" TargetMode="External"/><Relationship Id="rId6" Type="http://schemas.openxmlformats.org/officeDocument/2006/relationships/hyperlink" Target="https://www.cms.gov/About-CMS/Agency-Information/Emergency/EPRO/Current-Emergencies/Current-Emergencies-page" TargetMode="External"/><Relationship Id="rId5" Type="http://schemas.openxmlformats.org/officeDocument/2006/relationships/hyperlink" Target="https://www.ahrq.gov/patient-safety/settings/long-term-care/index.html" TargetMode="External"/><Relationship Id="rId4" Type="http://schemas.openxmlformats.org/officeDocument/2006/relationships/hyperlink" Target="https://www.ahrq.gov/nursing-hom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14FCB-C0B6-4D2A-8463-30900E963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18</Pages>
  <Words>5511</Words>
  <Characters>31417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36855</CharactersWithSpaces>
  <SharedDoc>false</SharedDoc>
  <HLinks>
    <vt:vector size="18" baseType="variant">
      <vt:variant>
        <vt:i4>1310722</vt:i4>
      </vt:variant>
      <vt:variant>
        <vt:i4>6</vt:i4>
      </vt:variant>
      <vt:variant>
        <vt:i4>0</vt:i4>
      </vt:variant>
      <vt:variant>
        <vt:i4>5</vt:i4>
      </vt:variant>
      <vt:variant>
        <vt:lpwstr>http://www.opm.gov/policy-data-oversight/pay-leave/salaries-wages/salary-tables/pdf/2015/DCB.pdf</vt:lpwstr>
      </vt:variant>
      <vt:variant>
        <vt:lpwstr/>
      </vt:variant>
      <vt:variant>
        <vt:i4>4653106</vt:i4>
      </vt:variant>
      <vt:variant>
        <vt:i4>3</vt:i4>
      </vt:variant>
      <vt:variant>
        <vt:i4>0</vt:i4>
      </vt:variant>
      <vt:variant>
        <vt:i4>5</vt:i4>
      </vt:variant>
      <vt:variant>
        <vt:lpwstr>https://www.bls.gov/oes/current/oes_nat.htm</vt:lpwstr>
      </vt:variant>
      <vt:variant>
        <vt:lpwstr/>
      </vt:variant>
      <vt:variant>
        <vt:i4>6094864</vt:i4>
      </vt:variant>
      <vt:variant>
        <vt:i4>0</vt:i4>
      </vt:variant>
      <vt:variant>
        <vt:i4>0</vt:i4>
      </vt:variant>
      <vt:variant>
        <vt:i4>5</vt:i4>
      </vt:variant>
      <vt:variant>
        <vt:lpwstr>https://pccds-ln.org/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Branand</dc:creator>
  <cp:keywords/>
  <dc:description/>
  <cp:lastModifiedBy>Russell, Brigid (AHRQ)</cp:lastModifiedBy>
  <cp:revision>3</cp:revision>
  <dcterms:created xsi:type="dcterms:W3CDTF">2022-02-11T16:39:00Z</dcterms:created>
  <dcterms:modified xsi:type="dcterms:W3CDTF">2022-02-11T17:13:00Z</dcterms:modified>
</cp:coreProperties>
</file>