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133" w:rsidP="00E21133" w:rsidRDefault="00E21133">
      <w:pPr>
        <w:pStyle w:val="Caption"/>
        <w:spacing w:before="0" w:after="0" w:line="360" w:lineRule="auto"/>
        <w:rPr>
          <w:color w:val="000000" w:themeColor="text1"/>
        </w:rPr>
      </w:pPr>
      <w:r>
        <w:rPr>
          <w:color w:val="000000" w:themeColor="text1"/>
        </w:rPr>
        <w:t>LAN APM Measurement</w:t>
      </w:r>
    </w:p>
    <w:p w:rsidR="00E21133" w:rsidP="00E21133" w:rsidRDefault="00E21133">
      <w:pPr>
        <w:pStyle w:val="Caption"/>
        <w:spacing w:before="0" w:after="0" w:line="360" w:lineRule="auto"/>
        <w:rPr>
          <w:color w:val="000000" w:themeColor="text1"/>
        </w:rPr>
      </w:pPr>
      <w:r>
        <w:rPr>
          <w:color w:val="000000" w:themeColor="text1"/>
        </w:rPr>
        <w:t>I</w:t>
      </w:r>
      <w:r w:rsidRPr="008F10E0">
        <w:rPr>
          <w:color w:val="000000" w:themeColor="text1"/>
        </w:rPr>
        <w:t xml:space="preserve">nformational </w:t>
      </w:r>
      <w:r>
        <w:rPr>
          <w:color w:val="000000" w:themeColor="text1"/>
        </w:rPr>
        <w:t>Q</w:t>
      </w:r>
      <w:r w:rsidRPr="008F10E0">
        <w:rPr>
          <w:color w:val="000000" w:themeColor="text1"/>
        </w:rPr>
        <w:t>uestions for 20</w:t>
      </w:r>
      <w:r>
        <w:rPr>
          <w:color w:val="000000" w:themeColor="text1"/>
        </w:rPr>
        <w:t>22</w:t>
      </w:r>
      <w:r w:rsidRPr="008F10E0">
        <w:rPr>
          <w:color w:val="000000" w:themeColor="text1"/>
        </w:rPr>
        <w:t xml:space="preserve"> </w:t>
      </w:r>
      <w:r>
        <w:rPr>
          <w:color w:val="000000" w:themeColor="text1"/>
        </w:rPr>
        <w:t>M</w:t>
      </w:r>
      <w:r w:rsidRPr="008F10E0">
        <w:rPr>
          <w:color w:val="000000" w:themeColor="text1"/>
        </w:rPr>
        <w:t xml:space="preserve">easurement </w:t>
      </w:r>
      <w:r>
        <w:rPr>
          <w:color w:val="000000" w:themeColor="text1"/>
        </w:rPr>
        <w:t>E</w:t>
      </w:r>
      <w:r w:rsidRPr="008F10E0">
        <w:rPr>
          <w:color w:val="000000" w:themeColor="text1"/>
        </w:rPr>
        <w:t>ffort</w:t>
      </w:r>
    </w:p>
    <w:p w:rsidR="0046621B" w:rsidRDefault="00E21133">
      <w:r>
        <w:t xml:space="preserve">Finalized on </w:t>
      </w:r>
      <w:r>
        <w:t>04/19/2022</w:t>
      </w:r>
    </w:p>
    <w:tbl>
      <w:tblPr>
        <w:tblW w:w="9420" w:type="dxa"/>
        <w:tblLook w:val="04A0" w:firstRow="1" w:lastRow="0" w:firstColumn="1" w:lastColumn="0" w:noHBand="0" w:noVBand="1"/>
      </w:tblPr>
      <w:tblGrid>
        <w:gridCol w:w="2640"/>
        <w:gridCol w:w="740"/>
        <w:gridCol w:w="6040"/>
      </w:tblGrid>
      <w:tr w:rsidRPr="0046621B" w:rsidR="0046621B" w:rsidTr="0046621B">
        <w:trPr>
          <w:trHeight w:val="312"/>
        </w:trPr>
        <w:tc>
          <w:tcPr>
            <w:tcW w:w="2640" w:type="dxa"/>
            <w:tcBorders>
              <w:top w:val="nil"/>
              <w:left w:val="nil"/>
              <w:bottom w:val="nil"/>
              <w:right w:val="nil"/>
            </w:tcBorders>
            <w:shd w:val="clear" w:color="000000" w:fill="004080"/>
            <w:noWrap/>
            <w:vAlign w:val="bottom"/>
            <w:hideMark/>
          </w:tcPr>
          <w:p w:rsidRPr="0046621B" w:rsidR="0046621B" w:rsidP="0046621B" w:rsidRDefault="0046621B">
            <w:pPr>
              <w:spacing w:after="0" w:line="240" w:lineRule="auto"/>
              <w:rPr>
                <w:rFonts w:ascii="Calibri" w:hAnsi="Calibri" w:eastAsia="Times New Roman" w:cs="Calibri"/>
                <w:color w:val="000000"/>
                <w:sz w:val="24"/>
                <w:szCs w:val="24"/>
              </w:rPr>
            </w:pPr>
            <w:r w:rsidRPr="0046621B">
              <w:rPr>
                <w:rFonts w:ascii="Calibri" w:hAnsi="Calibri" w:eastAsia="Times New Roman" w:cs="Calibri"/>
                <w:color w:val="000000"/>
                <w:sz w:val="24"/>
                <w:szCs w:val="24"/>
              </w:rPr>
              <w:t> </w:t>
            </w:r>
          </w:p>
        </w:tc>
        <w:tc>
          <w:tcPr>
            <w:tcW w:w="740" w:type="dxa"/>
            <w:tcBorders>
              <w:top w:val="nil"/>
              <w:left w:val="nil"/>
              <w:bottom w:val="nil"/>
              <w:right w:val="nil"/>
            </w:tcBorders>
            <w:shd w:val="clear" w:color="000000" w:fill="004080"/>
            <w:noWrap/>
            <w:vAlign w:val="bottom"/>
            <w:hideMark/>
          </w:tcPr>
          <w:p w:rsidRPr="0046621B" w:rsidR="0046621B" w:rsidP="0046621B" w:rsidRDefault="0046621B">
            <w:pPr>
              <w:spacing w:after="0" w:line="240" w:lineRule="auto"/>
              <w:rPr>
                <w:rFonts w:ascii="Calibri" w:hAnsi="Calibri" w:eastAsia="Times New Roman" w:cs="Calibri"/>
                <w:color w:val="000000"/>
                <w:sz w:val="24"/>
                <w:szCs w:val="24"/>
              </w:rPr>
            </w:pPr>
            <w:r w:rsidRPr="0046621B">
              <w:rPr>
                <w:rFonts w:ascii="Calibri" w:hAnsi="Calibri" w:eastAsia="Times New Roman" w:cs="Calibri"/>
                <w:color w:val="000000"/>
                <w:sz w:val="24"/>
                <w:szCs w:val="24"/>
              </w:rPr>
              <w:t> </w:t>
            </w:r>
          </w:p>
        </w:tc>
        <w:tc>
          <w:tcPr>
            <w:tcW w:w="6040" w:type="dxa"/>
            <w:tcBorders>
              <w:top w:val="nil"/>
              <w:left w:val="nil"/>
              <w:bottom w:val="nil"/>
              <w:right w:val="nil"/>
            </w:tcBorders>
            <w:shd w:val="clear" w:color="000000" w:fill="004080"/>
            <w:noWrap/>
            <w:vAlign w:val="bottom"/>
            <w:hideMark/>
          </w:tcPr>
          <w:p w:rsidRPr="0046621B" w:rsidR="0046621B" w:rsidP="0046621B" w:rsidRDefault="0046621B">
            <w:pPr>
              <w:spacing w:after="0" w:line="240" w:lineRule="auto"/>
              <w:rPr>
                <w:rFonts w:ascii="Calibri" w:hAnsi="Calibri" w:eastAsia="Times New Roman" w:cs="Calibri"/>
                <w:color w:val="000000"/>
                <w:sz w:val="24"/>
                <w:szCs w:val="24"/>
              </w:rPr>
            </w:pPr>
          </w:p>
        </w:tc>
      </w:tr>
      <w:tr w:rsidRPr="0046621B" w:rsidR="0046621B" w:rsidTr="0046621B">
        <w:trPr>
          <w:trHeight w:val="576"/>
        </w:trPr>
        <w:tc>
          <w:tcPr>
            <w:tcW w:w="9420" w:type="dxa"/>
            <w:gridSpan w:val="3"/>
            <w:tcBorders>
              <w:top w:val="nil"/>
              <w:left w:val="nil"/>
              <w:bottom w:val="nil"/>
              <w:right w:val="nil"/>
            </w:tcBorders>
            <w:shd w:val="clear" w:color="000000" w:fill="004080"/>
            <w:noWrap/>
            <w:vAlign w:val="bottom"/>
            <w:hideMark/>
          </w:tcPr>
          <w:p w:rsidRPr="0046621B" w:rsidR="0046621B" w:rsidP="00E21133" w:rsidRDefault="0046621B">
            <w:pPr>
              <w:spacing w:after="0" w:line="240" w:lineRule="auto"/>
              <w:jc w:val="center"/>
              <w:rPr>
                <w:rFonts w:ascii="Calibri" w:hAnsi="Calibri" w:eastAsia="Times New Roman" w:cs="Calibri"/>
                <w:b/>
                <w:bCs/>
                <w:color w:val="FFFFFF"/>
                <w:sz w:val="36"/>
                <w:szCs w:val="36"/>
              </w:rPr>
            </w:pPr>
            <w:r w:rsidRPr="0046621B">
              <w:rPr>
                <w:rFonts w:ascii="Calibri" w:hAnsi="Calibri" w:eastAsia="Times New Roman" w:cs="Calibri"/>
                <w:b/>
                <w:bCs/>
                <w:color w:val="FFFFFF"/>
                <w:sz w:val="36"/>
                <w:szCs w:val="36"/>
              </w:rPr>
              <w:t>Informational Questions</w:t>
            </w:r>
          </w:p>
        </w:tc>
      </w:tr>
      <w:tr w:rsidRPr="0046621B" w:rsidR="0046621B" w:rsidTr="00E21133">
        <w:trPr>
          <w:trHeight w:val="80"/>
        </w:trPr>
        <w:tc>
          <w:tcPr>
            <w:tcW w:w="2640" w:type="dxa"/>
            <w:tcBorders>
              <w:top w:val="nil"/>
              <w:left w:val="nil"/>
              <w:bottom w:val="nil"/>
              <w:right w:val="nil"/>
            </w:tcBorders>
            <w:shd w:val="clear" w:color="000000" w:fill="004080"/>
            <w:noWrap/>
            <w:vAlign w:val="bottom"/>
            <w:hideMark/>
          </w:tcPr>
          <w:p w:rsidRPr="0046621B" w:rsidR="0046621B" w:rsidP="0046621B" w:rsidRDefault="0046621B">
            <w:pPr>
              <w:spacing w:after="0" w:line="240" w:lineRule="auto"/>
              <w:rPr>
                <w:rFonts w:ascii="Calibri" w:hAnsi="Calibri" w:eastAsia="Times New Roman" w:cs="Calibri"/>
                <w:color w:val="000000"/>
                <w:sz w:val="24"/>
                <w:szCs w:val="24"/>
              </w:rPr>
            </w:pPr>
            <w:r w:rsidRPr="0046621B">
              <w:rPr>
                <w:rFonts w:ascii="Calibri" w:hAnsi="Calibri" w:eastAsia="Times New Roman" w:cs="Calibri"/>
                <w:color w:val="000000"/>
                <w:sz w:val="24"/>
                <w:szCs w:val="24"/>
              </w:rPr>
              <w:t> </w:t>
            </w:r>
          </w:p>
        </w:tc>
        <w:tc>
          <w:tcPr>
            <w:tcW w:w="740" w:type="dxa"/>
            <w:tcBorders>
              <w:top w:val="nil"/>
              <w:left w:val="nil"/>
              <w:bottom w:val="nil"/>
              <w:right w:val="nil"/>
            </w:tcBorders>
            <w:shd w:val="clear" w:color="000000" w:fill="004080"/>
            <w:noWrap/>
            <w:vAlign w:val="bottom"/>
            <w:hideMark/>
          </w:tcPr>
          <w:p w:rsidRPr="0046621B" w:rsidR="0046621B" w:rsidP="0046621B" w:rsidRDefault="0046621B">
            <w:pPr>
              <w:spacing w:after="0" w:line="240" w:lineRule="auto"/>
              <w:rPr>
                <w:rFonts w:ascii="Calibri" w:hAnsi="Calibri" w:eastAsia="Times New Roman" w:cs="Calibri"/>
                <w:color w:val="000000"/>
                <w:sz w:val="24"/>
                <w:szCs w:val="24"/>
              </w:rPr>
            </w:pPr>
            <w:r w:rsidRPr="0046621B">
              <w:rPr>
                <w:rFonts w:ascii="Calibri" w:hAnsi="Calibri" w:eastAsia="Times New Roman" w:cs="Calibri"/>
                <w:color w:val="000000"/>
                <w:sz w:val="24"/>
                <w:szCs w:val="24"/>
              </w:rPr>
              <w:t> </w:t>
            </w:r>
          </w:p>
        </w:tc>
        <w:tc>
          <w:tcPr>
            <w:tcW w:w="6040" w:type="dxa"/>
            <w:tcBorders>
              <w:top w:val="nil"/>
              <w:left w:val="nil"/>
              <w:bottom w:val="nil"/>
              <w:right w:val="nil"/>
            </w:tcBorders>
            <w:shd w:val="clear" w:color="000000" w:fill="004080"/>
            <w:noWrap/>
            <w:vAlign w:val="bottom"/>
            <w:hideMark/>
          </w:tcPr>
          <w:p w:rsidRPr="0046621B" w:rsidR="0046621B" w:rsidP="0046621B" w:rsidRDefault="0046621B">
            <w:pPr>
              <w:spacing w:after="0" w:line="240" w:lineRule="auto"/>
              <w:rPr>
                <w:rFonts w:ascii="Calibri" w:hAnsi="Calibri" w:eastAsia="Times New Roman" w:cs="Calibri"/>
                <w:color w:val="000000"/>
                <w:sz w:val="24"/>
                <w:szCs w:val="24"/>
              </w:rPr>
            </w:pPr>
            <w:r w:rsidRPr="0046621B">
              <w:rPr>
                <w:rFonts w:ascii="Calibri" w:hAnsi="Calibri" w:eastAsia="Times New Roman" w:cs="Calibri"/>
                <w:color w:val="000000"/>
                <w:sz w:val="24"/>
                <w:szCs w:val="24"/>
              </w:rPr>
              <w:t> </w:t>
            </w:r>
          </w:p>
        </w:tc>
      </w:tr>
      <w:tr w:rsidRPr="0046621B" w:rsidR="0046621B" w:rsidTr="0046621B">
        <w:trPr>
          <w:trHeight w:val="1980"/>
        </w:trPr>
        <w:tc>
          <w:tcPr>
            <w:tcW w:w="9420" w:type="dxa"/>
            <w:gridSpan w:val="3"/>
            <w:tcBorders>
              <w:top w:val="nil"/>
              <w:left w:val="nil"/>
              <w:bottom w:val="single" w:color="auto" w:sz="4" w:space="0"/>
              <w:right w:val="nil"/>
            </w:tcBorders>
            <w:shd w:val="clear" w:color="auto" w:fill="auto"/>
            <w:vAlign w:val="bottom"/>
            <w:hideMark/>
          </w:tcPr>
          <w:p w:rsidR="0046621B" w:rsidP="0046621B" w:rsidRDefault="0046621B">
            <w:pPr>
              <w:spacing w:after="0" w:line="240" w:lineRule="auto"/>
              <w:rPr>
                <w:rFonts w:ascii="Calibri" w:hAnsi="Calibri" w:eastAsia="Times New Roman" w:cs="Calibri"/>
                <w:color w:val="000000"/>
                <w:sz w:val="24"/>
                <w:szCs w:val="24"/>
              </w:rPr>
            </w:pPr>
            <w:r w:rsidRPr="0046621B">
              <w:rPr>
                <w:rFonts w:ascii="Calibri" w:hAnsi="Calibri" w:eastAsia="Times New Roman" w:cs="Calibri"/>
                <w:color w:val="000000"/>
                <w:sz w:val="24"/>
                <w:szCs w:val="24"/>
              </w:rPr>
              <w:t xml:space="preserve">The following questions ask about the current and future state of payment reform from the health plan’s perspective. </w:t>
            </w:r>
            <w:r w:rsidRPr="0046621B">
              <w:rPr>
                <w:rFonts w:ascii="Calibri" w:hAnsi="Calibri" w:eastAsia="Times New Roman" w:cs="Calibri"/>
                <w:color w:val="000000"/>
                <w:sz w:val="24"/>
                <w:szCs w:val="24"/>
              </w:rPr>
              <w:br/>
              <w:t xml:space="preserve"> </w:t>
            </w:r>
            <w:r w:rsidRPr="0046621B">
              <w:rPr>
                <w:rFonts w:ascii="Calibri" w:hAnsi="Calibri" w:eastAsia="Times New Roman" w:cs="Calibri"/>
                <w:color w:val="000000"/>
                <w:sz w:val="24"/>
                <w:szCs w:val="24"/>
              </w:rPr>
              <w:br/>
              <w:t>For the purposes of this survey, health plan refers to any type of health insurance company, third party administrator, or health care purchaser paying for health care provisions on behalf of a population (e.g. state Medicaid agency).</w:t>
            </w:r>
          </w:p>
          <w:p w:rsidRPr="0046621B" w:rsidR="00E21133" w:rsidP="0046621B" w:rsidRDefault="00E21133">
            <w:pPr>
              <w:spacing w:after="0" w:line="240" w:lineRule="auto"/>
              <w:rPr>
                <w:rFonts w:ascii="Calibri" w:hAnsi="Calibri" w:eastAsia="Times New Roman" w:cs="Calibri"/>
                <w:color w:val="000000"/>
                <w:sz w:val="24"/>
                <w:szCs w:val="24"/>
              </w:rPr>
            </w:pPr>
          </w:p>
        </w:tc>
      </w:tr>
      <w:tr w:rsidRPr="0046621B" w:rsidR="0046621B" w:rsidTr="0046621B">
        <w:trPr>
          <w:trHeight w:val="321"/>
        </w:trPr>
        <w:tc>
          <w:tcPr>
            <w:tcW w:w="2640" w:type="dxa"/>
            <w:tcBorders>
              <w:top w:val="nil"/>
              <w:left w:val="single" w:color="auto" w:sz="4" w:space="0"/>
              <w:bottom w:val="single" w:color="auto" w:sz="4" w:space="0"/>
              <w:right w:val="single" w:color="auto" w:sz="4" w:space="0"/>
            </w:tcBorders>
            <w:shd w:val="clear" w:color="000000" w:fill="004080"/>
            <w:hideMark/>
          </w:tcPr>
          <w:p w:rsidRPr="0046621B" w:rsidR="0046621B" w:rsidP="0046621B" w:rsidRDefault="0046621B">
            <w:pPr>
              <w:spacing w:after="0" w:line="240" w:lineRule="auto"/>
              <w:rPr>
                <w:rFonts w:ascii="Calibri" w:hAnsi="Calibri" w:eastAsia="Times New Roman" w:cs="Calibri"/>
                <w:b/>
                <w:bCs/>
                <w:color w:val="FFFFFF"/>
              </w:rPr>
            </w:pPr>
            <w:r w:rsidRPr="0046621B">
              <w:rPr>
                <w:rFonts w:ascii="Calibri" w:hAnsi="Calibri" w:eastAsia="Times New Roman" w:cs="Calibri"/>
                <w:b/>
                <w:bCs/>
                <w:color w:val="FFFFFF"/>
              </w:rPr>
              <w:t>Questions</w:t>
            </w:r>
          </w:p>
        </w:tc>
        <w:tc>
          <w:tcPr>
            <w:tcW w:w="6780" w:type="dxa"/>
            <w:gridSpan w:val="2"/>
            <w:tcBorders>
              <w:top w:val="single" w:color="auto" w:sz="4" w:space="0"/>
              <w:left w:val="nil"/>
              <w:bottom w:val="single" w:color="auto" w:sz="4" w:space="0"/>
              <w:right w:val="single" w:color="000000" w:sz="4" w:space="0"/>
            </w:tcBorders>
            <w:shd w:val="clear" w:color="000000" w:fill="004080"/>
            <w:hideMark/>
          </w:tcPr>
          <w:p w:rsidRPr="0046621B" w:rsidR="0046621B" w:rsidP="0046621B" w:rsidRDefault="0046621B">
            <w:pPr>
              <w:spacing w:after="0" w:line="240" w:lineRule="auto"/>
              <w:rPr>
                <w:rFonts w:ascii="Calibri" w:hAnsi="Calibri" w:eastAsia="Times New Roman" w:cs="Calibri"/>
                <w:b/>
                <w:bCs/>
                <w:color w:val="FFFFFF"/>
              </w:rPr>
            </w:pPr>
            <w:r w:rsidRPr="0046621B">
              <w:rPr>
                <w:rFonts w:ascii="Calibri" w:hAnsi="Calibri" w:eastAsia="Times New Roman" w:cs="Calibri"/>
                <w:b/>
                <w:bCs/>
                <w:color w:val="FFFFFF"/>
              </w:rPr>
              <w:t>Responses</w:t>
            </w:r>
          </w:p>
        </w:tc>
      </w:tr>
      <w:tr w:rsidRPr="0046621B" w:rsidR="0046621B" w:rsidTr="0046621B">
        <w:trPr>
          <w:trHeight w:val="1821"/>
        </w:trPr>
        <w:tc>
          <w:tcPr>
            <w:tcW w:w="2640" w:type="dxa"/>
            <w:vMerge w:val="restart"/>
            <w:tcBorders>
              <w:top w:val="nil"/>
              <w:left w:val="single" w:color="auto" w:sz="4" w:space="0"/>
              <w:bottom w:val="nil"/>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From health plan’s perspective, what do you think will be the trend in APMs over the next 24 months?</w:t>
            </w: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APM activity will increase</w:t>
            </w:r>
          </w:p>
        </w:tc>
      </w:tr>
      <w:tr w:rsidRPr="0046621B" w:rsidR="0046621B" w:rsidTr="0046621B">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 APM activity will stay the same</w:t>
            </w:r>
          </w:p>
        </w:tc>
      </w:tr>
      <w:tr w:rsidRPr="0046621B" w:rsidR="0046621B" w:rsidTr="0046621B">
        <w:trPr>
          <w:trHeight w:val="381"/>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APM activity will decrease</w:t>
            </w:r>
          </w:p>
        </w:tc>
      </w:tr>
      <w:tr w:rsidRPr="0046621B" w:rsidR="0046621B" w:rsidTr="0046621B">
        <w:trPr>
          <w:trHeight w:val="40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Not sure</w:t>
            </w:r>
          </w:p>
        </w:tc>
      </w:tr>
      <w:tr w:rsidRPr="0046621B" w:rsidR="0046621B" w:rsidTr="0046621B">
        <w:trPr>
          <w:trHeight w:val="120"/>
        </w:trPr>
        <w:tc>
          <w:tcPr>
            <w:tcW w:w="2640" w:type="dxa"/>
            <w:tcBorders>
              <w:top w:val="nil"/>
              <w:left w:val="nil"/>
              <w:bottom w:val="nil"/>
              <w:right w:val="nil"/>
            </w:tcBorders>
            <w:shd w:val="clear" w:color="000000" w:fill="000000"/>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740" w:type="dxa"/>
            <w:tcBorders>
              <w:top w:val="nil"/>
              <w:left w:val="single" w:color="auto" w:sz="4" w:space="0"/>
              <w:bottom w:val="nil"/>
              <w:right w:val="nil"/>
            </w:tcBorders>
            <w:shd w:val="clear" w:color="000000" w:fill="000000"/>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46621B">
        <w:trPr>
          <w:trHeight w:val="642"/>
        </w:trPr>
        <w:tc>
          <w:tcPr>
            <w:tcW w:w="2640" w:type="dxa"/>
            <w:vMerge w:val="restart"/>
            <w:tcBorders>
              <w:top w:val="single" w:color="auto" w:sz="4" w:space="0"/>
              <w:left w:val="single" w:color="auto" w:sz="4" w:space="0"/>
              <w:bottom w:val="single" w:color="000000"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[To those who answered APM activity will increase] Which APM subcategory do you think will increase the most in activity over the next 24 months?</w:t>
            </w:r>
          </w:p>
        </w:tc>
        <w:tc>
          <w:tcPr>
            <w:tcW w:w="740" w:type="dxa"/>
            <w:tcBorders>
              <w:top w:val="single" w:color="auto" w:sz="4" w:space="0"/>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Traditional shared savings, utilization-based shared savings (3A)</w:t>
            </w:r>
          </w:p>
        </w:tc>
      </w:tr>
      <w:tr w:rsidRPr="0046621B" w:rsidR="0046621B" w:rsidTr="0046621B">
        <w:trPr>
          <w:trHeight w:val="624"/>
        </w:trPr>
        <w:tc>
          <w:tcPr>
            <w:tcW w:w="2640" w:type="dxa"/>
            <w:vMerge/>
            <w:tcBorders>
              <w:top w:val="single" w:color="auto" w:sz="4" w:space="0"/>
              <w:left w:val="single" w:color="auto" w:sz="4" w:space="0"/>
              <w:bottom w:val="single" w:color="000000"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Fee-for-service-based shared risk, procedure-based bundled/episode payments (3B)</w:t>
            </w:r>
          </w:p>
        </w:tc>
      </w:tr>
      <w:tr w:rsidRPr="0046621B" w:rsidR="0046621B" w:rsidTr="0046621B">
        <w:trPr>
          <w:trHeight w:val="624"/>
        </w:trPr>
        <w:tc>
          <w:tcPr>
            <w:tcW w:w="2640" w:type="dxa"/>
            <w:vMerge/>
            <w:tcBorders>
              <w:top w:val="single" w:color="auto" w:sz="4" w:space="0"/>
              <w:left w:val="single" w:color="auto" w:sz="4" w:space="0"/>
              <w:bottom w:val="single" w:color="000000"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 Condition-specific population-based payments, condition-specific bundled/episode payments (4A)</w:t>
            </w:r>
          </w:p>
        </w:tc>
      </w:tr>
      <w:tr w:rsidRPr="0046621B" w:rsidR="0046621B" w:rsidTr="0046621B">
        <w:trPr>
          <w:trHeight w:val="936"/>
        </w:trPr>
        <w:tc>
          <w:tcPr>
            <w:tcW w:w="2640" w:type="dxa"/>
            <w:vMerge/>
            <w:tcBorders>
              <w:top w:val="single" w:color="auto" w:sz="4" w:space="0"/>
              <w:left w:val="single" w:color="auto" w:sz="4" w:space="0"/>
              <w:bottom w:val="single" w:color="000000"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 Full or percent of premium population-based payments, population-based payments that are not condition-specific (4B)</w:t>
            </w:r>
          </w:p>
        </w:tc>
      </w:tr>
      <w:tr w:rsidRPr="0046621B" w:rsidR="0046621B" w:rsidTr="0046621B">
        <w:trPr>
          <w:trHeight w:val="312"/>
        </w:trPr>
        <w:tc>
          <w:tcPr>
            <w:tcW w:w="2640" w:type="dxa"/>
            <w:vMerge/>
            <w:tcBorders>
              <w:top w:val="single" w:color="auto" w:sz="4" w:space="0"/>
              <w:left w:val="single" w:color="auto" w:sz="4" w:space="0"/>
              <w:bottom w:val="single" w:color="000000"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Integrated finance and delivery system payments(4C)</w:t>
            </w:r>
          </w:p>
        </w:tc>
      </w:tr>
      <w:tr w:rsidRPr="0046621B" w:rsidR="0046621B" w:rsidTr="0046621B">
        <w:trPr>
          <w:trHeight w:val="321"/>
        </w:trPr>
        <w:tc>
          <w:tcPr>
            <w:tcW w:w="2640" w:type="dxa"/>
            <w:vMerge w:val="restart"/>
            <w:tcBorders>
              <w:top w:val="nil"/>
              <w:left w:val="single" w:color="auto" w:sz="4" w:space="0"/>
              <w:bottom w:val="nil"/>
              <w:right w:val="single" w:color="auto" w:sz="4" w:space="0"/>
            </w:tcBorders>
            <w:shd w:val="clear" w:color="000000" w:fill="FFFFFF"/>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xml:space="preserve">[To those who answered APM activity will decrease] Which APM subcategory do you think will decrease </w:t>
            </w:r>
            <w:r w:rsidRPr="0046621B">
              <w:rPr>
                <w:rFonts w:ascii="Calibri" w:hAnsi="Calibri" w:eastAsia="Times New Roman" w:cs="Calibri"/>
              </w:rPr>
              <w:lastRenderedPageBreak/>
              <w:t>the most in activity over the next 24 months?</w:t>
            </w:r>
          </w:p>
        </w:tc>
        <w:tc>
          <w:tcPr>
            <w:tcW w:w="740" w:type="dxa"/>
            <w:tcBorders>
              <w:top w:val="nil"/>
              <w:left w:val="nil"/>
              <w:bottom w:val="single" w:color="auto" w:sz="4" w:space="0"/>
              <w:right w:val="single" w:color="auto" w:sz="4" w:space="0"/>
            </w:tcBorders>
            <w:shd w:val="clear" w:color="000000" w:fill="FFFFFF"/>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lastRenderedPageBreak/>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Traditional shared savings, utilization-based shared savings (3A)</w:t>
            </w:r>
          </w:p>
        </w:tc>
      </w:tr>
      <w:tr w:rsidRPr="0046621B" w:rsidR="0046621B" w:rsidTr="0046621B">
        <w:trPr>
          <w:trHeight w:val="624"/>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FFFFF"/>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Fee-for-service-based shared risk, procedure-based bundled/episode payments (3B)</w:t>
            </w:r>
          </w:p>
        </w:tc>
      </w:tr>
      <w:tr w:rsidRPr="0046621B" w:rsidR="0046621B" w:rsidTr="0046621B">
        <w:trPr>
          <w:trHeight w:val="624"/>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FFFFF"/>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 Condition-specific population-based payments, condition-specific bundled/episode payments (4A)</w:t>
            </w:r>
          </w:p>
        </w:tc>
      </w:tr>
      <w:tr w:rsidRPr="0046621B" w:rsidR="0046621B" w:rsidTr="0046621B">
        <w:trPr>
          <w:trHeight w:val="936"/>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FFFFF"/>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 Full or percent of premium population-based payments, population-based payments that are not condition-specific (4B)</w:t>
            </w:r>
          </w:p>
        </w:tc>
      </w:tr>
      <w:tr w:rsidRPr="0046621B" w:rsidR="0046621B" w:rsidTr="0046621B">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FFFFF"/>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Integrated finance and delivery system payments(4C)</w:t>
            </w:r>
          </w:p>
        </w:tc>
      </w:tr>
      <w:tr w:rsidRPr="0046621B" w:rsidR="0046621B" w:rsidTr="0046621B">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rPr>
            </w:pPr>
          </w:p>
        </w:tc>
        <w:tc>
          <w:tcPr>
            <w:tcW w:w="740" w:type="dxa"/>
            <w:tcBorders>
              <w:top w:val="nil"/>
              <w:left w:val="nil"/>
              <w:bottom w:val="single" w:color="auto" w:sz="4" w:space="0"/>
              <w:right w:val="single" w:color="auto" w:sz="4" w:space="0"/>
            </w:tcBorders>
            <w:shd w:val="clear" w:color="000000" w:fill="FFFFFF"/>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Not sure</w:t>
            </w:r>
          </w:p>
        </w:tc>
      </w:tr>
      <w:tr w:rsidRPr="0046621B" w:rsidR="0046621B" w:rsidTr="00E21133">
        <w:trPr>
          <w:trHeight w:val="141"/>
        </w:trPr>
        <w:tc>
          <w:tcPr>
            <w:tcW w:w="2640" w:type="dxa"/>
            <w:tcBorders>
              <w:top w:val="nil"/>
              <w:left w:val="single" w:color="auto" w:sz="4" w:space="0"/>
              <w:bottom w:val="single" w:color="auto" w:sz="4" w:space="0"/>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740" w:type="dxa"/>
            <w:tcBorders>
              <w:top w:val="nil"/>
              <w:left w:val="nil"/>
              <w:bottom w:val="nil"/>
              <w:right w:val="nil"/>
            </w:tcBorders>
            <w:shd w:val="clear" w:color="000000" w:fill="000000"/>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E21133">
        <w:trPr>
          <w:trHeight w:val="321"/>
        </w:trPr>
        <w:tc>
          <w:tcPr>
            <w:tcW w:w="2640" w:type="dxa"/>
            <w:vMerge w:val="restart"/>
            <w:tcBorders>
              <w:top w:val="single" w:color="auto" w:sz="4" w:space="0"/>
              <w:left w:val="single" w:color="auto" w:sz="4" w:space="0"/>
              <w:bottom w:val="nil"/>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From health plan’s perspective, what are the top barriers to APM adoption?  (Select up to 3)</w:t>
            </w:r>
          </w:p>
        </w:tc>
        <w:tc>
          <w:tcPr>
            <w:tcW w:w="740" w:type="dxa"/>
            <w:tcBorders>
              <w:top w:val="single" w:color="auto" w:sz="4" w:space="0"/>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Provider interest/readiness</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Health plan interest/readiness</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Purchaser interest/readiness</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Government influence</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Provider ability to operationalize</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Health plan ability to operationalize</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Interoperability </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Provider willingness to take on financial risk</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Market factors</w:t>
            </w:r>
          </w:p>
        </w:tc>
      </w:tr>
      <w:tr w:rsidRPr="0046621B" w:rsidR="0046621B" w:rsidTr="00E21133">
        <w:trPr>
          <w:trHeight w:val="312"/>
        </w:trPr>
        <w:tc>
          <w:tcPr>
            <w:tcW w:w="2640" w:type="dxa"/>
            <w:vMerge/>
            <w:tcBorders>
              <w:top w:val="single" w:color="auto" w:sz="4" w:space="0"/>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000000" w:fill="F2F2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Other (please list)</w:t>
            </w:r>
          </w:p>
        </w:tc>
      </w:tr>
      <w:tr w:rsidRPr="0046621B" w:rsidR="0046621B" w:rsidTr="00E21133">
        <w:trPr>
          <w:trHeight w:val="141"/>
        </w:trPr>
        <w:tc>
          <w:tcPr>
            <w:tcW w:w="2640" w:type="dxa"/>
            <w:tcBorders>
              <w:top w:val="nil"/>
              <w:left w:val="nil"/>
              <w:bottom w:val="single" w:color="auto" w:sz="4" w:space="0"/>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740" w:type="dxa"/>
            <w:tcBorders>
              <w:top w:val="nil"/>
              <w:left w:val="nil"/>
              <w:bottom w:val="nil"/>
              <w:right w:val="nil"/>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E21133">
        <w:trPr>
          <w:trHeight w:val="321"/>
        </w:trPr>
        <w:tc>
          <w:tcPr>
            <w:tcW w:w="2640" w:type="dxa"/>
            <w:vMerge w:val="restart"/>
            <w:tcBorders>
              <w:top w:val="single" w:color="auto" w:sz="4" w:space="0"/>
              <w:left w:val="single" w:color="auto" w:sz="4" w:space="0"/>
              <w:bottom w:val="nil"/>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From health plan’s perspective, what are the top facilitators to APM adoption?  (Select up to 3)</w:t>
            </w:r>
          </w:p>
        </w:tc>
        <w:tc>
          <w:tcPr>
            <w:tcW w:w="740" w:type="dxa"/>
            <w:tcBorders>
              <w:top w:val="single" w:color="auto" w:sz="4" w:space="0"/>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Provider interest/readiness</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Health plan interest/readiness</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Purchaser interest/readiness</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Government influence</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Provider ability to operationalize</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Health plan ability to operationalize</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Interoperability </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Provider willingness to take on financial risk</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Market factors</w:t>
            </w:r>
          </w:p>
        </w:tc>
      </w:tr>
      <w:tr w:rsidRPr="0046621B" w:rsidR="0046621B" w:rsidTr="00E21133">
        <w:trPr>
          <w:trHeight w:val="312"/>
        </w:trPr>
        <w:tc>
          <w:tcPr>
            <w:tcW w:w="2640" w:type="dxa"/>
            <w:vMerge/>
            <w:tcBorders>
              <w:top w:val="nil"/>
              <w:left w:val="single" w:color="auto" w:sz="4" w:space="0"/>
              <w:bottom w:val="nil"/>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Other (please list)</w:t>
            </w:r>
          </w:p>
        </w:tc>
      </w:tr>
      <w:tr w:rsidRPr="0046621B" w:rsidR="0046621B" w:rsidTr="0046621B">
        <w:trPr>
          <w:trHeight w:val="180"/>
        </w:trPr>
        <w:tc>
          <w:tcPr>
            <w:tcW w:w="2640" w:type="dxa"/>
            <w:tcBorders>
              <w:top w:val="nil"/>
              <w:left w:val="nil"/>
              <w:bottom w:val="nil"/>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740" w:type="dxa"/>
            <w:tcBorders>
              <w:top w:val="nil"/>
              <w:left w:val="nil"/>
              <w:bottom w:val="nil"/>
              <w:right w:val="nil"/>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000000"/>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46621B">
        <w:trPr>
          <w:trHeight w:val="624"/>
        </w:trPr>
        <w:tc>
          <w:tcPr>
            <w:tcW w:w="2640" w:type="dxa"/>
            <w:vMerge w:val="restart"/>
            <w:tcBorders>
              <w:top w:val="single" w:color="auto" w:sz="4" w:space="0"/>
              <w:left w:val="single" w:color="auto" w:sz="4" w:space="0"/>
              <w:bottom w:val="single" w:color="auto" w:sz="4" w:space="0"/>
              <w:right w:val="single" w:color="auto" w:sz="4" w:space="0"/>
            </w:tcBorders>
            <w:shd w:val="clear" w:color="000000" w:fill="F2F2F2"/>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From health plan's perspective, please indicate to what extent you agree, disagree that APM adoption will result in each of the following outcomes: </w:t>
            </w:r>
            <w:r w:rsidRPr="0046621B">
              <w:rPr>
                <w:rFonts w:ascii="Calibri" w:hAnsi="Calibri" w:eastAsia="Times New Roman" w:cs="Calibri"/>
                <w:color w:val="000000"/>
              </w:rPr>
              <w:br/>
            </w:r>
            <w:r w:rsidRPr="0046621B">
              <w:rPr>
                <w:rFonts w:ascii="Calibri" w:hAnsi="Calibri" w:eastAsia="Times New Roman" w:cs="Calibri"/>
                <w:color w:val="000000"/>
              </w:rPr>
              <w:br/>
            </w:r>
            <w:r w:rsidRPr="0046621B">
              <w:rPr>
                <w:rFonts w:ascii="Calibri" w:hAnsi="Calibri" w:eastAsia="Times New Roman" w:cs="Calibri"/>
                <w:color w:val="000000"/>
              </w:rPr>
              <w:br/>
              <w:t xml:space="preserve">Please respond to each statement listed. </w:t>
            </w:r>
          </w:p>
        </w:tc>
        <w:tc>
          <w:tcPr>
            <w:tcW w:w="740" w:type="dxa"/>
            <w:tcBorders>
              <w:top w:val="single" w:color="auto" w:sz="4" w:space="0"/>
              <w:left w:val="nil"/>
              <w:bottom w:val="nil"/>
              <w:right w:val="nil"/>
            </w:tcBorders>
            <w:shd w:val="clear" w:color="000000" w:fill="F2F2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Better quality care (strongly disagree, disagree, agree, strongly agree, not sure)</w:t>
            </w:r>
          </w:p>
        </w:tc>
      </w:tr>
      <w:tr w:rsidRPr="0046621B" w:rsidR="0046621B" w:rsidTr="0046621B">
        <w:trPr>
          <w:trHeight w:val="624"/>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000000" w:fill="F2F2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More affordable care (strongly disagree, disagree, agree, strongly agree, not sure)</w:t>
            </w:r>
          </w:p>
        </w:tc>
      </w:tr>
      <w:tr w:rsidRPr="0046621B" w:rsidR="0046621B" w:rsidTr="0046621B">
        <w:trPr>
          <w:trHeight w:val="624"/>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single" w:color="auto" w:sz="4" w:space="0"/>
              <w:right w:val="nil"/>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Improved care coordination (strongly disagree, disagree, agree, strongly agree, not sure)</w:t>
            </w:r>
          </w:p>
        </w:tc>
      </w:tr>
      <w:tr w:rsidRPr="0046621B" w:rsidR="0046621B" w:rsidTr="0046621B">
        <w:trPr>
          <w:trHeight w:val="936"/>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nil"/>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 More consolidation among health care providers (strongly disagree, disagree, agree, strongly agree, not sure)</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nil"/>
            </w:tcBorders>
            <w:shd w:val="clear" w:color="000000" w:fill="F2F2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 Higher unit prices for discrete services (strongly disagree, disagree, agree, strongly agree, not sure)</w:t>
            </w:r>
          </w:p>
        </w:tc>
      </w:tr>
      <w:tr w:rsidRPr="0046621B" w:rsidR="0046621B" w:rsidTr="00E21133">
        <w:trPr>
          <w:trHeight w:val="1122"/>
        </w:trPr>
        <w:tc>
          <w:tcPr>
            <w:tcW w:w="26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lastRenderedPageBreak/>
              <w:t>[For payers who operated in more than one LOB] Given that your organization operated in more than one line of business in 2021, do the answers provided to the informational questions vary according to line of business?</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Yes</w:t>
            </w:r>
          </w:p>
        </w:tc>
        <w:tc>
          <w:tcPr>
            <w:tcW w:w="6040" w:type="dxa"/>
            <w:tcBorders>
              <w:top w:val="single" w:color="auto" w:sz="4" w:space="0"/>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Please describe how the answers to the questions above vary by line of business.</w:t>
            </w:r>
          </w:p>
        </w:tc>
      </w:tr>
      <w:tr w:rsidRPr="0046621B" w:rsidR="0046621B" w:rsidTr="00E21133">
        <w:trPr>
          <w:trHeight w:val="2160"/>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No</w:t>
            </w:r>
          </w:p>
        </w:tc>
        <w:tc>
          <w:tcPr>
            <w:tcW w:w="6040" w:type="dxa"/>
            <w:tcBorders>
              <w:top w:val="single" w:color="auto" w:sz="4" w:space="0"/>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46621B">
        <w:trPr>
          <w:trHeight w:val="312"/>
        </w:trPr>
        <w:tc>
          <w:tcPr>
            <w:tcW w:w="2640" w:type="dxa"/>
            <w:tcBorders>
              <w:top w:val="nil"/>
              <w:left w:val="nil"/>
              <w:bottom w:val="nil"/>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740" w:type="dxa"/>
            <w:tcBorders>
              <w:top w:val="nil"/>
              <w:left w:val="nil"/>
              <w:bottom w:val="nil"/>
              <w:right w:val="nil"/>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000000"/>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46621B">
        <w:trPr>
          <w:trHeight w:val="600"/>
        </w:trPr>
        <w:tc>
          <w:tcPr>
            <w:tcW w:w="2640"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Does your organization have a strategy to contract with providers using population-based APMs (i.e., HCP LAN Category 4) over the next year?  </w:t>
            </w:r>
            <w:r w:rsidRPr="0046621B">
              <w:rPr>
                <w:rFonts w:ascii="Calibri" w:hAnsi="Calibri" w:eastAsia="Times New Roman" w:cs="Calibri"/>
                <w:b/>
                <w:bCs/>
                <w:color w:val="000000"/>
              </w:rPr>
              <w:t>Please check all responses that apply.</w:t>
            </w:r>
            <w:r w:rsidRPr="0046621B">
              <w:rPr>
                <w:rFonts w:ascii="Calibri" w:hAnsi="Calibri" w:eastAsia="Times New Roman" w:cs="Calibri"/>
                <w:color w:val="000000"/>
              </w:rPr>
              <w:t xml:space="preserve"> </w:t>
            </w:r>
          </w:p>
        </w:tc>
        <w:tc>
          <w:tcPr>
            <w:tcW w:w="740" w:type="dxa"/>
            <w:tcBorders>
              <w:top w:val="single" w:color="auto" w:sz="4" w:space="0"/>
              <w:left w:val="nil"/>
              <w:bottom w:val="single" w:color="auto" w:sz="4" w:space="0"/>
              <w:right w:val="single" w:color="auto" w:sz="4" w:space="0"/>
            </w:tcBorders>
            <w:shd w:val="clear" w:color="000000" w:fill="F2F2F2"/>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000000" w:fill="F2F2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The strategy is/will mostly target small, independent primary care clinicians/practices.</w:t>
            </w:r>
          </w:p>
        </w:tc>
      </w:tr>
      <w:tr w:rsidRPr="0046621B" w:rsidR="0046621B" w:rsidTr="0046621B">
        <w:trPr>
          <w:trHeight w:val="600"/>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000000" w:fill="F2F2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The strategy is/will mostly target independent larger physician group practices.</w:t>
            </w:r>
          </w:p>
        </w:tc>
      </w:tr>
      <w:tr w:rsidRPr="0046621B" w:rsidR="0046621B" w:rsidTr="0046621B">
        <w:trPr>
          <w:trHeight w:val="600"/>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000000" w:fill="F2F2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The strategy is will mostly target health systems and associated practices.</w:t>
            </w:r>
          </w:p>
        </w:tc>
      </w:tr>
      <w:tr w:rsidRPr="0046621B" w:rsidR="0046621B" w:rsidTr="0046621B">
        <w:trPr>
          <w:trHeight w:val="600"/>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000000" w:fill="F2F2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The strategy is/will target a mix of provider types. </w:t>
            </w:r>
          </w:p>
        </w:tc>
      </w:tr>
      <w:tr w:rsidRPr="0046621B" w:rsidR="0046621B" w:rsidTr="0046621B">
        <w:trPr>
          <w:trHeight w:val="600"/>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000000" w:fill="F2F2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No, my Plan does not have a strategy to contract with providers using population-based APMs.</w:t>
            </w:r>
          </w:p>
        </w:tc>
      </w:tr>
      <w:tr w:rsidRPr="0046621B" w:rsidR="0046621B" w:rsidTr="0046621B">
        <w:trPr>
          <w:trHeight w:val="600"/>
        </w:trPr>
        <w:tc>
          <w:tcPr>
            <w:tcW w:w="2640" w:type="dxa"/>
            <w:vMerge/>
            <w:tcBorders>
              <w:top w:val="single" w:color="auto" w:sz="4" w:space="0"/>
              <w:left w:val="single" w:color="auto" w:sz="4" w:space="0"/>
              <w:bottom w:val="single" w:color="auto" w:sz="4" w:space="0"/>
              <w:right w:val="single" w:color="auto" w:sz="4" w:space="0"/>
            </w:tcBorders>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000000" w:fill="F2F2F2"/>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000000" w:fill="F2F2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Other (Please describe)</w:t>
            </w:r>
          </w:p>
        </w:tc>
      </w:tr>
      <w:tr w:rsidRPr="0046621B" w:rsidR="0046621B" w:rsidTr="0046621B">
        <w:trPr>
          <w:trHeight w:val="312"/>
        </w:trPr>
        <w:tc>
          <w:tcPr>
            <w:tcW w:w="2640" w:type="dxa"/>
            <w:tcBorders>
              <w:top w:val="nil"/>
              <w:left w:val="nil"/>
              <w:bottom w:val="nil"/>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740" w:type="dxa"/>
            <w:tcBorders>
              <w:top w:val="nil"/>
              <w:left w:val="nil"/>
              <w:bottom w:val="nil"/>
              <w:right w:val="nil"/>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000000"/>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E21133">
        <w:trPr>
          <w:trHeight w:val="441"/>
        </w:trPr>
        <w:tc>
          <w:tcPr>
            <w:tcW w:w="26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Is your Plan leveraging value-based provider arrangements to incentivize providers to improve health equity through the following strategies? Check all responses that apply.</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Collection of standardized race, ethnicity, and language data </w:t>
            </w:r>
          </w:p>
        </w:tc>
      </w:tr>
      <w:tr w:rsidRPr="0046621B" w:rsidR="0046621B" w:rsidTr="00E21133">
        <w:trPr>
          <w:trHeight w:val="44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Collection of sexual orientation, gender, and identity data </w:t>
            </w:r>
          </w:p>
        </w:tc>
      </w:tr>
      <w:tr w:rsidRPr="0046621B" w:rsidR="0046621B" w:rsidTr="00E21133">
        <w:trPr>
          <w:trHeight w:val="44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Collection of disability status</w:t>
            </w:r>
          </w:p>
        </w:tc>
      </w:tr>
      <w:tr w:rsidRPr="0046621B" w:rsidR="0046621B" w:rsidTr="00E21133">
        <w:trPr>
          <w:trHeight w:val="44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Collection of veteran status</w:t>
            </w:r>
          </w:p>
        </w:tc>
      </w:tr>
      <w:tr w:rsidRPr="0046621B" w:rsidR="0046621B" w:rsidTr="00E21133">
        <w:trPr>
          <w:trHeight w:val="44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Participation in implicit bias (or similar) training</w:t>
            </w:r>
          </w:p>
        </w:tc>
      </w:tr>
      <w:tr w:rsidRPr="0046621B" w:rsidR="0046621B" w:rsidTr="00E21133">
        <w:trPr>
          <w:trHeight w:val="44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Complete staff competencies to serve diverse populations</w:t>
            </w:r>
          </w:p>
        </w:tc>
      </w:tr>
      <w:tr w:rsidRPr="0046621B" w:rsidR="0046621B" w:rsidTr="00E21133">
        <w:trPr>
          <w:trHeight w:val="639"/>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Reporting performance measures by race, ethnicity, and language </w:t>
            </w:r>
          </w:p>
        </w:tc>
      </w:tr>
      <w:tr w:rsidRPr="0046621B" w:rsidR="0046621B" w:rsidTr="00E21133">
        <w:trPr>
          <w:trHeight w:val="77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Measurement of clinical outcome inequities among member groups</w:t>
            </w:r>
          </w:p>
        </w:tc>
      </w:tr>
      <w:tr w:rsidRPr="0046621B" w:rsidR="0046621B" w:rsidTr="00E21133">
        <w:trPr>
          <w:trHeight w:val="65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Reduction of clinical outcome inequities among member groups </w:t>
            </w:r>
          </w:p>
        </w:tc>
      </w:tr>
      <w:tr w:rsidRPr="0046621B" w:rsidR="0046621B" w:rsidTr="00E21133">
        <w:trPr>
          <w:trHeight w:val="312"/>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nil"/>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Participation in quality improvement collaboratives</w:t>
            </w:r>
          </w:p>
        </w:tc>
      </w:tr>
      <w:tr w:rsidRPr="0046621B" w:rsidR="0046621B" w:rsidTr="00E21133">
        <w:trPr>
          <w:trHeight w:val="381"/>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c>
          <w:tcPr>
            <w:tcW w:w="6040" w:type="dxa"/>
            <w:tcBorders>
              <w:top w:val="single" w:color="auto" w:sz="4" w:space="0"/>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If other, please specify_________</w:t>
            </w:r>
          </w:p>
        </w:tc>
      </w:tr>
      <w:tr w:rsidRPr="0046621B" w:rsidR="0046621B" w:rsidTr="0046621B">
        <w:trPr>
          <w:trHeight w:val="312"/>
        </w:trPr>
        <w:tc>
          <w:tcPr>
            <w:tcW w:w="2640" w:type="dxa"/>
            <w:tcBorders>
              <w:top w:val="nil"/>
              <w:left w:val="nil"/>
              <w:bottom w:val="nil"/>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740" w:type="dxa"/>
            <w:tcBorders>
              <w:top w:val="nil"/>
              <w:left w:val="nil"/>
              <w:bottom w:val="nil"/>
              <w:right w:val="nil"/>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000000"/>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E21133">
        <w:trPr>
          <w:trHeight w:val="1020"/>
        </w:trPr>
        <w:tc>
          <w:tcPr>
            <w:tcW w:w="264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If incentives are included in your value-based provider arrangements to improve social determinants of health, what specific Social Determinants of Health (</w:t>
            </w:r>
            <w:proofErr w:type="spellStart"/>
            <w:r w:rsidRPr="0046621B">
              <w:rPr>
                <w:rFonts w:ascii="Calibri" w:hAnsi="Calibri" w:eastAsia="Times New Roman" w:cs="Calibri"/>
                <w:color w:val="000000"/>
              </w:rPr>
              <w:t>SDoH</w:t>
            </w:r>
            <w:proofErr w:type="spellEnd"/>
            <w:r w:rsidRPr="0046621B">
              <w:rPr>
                <w:rFonts w:ascii="Calibri" w:hAnsi="Calibri" w:eastAsia="Times New Roman" w:cs="Calibri"/>
                <w:color w:val="000000"/>
              </w:rPr>
              <w:t>) or delivery strategies are intended to improve? Check all that apply.</w:t>
            </w: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Screening for socioeconomic barriers known to impact health or health outcomes</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Multidisciplinary team models (e.g. social worker, community health worker, medical staff, doulas, etc.) </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Referrals to community-based organizations to address socioeconomic barriers</w:t>
            </w:r>
          </w:p>
        </w:tc>
      </w:tr>
      <w:tr w:rsidRPr="0046621B" w:rsidR="0046621B" w:rsidTr="00E21133">
        <w:trPr>
          <w:trHeight w:val="312"/>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Verifications of interventions provided</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Care coordination for services that address socioeconomic barriers</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Food insecurity (e.g., offering resources for access to nutritious food)</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xml:space="preserve">Safe transportation (e.g., incentives or partnerships in ride sharing programs) </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Housing insecurity (e.g., provider sponsored housing after a hospital discharge)</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Economic insecurity (e.g., connections to job placement or training services)</w:t>
            </w:r>
          </w:p>
        </w:tc>
      </w:tr>
      <w:tr w:rsidRPr="0046621B" w:rsidR="0046621B" w:rsidTr="00E21133">
        <w:trPr>
          <w:trHeight w:val="624"/>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nil"/>
              <w:right w:val="nil"/>
            </w:tcBorders>
            <w:shd w:val="clear" w:color="auto" w:fill="F2F2F2" w:themeFill="background1" w:themeFillShade="F2"/>
            <w:hideMark/>
          </w:tcPr>
          <w:p w:rsidRPr="0046621B" w:rsidR="0046621B" w:rsidP="0046621B" w:rsidRDefault="0046621B">
            <w:pPr>
              <w:spacing w:after="0" w:line="240" w:lineRule="auto"/>
              <w:jc w:val="center"/>
              <w:rPr>
                <w:rFonts w:ascii="Calibri" w:hAnsi="Calibri" w:eastAsia="Times New Roman" w:cs="Calibri"/>
                <w:b/>
                <w:bCs/>
              </w:rPr>
            </w:pPr>
            <w:r w:rsidRPr="0046621B">
              <w:rPr>
                <w:rFonts w:ascii="Calibri" w:hAnsi="Calibri" w:eastAsia="Times New Roman" w:cs="Calibri"/>
                <w:b/>
                <w:bCs/>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Social isolation and loneliness (e.g., peer connection programs, group meetings, etc.)</w:t>
            </w:r>
          </w:p>
        </w:tc>
      </w:tr>
      <w:tr w:rsidRPr="0046621B" w:rsidR="0046621B" w:rsidTr="00E21133">
        <w:trPr>
          <w:trHeight w:val="1479"/>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single" w:color="auto" w:sz="4" w:space="0"/>
              <w:left w:val="nil"/>
              <w:bottom w:val="single" w:color="auto" w:sz="4" w:space="0"/>
              <w:right w:val="nil"/>
            </w:tcBorders>
            <w:shd w:val="clear" w:color="auto" w:fill="F2F2F2" w:themeFill="background1" w:themeFillShade="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Other basic needs (e.g., providing clothing, diapers, or gift cards; helping with utilities or childcare; providing digital devices such as phones to access telehealth and thrive in new digital world, etc.)</w:t>
            </w:r>
          </w:p>
        </w:tc>
      </w:tr>
      <w:tr w:rsidRPr="0046621B" w:rsidR="0046621B" w:rsidTr="00E21133">
        <w:trPr>
          <w:trHeight w:val="345"/>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nil"/>
            </w:tcBorders>
            <w:shd w:val="clear" w:color="auto" w:fill="F2F2F2" w:themeFill="background1" w:themeFillShade="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Expanding access to virtual and digital care</w:t>
            </w:r>
          </w:p>
        </w:tc>
      </w:tr>
      <w:tr w:rsidRPr="0046621B" w:rsidR="0046621B" w:rsidTr="00E21133">
        <w:trPr>
          <w:trHeight w:val="312"/>
        </w:trPr>
        <w:tc>
          <w:tcPr>
            <w:tcW w:w="264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nil"/>
            </w:tcBorders>
            <w:shd w:val="clear" w:color="auto" w:fill="F2F2F2" w:themeFill="background1" w:themeFillShade="F2"/>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auto" w:fill="F2F2F2" w:themeFill="background1" w:themeFillShade="F2"/>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If other, please specify_________</w:t>
            </w:r>
          </w:p>
        </w:tc>
      </w:tr>
      <w:tr w:rsidRPr="0046621B" w:rsidR="0046621B" w:rsidTr="00E21133">
        <w:trPr>
          <w:trHeight w:val="312"/>
        </w:trPr>
        <w:tc>
          <w:tcPr>
            <w:tcW w:w="2640" w:type="dxa"/>
            <w:tcBorders>
              <w:top w:val="nil"/>
              <w:left w:val="nil"/>
              <w:bottom w:val="nil"/>
              <w:right w:val="single" w:color="auto" w:sz="4" w:space="0"/>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740" w:type="dxa"/>
            <w:tcBorders>
              <w:top w:val="nil"/>
              <w:left w:val="nil"/>
              <w:bottom w:val="nil"/>
              <w:right w:val="nil"/>
            </w:tcBorders>
            <w:shd w:val="clear" w:color="000000" w:fill="000000"/>
            <w:hideMark/>
          </w:tcPr>
          <w:p w:rsidRPr="0046621B" w:rsidR="0046621B" w:rsidP="0046621B" w:rsidRDefault="0046621B">
            <w:pPr>
              <w:spacing w:after="0" w:line="240" w:lineRule="auto"/>
              <w:rPr>
                <w:rFonts w:ascii="Calibri" w:hAnsi="Calibri" w:eastAsia="Times New Roman" w:cs="Calibri"/>
              </w:rPr>
            </w:pPr>
            <w:r w:rsidRPr="0046621B">
              <w:rPr>
                <w:rFonts w:ascii="Calibri" w:hAnsi="Calibri" w:eastAsia="Times New Roman" w:cs="Calibri"/>
              </w:rPr>
              <w:t> </w:t>
            </w:r>
          </w:p>
        </w:tc>
        <w:tc>
          <w:tcPr>
            <w:tcW w:w="6040" w:type="dxa"/>
            <w:tcBorders>
              <w:top w:val="nil"/>
              <w:left w:val="single" w:color="auto" w:sz="4" w:space="0"/>
              <w:bottom w:val="single" w:color="auto" w:sz="4" w:space="0"/>
              <w:right w:val="single" w:color="auto" w:sz="4" w:space="0"/>
            </w:tcBorders>
            <w:shd w:val="clear" w:color="000000" w:fill="000000"/>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r w:rsidRPr="0046621B" w:rsidR="0046621B" w:rsidTr="00E21133">
        <w:trPr>
          <w:trHeight w:val="3320"/>
        </w:trPr>
        <w:tc>
          <w:tcPr>
            <w:tcW w:w="26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lastRenderedPageBreak/>
              <w:t>The Health Care Payment and Learning Action Network (HCP-LAN) is interested in learning first-hand from health plans about primary care payment models, incentives to address health equity, and multi-payer collaboration in APM design and implementation. Is your organization willing to provide additional insights the LAN about these topics if contacted?</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Yes</w:t>
            </w:r>
          </w:p>
        </w:tc>
        <w:tc>
          <w:tcPr>
            <w:tcW w:w="6040" w:type="dxa"/>
            <w:tcBorders>
              <w:top w:val="single" w:color="auto" w:sz="4" w:space="0"/>
              <w:left w:val="nil"/>
              <w:bottom w:val="single" w:color="auto" w:sz="4" w:space="0"/>
              <w:right w:val="single" w:color="auto" w:sz="4" w:space="0"/>
            </w:tcBorders>
            <w:shd w:val="clear" w:color="auto" w:fill="auto"/>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bookmarkStart w:name="_GoBack" w:id="0"/>
            <w:bookmarkEnd w:id="0"/>
          </w:p>
        </w:tc>
      </w:tr>
      <w:tr w:rsidRPr="0046621B" w:rsidR="0046621B" w:rsidTr="00E21133">
        <w:trPr>
          <w:trHeight w:val="2510"/>
        </w:trPr>
        <w:tc>
          <w:tcPr>
            <w:tcW w:w="26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6621B" w:rsidR="0046621B" w:rsidP="0046621B" w:rsidRDefault="0046621B">
            <w:pPr>
              <w:spacing w:after="0" w:line="240" w:lineRule="auto"/>
              <w:rPr>
                <w:rFonts w:ascii="Calibri" w:hAnsi="Calibri" w:eastAsia="Times New Roman" w:cs="Calibri"/>
                <w:color w:val="000000"/>
              </w:rPr>
            </w:pPr>
          </w:p>
        </w:tc>
        <w:tc>
          <w:tcPr>
            <w:tcW w:w="740" w:type="dxa"/>
            <w:tcBorders>
              <w:top w:val="nil"/>
              <w:left w:val="nil"/>
              <w:bottom w:val="single" w:color="auto" w:sz="4" w:space="0"/>
              <w:right w:val="single" w:color="auto" w:sz="4" w:space="0"/>
            </w:tcBorders>
            <w:shd w:val="clear" w:color="auto" w:fill="auto"/>
            <w:noWrap/>
            <w:vAlign w:val="bottom"/>
            <w:hideMark/>
          </w:tcPr>
          <w:p w:rsidRPr="0046621B" w:rsidR="0046621B" w:rsidP="00E21133" w:rsidRDefault="0046621B">
            <w:pPr>
              <w:spacing w:after="0" w:line="240" w:lineRule="auto"/>
              <w:jc w:val="both"/>
              <w:rPr>
                <w:rFonts w:ascii="Calibri" w:hAnsi="Calibri" w:eastAsia="Times New Roman" w:cs="Calibri"/>
                <w:color w:val="000000"/>
              </w:rPr>
            </w:pPr>
            <w:r w:rsidRPr="0046621B">
              <w:rPr>
                <w:rFonts w:ascii="Calibri" w:hAnsi="Calibri" w:eastAsia="Times New Roman" w:cs="Calibri"/>
                <w:color w:val="000000"/>
              </w:rPr>
              <w:t>No</w:t>
            </w:r>
          </w:p>
        </w:tc>
        <w:tc>
          <w:tcPr>
            <w:tcW w:w="6040" w:type="dxa"/>
            <w:tcBorders>
              <w:top w:val="nil"/>
              <w:left w:val="nil"/>
              <w:bottom w:val="single" w:color="auto" w:sz="4" w:space="0"/>
              <w:right w:val="single" w:color="auto" w:sz="4" w:space="0"/>
            </w:tcBorders>
            <w:shd w:val="clear" w:color="auto" w:fill="auto"/>
            <w:noWrap/>
            <w:vAlign w:val="bottom"/>
            <w:hideMark/>
          </w:tcPr>
          <w:p w:rsidRPr="0046621B" w:rsidR="0046621B" w:rsidP="0046621B" w:rsidRDefault="0046621B">
            <w:pPr>
              <w:spacing w:after="0" w:line="240" w:lineRule="auto"/>
              <w:rPr>
                <w:rFonts w:ascii="Calibri" w:hAnsi="Calibri" w:eastAsia="Times New Roman" w:cs="Calibri"/>
                <w:color w:val="000000"/>
              </w:rPr>
            </w:pPr>
            <w:r w:rsidRPr="0046621B">
              <w:rPr>
                <w:rFonts w:ascii="Calibri" w:hAnsi="Calibri" w:eastAsia="Times New Roman" w:cs="Calibri"/>
                <w:color w:val="000000"/>
              </w:rPr>
              <w:t> </w:t>
            </w:r>
          </w:p>
        </w:tc>
      </w:tr>
    </w:tbl>
    <w:p w:rsidRPr="00E21133" w:rsidR="0046621B" w:rsidRDefault="0046621B"/>
    <w:sectPr w:rsidRPr="00E21133" w:rsidR="0046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A00002AF" w:usb1="50006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1B"/>
    <w:rsid w:val="000A2982"/>
    <w:rsid w:val="0046621B"/>
    <w:rsid w:val="00E21133"/>
    <w:rsid w:val="00F3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B7EB"/>
  <w15:chartTrackingRefBased/>
  <w15:docId w15:val="{DB7D33E5-3EB0-4336-820A-A72CD399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E21133"/>
    <w:pPr>
      <w:spacing w:before="120" w:after="200" w:line="300" w:lineRule="exact"/>
      <w:jc w:val="center"/>
    </w:pPr>
    <w:rPr>
      <w:rFonts w:ascii="Lato" w:hAnsi="Lato" w:cs="Times New Roman"/>
      <w:b/>
      <w:i/>
      <w:iCs/>
      <w:sz w:val="20"/>
      <w:szCs w:val="18"/>
    </w:rPr>
  </w:style>
  <w:style w:type="character" w:customStyle="1" w:styleId="CaptionChar">
    <w:name w:val="Caption Char"/>
    <w:basedOn w:val="DefaultParagraphFont"/>
    <w:link w:val="Caption"/>
    <w:uiPriority w:val="35"/>
    <w:rsid w:val="00E21133"/>
    <w:rPr>
      <w:rFonts w:ascii="Lato" w:hAnsi="Lato" w:cs="Times New Roman"/>
      <w:b/>
      <w:i/>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3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MYERS</dc:creator>
  <cp:keywords/>
  <dc:description/>
  <cp:lastModifiedBy>RAQUEL MYERS</cp:lastModifiedBy>
  <cp:revision>2</cp:revision>
  <dcterms:created xsi:type="dcterms:W3CDTF">2022-04-20T13:08:00Z</dcterms:created>
  <dcterms:modified xsi:type="dcterms:W3CDTF">2022-04-20T13:19:00Z</dcterms:modified>
</cp:coreProperties>
</file>