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EF20" w14:textId="5AB24C2D" w:rsidR="0088452B" w:rsidRPr="00E532B6" w:rsidRDefault="004112E2" w:rsidP="006E3A5D">
      <w:pPr>
        <w:pStyle w:val="Heading1"/>
        <w:spacing w:before="68" w:line="240" w:lineRule="auto"/>
        <w:contextualSpacing w:val="0"/>
      </w:pPr>
      <w:bookmarkStart w:id="0" w:name="Supporting_Statement_B_For_Revision_of_C"/>
      <w:bookmarkEnd w:id="0"/>
      <w:r>
        <w:t>Supporting Statement B</w:t>
      </w:r>
      <w:r w:rsidR="007156B8">
        <w:br/>
      </w:r>
      <w:r w:rsidR="003F1DA7" w:rsidRPr="006E3A5D">
        <w:t>For New Collection:</w:t>
      </w:r>
      <w:r w:rsidR="007156B8" w:rsidRPr="006E3A5D">
        <w:br/>
      </w:r>
      <w:r w:rsidR="00FE1FD9">
        <w:t>Patient-Reported Indicator Survey (PaRIS)</w:t>
      </w:r>
    </w:p>
    <w:p w14:paraId="101EA286" w14:textId="77777777" w:rsidR="00B818FA" w:rsidRDefault="004112E2" w:rsidP="006E3A5D">
      <w:pPr>
        <w:pStyle w:val="BodyText-cover"/>
        <w:spacing w:before="960" w:after="360" w:line="240" w:lineRule="auto"/>
      </w:pPr>
      <w:r>
        <w:t>Contact Information:</w:t>
      </w:r>
    </w:p>
    <w:p w14:paraId="69490C1D" w14:textId="77777777" w:rsidR="006E3A5D" w:rsidRDefault="006E3A5D" w:rsidP="006E3A5D">
      <w:pPr>
        <w:pStyle w:val="BodyText-cover"/>
        <w:spacing w:before="0" w:line="240" w:lineRule="auto"/>
      </w:pPr>
      <w:r>
        <w:t>William S. Long</w:t>
      </w:r>
    </w:p>
    <w:p w14:paraId="3262A860" w14:textId="033BE97D" w:rsidR="006E3A5D" w:rsidRDefault="006E3A5D" w:rsidP="006E3A5D">
      <w:pPr>
        <w:pStyle w:val="BodyText-cover"/>
        <w:spacing w:before="0" w:line="240" w:lineRule="auto"/>
      </w:pPr>
      <w:r>
        <w:t xml:space="preserve">Contracting Officer’s Representative, Medicare Current Beneficiary Survey </w:t>
      </w:r>
      <w:r>
        <w:br/>
        <w:t>Office of Enterprise Data and Analytics (OEDA)/CMS</w:t>
      </w:r>
    </w:p>
    <w:p w14:paraId="0DE23DAD" w14:textId="77777777" w:rsidR="006E3A5D" w:rsidRDefault="006E3A5D" w:rsidP="006E3A5D">
      <w:pPr>
        <w:pStyle w:val="BodyText-cover"/>
        <w:spacing w:before="0" w:line="240" w:lineRule="auto"/>
      </w:pPr>
      <w:r>
        <w:t xml:space="preserve">7500 Security Boulevard, Mail Stop Mailstop B2-04-12 </w:t>
      </w:r>
    </w:p>
    <w:p w14:paraId="3B64BE4F" w14:textId="77777777" w:rsidR="006E3A5D" w:rsidRDefault="006E3A5D" w:rsidP="006E3A5D">
      <w:pPr>
        <w:pStyle w:val="BodyText-cover"/>
        <w:spacing w:before="0" w:line="240" w:lineRule="auto"/>
      </w:pPr>
      <w:r>
        <w:t>Baltimore, MD</w:t>
      </w:r>
      <w:r>
        <w:rPr>
          <w:spacing w:val="55"/>
        </w:rPr>
        <w:t xml:space="preserve"> </w:t>
      </w:r>
      <w:r>
        <w:t>21244</w:t>
      </w:r>
    </w:p>
    <w:p w14:paraId="22E5B9D6" w14:textId="77777777" w:rsidR="006E3A5D" w:rsidRDefault="006E3A5D" w:rsidP="006E3A5D">
      <w:pPr>
        <w:pStyle w:val="BodyText-cover"/>
        <w:spacing w:before="0" w:line="240" w:lineRule="auto"/>
      </w:pPr>
      <w:r>
        <w:t>(410) 786-7927</w:t>
      </w:r>
    </w:p>
    <w:p w14:paraId="6217181D" w14:textId="77777777" w:rsidR="006E3A5D" w:rsidRDefault="006C79C3" w:rsidP="006E3A5D">
      <w:pPr>
        <w:pStyle w:val="BodyText-cover"/>
        <w:spacing w:before="0" w:line="240" w:lineRule="auto"/>
        <w:rPr>
          <w:u w:val="single"/>
        </w:rPr>
      </w:pPr>
      <w:hyperlink r:id="rId8">
        <w:r w:rsidR="006E3A5D">
          <w:rPr>
            <w:u w:val="single"/>
          </w:rPr>
          <w:t>william.long@cms.hhs.gov</w:t>
        </w:r>
      </w:hyperlink>
      <w:r w:rsidR="006E3A5D">
        <w:rPr>
          <w:u w:val="single"/>
        </w:rPr>
        <w:t xml:space="preserve"> </w:t>
      </w:r>
    </w:p>
    <w:p w14:paraId="2B04F46B" w14:textId="77777777" w:rsidR="006E3A5D" w:rsidRDefault="006E3A5D" w:rsidP="006E3A5D">
      <w:pPr>
        <w:pStyle w:val="BodyText-cover"/>
        <w:spacing w:before="0" w:line="240" w:lineRule="auto"/>
      </w:pPr>
      <w:r>
        <w:t>(410) 786-5515 (fax)</w:t>
      </w:r>
    </w:p>
    <w:p w14:paraId="24B859B0" w14:textId="649B2FB8" w:rsidR="00B818FA" w:rsidRDefault="004B6DF5" w:rsidP="006E3A5D">
      <w:pPr>
        <w:pStyle w:val="BodyText-cover"/>
        <w:spacing w:before="720"/>
      </w:pPr>
      <w:r>
        <w:t>January 10, 2022</w:t>
      </w:r>
    </w:p>
    <w:p w14:paraId="60F72588" w14:textId="77777777" w:rsidR="0088452B" w:rsidRDefault="0088452B" w:rsidP="00E4264F">
      <w:pPr>
        <w:pStyle w:val="BodyText"/>
        <w:sectPr w:rsidR="0088452B" w:rsidSect="003135A3">
          <w:type w:val="continuous"/>
          <w:pgSz w:w="12240" w:h="15840" w:code="1"/>
          <w:pgMar w:top="1440" w:right="1440" w:bottom="1080" w:left="1440" w:header="720" w:footer="720" w:gutter="0"/>
          <w:cols w:space="720"/>
        </w:sectPr>
      </w:pPr>
    </w:p>
    <w:p w14:paraId="0467B697" w14:textId="77777777" w:rsidR="0088452B" w:rsidRPr="006E3A5D" w:rsidRDefault="004112E2" w:rsidP="006E3A5D">
      <w:pPr>
        <w:pStyle w:val="TOCHeading"/>
      </w:pPr>
      <w:bookmarkStart w:id="1" w:name="Table_of_Contents"/>
      <w:bookmarkEnd w:id="1"/>
      <w:r w:rsidRPr="006E3A5D">
        <w:lastRenderedPageBreak/>
        <w:t>Table of Contents</w:t>
      </w:r>
    </w:p>
    <w:p w14:paraId="69ED6CD7" w14:textId="608C0BD5" w:rsidR="006E3A5D" w:rsidRDefault="006E3A5D">
      <w:pPr>
        <w:pStyle w:val="TOC1"/>
        <w:tabs>
          <w:tab w:val="right" w:leader="dot" w:pos="9350"/>
        </w:tabs>
        <w:rPr>
          <w:rFonts w:asciiTheme="minorHAnsi" w:eastAsiaTheme="minorEastAsia" w:hAnsiTheme="minorHAnsi" w:cstheme="minorBidi"/>
          <w:noProof/>
        </w:rPr>
      </w:pPr>
      <w:r>
        <w:fldChar w:fldCharType="begin"/>
      </w:r>
      <w:r>
        <w:instrText xml:space="preserve"> TOC \h \z \t "Heading 3,2,Table of Contents,2,Heading 2 - CMS,1" </w:instrText>
      </w:r>
      <w:r>
        <w:fldChar w:fldCharType="separate"/>
      </w:r>
      <w:hyperlink w:anchor="_Toc85450821" w:history="1">
        <w:r w:rsidRPr="008C72AC">
          <w:rPr>
            <w:rStyle w:val="Hyperlink"/>
            <w:noProof/>
            <w:lang w:bidi="he-IL"/>
          </w:rPr>
          <w:t>B.  Collections of Information Employing Statistical Methods</w:t>
        </w:r>
        <w:r>
          <w:rPr>
            <w:noProof/>
            <w:webHidden/>
          </w:rPr>
          <w:tab/>
        </w:r>
        <w:r>
          <w:rPr>
            <w:noProof/>
            <w:webHidden/>
          </w:rPr>
          <w:fldChar w:fldCharType="begin"/>
        </w:r>
        <w:r>
          <w:rPr>
            <w:noProof/>
            <w:webHidden/>
          </w:rPr>
          <w:instrText xml:space="preserve"> PAGEREF _Toc85450821 \h </w:instrText>
        </w:r>
        <w:r>
          <w:rPr>
            <w:noProof/>
            <w:webHidden/>
          </w:rPr>
        </w:r>
        <w:r>
          <w:rPr>
            <w:noProof/>
            <w:webHidden/>
          </w:rPr>
          <w:fldChar w:fldCharType="separate"/>
        </w:r>
        <w:r>
          <w:rPr>
            <w:noProof/>
            <w:webHidden/>
          </w:rPr>
          <w:t>1</w:t>
        </w:r>
        <w:r>
          <w:rPr>
            <w:noProof/>
            <w:webHidden/>
          </w:rPr>
          <w:fldChar w:fldCharType="end"/>
        </w:r>
      </w:hyperlink>
    </w:p>
    <w:p w14:paraId="54755E34" w14:textId="5E41CC3D" w:rsidR="006E3A5D" w:rsidRDefault="006C79C3">
      <w:pPr>
        <w:pStyle w:val="TOC2"/>
        <w:rPr>
          <w:rFonts w:asciiTheme="minorHAnsi" w:eastAsiaTheme="minorEastAsia" w:hAnsiTheme="minorHAnsi" w:cstheme="minorBidi"/>
        </w:rPr>
      </w:pPr>
      <w:hyperlink w:anchor="_Toc85450822" w:history="1">
        <w:r w:rsidR="006E3A5D" w:rsidRPr="008C72AC">
          <w:rPr>
            <w:rStyle w:val="Hyperlink"/>
          </w:rPr>
          <w:t>B1.</w:t>
        </w:r>
        <w:r w:rsidR="006E3A5D">
          <w:rPr>
            <w:rFonts w:asciiTheme="minorHAnsi" w:eastAsiaTheme="minorEastAsia" w:hAnsiTheme="minorHAnsi" w:cstheme="minorBidi"/>
          </w:rPr>
          <w:tab/>
        </w:r>
        <w:r w:rsidR="006E3A5D" w:rsidRPr="008C72AC">
          <w:rPr>
            <w:rStyle w:val="Hyperlink"/>
          </w:rPr>
          <w:t>Universe and Respondent Selection</w:t>
        </w:r>
        <w:r w:rsidR="006E3A5D">
          <w:rPr>
            <w:webHidden/>
          </w:rPr>
          <w:tab/>
        </w:r>
        <w:r w:rsidR="006E3A5D">
          <w:rPr>
            <w:webHidden/>
          </w:rPr>
          <w:fldChar w:fldCharType="begin"/>
        </w:r>
        <w:r w:rsidR="006E3A5D">
          <w:rPr>
            <w:webHidden/>
          </w:rPr>
          <w:instrText xml:space="preserve"> PAGEREF _Toc85450822 \h </w:instrText>
        </w:r>
        <w:r w:rsidR="006E3A5D">
          <w:rPr>
            <w:webHidden/>
          </w:rPr>
        </w:r>
        <w:r w:rsidR="006E3A5D">
          <w:rPr>
            <w:webHidden/>
          </w:rPr>
          <w:fldChar w:fldCharType="separate"/>
        </w:r>
        <w:r w:rsidR="006E3A5D">
          <w:rPr>
            <w:webHidden/>
          </w:rPr>
          <w:t>1</w:t>
        </w:r>
        <w:r w:rsidR="006E3A5D">
          <w:rPr>
            <w:webHidden/>
          </w:rPr>
          <w:fldChar w:fldCharType="end"/>
        </w:r>
      </w:hyperlink>
    </w:p>
    <w:p w14:paraId="35ABD286" w14:textId="2EBD7200" w:rsidR="006E3A5D" w:rsidRDefault="006C79C3">
      <w:pPr>
        <w:pStyle w:val="TOC2"/>
        <w:rPr>
          <w:rFonts w:asciiTheme="minorHAnsi" w:eastAsiaTheme="minorEastAsia" w:hAnsiTheme="minorHAnsi" w:cstheme="minorBidi"/>
        </w:rPr>
      </w:pPr>
      <w:hyperlink w:anchor="_Toc85450823" w:history="1">
        <w:r w:rsidR="006E3A5D" w:rsidRPr="008C72AC">
          <w:rPr>
            <w:rStyle w:val="Hyperlink"/>
          </w:rPr>
          <w:t>B2.</w:t>
        </w:r>
        <w:r w:rsidR="006E3A5D">
          <w:rPr>
            <w:rFonts w:asciiTheme="minorHAnsi" w:eastAsiaTheme="minorEastAsia" w:hAnsiTheme="minorHAnsi" w:cstheme="minorBidi"/>
          </w:rPr>
          <w:tab/>
        </w:r>
        <w:r w:rsidR="006E3A5D" w:rsidRPr="008C72AC">
          <w:rPr>
            <w:rStyle w:val="Hyperlink"/>
          </w:rPr>
          <w:t>Procedures for Collecting Information</w:t>
        </w:r>
        <w:r w:rsidR="006E3A5D">
          <w:rPr>
            <w:webHidden/>
          </w:rPr>
          <w:tab/>
        </w:r>
        <w:r w:rsidR="006E3A5D">
          <w:rPr>
            <w:webHidden/>
          </w:rPr>
          <w:fldChar w:fldCharType="begin"/>
        </w:r>
        <w:r w:rsidR="006E3A5D">
          <w:rPr>
            <w:webHidden/>
          </w:rPr>
          <w:instrText xml:space="preserve"> PAGEREF _Toc85450823 \h </w:instrText>
        </w:r>
        <w:r w:rsidR="006E3A5D">
          <w:rPr>
            <w:webHidden/>
          </w:rPr>
        </w:r>
        <w:r w:rsidR="006E3A5D">
          <w:rPr>
            <w:webHidden/>
          </w:rPr>
          <w:fldChar w:fldCharType="separate"/>
        </w:r>
        <w:r w:rsidR="006E3A5D">
          <w:rPr>
            <w:webHidden/>
          </w:rPr>
          <w:t>2</w:t>
        </w:r>
        <w:r w:rsidR="006E3A5D">
          <w:rPr>
            <w:webHidden/>
          </w:rPr>
          <w:fldChar w:fldCharType="end"/>
        </w:r>
      </w:hyperlink>
    </w:p>
    <w:p w14:paraId="1BB82C28" w14:textId="35A48E80" w:rsidR="006E3A5D" w:rsidRDefault="006C79C3">
      <w:pPr>
        <w:pStyle w:val="TOC2"/>
        <w:rPr>
          <w:rFonts w:asciiTheme="minorHAnsi" w:eastAsiaTheme="minorEastAsia" w:hAnsiTheme="minorHAnsi" w:cstheme="minorBidi"/>
        </w:rPr>
      </w:pPr>
      <w:hyperlink w:anchor="_Toc85450824" w:history="1">
        <w:r w:rsidR="006E3A5D" w:rsidRPr="008C72AC">
          <w:rPr>
            <w:rStyle w:val="Hyperlink"/>
          </w:rPr>
          <w:t>B3.</w:t>
        </w:r>
        <w:r w:rsidR="006E3A5D">
          <w:rPr>
            <w:rFonts w:asciiTheme="minorHAnsi" w:eastAsiaTheme="minorEastAsia" w:hAnsiTheme="minorHAnsi" w:cstheme="minorBidi"/>
          </w:rPr>
          <w:tab/>
        </w:r>
        <w:r w:rsidR="006E3A5D" w:rsidRPr="008C72AC">
          <w:rPr>
            <w:rStyle w:val="Hyperlink"/>
          </w:rPr>
          <w:t>Methods for Maximizing Response Rates and Dealing with Issues of Non-Response</w:t>
        </w:r>
        <w:r w:rsidR="006E3A5D">
          <w:rPr>
            <w:webHidden/>
          </w:rPr>
          <w:tab/>
        </w:r>
        <w:r w:rsidR="006E3A5D">
          <w:rPr>
            <w:webHidden/>
          </w:rPr>
          <w:fldChar w:fldCharType="begin"/>
        </w:r>
        <w:r w:rsidR="006E3A5D">
          <w:rPr>
            <w:webHidden/>
          </w:rPr>
          <w:instrText xml:space="preserve"> PAGEREF _Toc85450824 \h </w:instrText>
        </w:r>
        <w:r w:rsidR="006E3A5D">
          <w:rPr>
            <w:webHidden/>
          </w:rPr>
        </w:r>
        <w:r w:rsidR="006E3A5D">
          <w:rPr>
            <w:webHidden/>
          </w:rPr>
          <w:fldChar w:fldCharType="separate"/>
        </w:r>
        <w:r w:rsidR="006E3A5D">
          <w:rPr>
            <w:webHidden/>
          </w:rPr>
          <w:t>2</w:t>
        </w:r>
        <w:r w:rsidR="006E3A5D">
          <w:rPr>
            <w:webHidden/>
          </w:rPr>
          <w:fldChar w:fldCharType="end"/>
        </w:r>
      </w:hyperlink>
    </w:p>
    <w:p w14:paraId="0382CD55" w14:textId="384C8CE6" w:rsidR="006E3A5D" w:rsidRDefault="006C79C3">
      <w:pPr>
        <w:pStyle w:val="TOC2"/>
        <w:rPr>
          <w:rFonts w:asciiTheme="minorHAnsi" w:eastAsiaTheme="minorEastAsia" w:hAnsiTheme="minorHAnsi" w:cstheme="minorBidi"/>
        </w:rPr>
      </w:pPr>
      <w:hyperlink w:anchor="_Toc85450825" w:history="1">
        <w:r w:rsidR="006E3A5D" w:rsidRPr="008C72AC">
          <w:rPr>
            <w:rStyle w:val="Hyperlink"/>
          </w:rPr>
          <w:t>B4.</w:t>
        </w:r>
        <w:r w:rsidR="006E3A5D">
          <w:rPr>
            <w:rFonts w:asciiTheme="minorHAnsi" w:eastAsiaTheme="minorEastAsia" w:hAnsiTheme="minorHAnsi" w:cstheme="minorBidi"/>
          </w:rPr>
          <w:tab/>
        </w:r>
        <w:r w:rsidR="006E3A5D" w:rsidRPr="008C72AC">
          <w:rPr>
            <w:rStyle w:val="Hyperlink"/>
          </w:rPr>
          <w:t>Tests of Procedures or Methods</w:t>
        </w:r>
        <w:r w:rsidR="006E3A5D">
          <w:rPr>
            <w:webHidden/>
          </w:rPr>
          <w:tab/>
        </w:r>
        <w:r w:rsidR="006E3A5D">
          <w:rPr>
            <w:webHidden/>
          </w:rPr>
          <w:fldChar w:fldCharType="begin"/>
        </w:r>
        <w:r w:rsidR="006E3A5D">
          <w:rPr>
            <w:webHidden/>
          </w:rPr>
          <w:instrText xml:space="preserve"> PAGEREF _Toc85450825 \h </w:instrText>
        </w:r>
        <w:r w:rsidR="006E3A5D">
          <w:rPr>
            <w:webHidden/>
          </w:rPr>
        </w:r>
        <w:r w:rsidR="006E3A5D">
          <w:rPr>
            <w:webHidden/>
          </w:rPr>
          <w:fldChar w:fldCharType="separate"/>
        </w:r>
        <w:r w:rsidR="006E3A5D">
          <w:rPr>
            <w:webHidden/>
          </w:rPr>
          <w:t>3</w:t>
        </w:r>
        <w:r w:rsidR="006E3A5D">
          <w:rPr>
            <w:webHidden/>
          </w:rPr>
          <w:fldChar w:fldCharType="end"/>
        </w:r>
      </w:hyperlink>
    </w:p>
    <w:p w14:paraId="65A45FCB" w14:textId="7432C581" w:rsidR="0088452B" w:rsidRPr="006E3A5D" w:rsidRDefault="006C79C3" w:rsidP="006E3A5D">
      <w:pPr>
        <w:pStyle w:val="TOC2"/>
        <w:rPr>
          <w:rStyle w:val="BodyTextChar"/>
        </w:rPr>
      </w:pPr>
      <w:hyperlink w:anchor="_Toc85450826" w:history="1">
        <w:r w:rsidR="006E3A5D" w:rsidRPr="008C72AC">
          <w:rPr>
            <w:rStyle w:val="Hyperlink"/>
          </w:rPr>
          <w:t>B5.</w:t>
        </w:r>
        <w:r w:rsidR="006E3A5D">
          <w:rPr>
            <w:rFonts w:asciiTheme="minorHAnsi" w:eastAsiaTheme="minorEastAsia" w:hAnsiTheme="minorHAnsi" w:cstheme="minorBidi"/>
          </w:rPr>
          <w:tab/>
        </w:r>
        <w:r w:rsidR="006E3A5D" w:rsidRPr="008C72AC">
          <w:rPr>
            <w:rStyle w:val="Hyperlink"/>
          </w:rPr>
          <w:t>Individuals Consulted on Statistical Aspects of Design</w:t>
        </w:r>
        <w:r w:rsidR="006E3A5D">
          <w:rPr>
            <w:webHidden/>
          </w:rPr>
          <w:tab/>
        </w:r>
        <w:r w:rsidR="006E3A5D">
          <w:rPr>
            <w:webHidden/>
          </w:rPr>
          <w:fldChar w:fldCharType="begin"/>
        </w:r>
        <w:r w:rsidR="006E3A5D">
          <w:rPr>
            <w:webHidden/>
          </w:rPr>
          <w:instrText xml:space="preserve"> PAGEREF _Toc85450826 \h </w:instrText>
        </w:r>
        <w:r w:rsidR="006E3A5D">
          <w:rPr>
            <w:webHidden/>
          </w:rPr>
        </w:r>
        <w:r w:rsidR="006E3A5D">
          <w:rPr>
            <w:webHidden/>
          </w:rPr>
          <w:fldChar w:fldCharType="separate"/>
        </w:r>
        <w:r w:rsidR="006E3A5D">
          <w:rPr>
            <w:webHidden/>
          </w:rPr>
          <w:t>3</w:t>
        </w:r>
        <w:r w:rsidR="006E3A5D">
          <w:rPr>
            <w:webHidden/>
          </w:rPr>
          <w:fldChar w:fldCharType="end"/>
        </w:r>
      </w:hyperlink>
      <w:r w:rsidR="006E3A5D">
        <w:fldChar w:fldCharType="end"/>
      </w:r>
    </w:p>
    <w:p w14:paraId="518E2025" w14:textId="04665A57" w:rsidR="006E3A5D" w:rsidRDefault="006E3A5D" w:rsidP="00E4264F">
      <w:pPr>
        <w:pStyle w:val="BodyText"/>
        <w:sectPr w:rsidR="006E3A5D" w:rsidSect="002D43C0">
          <w:footerReference w:type="default" r:id="rId9"/>
          <w:pgSz w:w="12240" w:h="15840" w:code="1"/>
          <w:pgMar w:top="1440" w:right="1440" w:bottom="1440" w:left="1440" w:header="720" w:footer="720" w:gutter="0"/>
          <w:pgNumType w:fmt="lowerRoman" w:start="1"/>
          <w:cols w:space="720"/>
        </w:sectPr>
      </w:pPr>
    </w:p>
    <w:p w14:paraId="23291BBA" w14:textId="77777777" w:rsidR="00B818FA" w:rsidRDefault="00B818FA" w:rsidP="006E3A5D">
      <w:pPr>
        <w:pStyle w:val="TOCHeading"/>
      </w:pPr>
      <w:bookmarkStart w:id="2" w:name="List_of_Attachments"/>
      <w:bookmarkStart w:id="3" w:name="B._Statistical_Methods"/>
      <w:bookmarkStart w:id="4" w:name="B1._Universe_and_Respondent_Selection"/>
      <w:bookmarkStart w:id="5" w:name="_Toc45525581"/>
      <w:bookmarkEnd w:id="2"/>
      <w:bookmarkEnd w:id="3"/>
      <w:bookmarkEnd w:id="4"/>
      <w:r>
        <w:lastRenderedPageBreak/>
        <w:t>List of Attachments</w:t>
      </w:r>
    </w:p>
    <w:p w14:paraId="1837D382" w14:textId="22E4D7EE" w:rsidR="00B818FA" w:rsidRDefault="00B818FA" w:rsidP="00B818FA">
      <w:pPr>
        <w:pStyle w:val="BodyText"/>
        <w:spacing w:after="320"/>
        <w:ind w:right="994"/>
      </w:pPr>
      <w:r>
        <w:t xml:space="preserve">Attachment </w:t>
      </w:r>
      <w:r w:rsidR="006C79C3">
        <w:t>1</w:t>
      </w:r>
      <w:r>
        <w:t>:</w:t>
      </w:r>
      <w:r>
        <w:tab/>
        <w:t>PaRIS Questionnaire</w:t>
      </w:r>
      <w:r w:rsidR="00C600D4">
        <w:t xml:space="preserve"> and Showcards</w:t>
      </w:r>
    </w:p>
    <w:p w14:paraId="30B9DE8C" w14:textId="6DDDFF7E" w:rsidR="00B818FA" w:rsidRDefault="00B818FA" w:rsidP="00B818FA">
      <w:pPr>
        <w:pStyle w:val="BodyText"/>
        <w:spacing w:after="320"/>
        <w:ind w:right="994"/>
      </w:pPr>
      <w:r>
        <w:t xml:space="preserve">Attachment </w:t>
      </w:r>
      <w:r w:rsidR="006C79C3">
        <w:t>2</w:t>
      </w:r>
      <w:r>
        <w:t xml:space="preserve">: </w:t>
      </w:r>
      <w:r>
        <w:tab/>
        <w:t>PaRIS Advance Letter – English</w:t>
      </w:r>
    </w:p>
    <w:p w14:paraId="659B5CCD" w14:textId="5C56073F" w:rsidR="00B818FA" w:rsidRDefault="00B818FA" w:rsidP="006E3A5D">
      <w:pPr>
        <w:pStyle w:val="BodyText"/>
        <w:spacing w:after="320"/>
        <w:ind w:left="1440" w:right="994"/>
      </w:pPr>
      <w:r>
        <w:t>PaRIS Frequently Asked Questions (FAQs)</w:t>
      </w:r>
    </w:p>
    <w:p w14:paraId="14440A4E" w14:textId="77777777" w:rsidR="00B818FA" w:rsidRDefault="00B818FA" w:rsidP="006E3A5D">
      <w:pPr>
        <w:pStyle w:val="BodyText"/>
        <w:spacing w:after="320"/>
        <w:ind w:left="1440" w:right="994"/>
      </w:pPr>
      <w:r>
        <w:t>PaRIS Reminder Postcard – English</w:t>
      </w:r>
    </w:p>
    <w:p w14:paraId="1A96CAF4" w14:textId="168FECAE" w:rsidR="00B818FA" w:rsidRDefault="00B818FA" w:rsidP="00B818FA">
      <w:pPr>
        <w:pStyle w:val="BodyText"/>
        <w:spacing w:after="320"/>
        <w:ind w:right="994"/>
      </w:pPr>
      <w:r>
        <w:t xml:space="preserve">Attachment </w:t>
      </w:r>
      <w:r w:rsidR="006C79C3">
        <w:t>3</w:t>
      </w:r>
      <w:r>
        <w:t>:</w:t>
      </w:r>
      <w:r>
        <w:tab/>
        <w:t>PaRIS Cognitive Testing Report</w:t>
      </w:r>
    </w:p>
    <w:p w14:paraId="343C6FD7" w14:textId="77777777" w:rsidR="00B818FA" w:rsidRDefault="00B818FA" w:rsidP="00B818FA">
      <w:pPr>
        <w:pStyle w:val="BodyText"/>
        <w:sectPr w:rsidR="00B818FA" w:rsidSect="007372F5">
          <w:footerReference w:type="default" r:id="rId10"/>
          <w:pgSz w:w="12240" w:h="15840" w:code="1"/>
          <w:pgMar w:top="1080" w:right="1440" w:bottom="1080" w:left="1440" w:header="720" w:footer="720" w:gutter="0"/>
          <w:pgNumType w:start="1"/>
          <w:cols w:space="720"/>
        </w:sectPr>
      </w:pPr>
    </w:p>
    <w:p w14:paraId="54510D32" w14:textId="149B855A" w:rsidR="00BD7841" w:rsidRDefault="00BD7841" w:rsidP="007156B8">
      <w:pPr>
        <w:pStyle w:val="Heading2-CMS"/>
      </w:pPr>
      <w:bookmarkStart w:id="6" w:name="_Toc85450821"/>
      <w:r w:rsidRPr="00E95549">
        <w:lastRenderedPageBreak/>
        <w:t xml:space="preserve">B.  </w:t>
      </w:r>
      <w:r w:rsidR="007372F5" w:rsidRPr="00E95549">
        <w:t xml:space="preserve">Collections </w:t>
      </w:r>
      <w:r w:rsidR="007372F5">
        <w:t>o</w:t>
      </w:r>
      <w:r w:rsidR="007372F5" w:rsidRPr="00E95549">
        <w:t>f Information Employing Statistical Methods</w:t>
      </w:r>
      <w:bookmarkEnd w:id="5"/>
      <w:bookmarkEnd w:id="6"/>
    </w:p>
    <w:p w14:paraId="5280AC75" w14:textId="3458C32C" w:rsidR="00677E1C" w:rsidRDefault="00BD7841" w:rsidP="00677E1C">
      <w:pPr>
        <w:pStyle w:val="BodyText"/>
      </w:pPr>
      <w:r w:rsidRPr="00102512">
        <w:t>As noted in Part A, the Centers</w:t>
      </w:r>
      <w:r>
        <w:rPr>
          <w:rFonts w:eastAsiaTheme="minorHAnsi"/>
        </w:rPr>
        <w:t xml:space="preserve"> for </w:t>
      </w:r>
      <w:proofErr w:type="gramStart"/>
      <w:r>
        <w:rPr>
          <w:rFonts w:eastAsiaTheme="minorHAnsi"/>
        </w:rPr>
        <w:t>Medicare</w:t>
      </w:r>
      <w:proofErr w:type="gramEnd"/>
      <w:r>
        <w:rPr>
          <w:rFonts w:eastAsiaTheme="minorHAnsi"/>
        </w:rPr>
        <w:t xml:space="preserve"> and Medicaid Services (CMS) </w:t>
      </w:r>
      <w:r w:rsidRPr="00E859A2">
        <w:rPr>
          <w:rFonts w:eastAsiaTheme="minorHAnsi"/>
        </w:rPr>
        <w:t xml:space="preserve">requests approval </w:t>
      </w:r>
      <w:r>
        <w:rPr>
          <w:rFonts w:eastAsiaTheme="minorHAnsi"/>
        </w:rPr>
        <w:t>of a ne</w:t>
      </w:r>
      <w:r w:rsidRPr="00822320">
        <w:rPr>
          <w:rFonts w:eastAsiaTheme="minorHAnsi"/>
        </w:rPr>
        <w:t xml:space="preserve">w Information Collection Request (ICR) to conduct </w:t>
      </w:r>
      <w:r w:rsidR="00677E1C">
        <w:t xml:space="preserve">the International Survey of People Living with Chronic Conditions (hereafter referred to as the PaRIS </w:t>
      </w:r>
      <w:r w:rsidR="00283F3A">
        <w:t>S</w:t>
      </w:r>
      <w:r w:rsidR="00677E1C">
        <w:t xml:space="preserve">urvey). This survey has been developed by a collaborative workgroup under the auspices of the Organization for Economic Cooperation and Development (OECD), an international organization that works with governments, policy makers, and citizens to shape policies that foster prosperity, equality, opportunity, and well-being for all. </w:t>
      </w:r>
    </w:p>
    <w:p w14:paraId="13ADD0E7" w14:textId="4C4436FD" w:rsidR="00386C39" w:rsidRDefault="00386C39" w:rsidP="00386C39">
      <w:pPr>
        <w:pStyle w:val="BodyText"/>
      </w:pPr>
      <w:r>
        <w:t xml:space="preserve">The OECD launched the PaRIS initiative in 2017 to address gaps in health outcomes measures, particularly regarding user experiences with health care services. OECD member countries, including the U.S., are working together to develop, standardize, and implement indicators that measure outcomes and experiences of health care that matter most to people. The PaRIS </w:t>
      </w:r>
      <w:r w:rsidR="00283F3A">
        <w:t>S</w:t>
      </w:r>
      <w:r>
        <w:t xml:space="preserve">urvey will provide a common set of measures that support policy makers across participating countries to improve health care delivery. On behalf of the Department of Health and Human Services (DHHS) Assistant Secretary for Planning and Evaluation (ASPE), the </w:t>
      </w:r>
      <w:r w:rsidRPr="00CA47DB">
        <w:t>Office of Enterprise Data and Analytics (OEDA</w:t>
      </w:r>
      <w:r>
        <w:t>) in CMS has been designated as the lead participant for the U.S.</w:t>
      </w:r>
    </w:p>
    <w:p w14:paraId="27B93ED1" w14:textId="5E8B86F9" w:rsidR="00386C39" w:rsidRDefault="00386C39" w:rsidP="00386C39">
      <w:pPr>
        <w:pStyle w:val="BodyText"/>
      </w:pPr>
      <w:r>
        <w:t xml:space="preserve">The PaRIS Survey will help to close critical policy gaps by focusing on: (1) Patient Reported Experience Measures (PREMS) which measure how patients experience health care, and (2) Patient Reported Outcome Measures (PROMS) which measure how patients assess the results of the care they receive. The PaRIS survey includes both PREMS and PROMS items and aims to collect vital information about primary health care, by asking about topics such as the respondent’s health, health behaviors, patient activation and confidence in managing their health care, experiences with health care and health providers including access to health care, quality of life, physical functioning, and psychological well-being. </w:t>
      </w:r>
    </w:p>
    <w:p w14:paraId="0913C982" w14:textId="77777777" w:rsidR="00386C39" w:rsidRDefault="00386C39" w:rsidP="00386C39">
      <w:pPr>
        <w:pStyle w:val="BodyText"/>
      </w:pPr>
      <w:r>
        <w:rPr>
          <w:color w:val="000000"/>
        </w:rPr>
        <w:t xml:space="preserve">CMS plans to </w:t>
      </w:r>
      <w:r w:rsidRPr="004B4EAC">
        <w:t xml:space="preserve">release </w:t>
      </w:r>
      <w:r>
        <w:t>a disclosure protected public use file with accompanying methodological documentation. This public use file will also be made available to OECD for analysis and released with data from other participating countries.</w:t>
      </w:r>
    </w:p>
    <w:p w14:paraId="04D26D68" w14:textId="6FFE771A" w:rsidR="002F3C6A" w:rsidRPr="00822320" w:rsidRDefault="002F3C6A" w:rsidP="007156B8">
      <w:pPr>
        <w:pStyle w:val="BodyText"/>
      </w:pPr>
      <w:r>
        <w:t>Below we describe the statistical method</w:t>
      </w:r>
      <w:r w:rsidR="005F34DE">
        <w:t xml:space="preserve">s that will be used in the </w:t>
      </w:r>
      <w:r w:rsidR="00386C39">
        <w:t xml:space="preserve">PaRIS </w:t>
      </w:r>
      <w:r w:rsidR="00283F3A">
        <w:t>S</w:t>
      </w:r>
      <w:r w:rsidR="00386C39">
        <w:t>urvey</w:t>
      </w:r>
      <w:r w:rsidR="00D11C03">
        <w:t>.</w:t>
      </w:r>
    </w:p>
    <w:p w14:paraId="1E632D08" w14:textId="06C6F6C9" w:rsidR="0088452B" w:rsidRPr="008E4278" w:rsidRDefault="004D6EBE" w:rsidP="004D6EBE">
      <w:pPr>
        <w:pStyle w:val="Heading3"/>
        <w:rPr>
          <w:sz w:val="22"/>
          <w:szCs w:val="22"/>
        </w:rPr>
      </w:pPr>
      <w:bookmarkStart w:id="7" w:name="_Toc15975250"/>
      <w:bookmarkStart w:id="8" w:name="_Toc45525582"/>
      <w:bookmarkStart w:id="9" w:name="_Toc85450822"/>
      <w:r w:rsidRPr="008E4278">
        <w:rPr>
          <w:sz w:val="22"/>
          <w:szCs w:val="22"/>
        </w:rPr>
        <w:t>B1.</w:t>
      </w:r>
      <w:r w:rsidRPr="008E4278">
        <w:rPr>
          <w:sz w:val="22"/>
          <w:szCs w:val="22"/>
        </w:rPr>
        <w:tab/>
      </w:r>
      <w:r w:rsidR="004112E2" w:rsidRPr="008E4278">
        <w:rPr>
          <w:sz w:val="22"/>
          <w:szCs w:val="22"/>
        </w:rPr>
        <w:t>Universe and Respondent Selection</w:t>
      </w:r>
      <w:bookmarkEnd w:id="7"/>
      <w:bookmarkEnd w:id="8"/>
      <w:bookmarkEnd w:id="9"/>
    </w:p>
    <w:p w14:paraId="3390D2C9" w14:textId="102C0F91" w:rsidR="00386C39" w:rsidRDefault="00386C39" w:rsidP="007156B8">
      <w:pPr>
        <w:pStyle w:val="BodyText"/>
      </w:pPr>
      <w:r>
        <w:t xml:space="preserve">To facilitate U.S. participation in this important initiative, CMS, with financial support from ASPE, has decided to leverage the existing sample for the Medicare Current Beneficiary Survey (MCBS). </w:t>
      </w:r>
      <w:r w:rsidRPr="00AE7DF1">
        <w:t xml:space="preserve">The MCBS is a continuous, multi-purpose survey of a representative national sample of the Medicare population, including the population of beneficiaries aged 65 and over and beneficiaries aged 64 and below with </w:t>
      </w:r>
      <w:r w:rsidRPr="00B0128E">
        <w:t>certain disabling conditions</w:t>
      </w:r>
      <w:r w:rsidRPr="00AE7DF1">
        <w:t>, residing in the U</w:t>
      </w:r>
      <w:r>
        <w:t xml:space="preserve">.S.; it is conducted under OMB clearance number 0938-0568. The MCBS is sponsored by OEDA of CMS and is conducted through a contract with NORC at the University of Chicago (NORC); therefore, the PaRIS </w:t>
      </w:r>
      <w:r w:rsidR="009F6E09">
        <w:t>S</w:t>
      </w:r>
      <w:r>
        <w:t xml:space="preserve">urvey will also be conducted by NORC on behalf of CMS. </w:t>
      </w:r>
    </w:p>
    <w:p w14:paraId="300B2D43" w14:textId="212F3C67" w:rsidR="00386C39" w:rsidRDefault="00AA588F" w:rsidP="007156B8">
      <w:pPr>
        <w:pStyle w:val="BodyText"/>
      </w:pPr>
      <w:r>
        <w:t>The PaRIS Survey will use the MCBS sample of respondents</w:t>
      </w:r>
      <w:r w:rsidR="00AC3E36">
        <w:t xml:space="preserve"> who live in the Community and are</w:t>
      </w:r>
      <w:r>
        <w:t xml:space="preserve"> eligible for the Winter 2023 MCBS interview with one exception</w:t>
      </w:r>
      <w:r w:rsidR="00AC3E36">
        <w:t>:</w:t>
      </w:r>
      <w:r>
        <w:t xml:space="preserve"> to align with the OECD PaRIS population,</w:t>
      </w:r>
      <w:r w:rsidR="009F6E09">
        <w:t xml:space="preserve"> MCBS respondents age</w:t>
      </w:r>
      <w:r w:rsidR="00B9063D">
        <w:t>d</w:t>
      </w:r>
      <w:r w:rsidR="009F6E09">
        <w:t xml:space="preserve"> 65 and over will participate in the survey. </w:t>
      </w:r>
      <w:r>
        <w:t xml:space="preserve">MCBS respondents under </w:t>
      </w:r>
      <w:r w:rsidR="009F6E09">
        <w:t xml:space="preserve">age 65 </w:t>
      </w:r>
      <w:r>
        <w:t>will not be eligible for</w:t>
      </w:r>
      <w:r w:rsidR="00B9063D">
        <w:t xml:space="preserve"> the</w:t>
      </w:r>
      <w:r>
        <w:t xml:space="preserve"> PaRIS </w:t>
      </w:r>
      <w:r w:rsidR="00B9063D">
        <w:t>Survey</w:t>
      </w:r>
      <w:r>
        <w:t>.</w:t>
      </w:r>
      <w:r w:rsidR="00386C39">
        <w:t xml:space="preserve"> Although </w:t>
      </w:r>
      <w:r w:rsidR="009F6E09">
        <w:t xml:space="preserve">some OECD member countries will include </w:t>
      </w:r>
      <w:r w:rsidR="00AC3E36">
        <w:t>adults aged 45 and o</w:t>
      </w:r>
      <w:r w:rsidR="009F6E09">
        <w:t>ver</w:t>
      </w:r>
      <w:r w:rsidR="00AC3E36">
        <w:t xml:space="preserve">, </w:t>
      </w:r>
      <w:r w:rsidR="009F6E09">
        <w:t xml:space="preserve">the MCBS sample only selects </w:t>
      </w:r>
      <w:r w:rsidR="00AC3E36">
        <w:t xml:space="preserve">45- to 64-year-olds </w:t>
      </w:r>
      <w:r w:rsidR="009F6E09">
        <w:t xml:space="preserve">that </w:t>
      </w:r>
      <w:r w:rsidR="00AC3E36">
        <w:t>qualify for Medicare through disability and specific rare, chronic health conditions; thus, the MCBS population of beneficiaries aged 45 to 64 are substantively different from the general population in this age group</w:t>
      </w:r>
      <w:r w:rsidR="009F6E09">
        <w:t xml:space="preserve"> and therefore, will be excluded from the PaRIS sample</w:t>
      </w:r>
      <w:r w:rsidR="00AC3E36">
        <w:t>.</w:t>
      </w:r>
    </w:p>
    <w:p w14:paraId="15C1E6EC" w14:textId="4DDE53D6" w:rsidR="00800602" w:rsidRDefault="005F34DE" w:rsidP="007156B8">
      <w:pPr>
        <w:pStyle w:val="BodyText"/>
        <w:rPr>
          <w:rFonts w:eastAsiaTheme="minorHAnsi"/>
        </w:rPr>
      </w:pPr>
      <w:r>
        <w:rPr>
          <w:rFonts w:eastAsiaTheme="minorHAnsi"/>
        </w:rPr>
        <w:t>The universe for the</w:t>
      </w:r>
      <w:r w:rsidR="003F6E6F">
        <w:rPr>
          <w:rFonts w:eastAsiaTheme="minorHAnsi"/>
        </w:rPr>
        <w:t xml:space="preserve"> </w:t>
      </w:r>
      <w:r w:rsidR="009F6E09">
        <w:rPr>
          <w:rFonts w:eastAsiaTheme="minorHAnsi"/>
        </w:rPr>
        <w:t xml:space="preserve">PaRIS Survey </w:t>
      </w:r>
      <w:r>
        <w:rPr>
          <w:rFonts w:eastAsiaTheme="minorHAnsi"/>
        </w:rPr>
        <w:t xml:space="preserve">is </w:t>
      </w:r>
      <w:r w:rsidR="008E4278">
        <w:rPr>
          <w:rFonts w:eastAsiaTheme="minorHAnsi"/>
        </w:rPr>
        <w:t xml:space="preserve">approximately </w:t>
      </w:r>
      <w:r w:rsidR="00715AD5">
        <w:rPr>
          <w:rFonts w:eastAsiaTheme="minorHAnsi"/>
        </w:rPr>
        <w:t>10,799</w:t>
      </w:r>
      <w:r w:rsidR="008D0BED">
        <w:rPr>
          <w:rFonts w:eastAsiaTheme="minorHAnsi"/>
        </w:rPr>
        <w:t xml:space="preserve"> </w:t>
      </w:r>
      <w:r w:rsidR="008E4278">
        <w:rPr>
          <w:rFonts w:eastAsiaTheme="minorHAnsi"/>
        </w:rPr>
        <w:t>Medicare beneficiaries</w:t>
      </w:r>
      <w:r w:rsidR="009F6E09">
        <w:rPr>
          <w:rFonts w:eastAsiaTheme="minorHAnsi"/>
        </w:rPr>
        <w:t xml:space="preserve"> who will be eligible for a Winter 2023 MCBS interview</w:t>
      </w:r>
      <w:r w:rsidR="004F41A2">
        <w:rPr>
          <w:rFonts w:eastAsiaTheme="minorHAnsi"/>
        </w:rPr>
        <w:t xml:space="preserve">. We expect to receive </w:t>
      </w:r>
      <w:r w:rsidR="00812D42">
        <w:rPr>
          <w:rFonts w:eastAsiaTheme="minorHAnsi"/>
        </w:rPr>
        <w:t>7</w:t>
      </w:r>
      <w:r w:rsidR="008D0BED" w:rsidRPr="00CD3753">
        <w:rPr>
          <w:rFonts w:eastAsiaTheme="minorHAnsi"/>
        </w:rPr>
        <w:t>,</w:t>
      </w:r>
      <w:r w:rsidR="00812D42">
        <w:rPr>
          <w:rFonts w:eastAsiaTheme="minorHAnsi"/>
        </w:rPr>
        <w:t>559</w:t>
      </w:r>
      <w:r w:rsidR="008D0BED">
        <w:rPr>
          <w:rFonts w:eastAsiaTheme="minorHAnsi"/>
        </w:rPr>
        <w:t xml:space="preserve"> </w:t>
      </w:r>
      <w:r w:rsidR="00FE6EF3">
        <w:rPr>
          <w:rFonts w:eastAsiaTheme="minorHAnsi"/>
        </w:rPr>
        <w:t>responses, reflecting</w:t>
      </w:r>
      <w:r w:rsidR="004F41A2">
        <w:rPr>
          <w:rFonts w:eastAsiaTheme="minorHAnsi"/>
        </w:rPr>
        <w:t xml:space="preserve"> an assumed </w:t>
      </w:r>
      <w:r w:rsidR="004F41A2">
        <w:rPr>
          <w:rFonts w:eastAsiaTheme="minorHAnsi"/>
        </w:rPr>
        <w:lastRenderedPageBreak/>
        <w:t xml:space="preserve">response rate of </w:t>
      </w:r>
      <w:r w:rsidR="00555A60" w:rsidRPr="004B02FB">
        <w:rPr>
          <w:rFonts w:eastAsiaTheme="minorHAnsi"/>
        </w:rPr>
        <w:t>7</w:t>
      </w:r>
      <w:r w:rsidR="00812D42">
        <w:rPr>
          <w:rFonts w:eastAsiaTheme="minorHAnsi"/>
        </w:rPr>
        <w:t>0</w:t>
      </w:r>
      <w:r w:rsidR="004F41A2">
        <w:rPr>
          <w:rFonts w:eastAsiaTheme="minorHAnsi"/>
        </w:rPr>
        <w:t xml:space="preserve">%. </w:t>
      </w:r>
      <w:r w:rsidR="00555A60">
        <w:rPr>
          <w:rFonts w:eastAsiaTheme="minorHAnsi"/>
        </w:rPr>
        <w:t xml:space="preserve">The response rate is based on </w:t>
      </w:r>
      <w:r w:rsidR="00EF7854">
        <w:rPr>
          <w:rFonts w:eastAsiaTheme="minorHAnsi"/>
        </w:rPr>
        <w:t>CMS’ experience conducting</w:t>
      </w:r>
      <w:r w:rsidR="00707FD6">
        <w:rPr>
          <w:rFonts w:eastAsiaTheme="minorHAnsi"/>
        </w:rPr>
        <w:t xml:space="preserve"> three standalone surveys</w:t>
      </w:r>
      <w:r w:rsidR="00EF7854">
        <w:rPr>
          <w:rFonts w:eastAsiaTheme="minorHAnsi"/>
        </w:rPr>
        <w:t xml:space="preserve"> </w:t>
      </w:r>
      <w:r w:rsidR="00707FD6">
        <w:rPr>
          <w:rFonts w:eastAsiaTheme="minorHAnsi"/>
        </w:rPr>
        <w:t xml:space="preserve">as part of the MCBS COVID-19 Supplement, </w:t>
      </w:r>
      <w:r w:rsidR="00AC3E36">
        <w:rPr>
          <w:rFonts w:eastAsiaTheme="minorHAnsi"/>
        </w:rPr>
        <w:t>which used a similar methodology to the PaRIS survey by leveraging MCBS sample for a standalone telephone survey</w:t>
      </w:r>
      <w:r w:rsidR="00EF7854">
        <w:rPr>
          <w:rFonts w:eastAsiaTheme="minorHAnsi"/>
        </w:rPr>
        <w:t xml:space="preserve"> (Table B.1)</w:t>
      </w:r>
      <w:r w:rsidR="00AC3E36">
        <w:rPr>
          <w:rFonts w:eastAsiaTheme="minorHAnsi"/>
        </w:rPr>
        <w:t xml:space="preserve">. </w:t>
      </w:r>
      <w:r w:rsidR="00707FD6">
        <w:rPr>
          <w:rFonts w:eastAsiaTheme="minorHAnsi"/>
        </w:rPr>
        <w:t xml:space="preserve">Due to the </w:t>
      </w:r>
      <w:r w:rsidR="00EF7854">
        <w:rPr>
          <w:rFonts w:eastAsiaTheme="minorHAnsi"/>
        </w:rPr>
        <w:t xml:space="preserve">heightened </w:t>
      </w:r>
      <w:r w:rsidR="00707FD6">
        <w:rPr>
          <w:rFonts w:eastAsiaTheme="minorHAnsi"/>
        </w:rPr>
        <w:t>salience of COVID-19 among beneficiaries, CMS is anticipating a slight reduction to the response rate observed for the MCBS COVID-19 Supplements</w:t>
      </w:r>
      <w:r w:rsidR="00EF7854">
        <w:rPr>
          <w:rFonts w:eastAsiaTheme="minorHAnsi"/>
        </w:rPr>
        <w:t xml:space="preserve"> when administering the PaRIS survey</w:t>
      </w:r>
      <w:r w:rsidR="00707FD6">
        <w:rPr>
          <w:rFonts w:eastAsiaTheme="minorHAnsi"/>
        </w:rPr>
        <w:t xml:space="preserve">. </w:t>
      </w:r>
    </w:p>
    <w:p w14:paraId="6F19973D" w14:textId="27F469B9" w:rsidR="00707FD6" w:rsidRDefault="00707FD6" w:rsidP="007156B8">
      <w:pPr>
        <w:pStyle w:val="BodyText"/>
        <w:rPr>
          <w:rFonts w:eastAsiaTheme="minorHAnsi"/>
          <w:b/>
          <w:bCs/>
        </w:rPr>
      </w:pPr>
      <w:r>
        <w:rPr>
          <w:rFonts w:eastAsiaTheme="minorHAnsi"/>
          <w:b/>
          <w:bCs/>
        </w:rPr>
        <w:t>Table B.1 Summary of Response Rates by MCBS COVID-19 Supplement</w:t>
      </w:r>
    </w:p>
    <w:tbl>
      <w:tblPr>
        <w:tblStyle w:val="TableGrid"/>
        <w:tblW w:w="0" w:type="auto"/>
        <w:tblLook w:val="04A0" w:firstRow="1" w:lastRow="0" w:firstColumn="1" w:lastColumn="0" w:noHBand="0" w:noVBand="1"/>
        <w:tblCaption w:val="Summary of Response Rates by MCBS COVID-19 Supplement"/>
        <w:tblDescription w:val="This table shows response rates for the three MCBS COVID-19 Supplements conducted in Summer 2020, Fall 2020, and Winter 2021. "/>
      </w:tblPr>
      <w:tblGrid>
        <w:gridCol w:w="7645"/>
        <w:gridCol w:w="1705"/>
      </w:tblGrid>
      <w:tr w:rsidR="00707FD6" w14:paraId="08B4414F" w14:textId="77777777" w:rsidTr="00E4264F">
        <w:trPr>
          <w:cantSplit/>
          <w:tblHeader/>
        </w:trPr>
        <w:tc>
          <w:tcPr>
            <w:tcW w:w="7645" w:type="dxa"/>
          </w:tcPr>
          <w:p w14:paraId="79135F40" w14:textId="514A4A79" w:rsidR="00707FD6" w:rsidRDefault="00707FD6" w:rsidP="00E4264F">
            <w:pPr>
              <w:pStyle w:val="Tablecolumnheading-bold"/>
              <w:jc w:val="left"/>
              <w:rPr>
                <w:rFonts w:eastAsiaTheme="minorHAnsi"/>
                <w:b w:val="0"/>
                <w:bCs w:val="0"/>
              </w:rPr>
            </w:pPr>
            <w:r>
              <w:rPr>
                <w:rFonts w:eastAsiaTheme="minorHAnsi"/>
              </w:rPr>
              <w:t>Supplement</w:t>
            </w:r>
          </w:p>
        </w:tc>
        <w:tc>
          <w:tcPr>
            <w:tcW w:w="1705" w:type="dxa"/>
          </w:tcPr>
          <w:p w14:paraId="773A0A91" w14:textId="39E4DCA3" w:rsidR="00707FD6" w:rsidRPr="006E3A5D" w:rsidRDefault="00707FD6" w:rsidP="006E3A5D">
            <w:pPr>
              <w:pStyle w:val="Tablecolumnheading-bold"/>
            </w:pPr>
            <w:r w:rsidRPr="006E3A5D">
              <w:t>Response Rate</w:t>
            </w:r>
          </w:p>
        </w:tc>
      </w:tr>
      <w:tr w:rsidR="00707FD6" w14:paraId="3448F345" w14:textId="77777777" w:rsidTr="006E3A5D">
        <w:trPr>
          <w:cantSplit/>
        </w:trPr>
        <w:tc>
          <w:tcPr>
            <w:tcW w:w="7645" w:type="dxa"/>
          </w:tcPr>
          <w:p w14:paraId="063A2515" w14:textId="00DF6F01" w:rsidR="00707FD6" w:rsidRPr="00E4264F" w:rsidRDefault="00707FD6" w:rsidP="00E4264F">
            <w:pPr>
              <w:pStyle w:val="Tablerowheading"/>
            </w:pPr>
            <w:r w:rsidRPr="00E4264F">
              <w:t>Summer 2020 COVID-19 Community Supplement (conducted under MCBS Generic Clearance 0938-1275)</w:t>
            </w:r>
          </w:p>
        </w:tc>
        <w:tc>
          <w:tcPr>
            <w:tcW w:w="1705" w:type="dxa"/>
          </w:tcPr>
          <w:p w14:paraId="7FAD3EA3" w14:textId="6D54DD8C" w:rsidR="00707FD6" w:rsidRPr="00E4264F" w:rsidRDefault="00707FD6" w:rsidP="00E4264F">
            <w:pPr>
              <w:pStyle w:val="Tablebodytext"/>
            </w:pPr>
            <w:r w:rsidRPr="00E4264F">
              <w:t>78.9%</w:t>
            </w:r>
          </w:p>
        </w:tc>
      </w:tr>
      <w:tr w:rsidR="00707FD6" w14:paraId="66A45E2C" w14:textId="77777777" w:rsidTr="006E3A5D">
        <w:trPr>
          <w:cantSplit/>
        </w:trPr>
        <w:tc>
          <w:tcPr>
            <w:tcW w:w="7645" w:type="dxa"/>
          </w:tcPr>
          <w:p w14:paraId="6DA961E0" w14:textId="6E060ED6" w:rsidR="00707FD6" w:rsidRPr="00E4264F" w:rsidRDefault="00707FD6" w:rsidP="00E4264F">
            <w:pPr>
              <w:pStyle w:val="Tablerowheading"/>
            </w:pPr>
            <w:r w:rsidRPr="00E4264F">
              <w:t>Fall 2020 COVID-19 Community Supplement (conducted under Emergency Full Clearance 0938-1379)</w:t>
            </w:r>
          </w:p>
        </w:tc>
        <w:tc>
          <w:tcPr>
            <w:tcW w:w="1705" w:type="dxa"/>
          </w:tcPr>
          <w:p w14:paraId="161CB6FA" w14:textId="7D235349" w:rsidR="00707FD6" w:rsidRPr="00E4264F" w:rsidRDefault="00707FD6" w:rsidP="00E4264F">
            <w:pPr>
              <w:pStyle w:val="Tablebodytext"/>
            </w:pPr>
            <w:r w:rsidRPr="00E4264F">
              <w:t>72.6%</w:t>
            </w:r>
          </w:p>
        </w:tc>
      </w:tr>
      <w:tr w:rsidR="00707FD6" w14:paraId="198D804C" w14:textId="77777777" w:rsidTr="006E3A5D">
        <w:trPr>
          <w:cantSplit/>
        </w:trPr>
        <w:tc>
          <w:tcPr>
            <w:tcW w:w="7645" w:type="dxa"/>
          </w:tcPr>
          <w:p w14:paraId="4ABDB785" w14:textId="60D66421" w:rsidR="00707FD6" w:rsidRPr="00E4264F" w:rsidRDefault="00707FD6" w:rsidP="00E4264F">
            <w:pPr>
              <w:pStyle w:val="Tablerowheading"/>
            </w:pPr>
            <w:r w:rsidRPr="00E4264F">
              <w:t>Winter 2021 COVID-19 Community Supplement (conducted under main MCBS clearance 0938-0568)</w:t>
            </w:r>
          </w:p>
        </w:tc>
        <w:tc>
          <w:tcPr>
            <w:tcW w:w="1705" w:type="dxa"/>
          </w:tcPr>
          <w:p w14:paraId="6B36349E" w14:textId="63C78A8A" w:rsidR="00707FD6" w:rsidRPr="00E4264F" w:rsidRDefault="00707FD6" w:rsidP="00E4264F">
            <w:pPr>
              <w:pStyle w:val="Tablebodytext"/>
            </w:pPr>
            <w:r w:rsidRPr="00E4264F">
              <w:t>79.6%</w:t>
            </w:r>
          </w:p>
        </w:tc>
      </w:tr>
    </w:tbl>
    <w:p w14:paraId="11899B64" w14:textId="4E1B8D56" w:rsidR="009A52DB" w:rsidRDefault="009A52DB" w:rsidP="00E4264F">
      <w:pPr>
        <w:pStyle w:val="BodyText"/>
        <w:spacing w:before="240"/>
        <w:rPr>
          <w:rFonts w:eastAsiaTheme="minorHAnsi"/>
        </w:rPr>
      </w:pPr>
      <w:r>
        <w:rPr>
          <w:rFonts w:eastAsiaTheme="minorHAnsi"/>
        </w:rPr>
        <w:t xml:space="preserve">The </w:t>
      </w:r>
      <w:r w:rsidR="00F02F43">
        <w:rPr>
          <w:rFonts w:eastAsiaTheme="minorHAnsi"/>
        </w:rPr>
        <w:t>PaRIS survey</w:t>
      </w:r>
      <w:r>
        <w:rPr>
          <w:rFonts w:eastAsiaTheme="minorHAnsi"/>
        </w:rPr>
        <w:t xml:space="preserve"> data will be weighted using </w:t>
      </w:r>
      <w:r w:rsidR="00A47FBC">
        <w:rPr>
          <w:rFonts w:eastAsiaTheme="minorHAnsi"/>
        </w:rPr>
        <w:t>existing MCBS</w:t>
      </w:r>
      <w:r>
        <w:rPr>
          <w:rFonts w:eastAsiaTheme="minorHAnsi"/>
        </w:rPr>
        <w:t xml:space="preserve"> nonresponse-adjusted weights</w:t>
      </w:r>
      <w:r w:rsidR="00A47FBC">
        <w:rPr>
          <w:rFonts w:eastAsiaTheme="minorHAnsi"/>
        </w:rPr>
        <w:t>,</w:t>
      </w:r>
      <w:r>
        <w:rPr>
          <w:rFonts w:eastAsiaTheme="minorHAnsi"/>
        </w:rPr>
        <w:t xml:space="preserve"> </w:t>
      </w:r>
      <w:r w:rsidR="00A47FBC">
        <w:rPr>
          <w:rFonts w:eastAsiaTheme="minorHAnsi"/>
        </w:rPr>
        <w:t>which</w:t>
      </w:r>
      <w:r w:rsidR="0040627A">
        <w:rPr>
          <w:rFonts w:eastAsiaTheme="minorHAnsi"/>
        </w:rPr>
        <w:t xml:space="preserve"> </w:t>
      </w:r>
      <w:r>
        <w:rPr>
          <w:rFonts w:eastAsiaTheme="minorHAnsi"/>
        </w:rPr>
        <w:t xml:space="preserve">will be further adjusted </w:t>
      </w:r>
      <w:r w:rsidR="00A47FBC">
        <w:rPr>
          <w:rFonts w:eastAsiaTheme="minorHAnsi"/>
        </w:rPr>
        <w:t>to reflect eligibility and</w:t>
      </w:r>
      <w:r>
        <w:rPr>
          <w:rFonts w:eastAsiaTheme="minorHAnsi"/>
        </w:rPr>
        <w:t xml:space="preserve"> response to the </w:t>
      </w:r>
      <w:r w:rsidR="00F02F43">
        <w:rPr>
          <w:rFonts w:eastAsiaTheme="minorHAnsi"/>
        </w:rPr>
        <w:t xml:space="preserve">PaRIS survey </w:t>
      </w:r>
      <w:r w:rsidR="00A47FBC">
        <w:rPr>
          <w:rFonts w:eastAsiaTheme="minorHAnsi"/>
        </w:rPr>
        <w:t xml:space="preserve">and </w:t>
      </w:r>
      <w:r>
        <w:rPr>
          <w:rFonts w:eastAsiaTheme="minorHAnsi"/>
        </w:rPr>
        <w:t>to account for possibly differential nonresponse bias, as is done in the core MCBS and other MCBS supplements.</w:t>
      </w:r>
    </w:p>
    <w:p w14:paraId="2EB1EEEC" w14:textId="3F4C0CE6" w:rsidR="0088452B" w:rsidRPr="00555A60" w:rsidRDefault="004112E2" w:rsidP="004D6EBE">
      <w:pPr>
        <w:pStyle w:val="Heading3"/>
        <w:rPr>
          <w:sz w:val="22"/>
          <w:szCs w:val="22"/>
        </w:rPr>
      </w:pPr>
      <w:bookmarkStart w:id="10" w:name="_Toc15975251"/>
      <w:bookmarkStart w:id="11" w:name="_Toc45525583"/>
      <w:bookmarkStart w:id="12" w:name="_Toc85450823"/>
      <w:r w:rsidRPr="00555A60">
        <w:rPr>
          <w:sz w:val="22"/>
          <w:szCs w:val="22"/>
        </w:rPr>
        <w:t>B2.</w:t>
      </w:r>
      <w:r w:rsidR="00BB2D9F" w:rsidRPr="00555A60">
        <w:rPr>
          <w:sz w:val="22"/>
          <w:szCs w:val="22"/>
        </w:rPr>
        <w:tab/>
      </w:r>
      <w:r w:rsidRPr="00555A60">
        <w:rPr>
          <w:sz w:val="22"/>
          <w:szCs w:val="22"/>
        </w:rPr>
        <w:t>Procedures for Collecting Information</w:t>
      </w:r>
      <w:bookmarkEnd w:id="10"/>
      <w:bookmarkEnd w:id="11"/>
      <w:bookmarkEnd w:id="12"/>
    </w:p>
    <w:p w14:paraId="25450931" w14:textId="7B05F3D5" w:rsidR="00AC3E36" w:rsidRDefault="00923B2A" w:rsidP="00AC3E36">
      <w:pPr>
        <w:pStyle w:val="BodyText"/>
      </w:pPr>
      <w:r>
        <w:rPr>
          <w:rFonts w:eastAsiaTheme="minorHAnsi"/>
        </w:rPr>
        <w:t>A</w:t>
      </w:r>
      <w:r w:rsidR="004F41A2">
        <w:rPr>
          <w:rFonts w:eastAsiaTheme="minorHAnsi"/>
        </w:rPr>
        <w:t xml:space="preserve">ll interviews will be conducted </w:t>
      </w:r>
      <w:r w:rsidR="00AA588F">
        <w:rPr>
          <w:rFonts w:eastAsiaTheme="minorHAnsi"/>
        </w:rPr>
        <w:t>with the beneficiary or a proxy they have selected.</w:t>
      </w:r>
      <w:r w:rsidR="00AC3E36" w:rsidRPr="00AC3E36">
        <w:t xml:space="preserve"> </w:t>
      </w:r>
      <w:r w:rsidR="002A0A39">
        <w:t xml:space="preserve">After advance letters have been mailed, </w:t>
      </w:r>
      <w:r w:rsidR="0040627A">
        <w:t>i</w:t>
      </w:r>
      <w:r w:rsidR="00AC3E36">
        <w:t xml:space="preserve">nterviewers will telephone beneficiaries and administer the </w:t>
      </w:r>
      <w:r w:rsidR="00AC3E36" w:rsidRPr="002B115A">
        <w:t xml:space="preserve">PaRIS Survey by phone as a one-time </w:t>
      </w:r>
      <w:r w:rsidR="00AC3E36">
        <w:t>survey during January through April 2023</w:t>
      </w:r>
      <w:r w:rsidR="00AC3E36" w:rsidRPr="002B115A">
        <w:t xml:space="preserve">. </w:t>
      </w:r>
      <w:r w:rsidR="00AC3E36">
        <w:t xml:space="preserve">Non-response follow up will be conducted </w:t>
      </w:r>
      <w:r w:rsidR="002A0A39">
        <w:t xml:space="preserve">both by telephone and </w:t>
      </w:r>
      <w:r w:rsidR="00AC3E36">
        <w:t xml:space="preserve">in-person as needed. </w:t>
      </w:r>
    </w:p>
    <w:p w14:paraId="055A6118" w14:textId="5C20C928" w:rsidR="004F41A2" w:rsidRDefault="00AC3E36" w:rsidP="007156B8">
      <w:pPr>
        <w:pStyle w:val="BodyText"/>
        <w:rPr>
          <w:rFonts w:eastAsiaTheme="minorHAnsi"/>
        </w:rPr>
      </w:pPr>
      <w:r>
        <w:t xml:space="preserve">By leveraging the MCBS sample, the PaRIS Survey can benefit from using the rich contact information already collected by the MCBS that would otherwise be unavailable. </w:t>
      </w:r>
      <w:r w:rsidR="004F41A2">
        <w:rPr>
          <w:rFonts w:eastAsiaTheme="minorHAnsi"/>
        </w:rPr>
        <w:t xml:space="preserve">Landline or cell phone numbers are available for all eligible sample since the </w:t>
      </w:r>
      <w:r w:rsidR="00AA588F">
        <w:rPr>
          <w:rFonts w:eastAsiaTheme="minorHAnsi"/>
        </w:rPr>
        <w:t xml:space="preserve">PaRIS </w:t>
      </w:r>
      <w:r w:rsidR="004F41A2">
        <w:rPr>
          <w:rFonts w:eastAsiaTheme="minorHAnsi"/>
        </w:rPr>
        <w:t xml:space="preserve">respondents </w:t>
      </w:r>
      <w:r w:rsidR="00AA588F">
        <w:rPr>
          <w:rFonts w:eastAsiaTheme="minorHAnsi"/>
        </w:rPr>
        <w:t>are current participants in the MCBS</w:t>
      </w:r>
      <w:r w:rsidR="00555A60">
        <w:rPr>
          <w:rFonts w:eastAsiaTheme="minorHAnsi"/>
        </w:rPr>
        <w:t>.</w:t>
      </w:r>
      <w:r w:rsidR="004F41A2">
        <w:rPr>
          <w:rFonts w:eastAsiaTheme="minorHAnsi"/>
        </w:rPr>
        <w:t xml:space="preserve"> Contact information, including alternative contacts, is regularly </w:t>
      </w:r>
      <w:r w:rsidR="00AA588F">
        <w:rPr>
          <w:rFonts w:eastAsiaTheme="minorHAnsi"/>
        </w:rPr>
        <w:t>confirmed</w:t>
      </w:r>
      <w:r w:rsidR="004F41A2">
        <w:rPr>
          <w:rFonts w:eastAsiaTheme="minorHAnsi"/>
        </w:rPr>
        <w:t xml:space="preserve"> and updated by </w:t>
      </w:r>
      <w:r w:rsidR="00AA588F">
        <w:rPr>
          <w:rFonts w:eastAsiaTheme="minorHAnsi"/>
        </w:rPr>
        <w:t xml:space="preserve">MCBS </w:t>
      </w:r>
      <w:r w:rsidR="004F41A2">
        <w:rPr>
          <w:rFonts w:eastAsiaTheme="minorHAnsi"/>
        </w:rPr>
        <w:t xml:space="preserve">interviewers and therefore, successful contact with a high proportion of the </w:t>
      </w:r>
      <w:r w:rsidR="00AA588F">
        <w:rPr>
          <w:rFonts w:eastAsiaTheme="minorHAnsi"/>
        </w:rPr>
        <w:t>PaRIS</w:t>
      </w:r>
      <w:r w:rsidR="004F41A2">
        <w:rPr>
          <w:rFonts w:eastAsiaTheme="minorHAnsi"/>
        </w:rPr>
        <w:t xml:space="preserve"> sample is expected. </w:t>
      </w:r>
    </w:p>
    <w:p w14:paraId="1905272E" w14:textId="77777777" w:rsidR="00AC3E36" w:rsidRDefault="00AC3E36" w:rsidP="00AC3E36">
      <w:pPr>
        <w:pStyle w:val="BodyText"/>
      </w:pPr>
      <w:bookmarkStart w:id="13" w:name="_Toc15975252"/>
      <w:bookmarkStart w:id="14" w:name="_Toc45525584"/>
      <w:r>
        <w:t>The PaRIS Survey</w:t>
      </w:r>
      <w:r w:rsidRPr="00A1740C">
        <w:t xml:space="preserve"> will be programmed using Voxco, a software platform well-suited for computer assisted web interviewing (CAWI) </w:t>
      </w:r>
      <w:r>
        <w:t xml:space="preserve">and computer assisted telephone (CATI) </w:t>
      </w:r>
      <w:r w:rsidRPr="00A1740C">
        <w:t xml:space="preserve">surveys. </w:t>
      </w:r>
      <w:r>
        <w:t xml:space="preserve">Even though the PaRIS survey will be programmed as a web survey, the questions will be administered by trained interviewers using Android tablets during telephone and in-person interviews. Key technology benefits of using Voxco includes programming that </w:t>
      </w:r>
      <w:r w:rsidRPr="00A1740C">
        <w:t>fully utilizes sophisticated logic checks, skip patterns, and text fills to ease question administration and reduce respondent burden by shortening the interview.</w:t>
      </w:r>
    </w:p>
    <w:p w14:paraId="180A3800" w14:textId="4B48BFDB" w:rsidR="0088452B" w:rsidRDefault="004112E2" w:rsidP="004D6EBE">
      <w:pPr>
        <w:pStyle w:val="Heading3"/>
      </w:pPr>
      <w:bookmarkStart w:id="15" w:name="_Toc85450824"/>
      <w:r>
        <w:t>B3.</w:t>
      </w:r>
      <w:r w:rsidR="00BB2D9F">
        <w:tab/>
      </w:r>
      <w:r>
        <w:t>Methods for Maximizing Response Rates and Dealing with Issues of Non-Response</w:t>
      </w:r>
      <w:bookmarkEnd w:id="13"/>
      <w:bookmarkEnd w:id="14"/>
      <w:bookmarkEnd w:id="15"/>
    </w:p>
    <w:p w14:paraId="5120A114" w14:textId="2E682818" w:rsidR="00761E60" w:rsidRPr="00102A58" w:rsidRDefault="00761E60" w:rsidP="007156B8">
      <w:pPr>
        <w:pStyle w:val="BodyText"/>
      </w:pPr>
      <w:r w:rsidRPr="00895EB1">
        <w:t>We are assuming a 7</w:t>
      </w:r>
      <w:r w:rsidR="00812D42">
        <w:t>0</w:t>
      </w:r>
      <w:r w:rsidRPr="00895EB1">
        <w:t xml:space="preserve">% response rate. This is </w:t>
      </w:r>
      <w:r w:rsidR="00A47FBC">
        <w:t xml:space="preserve">informed by </w:t>
      </w:r>
      <w:r w:rsidRPr="00895EB1">
        <w:t xml:space="preserve">the </w:t>
      </w:r>
      <w:r w:rsidR="00A47FBC">
        <w:t xml:space="preserve">actual </w:t>
      </w:r>
      <w:r w:rsidRPr="00895EB1">
        <w:t xml:space="preserve">response rate </w:t>
      </w:r>
      <w:r w:rsidRPr="00102A58">
        <w:t>for</w:t>
      </w:r>
      <w:r w:rsidR="00AC3E36" w:rsidRPr="00AC3E36">
        <w:rPr>
          <w:rFonts w:eastAsiaTheme="minorHAnsi"/>
        </w:rPr>
        <w:t xml:space="preserve"> </w:t>
      </w:r>
      <w:r w:rsidR="00AC3E36">
        <w:rPr>
          <w:rFonts w:eastAsiaTheme="minorHAnsi"/>
        </w:rPr>
        <w:t>the MCBS COVID-19 Supplemental Survey conducted in Winter 2021 (under OMB clearance 0938-0568)</w:t>
      </w:r>
      <w:r w:rsidR="00812D42">
        <w:t xml:space="preserve">, adjusted downward to </w:t>
      </w:r>
      <w:proofErr w:type="gramStart"/>
      <w:r w:rsidR="00812D42">
        <w:t>take into account</w:t>
      </w:r>
      <w:proofErr w:type="gramEnd"/>
      <w:r w:rsidR="00812D42">
        <w:t xml:space="preserve"> lower saliency and increased timing</w:t>
      </w:r>
      <w:r w:rsidRPr="00102A58">
        <w:t xml:space="preserve">. </w:t>
      </w:r>
    </w:p>
    <w:p w14:paraId="13CBB8DD" w14:textId="6CD6E1FB" w:rsidR="0088452B" w:rsidRPr="000566BF" w:rsidRDefault="00555A60" w:rsidP="007156B8">
      <w:pPr>
        <w:pStyle w:val="BodyText"/>
      </w:pPr>
      <w:r w:rsidRPr="00102A58">
        <w:t xml:space="preserve">To </w:t>
      </w:r>
      <w:r w:rsidR="004112E2" w:rsidRPr="00102A58">
        <w:t>maximize the response rates</w:t>
      </w:r>
      <w:r w:rsidRPr="00102A58">
        <w:t xml:space="preserve">, </w:t>
      </w:r>
      <w:r w:rsidR="004112E2" w:rsidRPr="00102A58">
        <w:t xml:space="preserve">data collection staff </w:t>
      </w:r>
      <w:r w:rsidR="00AA588F">
        <w:t xml:space="preserve">will </w:t>
      </w:r>
      <w:r w:rsidR="004112E2" w:rsidRPr="00102A58">
        <w:t>undertake extensive outreach effort</w:t>
      </w:r>
      <w:r w:rsidRPr="00102A58">
        <w:t xml:space="preserve">s. An advance letter will be sent to the selected sample that focuses on the importance of participating in </w:t>
      </w:r>
      <w:r w:rsidR="00AA588F">
        <w:t>the PaRIS Survey</w:t>
      </w:r>
      <w:r w:rsidRPr="00102A58">
        <w:t xml:space="preserve">. </w:t>
      </w:r>
      <w:r w:rsidR="007F7A28">
        <w:t xml:space="preserve">The advance letter mailing will include a </w:t>
      </w:r>
      <w:r w:rsidR="00FC05F8">
        <w:t>Frequently Asked Questions (</w:t>
      </w:r>
      <w:r w:rsidR="007F7A28">
        <w:t>FAQ</w:t>
      </w:r>
      <w:r w:rsidR="00FC05F8">
        <w:t>s)</w:t>
      </w:r>
      <w:r w:rsidR="007F7A28">
        <w:t xml:space="preserve">, answering common questions about the PaRIS Survey. </w:t>
      </w:r>
      <w:r w:rsidR="00AA588F">
        <w:t>A reminder postcard will also be sent to non-responders as needed during the data collection period. Advance letters and reminder postcards have been found to be successful in boosting response on the MCBS</w:t>
      </w:r>
      <w:r w:rsidRPr="000566BF">
        <w:t xml:space="preserve">. We also will notify </w:t>
      </w:r>
      <w:r w:rsidR="004112E2" w:rsidRPr="000566BF">
        <w:t>gove</w:t>
      </w:r>
      <w:r w:rsidRPr="000566BF">
        <w:t xml:space="preserve">rnment entities about the </w:t>
      </w:r>
      <w:r w:rsidR="007F7A28">
        <w:t>PaRIS Survey</w:t>
      </w:r>
      <w:r w:rsidR="00E5375E">
        <w:t>,</w:t>
      </w:r>
      <w:r w:rsidR="004112E2" w:rsidRPr="000566BF">
        <w:t xml:space="preserve"> including CMS regional offices and </w:t>
      </w:r>
      <w:r w:rsidR="00102A58" w:rsidRPr="000566BF">
        <w:t xml:space="preserve">the CMS </w:t>
      </w:r>
      <w:r w:rsidR="004112E2" w:rsidRPr="000566BF">
        <w:t>hotline</w:t>
      </w:r>
      <w:r w:rsidR="00102A58" w:rsidRPr="000566BF">
        <w:t xml:space="preserve">. </w:t>
      </w:r>
      <w:r w:rsidR="004112E2" w:rsidRPr="000566BF">
        <w:t>These efforts are undertaken to</w:t>
      </w:r>
      <w:r w:rsidR="000566BF">
        <w:t xml:space="preserve"> answer </w:t>
      </w:r>
      <w:r w:rsidR="000566BF">
        <w:lastRenderedPageBreak/>
        <w:t>questions or concerns that respondents</w:t>
      </w:r>
      <w:r w:rsidR="004112E2" w:rsidRPr="000566BF">
        <w:rPr>
          <w:spacing w:val="-14"/>
        </w:rPr>
        <w:t xml:space="preserve"> </w:t>
      </w:r>
      <w:r w:rsidR="004112E2" w:rsidRPr="000566BF">
        <w:rPr>
          <w:spacing w:val="-10"/>
        </w:rPr>
        <w:t xml:space="preserve">may </w:t>
      </w:r>
      <w:r w:rsidR="004112E2" w:rsidRPr="000566BF">
        <w:rPr>
          <w:spacing w:val="-11"/>
        </w:rPr>
        <w:t xml:space="preserve">have </w:t>
      </w:r>
      <w:r w:rsidR="004112E2" w:rsidRPr="000566BF">
        <w:rPr>
          <w:spacing w:val="-7"/>
        </w:rPr>
        <w:t xml:space="preserve">in </w:t>
      </w:r>
      <w:r w:rsidR="004112E2" w:rsidRPr="000566BF">
        <w:rPr>
          <w:spacing w:val="-12"/>
        </w:rPr>
        <w:t xml:space="preserve">order </w:t>
      </w:r>
      <w:r w:rsidR="004112E2" w:rsidRPr="000566BF">
        <w:rPr>
          <w:spacing w:val="-7"/>
        </w:rPr>
        <w:t xml:space="preserve">to </w:t>
      </w:r>
      <w:r w:rsidR="004112E2" w:rsidRPr="000566BF">
        <w:t>increase the likelihood that respondents w</w:t>
      </w:r>
      <w:r w:rsidR="00E5375E">
        <w:t>ill</w:t>
      </w:r>
      <w:r w:rsidR="004112E2" w:rsidRPr="000566BF">
        <w:t xml:space="preserve"> participate in the </w:t>
      </w:r>
      <w:r w:rsidR="007F7A28">
        <w:t>PaRIS Survey</w:t>
      </w:r>
      <w:r w:rsidRPr="000566BF">
        <w:t xml:space="preserve">. </w:t>
      </w:r>
    </w:p>
    <w:p w14:paraId="053B2601" w14:textId="0AA83C0B" w:rsidR="0088452B" w:rsidRPr="00102A58" w:rsidRDefault="004112E2" w:rsidP="007156B8">
      <w:pPr>
        <w:pStyle w:val="BodyText"/>
      </w:pPr>
      <w:r w:rsidRPr="00102A58">
        <w:t xml:space="preserve">In addition to outreach, the following efforts </w:t>
      </w:r>
      <w:r w:rsidR="002A0A39">
        <w:t xml:space="preserve">will be used </w:t>
      </w:r>
      <w:r w:rsidRPr="00102A58">
        <w:t>to maintain a sense of validity and relevance among the survey participants.</w:t>
      </w:r>
    </w:p>
    <w:p w14:paraId="70696958" w14:textId="77777777" w:rsidR="0088452B" w:rsidRPr="00102A58" w:rsidRDefault="004112E2" w:rsidP="00BD72D7">
      <w:pPr>
        <w:pStyle w:val="ListParagraph"/>
        <w:numPr>
          <w:ilvl w:val="0"/>
          <w:numId w:val="1"/>
        </w:numPr>
        <w:tabs>
          <w:tab w:val="left" w:pos="920"/>
        </w:tabs>
        <w:spacing w:after="180"/>
        <w:ind w:left="720"/>
        <w:contextualSpacing/>
      </w:pPr>
      <w:r w:rsidRPr="00102A58">
        <w:t>Interviewer training emphasizes techniques and approaches effective in communicating with the older and disabled population and ways to</w:t>
      </w:r>
      <w:r w:rsidRPr="00102A58">
        <w:rPr>
          <w:spacing w:val="-33"/>
        </w:rPr>
        <w:t xml:space="preserve"> </w:t>
      </w:r>
      <w:r w:rsidRPr="00102A58">
        <w:t>overcome difficulties respondents may have in</w:t>
      </w:r>
      <w:r w:rsidRPr="00102A58">
        <w:rPr>
          <w:spacing w:val="-12"/>
        </w:rPr>
        <w:t xml:space="preserve"> </w:t>
      </w:r>
      <w:r w:rsidRPr="00102A58">
        <w:t>participating.</w:t>
      </w:r>
    </w:p>
    <w:p w14:paraId="3E8CFDF2" w14:textId="77777777" w:rsidR="0088452B" w:rsidRPr="00102A58" w:rsidRDefault="004112E2" w:rsidP="00BD72D7">
      <w:pPr>
        <w:pStyle w:val="ListParagraph"/>
        <w:numPr>
          <w:ilvl w:val="0"/>
          <w:numId w:val="1"/>
        </w:numPr>
        <w:tabs>
          <w:tab w:val="left" w:pos="920"/>
        </w:tabs>
        <w:spacing w:after="180"/>
        <w:ind w:left="720"/>
        <w:contextualSpacing/>
      </w:pPr>
      <w:r w:rsidRPr="00102A58">
        <w:t>NORC field management staff are specialized to follow up with respondents</w:t>
      </w:r>
      <w:r w:rsidRPr="00102A58">
        <w:rPr>
          <w:spacing w:val="-19"/>
        </w:rPr>
        <w:t xml:space="preserve"> </w:t>
      </w:r>
      <w:r w:rsidRPr="00102A58">
        <w:t>who express concerns about participating due to privacy or confidentiality</w:t>
      </w:r>
      <w:r w:rsidRPr="00102A58">
        <w:rPr>
          <w:spacing w:val="-18"/>
        </w:rPr>
        <w:t xml:space="preserve"> </w:t>
      </w:r>
      <w:r w:rsidRPr="00102A58">
        <w:t>questions.</w:t>
      </w:r>
    </w:p>
    <w:p w14:paraId="3B1E9F0E" w14:textId="77777777" w:rsidR="0088452B" w:rsidRPr="00102A58" w:rsidRDefault="004112E2" w:rsidP="00BD72D7">
      <w:pPr>
        <w:pStyle w:val="ListParagraph"/>
        <w:numPr>
          <w:ilvl w:val="0"/>
          <w:numId w:val="1"/>
        </w:numPr>
        <w:tabs>
          <w:tab w:val="left" w:pos="920"/>
        </w:tabs>
        <w:spacing w:after="180"/>
        <w:ind w:left="720"/>
        <w:contextualSpacing/>
      </w:pPr>
      <w:r w:rsidRPr="00102A58">
        <w:t>Non-respondents are re-contacted by a refusal conversion</w:t>
      </w:r>
      <w:r w:rsidRPr="00102A58">
        <w:rPr>
          <w:spacing w:val="-20"/>
        </w:rPr>
        <w:t xml:space="preserve"> </w:t>
      </w:r>
      <w:r w:rsidRPr="00102A58">
        <w:t>specialist.</w:t>
      </w:r>
    </w:p>
    <w:p w14:paraId="20C8B5B4" w14:textId="479A7EF3" w:rsidR="0088452B" w:rsidRPr="00102A58" w:rsidRDefault="007F7A28" w:rsidP="00BD72D7">
      <w:pPr>
        <w:pStyle w:val="ListParagraph"/>
        <w:numPr>
          <w:ilvl w:val="0"/>
          <w:numId w:val="1"/>
        </w:numPr>
        <w:tabs>
          <w:tab w:val="left" w:pos="920"/>
        </w:tabs>
        <w:spacing w:after="180"/>
        <w:ind w:left="720"/>
        <w:contextualSpacing/>
        <w:jc w:val="both"/>
      </w:pPr>
      <w:bookmarkStart w:id="16" w:name="_Hlk83737404"/>
      <w:r>
        <w:t>Because the PaRIS Survey will be administered to the MCBS sample, the PaRIS Survey will use the</w:t>
      </w:r>
      <w:r w:rsidR="004112E2" w:rsidRPr="00102A58">
        <w:t xml:space="preserve"> dedicated project email address</w:t>
      </w:r>
      <w:r>
        <w:t xml:space="preserve"> for the MCBS</w:t>
      </w:r>
      <w:r w:rsidR="004112E2" w:rsidRPr="00102A58">
        <w:t xml:space="preserve"> (</w:t>
      </w:r>
      <w:hyperlink r:id="rId11" w:history="1">
        <w:r w:rsidR="00733EAB" w:rsidRPr="00102A58">
          <w:rPr>
            <w:rStyle w:val="Hyperlink"/>
            <w:u w:color="0000FF"/>
          </w:rPr>
          <w:t xml:space="preserve">mcbs@norc.org) </w:t>
        </w:r>
      </w:hyperlink>
      <w:r w:rsidR="004112E2" w:rsidRPr="00102A58">
        <w:t>and toll-free number (</w:t>
      </w:r>
      <w:r w:rsidR="00F02F43">
        <w:t>1-844-777-2151</w:t>
      </w:r>
      <w:r w:rsidR="004112E2" w:rsidRPr="00102A58">
        <w:t>) to answer respondent's questions. This information is contained on various materials provided to the</w:t>
      </w:r>
      <w:r w:rsidR="004112E2" w:rsidRPr="00102A58">
        <w:rPr>
          <w:spacing w:val="-10"/>
        </w:rPr>
        <w:t xml:space="preserve"> </w:t>
      </w:r>
      <w:r w:rsidR="004112E2" w:rsidRPr="00102A58">
        <w:t>respondent.</w:t>
      </w:r>
    </w:p>
    <w:bookmarkEnd w:id="16"/>
    <w:p w14:paraId="4CAC009F" w14:textId="582BD2AE" w:rsidR="0088452B" w:rsidRPr="00102A58" w:rsidRDefault="004112E2" w:rsidP="00BD72D7">
      <w:pPr>
        <w:pStyle w:val="ListParagraph"/>
        <w:numPr>
          <w:ilvl w:val="0"/>
          <w:numId w:val="1"/>
        </w:numPr>
        <w:tabs>
          <w:tab w:val="left" w:pos="920"/>
        </w:tabs>
        <w:spacing w:after="180"/>
        <w:ind w:left="720"/>
        <w:contextualSpacing/>
      </w:pPr>
      <w:r w:rsidRPr="00102A58">
        <w:t xml:space="preserve">Whenever possible, the respondent </w:t>
      </w:r>
      <w:r w:rsidR="007F7A28">
        <w:t>will be</w:t>
      </w:r>
      <w:r w:rsidR="007F7A28" w:rsidRPr="00102A58">
        <w:t xml:space="preserve"> </w:t>
      </w:r>
      <w:r w:rsidRPr="00102A58">
        <w:t xml:space="preserve">paired with the same interviewer </w:t>
      </w:r>
      <w:r w:rsidR="007F7A28">
        <w:t xml:space="preserve">with whom they recently completed the MCBS </w:t>
      </w:r>
      <w:r w:rsidRPr="00102A58">
        <w:t>survey. This maintains rapport and establishes continuity of process in the</w:t>
      </w:r>
      <w:r w:rsidRPr="00102A58">
        <w:rPr>
          <w:spacing w:val="-34"/>
        </w:rPr>
        <w:t xml:space="preserve"> </w:t>
      </w:r>
      <w:r w:rsidRPr="00102A58">
        <w:t>interview.</w:t>
      </w:r>
    </w:p>
    <w:p w14:paraId="5464AC65" w14:textId="1638B994" w:rsidR="0088452B" w:rsidRPr="00102A58" w:rsidRDefault="004112E2" w:rsidP="00BB2D9F">
      <w:pPr>
        <w:pStyle w:val="Heading3"/>
        <w:rPr>
          <w:sz w:val="22"/>
          <w:szCs w:val="22"/>
        </w:rPr>
      </w:pPr>
      <w:bookmarkStart w:id="17" w:name="_Toc15975253"/>
      <w:bookmarkStart w:id="18" w:name="_Toc45525585"/>
      <w:bookmarkStart w:id="19" w:name="_Toc85450825"/>
      <w:r w:rsidRPr="00102A58">
        <w:rPr>
          <w:sz w:val="22"/>
          <w:szCs w:val="22"/>
        </w:rPr>
        <w:t>B4.</w:t>
      </w:r>
      <w:r w:rsidR="00BB2D9F" w:rsidRPr="00102A58">
        <w:rPr>
          <w:sz w:val="22"/>
          <w:szCs w:val="22"/>
        </w:rPr>
        <w:tab/>
      </w:r>
      <w:r w:rsidRPr="00102A58">
        <w:rPr>
          <w:sz w:val="22"/>
          <w:szCs w:val="22"/>
        </w:rPr>
        <w:t>Tests of Procedures or Methods</w:t>
      </w:r>
      <w:bookmarkEnd w:id="17"/>
      <w:bookmarkEnd w:id="18"/>
      <w:bookmarkEnd w:id="19"/>
    </w:p>
    <w:p w14:paraId="4B0CFD5A" w14:textId="46A0E2D1" w:rsidR="00147990" w:rsidRDefault="00147990" w:rsidP="00147990">
      <w:pPr>
        <w:pStyle w:val="BodyText"/>
      </w:pPr>
      <w:r w:rsidRPr="004B7BD9">
        <w:t xml:space="preserve">The PaRIS Survey </w:t>
      </w:r>
      <w:r>
        <w:t xml:space="preserve">(Attachment </w:t>
      </w:r>
      <w:r w:rsidR="006C79C3">
        <w:t>1</w:t>
      </w:r>
      <w:r>
        <w:t xml:space="preserve">) </w:t>
      </w:r>
      <w:r w:rsidRPr="004B7BD9">
        <w:t>was drafted by OECD using items from existing, validated sources such as the Patient-Reported Outcomes Measurement Information System (PROMIS®) Global Health Scale, Porter-</w:t>
      </w:r>
      <w:proofErr w:type="spellStart"/>
      <w:r w:rsidRPr="004B7BD9">
        <w:t>Novelli</w:t>
      </w:r>
      <w:proofErr w:type="spellEnd"/>
      <w:r w:rsidRPr="004B7BD9">
        <w:t xml:space="preserve"> Scale, and European Health Interview Survey. </w:t>
      </w:r>
      <w:r>
        <w:t xml:space="preserve">To the extent possible, the exact same survey items will be fielded in each participating OECD country so that the metrics collected will be as comparable as possible. </w:t>
      </w:r>
    </w:p>
    <w:p w14:paraId="4C603797" w14:textId="5FF196D3" w:rsidR="00147990" w:rsidRDefault="00147990" w:rsidP="00147990">
      <w:pPr>
        <w:pStyle w:val="BodyText"/>
      </w:pPr>
      <w:r w:rsidRPr="004B7BD9">
        <w:t xml:space="preserve">CMS conducted </w:t>
      </w:r>
      <w:r>
        <w:t xml:space="preserve">a small number of </w:t>
      </w:r>
      <w:r w:rsidRPr="004B7BD9">
        <w:t xml:space="preserve">cognitive interviews </w:t>
      </w:r>
      <w:r>
        <w:t xml:space="preserve">(nine) </w:t>
      </w:r>
      <w:r w:rsidRPr="004B7BD9">
        <w:t>of the PaRIS instrument</w:t>
      </w:r>
      <w:r>
        <w:t xml:space="preserve"> to assess </w:t>
      </w:r>
      <w:r w:rsidRPr="009D1B1D">
        <w:t xml:space="preserve">the understanding of </w:t>
      </w:r>
      <w:r>
        <w:t>key</w:t>
      </w:r>
      <w:r w:rsidRPr="009D1B1D">
        <w:t xml:space="preserve"> healthcare related concepts among Medicare beneficiaries in the U</w:t>
      </w:r>
      <w:r>
        <w:t xml:space="preserve">.S. </w:t>
      </w:r>
      <w:r w:rsidRPr="004B7BD9">
        <w:t xml:space="preserve">As a result of that testing, CMS has made minor changes to </w:t>
      </w:r>
      <w:r w:rsidR="002A0A39">
        <w:t xml:space="preserve">terminology of </w:t>
      </w:r>
      <w:r w:rsidRPr="004B7BD9">
        <w:t xml:space="preserve">the </w:t>
      </w:r>
      <w:r>
        <w:t xml:space="preserve">U.S. instance of the </w:t>
      </w:r>
      <w:r w:rsidRPr="004B7BD9">
        <w:t xml:space="preserve">PaRIS instrument to </w:t>
      </w:r>
      <w:r w:rsidR="002A0A39">
        <w:t xml:space="preserve">ensure </w:t>
      </w:r>
      <w:r w:rsidRPr="004B7BD9">
        <w:t>better underst</w:t>
      </w:r>
      <w:r w:rsidR="002A0A39">
        <w:t xml:space="preserve">anding </w:t>
      </w:r>
      <w:r w:rsidRPr="004B7BD9">
        <w:t xml:space="preserve">when administered </w:t>
      </w:r>
      <w:r>
        <w:t xml:space="preserve">to a U.S. based audience. </w:t>
      </w:r>
      <w:r w:rsidRPr="004B7BD9">
        <w:t>Results from this cognitive test</w:t>
      </w:r>
      <w:r>
        <w:t>ing effort</w:t>
      </w:r>
      <w:r w:rsidRPr="004B7BD9">
        <w:t xml:space="preserve"> </w:t>
      </w:r>
      <w:r>
        <w:t xml:space="preserve">were shared with the OECD working group and </w:t>
      </w:r>
      <w:r w:rsidRPr="004B7BD9">
        <w:t xml:space="preserve">can be found in </w:t>
      </w:r>
      <w:r w:rsidRPr="007A2B6B">
        <w:t xml:space="preserve">Attachment </w:t>
      </w:r>
      <w:r w:rsidR="006C79C3">
        <w:t>3</w:t>
      </w:r>
      <w:r w:rsidRPr="007A2B6B">
        <w:t>.</w:t>
      </w:r>
      <w:r>
        <w:t xml:space="preserve"> </w:t>
      </w:r>
    </w:p>
    <w:p w14:paraId="7AFF8BB6" w14:textId="79420270" w:rsidR="0088452B" w:rsidRDefault="007372F5" w:rsidP="00BB2D9F">
      <w:pPr>
        <w:pStyle w:val="Heading3"/>
      </w:pPr>
      <w:bookmarkStart w:id="20" w:name="_Toc15975254"/>
      <w:bookmarkStart w:id="21" w:name="_Toc45525586"/>
      <w:bookmarkStart w:id="22" w:name="_Toc85450826"/>
      <w:r>
        <w:t>B5.</w:t>
      </w:r>
      <w:r>
        <w:tab/>
      </w:r>
      <w:r w:rsidR="004112E2">
        <w:t>Individuals Consulted on Statistical Aspects of Design</w:t>
      </w:r>
      <w:bookmarkEnd w:id="20"/>
      <w:bookmarkEnd w:id="21"/>
      <w:bookmarkEnd w:id="22"/>
    </w:p>
    <w:p w14:paraId="60F7D3D9" w14:textId="5F63CD8F" w:rsidR="0088452B" w:rsidRPr="00102A58" w:rsidRDefault="004112E2" w:rsidP="007156B8">
      <w:pPr>
        <w:pStyle w:val="BodyText"/>
      </w:pPr>
      <w:r w:rsidRPr="00102A58">
        <w:t>The person responsible for statistical aspects of design is:</w:t>
      </w:r>
    </w:p>
    <w:p w14:paraId="1E87255E" w14:textId="79C5A64B" w:rsidR="0088452B" w:rsidRPr="00102A58" w:rsidRDefault="006A4E68" w:rsidP="00BD72D7">
      <w:pPr>
        <w:pStyle w:val="BodyText"/>
        <w:spacing w:after="0"/>
        <w:ind w:left="720"/>
        <w:rPr>
          <w:szCs w:val="22"/>
        </w:rPr>
      </w:pPr>
      <w:r w:rsidRPr="00102A58">
        <w:rPr>
          <w:szCs w:val="22"/>
        </w:rPr>
        <w:t>Edward Mulrow</w:t>
      </w:r>
      <w:r w:rsidR="004112E2" w:rsidRPr="00102A58">
        <w:rPr>
          <w:szCs w:val="22"/>
        </w:rPr>
        <w:t>, Ph.D.  Vice President</w:t>
      </w:r>
    </w:p>
    <w:p w14:paraId="1B09B940" w14:textId="77777777" w:rsidR="00F60E6D" w:rsidRPr="00102A58" w:rsidRDefault="004112E2" w:rsidP="00BD72D7">
      <w:pPr>
        <w:pStyle w:val="BodyText"/>
        <w:spacing w:after="0"/>
        <w:ind w:left="720"/>
        <w:rPr>
          <w:szCs w:val="22"/>
        </w:rPr>
      </w:pPr>
      <w:r w:rsidRPr="00102A58">
        <w:rPr>
          <w:szCs w:val="22"/>
        </w:rPr>
        <w:t xml:space="preserve">NORC at the University of Chicago </w:t>
      </w:r>
    </w:p>
    <w:p w14:paraId="49057F0D" w14:textId="2B87D2CF" w:rsidR="008174FC" w:rsidRPr="00102A58" w:rsidRDefault="006A4E68" w:rsidP="00BD72D7">
      <w:pPr>
        <w:pStyle w:val="BodyText"/>
        <w:spacing w:after="0"/>
        <w:ind w:left="720"/>
        <w:rPr>
          <w:szCs w:val="22"/>
        </w:rPr>
      </w:pPr>
      <w:r w:rsidRPr="00102A58">
        <w:rPr>
          <w:szCs w:val="22"/>
        </w:rPr>
        <w:t>4350 East-West Highway, 8</w:t>
      </w:r>
      <w:r w:rsidRPr="00102A58">
        <w:rPr>
          <w:szCs w:val="22"/>
          <w:vertAlign w:val="superscript"/>
        </w:rPr>
        <w:t>th</w:t>
      </w:r>
      <w:r w:rsidRPr="00102A58">
        <w:rPr>
          <w:szCs w:val="22"/>
        </w:rPr>
        <w:t xml:space="preserve"> Floor</w:t>
      </w:r>
    </w:p>
    <w:p w14:paraId="4AB4F4AC" w14:textId="704D3B65" w:rsidR="0088452B" w:rsidRPr="00102A58" w:rsidRDefault="00B76263" w:rsidP="00BD72D7">
      <w:pPr>
        <w:pStyle w:val="BodyText"/>
        <w:spacing w:after="0"/>
        <w:ind w:left="720"/>
        <w:rPr>
          <w:szCs w:val="22"/>
        </w:rPr>
      </w:pPr>
      <w:r w:rsidRPr="00102A58">
        <w:rPr>
          <w:szCs w:val="22"/>
        </w:rPr>
        <w:t>Bethesda, MD 2081</w:t>
      </w:r>
      <w:r w:rsidR="006A4E68" w:rsidRPr="00102A58">
        <w:rPr>
          <w:szCs w:val="22"/>
        </w:rPr>
        <w:t>4</w:t>
      </w:r>
    </w:p>
    <w:p w14:paraId="1B1B3DBB" w14:textId="6DE5859D" w:rsidR="0088452B" w:rsidRPr="00102A58" w:rsidRDefault="006A4E68" w:rsidP="00BD72D7">
      <w:pPr>
        <w:pStyle w:val="BodyText"/>
        <w:spacing w:after="0"/>
        <w:ind w:left="720"/>
        <w:rPr>
          <w:szCs w:val="22"/>
        </w:rPr>
      </w:pPr>
      <w:r w:rsidRPr="00102A58">
        <w:rPr>
          <w:szCs w:val="22"/>
        </w:rPr>
        <w:t>(301) 634-9441</w:t>
      </w:r>
    </w:p>
    <w:p w14:paraId="706712A9" w14:textId="7C83487C" w:rsidR="0088452B" w:rsidRPr="00102A58" w:rsidRDefault="006C79C3" w:rsidP="00E4264F">
      <w:pPr>
        <w:pStyle w:val="BodyText"/>
        <w:spacing w:after="0"/>
        <w:ind w:left="720"/>
      </w:pPr>
      <w:hyperlink r:id="rId12" w:history="1">
        <w:r w:rsidR="006A4E68" w:rsidRPr="00102A58">
          <w:rPr>
            <w:rStyle w:val="Hyperlink"/>
            <w:szCs w:val="22"/>
          </w:rPr>
          <w:t>Mulrow-Edward@norc.org</w:t>
        </w:r>
      </w:hyperlink>
      <w:r w:rsidR="006A4E68" w:rsidRPr="00102A58">
        <w:rPr>
          <w:szCs w:val="22"/>
        </w:rPr>
        <w:t xml:space="preserve"> </w:t>
      </w:r>
    </w:p>
    <w:sectPr w:rsidR="0088452B" w:rsidRPr="00102A58" w:rsidSect="007372F5">
      <w:pgSz w:w="12240" w:h="15840" w:code="1"/>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0F11" w14:textId="77777777" w:rsidR="005E4D59" w:rsidRDefault="005E4D59">
      <w:r>
        <w:separator/>
      </w:r>
    </w:p>
  </w:endnote>
  <w:endnote w:type="continuationSeparator" w:id="0">
    <w:p w14:paraId="779E9FBD" w14:textId="77777777" w:rsidR="005E4D59" w:rsidRDefault="005E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6B32" w14:textId="671F401A" w:rsidR="005E4D59" w:rsidRPr="00200E3E" w:rsidRDefault="005E4D59"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2816D0">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06CF" w14:textId="152597EE" w:rsidR="005E4D59" w:rsidRPr="00200E3E" w:rsidRDefault="005E4D59"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2816D0">
      <w:rPr>
        <w:noProof/>
        <w:sz w:val="20"/>
        <w:szCs w:val="20"/>
      </w:rPr>
      <w:t>2</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FE76" w14:textId="77777777" w:rsidR="005E4D59" w:rsidRDefault="005E4D59">
      <w:r>
        <w:separator/>
      </w:r>
    </w:p>
  </w:footnote>
  <w:footnote w:type="continuationSeparator" w:id="0">
    <w:p w14:paraId="773F1937" w14:textId="77777777" w:rsidR="005E4D59" w:rsidRDefault="005E4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507C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8E81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E413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A462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6855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2428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62290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8" w15:restartNumberingAfterBreak="0">
    <w:nsid w:val="FFFFFF88"/>
    <w:multiLevelType w:val="singleLevel"/>
    <w:tmpl w:val="A07E9C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EC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15:restartNumberingAfterBreak="0">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15:restartNumberingAfterBreak="0">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4"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5" w15:restartNumberingAfterBreak="0">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6" w15:restartNumberingAfterBreak="0">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F1B4B2A"/>
    <w:multiLevelType w:val="hybridMultilevel"/>
    <w:tmpl w:val="FDE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20" w15:restartNumberingAfterBreak="0">
    <w:nsid w:val="381125A5"/>
    <w:multiLevelType w:val="hybridMultilevel"/>
    <w:tmpl w:val="ED1AC57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22" w15:restartNumberingAfterBreak="0">
    <w:nsid w:val="47F65BC0"/>
    <w:multiLevelType w:val="hybridMultilevel"/>
    <w:tmpl w:val="CA06FF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A32F83"/>
    <w:multiLevelType w:val="hybridMultilevel"/>
    <w:tmpl w:val="00C6FE50"/>
    <w:lvl w:ilvl="0" w:tplc="F834715C">
      <w:start w:val="2"/>
      <w:numFmt w:val="upperLetter"/>
      <w:lvlText w:val="%1."/>
      <w:lvlJc w:val="left"/>
      <w:pPr>
        <w:ind w:left="468" w:hanging="369"/>
      </w:pPr>
      <w:rPr>
        <w:rFonts w:ascii="Times New Roman" w:eastAsia="Times New Roman" w:hAnsi="Times New Roman" w:cs="Times New Roman" w:hint="default"/>
        <w:b/>
        <w:bCs/>
        <w:w w:val="100"/>
        <w:sz w:val="26"/>
        <w:szCs w:val="26"/>
      </w:rPr>
    </w:lvl>
    <w:lvl w:ilvl="1" w:tplc="77A43BF2">
      <w:numFmt w:val="bullet"/>
      <w:lvlText w:val=""/>
      <w:lvlJc w:val="left"/>
      <w:pPr>
        <w:ind w:left="820" w:hanging="360"/>
      </w:pPr>
      <w:rPr>
        <w:rFonts w:ascii="Symbol" w:eastAsia="Symbol" w:hAnsi="Symbol" w:cs="Symbol" w:hint="default"/>
        <w:w w:val="100"/>
        <w:sz w:val="24"/>
        <w:szCs w:val="24"/>
      </w:rPr>
    </w:lvl>
    <w:lvl w:ilvl="2" w:tplc="35903786">
      <w:numFmt w:val="bullet"/>
      <w:lvlText w:val="•"/>
      <w:lvlJc w:val="left"/>
      <w:pPr>
        <w:ind w:left="1842" w:hanging="360"/>
      </w:pPr>
      <w:rPr>
        <w:rFonts w:hint="default"/>
      </w:rPr>
    </w:lvl>
    <w:lvl w:ilvl="3" w:tplc="84902670">
      <w:numFmt w:val="bullet"/>
      <w:lvlText w:val="•"/>
      <w:lvlJc w:val="left"/>
      <w:pPr>
        <w:ind w:left="2864" w:hanging="360"/>
      </w:pPr>
      <w:rPr>
        <w:rFonts w:hint="default"/>
      </w:rPr>
    </w:lvl>
    <w:lvl w:ilvl="4" w:tplc="ED58D596">
      <w:numFmt w:val="bullet"/>
      <w:lvlText w:val="•"/>
      <w:lvlJc w:val="left"/>
      <w:pPr>
        <w:ind w:left="3886" w:hanging="360"/>
      </w:pPr>
      <w:rPr>
        <w:rFonts w:hint="default"/>
      </w:rPr>
    </w:lvl>
    <w:lvl w:ilvl="5" w:tplc="80606B62">
      <w:numFmt w:val="bullet"/>
      <w:lvlText w:val="•"/>
      <w:lvlJc w:val="left"/>
      <w:pPr>
        <w:ind w:left="4908" w:hanging="360"/>
      </w:pPr>
      <w:rPr>
        <w:rFonts w:hint="default"/>
      </w:rPr>
    </w:lvl>
    <w:lvl w:ilvl="6" w:tplc="F63C1450">
      <w:numFmt w:val="bullet"/>
      <w:lvlText w:val="•"/>
      <w:lvlJc w:val="left"/>
      <w:pPr>
        <w:ind w:left="5931" w:hanging="360"/>
      </w:pPr>
      <w:rPr>
        <w:rFonts w:hint="default"/>
      </w:rPr>
    </w:lvl>
    <w:lvl w:ilvl="7" w:tplc="9D0A2F9A">
      <w:numFmt w:val="bullet"/>
      <w:lvlText w:val="•"/>
      <w:lvlJc w:val="left"/>
      <w:pPr>
        <w:ind w:left="6953" w:hanging="360"/>
      </w:pPr>
      <w:rPr>
        <w:rFonts w:hint="default"/>
      </w:rPr>
    </w:lvl>
    <w:lvl w:ilvl="8" w:tplc="92A2C678">
      <w:numFmt w:val="bullet"/>
      <w:lvlText w:val="•"/>
      <w:lvlJc w:val="left"/>
      <w:pPr>
        <w:ind w:left="7975" w:hanging="360"/>
      </w:pPr>
      <w:rPr>
        <w:rFonts w:hint="default"/>
      </w:rPr>
    </w:lvl>
  </w:abstractNum>
  <w:abstractNum w:abstractNumId="24" w15:restartNumberingAfterBreak="0">
    <w:nsid w:val="49EB73D4"/>
    <w:multiLevelType w:val="hybridMultilevel"/>
    <w:tmpl w:val="C9741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953F8F"/>
    <w:multiLevelType w:val="hybridMultilevel"/>
    <w:tmpl w:val="1AC6832C"/>
    <w:lvl w:ilvl="0" w:tplc="AF8649C2">
      <w:start w:val="1"/>
      <w:numFmt w:val="lowerLetter"/>
      <w:lvlText w:val="%1."/>
      <w:lvlJc w:val="left"/>
      <w:pPr>
        <w:ind w:left="920" w:hanging="360"/>
      </w:pPr>
      <w:rPr>
        <w:rFonts w:ascii="Times New Roman" w:eastAsia="Times New Roman" w:hAnsi="Times New Roman" w:cs="Times New Roman" w:hint="default"/>
        <w:spacing w:val="-15"/>
        <w:w w:val="99"/>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26" w15:restartNumberingAfterBreak="0">
    <w:nsid w:val="4FD56502"/>
    <w:multiLevelType w:val="hybridMultilevel"/>
    <w:tmpl w:val="A4E8CCE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0EB160B"/>
    <w:multiLevelType w:val="hybridMultilevel"/>
    <w:tmpl w:val="A54CE448"/>
    <w:lvl w:ilvl="0" w:tplc="5504D18A">
      <w:numFmt w:val="bullet"/>
      <w:lvlText w:val=""/>
      <w:lvlJc w:val="left"/>
      <w:pPr>
        <w:ind w:left="840" w:hanging="360"/>
      </w:pPr>
      <w:rPr>
        <w:rFonts w:ascii="Symbol" w:eastAsia="Symbol" w:hAnsi="Symbol" w:cs="Symbol" w:hint="default"/>
        <w:w w:val="100"/>
        <w:sz w:val="24"/>
        <w:szCs w:val="24"/>
      </w:rPr>
    </w:lvl>
    <w:lvl w:ilvl="1" w:tplc="4D482CAA">
      <w:numFmt w:val="bullet"/>
      <w:lvlText w:val="o"/>
      <w:lvlJc w:val="left"/>
      <w:pPr>
        <w:ind w:left="1560" w:hanging="360"/>
      </w:pPr>
      <w:rPr>
        <w:rFonts w:ascii="Courier New" w:eastAsia="Courier New" w:hAnsi="Courier New" w:cs="Courier New" w:hint="default"/>
        <w:w w:val="99"/>
        <w:sz w:val="24"/>
        <w:szCs w:val="24"/>
      </w:rPr>
    </w:lvl>
    <w:lvl w:ilvl="2" w:tplc="E3B05E2E">
      <w:numFmt w:val="bullet"/>
      <w:lvlText w:val="•"/>
      <w:lvlJc w:val="left"/>
      <w:pPr>
        <w:ind w:left="2475" w:hanging="360"/>
      </w:pPr>
      <w:rPr>
        <w:rFonts w:hint="default"/>
      </w:rPr>
    </w:lvl>
    <w:lvl w:ilvl="3" w:tplc="9CDE6856">
      <w:numFmt w:val="bullet"/>
      <w:lvlText w:val="•"/>
      <w:lvlJc w:val="left"/>
      <w:pPr>
        <w:ind w:left="3391" w:hanging="360"/>
      </w:pPr>
      <w:rPr>
        <w:rFonts w:hint="default"/>
      </w:rPr>
    </w:lvl>
    <w:lvl w:ilvl="4" w:tplc="19B456DA">
      <w:numFmt w:val="bullet"/>
      <w:lvlText w:val="•"/>
      <w:lvlJc w:val="left"/>
      <w:pPr>
        <w:ind w:left="4306" w:hanging="360"/>
      </w:pPr>
      <w:rPr>
        <w:rFonts w:hint="default"/>
      </w:rPr>
    </w:lvl>
    <w:lvl w:ilvl="5" w:tplc="4ED490C2">
      <w:numFmt w:val="bullet"/>
      <w:lvlText w:val="•"/>
      <w:lvlJc w:val="left"/>
      <w:pPr>
        <w:ind w:left="5222" w:hanging="360"/>
      </w:pPr>
      <w:rPr>
        <w:rFonts w:hint="default"/>
      </w:rPr>
    </w:lvl>
    <w:lvl w:ilvl="6" w:tplc="D03E85D2">
      <w:numFmt w:val="bullet"/>
      <w:lvlText w:val="•"/>
      <w:lvlJc w:val="left"/>
      <w:pPr>
        <w:ind w:left="6137" w:hanging="360"/>
      </w:pPr>
      <w:rPr>
        <w:rFonts w:hint="default"/>
      </w:rPr>
    </w:lvl>
    <w:lvl w:ilvl="7" w:tplc="733672D2">
      <w:numFmt w:val="bullet"/>
      <w:lvlText w:val="•"/>
      <w:lvlJc w:val="left"/>
      <w:pPr>
        <w:ind w:left="7053" w:hanging="360"/>
      </w:pPr>
      <w:rPr>
        <w:rFonts w:hint="default"/>
      </w:rPr>
    </w:lvl>
    <w:lvl w:ilvl="8" w:tplc="479A402C">
      <w:numFmt w:val="bullet"/>
      <w:lvlText w:val="•"/>
      <w:lvlJc w:val="left"/>
      <w:pPr>
        <w:ind w:left="7968" w:hanging="360"/>
      </w:pPr>
      <w:rPr>
        <w:rFonts w:hint="default"/>
      </w:rPr>
    </w:lvl>
  </w:abstractNum>
  <w:abstractNum w:abstractNumId="28" w15:restartNumberingAfterBreak="0">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657D8"/>
    <w:multiLevelType w:val="hybridMultilevel"/>
    <w:tmpl w:val="01B278C0"/>
    <w:lvl w:ilvl="0" w:tplc="04090001">
      <w:start w:val="1"/>
      <w:numFmt w:val="bullet"/>
      <w:lvlText w:val=""/>
      <w:lvlJc w:val="left"/>
      <w:pPr>
        <w:ind w:left="632" w:hanging="360"/>
      </w:pPr>
      <w:rPr>
        <w:rFonts w:ascii="Symbol" w:hAnsi="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30"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31" w15:restartNumberingAfterBreak="0">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32" w15:restartNumberingAfterBreak="0">
    <w:nsid w:val="76AA2063"/>
    <w:multiLevelType w:val="multilevel"/>
    <w:tmpl w:val="61F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ED1783"/>
    <w:multiLevelType w:val="hybridMultilevel"/>
    <w:tmpl w:val="533ED86C"/>
    <w:lvl w:ilvl="0" w:tplc="2AB818C8">
      <w:start w:val="1"/>
      <w:numFmt w:val="bullet"/>
      <w:lvlText w:val="■"/>
      <w:lvlJc w:val="left"/>
      <w:pPr>
        <w:tabs>
          <w:tab w:val="num" w:pos="720"/>
        </w:tabs>
        <w:ind w:left="720" w:hanging="360"/>
      </w:pPr>
      <w:rPr>
        <w:rFonts w:ascii="Arial" w:hAnsi="Arial" w:hint="default"/>
      </w:rPr>
    </w:lvl>
    <w:lvl w:ilvl="1" w:tplc="FF2AB070">
      <w:start w:val="194"/>
      <w:numFmt w:val="bullet"/>
      <w:lvlText w:val="X"/>
      <w:lvlJc w:val="left"/>
      <w:pPr>
        <w:tabs>
          <w:tab w:val="num" w:pos="1440"/>
        </w:tabs>
        <w:ind w:left="1440" w:hanging="360"/>
      </w:pPr>
      <w:rPr>
        <w:rFonts w:ascii="Arial" w:hAnsi="Arial" w:hint="default"/>
      </w:rPr>
    </w:lvl>
    <w:lvl w:ilvl="2" w:tplc="67CA36AA" w:tentative="1">
      <w:start w:val="1"/>
      <w:numFmt w:val="bullet"/>
      <w:lvlText w:val="■"/>
      <w:lvlJc w:val="left"/>
      <w:pPr>
        <w:tabs>
          <w:tab w:val="num" w:pos="2160"/>
        </w:tabs>
        <w:ind w:left="2160" w:hanging="360"/>
      </w:pPr>
      <w:rPr>
        <w:rFonts w:ascii="Arial" w:hAnsi="Arial" w:hint="default"/>
      </w:rPr>
    </w:lvl>
    <w:lvl w:ilvl="3" w:tplc="683AD5E4" w:tentative="1">
      <w:start w:val="1"/>
      <w:numFmt w:val="bullet"/>
      <w:lvlText w:val="■"/>
      <w:lvlJc w:val="left"/>
      <w:pPr>
        <w:tabs>
          <w:tab w:val="num" w:pos="2880"/>
        </w:tabs>
        <w:ind w:left="2880" w:hanging="360"/>
      </w:pPr>
      <w:rPr>
        <w:rFonts w:ascii="Arial" w:hAnsi="Arial" w:hint="default"/>
      </w:rPr>
    </w:lvl>
    <w:lvl w:ilvl="4" w:tplc="0F3AA44A" w:tentative="1">
      <w:start w:val="1"/>
      <w:numFmt w:val="bullet"/>
      <w:lvlText w:val="■"/>
      <w:lvlJc w:val="left"/>
      <w:pPr>
        <w:tabs>
          <w:tab w:val="num" w:pos="3600"/>
        </w:tabs>
        <w:ind w:left="3600" w:hanging="360"/>
      </w:pPr>
      <w:rPr>
        <w:rFonts w:ascii="Arial" w:hAnsi="Arial" w:hint="default"/>
      </w:rPr>
    </w:lvl>
    <w:lvl w:ilvl="5" w:tplc="3CE6B54E" w:tentative="1">
      <w:start w:val="1"/>
      <w:numFmt w:val="bullet"/>
      <w:lvlText w:val="■"/>
      <w:lvlJc w:val="left"/>
      <w:pPr>
        <w:tabs>
          <w:tab w:val="num" w:pos="4320"/>
        </w:tabs>
        <w:ind w:left="4320" w:hanging="360"/>
      </w:pPr>
      <w:rPr>
        <w:rFonts w:ascii="Arial" w:hAnsi="Arial" w:hint="default"/>
      </w:rPr>
    </w:lvl>
    <w:lvl w:ilvl="6" w:tplc="0C046EC2" w:tentative="1">
      <w:start w:val="1"/>
      <w:numFmt w:val="bullet"/>
      <w:lvlText w:val="■"/>
      <w:lvlJc w:val="left"/>
      <w:pPr>
        <w:tabs>
          <w:tab w:val="num" w:pos="5040"/>
        </w:tabs>
        <w:ind w:left="5040" w:hanging="360"/>
      </w:pPr>
      <w:rPr>
        <w:rFonts w:ascii="Arial" w:hAnsi="Arial" w:hint="default"/>
      </w:rPr>
    </w:lvl>
    <w:lvl w:ilvl="7" w:tplc="7910B9FE" w:tentative="1">
      <w:start w:val="1"/>
      <w:numFmt w:val="bullet"/>
      <w:lvlText w:val="■"/>
      <w:lvlJc w:val="left"/>
      <w:pPr>
        <w:tabs>
          <w:tab w:val="num" w:pos="5760"/>
        </w:tabs>
        <w:ind w:left="5760" w:hanging="360"/>
      </w:pPr>
      <w:rPr>
        <w:rFonts w:ascii="Arial" w:hAnsi="Arial" w:hint="default"/>
      </w:rPr>
    </w:lvl>
    <w:lvl w:ilvl="8" w:tplc="B5E46FA6"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27"/>
  </w:num>
  <w:num w:numId="3">
    <w:abstractNumId w:val="19"/>
  </w:num>
  <w:num w:numId="4">
    <w:abstractNumId w:val="11"/>
  </w:num>
  <w:num w:numId="5">
    <w:abstractNumId w:val="15"/>
  </w:num>
  <w:num w:numId="6">
    <w:abstractNumId w:val="23"/>
  </w:num>
  <w:num w:numId="7">
    <w:abstractNumId w:val="13"/>
  </w:num>
  <w:num w:numId="8">
    <w:abstractNumId w:val="29"/>
  </w:num>
  <w:num w:numId="9">
    <w:abstractNumId w:val="26"/>
    <w:lvlOverride w:ilvl="0">
      <w:startOverride w:val="1"/>
    </w:lvlOverride>
    <w:lvlOverride w:ilvl="1"/>
    <w:lvlOverride w:ilvl="2"/>
    <w:lvlOverride w:ilvl="3"/>
    <w:lvlOverride w:ilvl="4"/>
    <w:lvlOverride w:ilvl="5"/>
    <w:lvlOverride w:ilvl="6"/>
    <w:lvlOverride w:ilvl="7"/>
    <w:lvlOverride w:ilv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num>
  <w:num w:numId="13">
    <w:abstractNumId w:val="14"/>
  </w:num>
  <w:num w:numId="14">
    <w:abstractNumId w:val="21"/>
  </w:num>
  <w:num w:numId="15">
    <w:abstractNumId w:val="30"/>
  </w:num>
  <w:num w:numId="16">
    <w:abstractNumId w:val="10"/>
  </w:num>
  <w:num w:numId="17">
    <w:abstractNumId w:val="31"/>
  </w:num>
  <w:num w:numId="18">
    <w:abstractNumId w:val="28"/>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6"/>
  </w:num>
  <w:num w:numId="30">
    <w:abstractNumId w:val="22"/>
  </w:num>
  <w:num w:numId="31">
    <w:abstractNumId w:val="20"/>
  </w:num>
  <w:num w:numId="32">
    <w:abstractNumId w:val="24"/>
  </w:num>
  <w:num w:numId="33">
    <w:abstractNumId w:val="12"/>
    <w:lvlOverride w:ilvl="0"/>
    <w:lvlOverride w:ilvl="1"/>
    <w:lvlOverride w:ilvl="2">
      <w:startOverride w:val="1"/>
    </w:lvlOverride>
    <w:lvlOverride w:ilvl="3"/>
    <w:lvlOverride w:ilvl="4"/>
    <w:lvlOverride w:ilvl="5"/>
    <w:lvlOverride w:ilvl="6"/>
    <w:lvlOverride w:ilvl="7"/>
    <w:lvlOverride w:ilvl="8"/>
  </w:num>
  <w:num w:numId="34">
    <w:abstractNumId w:val="12"/>
  </w:num>
  <w:num w:numId="35">
    <w:abstractNumId w:val="16"/>
  </w:num>
  <w:num w:numId="36">
    <w:abstractNumId w:val="1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17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2B"/>
    <w:rsid w:val="00015740"/>
    <w:rsid w:val="000247E3"/>
    <w:rsid w:val="00030B08"/>
    <w:rsid w:val="000313F9"/>
    <w:rsid w:val="00045542"/>
    <w:rsid w:val="000566BF"/>
    <w:rsid w:val="00056FFA"/>
    <w:rsid w:val="0006207F"/>
    <w:rsid w:val="00074953"/>
    <w:rsid w:val="00074F72"/>
    <w:rsid w:val="00084C3D"/>
    <w:rsid w:val="0009032E"/>
    <w:rsid w:val="00092EAD"/>
    <w:rsid w:val="00094042"/>
    <w:rsid w:val="000978CE"/>
    <w:rsid w:val="000B4728"/>
    <w:rsid w:val="000B520E"/>
    <w:rsid w:val="000C384A"/>
    <w:rsid w:val="000E15C1"/>
    <w:rsid w:val="000E343B"/>
    <w:rsid w:val="000E5CDB"/>
    <w:rsid w:val="00102512"/>
    <w:rsid w:val="00102A58"/>
    <w:rsid w:val="00104136"/>
    <w:rsid w:val="00105272"/>
    <w:rsid w:val="001060F5"/>
    <w:rsid w:val="0012130C"/>
    <w:rsid w:val="0013326A"/>
    <w:rsid w:val="00143CB5"/>
    <w:rsid w:val="00147990"/>
    <w:rsid w:val="0015306E"/>
    <w:rsid w:val="00163703"/>
    <w:rsid w:val="0016778E"/>
    <w:rsid w:val="00175803"/>
    <w:rsid w:val="00176B52"/>
    <w:rsid w:val="001916B0"/>
    <w:rsid w:val="0019228C"/>
    <w:rsid w:val="001A0325"/>
    <w:rsid w:val="001B663C"/>
    <w:rsid w:val="001B7704"/>
    <w:rsid w:val="001C4F5B"/>
    <w:rsid w:val="001E6768"/>
    <w:rsid w:val="00200E3E"/>
    <w:rsid w:val="00207FA8"/>
    <w:rsid w:val="00230B3A"/>
    <w:rsid w:val="002338A1"/>
    <w:rsid w:val="0024114C"/>
    <w:rsid w:val="002457CD"/>
    <w:rsid w:val="00246E2F"/>
    <w:rsid w:val="00253954"/>
    <w:rsid w:val="002575A8"/>
    <w:rsid w:val="002629FF"/>
    <w:rsid w:val="0026648D"/>
    <w:rsid w:val="00267F93"/>
    <w:rsid w:val="002810C4"/>
    <w:rsid w:val="002816D0"/>
    <w:rsid w:val="00283F3A"/>
    <w:rsid w:val="002860FB"/>
    <w:rsid w:val="002934C7"/>
    <w:rsid w:val="00293E8C"/>
    <w:rsid w:val="002A0A39"/>
    <w:rsid w:val="002A3732"/>
    <w:rsid w:val="002A4BDB"/>
    <w:rsid w:val="002A6665"/>
    <w:rsid w:val="002B6147"/>
    <w:rsid w:val="002C2466"/>
    <w:rsid w:val="002D02BA"/>
    <w:rsid w:val="002D43C0"/>
    <w:rsid w:val="002D649B"/>
    <w:rsid w:val="002D73C9"/>
    <w:rsid w:val="002E2860"/>
    <w:rsid w:val="002E73B3"/>
    <w:rsid w:val="002E7C47"/>
    <w:rsid w:val="002F059F"/>
    <w:rsid w:val="002F06B3"/>
    <w:rsid w:val="002F3C6A"/>
    <w:rsid w:val="002F52B9"/>
    <w:rsid w:val="00303F54"/>
    <w:rsid w:val="003135A3"/>
    <w:rsid w:val="00323D4C"/>
    <w:rsid w:val="00324808"/>
    <w:rsid w:val="0033227E"/>
    <w:rsid w:val="0033276F"/>
    <w:rsid w:val="00333774"/>
    <w:rsid w:val="00337D90"/>
    <w:rsid w:val="00342162"/>
    <w:rsid w:val="00350255"/>
    <w:rsid w:val="00355CCE"/>
    <w:rsid w:val="003614C9"/>
    <w:rsid w:val="00386C39"/>
    <w:rsid w:val="003975A0"/>
    <w:rsid w:val="003A0E54"/>
    <w:rsid w:val="003A414D"/>
    <w:rsid w:val="003B695E"/>
    <w:rsid w:val="003B7873"/>
    <w:rsid w:val="003C37E2"/>
    <w:rsid w:val="003C3E04"/>
    <w:rsid w:val="003C52AC"/>
    <w:rsid w:val="003C6A00"/>
    <w:rsid w:val="003F1DA7"/>
    <w:rsid w:val="003F4D5F"/>
    <w:rsid w:val="003F6E6F"/>
    <w:rsid w:val="00403684"/>
    <w:rsid w:val="0040627A"/>
    <w:rsid w:val="004112E2"/>
    <w:rsid w:val="00423868"/>
    <w:rsid w:val="00435A97"/>
    <w:rsid w:val="00437332"/>
    <w:rsid w:val="00441EC1"/>
    <w:rsid w:val="0045532F"/>
    <w:rsid w:val="00460098"/>
    <w:rsid w:val="00464389"/>
    <w:rsid w:val="00470849"/>
    <w:rsid w:val="00473191"/>
    <w:rsid w:val="00473E69"/>
    <w:rsid w:val="00475846"/>
    <w:rsid w:val="00485C02"/>
    <w:rsid w:val="00491616"/>
    <w:rsid w:val="004B02FB"/>
    <w:rsid w:val="004B5379"/>
    <w:rsid w:val="004B5583"/>
    <w:rsid w:val="004B6782"/>
    <w:rsid w:val="004B6DF5"/>
    <w:rsid w:val="004C1221"/>
    <w:rsid w:val="004D6EBE"/>
    <w:rsid w:val="004E046B"/>
    <w:rsid w:val="004F12AE"/>
    <w:rsid w:val="004F41A2"/>
    <w:rsid w:val="004F4B4F"/>
    <w:rsid w:val="004F5471"/>
    <w:rsid w:val="00500A19"/>
    <w:rsid w:val="0050236E"/>
    <w:rsid w:val="005027D1"/>
    <w:rsid w:val="00502B6C"/>
    <w:rsid w:val="0050626C"/>
    <w:rsid w:val="00512E20"/>
    <w:rsid w:val="005130F4"/>
    <w:rsid w:val="00522C26"/>
    <w:rsid w:val="00526639"/>
    <w:rsid w:val="00531702"/>
    <w:rsid w:val="005424CB"/>
    <w:rsid w:val="00545151"/>
    <w:rsid w:val="00555729"/>
    <w:rsid w:val="00555A60"/>
    <w:rsid w:val="00566BE2"/>
    <w:rsid w:val="005770A6"/>
    <w:rsid w:val="00584D49"/>
    <w:rsid w:val="005A0E68"/>
    <w:rsid w:val="005A4789"/>
    <w:rsid w:val="005B5F27"/>
    <w:rsid w:val="005C37C0"/>
    <w:rsid w:val="005C6E92"/>
    <w:rsid w:val="005C728A"/>
    <w:rsid w:val="005C7F78"/>
    <w:rsid w:val="005D5D51"/>
    <w:rsid w:val="005E4A5F"/>
    <w:rsid w:val="005E4D59"/>
    <w:rsid w:val="005E76CC"/>
    <w:rsid w:val="005F2E1D"/>
    <w:rsid w:val="005F34DE"/>
    <w:rsid w:val="005F5E74"/>
    <w:rsid w:val="00600BD5"/>
    <w:rsid w:val="00602FE9"/>
    <w:rsid w:val="00612879"/>
    <w:rsid w:val="00616CC0"/>
    <w:rsid w:val="006236DF"/>
    <w:rsid w:val="00626708"/>
    <w:rsid w:val="006329C4"/>
    <w:rsid w:val="006377C7"/>
    <w:rsid w:val="00664097"/>
    <w:rsid w:val="00677E1C"/>
    <w:rsid w:val="00690C30"/>
    <w:rsid w:val="006938AE"/>
    <w:rsid w:val="00697525"/>
    <w:rsid w:val="006A3992"/>
    <w:rsid w:val="006A4E68"/>
    <w:rsid w:val="006A7803"/>
    <w:rsid w:val="006B1CEE"/>
    <w:rsid w:val="006B595E"/>
    <w:rsid w:val="006B72D2"/>
    <w:rsid w:val="006B76A2"/>
    <w:rsid w:val="006C32F4"/>
    <w:rsid w:val="006C6619"/>
    <w:rsid w:val="006C79C3"/>
    <w:rsid w:val="006D22BC"/>
    <w:rsid w:val="006E3A5D"/>
    <w:rsid w:val="006E6947"/>
    <w:rsid w:val="006F2768"/>
    <w:rsid w:val="006F2A7F"/>
    <w:rsid w:val="00700118"/>
    <w:rsid w:val="0070112B"/>
    <w:rsid w:val="00704BE0"/>
    <w:rsid w:val="007060C3"/>
    <w:rsid w:val="00707FD6"/>
    <w:rsid w:val="007156B8"/>
    <w:rsid w:val="00715AD5"/>
    <w:rsid w:val="00721722"/>
    <w:rsid w:val="00724A44"/>
    <w:rsid w:val="00724F41"/>
    <w:rsid w:val="00725DF0"/>
    <w:rsid w:val="00726F22"/>
    <w:rsid w:val="0073069A"/>
    <w:rsid w:val="00733EAB"/>
    <w:rsid w:val="00734E72"/>
    <w:rsid w:val="007372F5"/>
    <w:rsid w:val="0075105A"/>
    <w:rsid w:val="007612D1"/>
    <w:rsid w:val="00761E60"/>
    <w:rsid w:val="00765667"/>
    <w:rsid w:val="00774FC1"/>
    <w:rsid w:val="00780CCA"/>
    <w:rsid w:val="00791A9B"/>
    <w:rsid w:val="00796917"/>
    <w:rsid w:val="007A186D"/>
    <w:rsid w:val="007A51D7"/>
    <w:rsid w:val="007B3904"/>
    <w:rsid w:val="007C13CB"/>
    <w:rsid w:val="007D2DA2"/>
    <w:rsid w:val="007D2FDE"/>
    <w:rsid w:val="007D3C68"/>
    <w:rsid w:val="007D46BE"/>
    <w:rsid w:val="007D5B6B"/>
    <w:rsid w:val="007E0440"/>
    <w:rsid w:val="007E751D"/>
    <w:rsid w:val="007E7941"/>
    <w:rsid w:val="007F1E51"/>
    <w:rsid w:val="007F516C"/>
    <w:rsid w:val="007F6AE1"/>
    <w:rsid w:val="007F6E34"/>
    <w:rsid w:val="007F7A28"/>
    <w:rsid w:val="00800602"/>
    <w:rsid w:val="00812D42"/>
    <w:rsid w:val="00814743"/>
    <w:rsid w:val="008174FC"/>
    <w:rsid w:val="00844164"/>
    <w:rsid w:val="00845CC0"/>
    <w:rsid w:val="0085141C"/>
    <w:rsid w:val="008574E5"/>
    <w:rsid w:val="00860A8C"/>
    <w:rsid w:val="0086179C"/>
    <w:rsid w:val="00861C1F"/>
    <w:rsid w:val="00864AA9"/>
    <w:rsid w:val="00880973"/>
    <w:rsid w:val="0088452B"/>
    <w:rsid w:val="00895EB1"/>
    <w:rsid w:val="008A3DA3"/>
    <w:rsid w:val="008A7535"/>
    <w:rsid w:val="008B0777"/>
    <w:rsid w:val="008B6728"/>
    <w:rsid w:val="008C09A7"/>
    <w:rsid w:val="008C622A"/>
    <w:rsid w:val="008C6F83"/>
    <w:rsid w:val="008D0BED"/>
    <w:rsid w:val="008E4278"/>
    <w:rsid w:val="008E67A7"/>
    <w:rsid w:val="008E6B2F"/>
    <w:rsid w:val="008F464E"/>
    <w:rsid w:val="008F6A14"/>
    <w:rsid w:val="008F708C"/>
    <w:rsid w:val="00902C63"/>
    <w:rsid w:val="0091283D"/>
    <w:rsid w:val="009209B4"/>
    <w:rsid w:val="00923B2A"/>
    <w:rsid w:val="00925965"/>
    <w:rsid w:val="00930507"/>
    <w:rsid w:val="00944084"/>
    <w:rsid w:val="00960270"/>
    <w:rsid w:val="00965083"/>
    <w:rsid w:val="00970EF0"/>
    <w:rsid w:val="00974F57"/>
    <w:rsid w:val="00977087"/>
    <w:rsid w:val="009871B4"/>
    <w:rsid w:val="00991739"/>
    <w:rsid w:val="009A52DB"/>
    <w:rsid w:val="009A6DB8"/>
    <w:rsid w:val="009B0327"/>
    <w:rsid w:val="009B5882"/>
    <w:rsid w:val="009C6E7C"/>
    <w:rsid w:val="009F36EB"/>
    <w:rsid w:val="009F6E09"/>
    <w:rsid w:val="00A00553"/>
    <w:rsid w:val="00A04364"/>
    <w:rsid w:val="00A13F15"/>
    <w:rsid w:val="00A30A9B"/>
    <w:rsid w:val="00A35F89"/>
    <w:rsid w:val="00A43273"/>
    <w:rsid w:val="00A47FBC"/>
    <w:rsid w:val="00A528D4"/>
    <w:rsid w:val="00A61638"/>
    <w:rsid w:val="00A61BD1"/>
    <w:rsid w:val="00A672EA"/>
    <w:rsid w:val="00A7710A"/>
    <w:rsid w:val="00A77A74"/>
    <w:rsid w:val="00A834AF"/>
    <w:rsid w:val="00A90B55"/>
    <w:rsid w:val="00A96037"/>
    <w:rsid w:val="00A96F39"/>
    <w:rsid w:val="00AA588F"/>
    <w:rsid w:val="00AB2D56"/>
    <w:rsid w:val="00AB4AAF"/>
    <w:rsid w:val="00AB68D7"/>
    <w:rsid w:val="00AC08A6"/>
    <w:rsid w:val="00AC355B"/>
    <w:rsid w:val="00AC3E36"/>
    <w:rsid w:val="00AD2BAF"/>
    <w:rsid w:val="00AD425B"/>
    <w:rsid w:val="00AE68D3"/>
    <w:rsid w:val="00AE6BFA"/>
    <w:rsid w:val="00AF3BF2"/>
    <w:rsid w:val="00AF5AD2"/>
    <w:rsid w:val="00B07DBD"/>
    <w:rsid w:val="00B1062F"/>
    <w:rsid w:val="00B14106"/>
    <w:rsid w:val="00B14D41"/>
    <w:rsid w:val="00B22F5B"/>
    <w:rsid w:val="00B31B7D"/>
    <w:rsid w:val="00B34B01"/>
    <w:rsid w:val="00B368D4"/>
    <w:rsid w:val="00B41430"/>
    <w:rsid w:val="00B46BA7"/>
    <w:rsid w:val="00B47ED3"/>
    <w:rsid w:val="00B5197D"/>
    <w:rsid w:val="00B52FFE"/>
    <w:rsid w:val="00B539F7"/>
    <w:rsid w:val="00B55D62"/>
    <w:rsid w:val="00B62BF0"/>
    <w:rsid w:val="00B637E7"/>
    <w:rsid w:val="00B74326"/>
    <w:rsid w:val="00B749A0"/>
    <w:rsid w:val="00B76263"/>
    <w:rsid w:val="00B770CD"/>
    <w:rsid w:val="00B77A1A"/>
    <w:rsid w:val="00B818FA"/>
    <w:rsid w:val="00B837F9"/>
    <w:rsid w:val="00B9063D"/>
    <w:rsid w:val="00B91691"/>
    <w:rsid w:val="00B9296F"/>
    <w:rsid w:val="00B96551"/>
    <w:rsid w:val="00BA103C"/>
    <w:rsid w:val="00BA5FB3"/>
    <w:rsid w:val="00BA7372"/>
    <w:rsid w:val="00BB2D9F"/>
    <w:rsid w:val="00BC104A"/>
    <w:rsid w:val="00BC219E"/>
    <w:rsid w:val="00BD03A8"/>
    <w:rsid w:val="00BD3851"/>
    <w:rsid w:val="00BD72D7"/>
    <w:rsid w:val="00BD7841"/>
    <w:rsid w:val="00BE3AD9"/>
    <w:rsid w:val="00BF03C2"/>
    <w:rsid w:val="00BF6EAC"/>
    <w:rsid w:val="00C130BD"/>
    <w:rsid w:val="00C14FB5"/>
    <w:rsid w:val="00C16C2D"/>
    <w:rsid w:val="00C24A4F"/>
    <w:rsid w:val="00C24C03"/>
    <w:rsid w:val="00C27049"/>
    <w:rsid w:val="00C30380"/>
    <w:rsid w:val="00C30835"/>
    <w:rsid w:val="00C35E52"/>
    <w:rsid w:val="00C50631"/>
    <w:rsid w:val="00C50D74"/>
    <w:rsid w:val="00C554B8"/>
    <w:rsid w:val="00C560CE"/>
    <w:rsid w:val="00C600D4"/>
    <w:rsid w:val="00C65D98"/>
    <w:rsid w:val="00C811D4"/>
    <w:rsid w:val="00C87B16"/>
    <w:rsid w:val="00C91997"/>
    <w:rsid w:val="00C95254"/>
    <w:rsid w:val="00CA0928"/>
    <w:rsid w:val="00CA6B67"/>
    <w:rsid w:val="00CB08A2"/>
    <w:rsid w:val="00CC0DE2"/>
    <w:rsid w:val="00CC53F6"/>
    <w:rsid w:val="00CD3753"/>
    <w:rsid w:val="00CD5C48"/>
    <w:rsid w:val="00CE5493"/>
    <w:rsid w:val="00CE54E3"/>
    <w:rsid w:val="00CF2247"/>
    <w:rsid w:val="00D0057E"/>
    <w:rsid w:val="00D03F5A"/>
    <w:rsid w:val="00D05A4C"/>
    <w:rsid w:val="00D1197E"/>
    <w:rsid w:val="00D11C03"/>
    <w:rsid w:val="00D23E69"/>
    <w:rsid w:val="00D27E05"/>
    <w:rsid w:val="00D31CF7"/>
    <w:rsid w:val="00D416EF"/>
    <w:rsid w:val="00D43BB9"/>
    <w:rsid w:val="00D53D2B"/>
    <w:rsid w:val="00D56C58"/>
    <w:rsid w:val="00D60017"/>
    <w:rsid w:val="00D60AA1"/>
    <w:rsid w:val="00D65EBD"/>
    <w:rsid w:val="00D814F7"/>
    <w:rsid w:val="00D918BA"/>
    <w:rsid w:val="00DA76E7"/>
    <w:rsid w:val="00DB7A6C"/>
    <w:rsid w:val="00DD4BC9"/>
    <w:rsid w:val="00DE0131"/>
    <w:rsid w:val="00DE384F"/>
    <w:rsid w:val="00DF3F7E"/>
    <w:rsid w:val="00DF67A9"/>
    <w:rsid w:val="00DF6C84"/>
    <w:rsid w:val="00DF7377"/>
    <w:rsid w:val="00E02117"/>
    <w:rsid w:val="00E1094D"/>
    <w:rsid w:val="00E25F9D"/>
    <w:rsid w:val="00E33085"/>
    <w:rsid w:val="00E4264F"/>
    <w:rsid w:val="00E47D6C"/>
    <w:rsid w:val="00E50C32"/>
    <w:rsid w:val="00E52A94"/>
    <w:rsid w:val="00E532B6"/>
    <w:rsid w:val="00E53680"/>
    <w:rsid w:val="00E5375E"/>
    <w:rsid w:val="00E54D2F"/>
    <w:rsid w:val="00E66EC1"/>
    <w:rsid w:val="00E75EDB"/>
    <w:rsid w:val="00E77393"/>
    <w:rsid w:val="00E92E25"/>
    <w:rsid w:val="00EB00AF"/>
    <w:rsid w:val="00EB5306"/>
    <w:rsid w:val="00EC4ED3"/>
    <w:rsid w:val="00EE1A7B"/>
    <w:rsid w:val="00EE1F7F"/>
    <w:rsid w:val="00EE73BF"/>
    <w:rsid w:val="00EF1998"/>
    <w:rsid w:val="00EF7854"/>
    <w:rsid w:val="00F02F43"/>
    <w:rsid w:val="00F03BAD"/>
    <w:rsid w:val="00F0748C"/>
    <w:rsid w:val="00F10486"/>
    <w:rsid w:val="00F3665B"/>
    <w:rsid w:val="00F5190B"/>
    <w:rsid w:val="00F550BE"/>
    <w:rsid w:val="00F55CD4"/>
    <w:rsid w:val="00F6087D"/>
    <w:rsid w:val="00F60E6D"/>
    <w:rsid w:val="00F758E5"/>
    <w:rsid w:val="00F817AE"/>
    <w:rsid w:val="00F85178"/>
    <w:rsid w:val="00F90E76"/>
    <w:rsid w:val="00FA17A4"/>
    <w:rsid w:val="00FA3977"/>
    <w:rsid w:val="00FA7C6F"/>
    <w:rsid w:val="00FB0BE8"/>
    <w:rsid w:val="00FB511F"/>
    <w:rsid w:val="00FB767B"/>
    <w:rsid w:val="00FC05F8"/>
    <w:rsid w:val="00FC1161"/>
    <w:rsid w:val="00FC30DF"/>
    <w:rsid w:val="00FC61BB"/>
    <w:rsid w:val="00FD2EFD"/>
    <w:rsid w:val="00FD3342"/>
    <w:rsid w:val="00FD4CE0"/>
    <w:rsid w:val="00FE1FD9"/>
    <w:rsid w:val="00FE6EF3"/>
    <w:rsid w:val="00FF2721"/>
    <w:rsid w:val="00FF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B8B822E"/>
  <w15:docId w15:val="{CB050561-F7ED-4C4B-9001-BFB725A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3A5D"/>
    <w:rPr>
      <w:rFonts w:ascii="Times New Roman" w:eastAsia="Times New Roman" w:hAnsi="Times New Roman" w:cs="Times New Roman"/>
    </w:rPr>
  </w:style>
  <w:style w:type="paragraph" w:styleId="Heading1">
    <w:name w:val="heading 1"/>
    <w:basedOn w:val="Normal"/>
    <w:uiPriority w:val="1"/>
    <w:qFormat/>
    <w:rsid w:val="007156B8"/>
    <w:pPr>
      <w:spacing w:before="57" w:line="413" w:lineRule="exact"/>
      <w:ind w:left="135" w:right="135"/>
      <w:contextualSpacing/>
      <w:jc w:val="center"/>
      <w:outlineLvl w:val="0"/>
    </w:pPr>
    <w:rPr>
      <w:b/>
      <w:sz w:val="36"/>
    </w:rPr>
  </w:style>
  <w:style w:type="paragraph" w:styleId="Heading2">
    <w:name w:val="heading 2"/>
    <w:basedOn w:val="ListParagraph"/>
    <w:next w:val="Normal"/>
    <w:link w:val="Heading2Char"/>
    <w:uiPriority w:val="9"/>
    <w:unhideWhenUsed/>
    <w:qFormat/>
    <w:rsid w:val="002D43C0"/>
    <w:pPr>
      <w:numPr>
        <w:numId w:val="1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2D43C0"/>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2D43C0"/>
    <w:pPr>
      <w:numPr>
        <w:numId w:val="5"/>
      </w:numPr>
      <w:tabs>
        <w:tab w:val="left" w:pos="341"/>
      </w:tabs>
      <w:spacing w:before="202"/>
      <w:outlineLvl w:val="3"/>
    </w:pPr>
    <w:rPr>
      <w:b/>
      <w:sz w:val="24"/>
    </w:rPr>
  </w:style>
  <w:style w:type="paragraph" w:styleId="Heading5">
    <w:name w:val="heading 5"/>
    <w:basedOn w:val="Normal"/>
    <w:next w:val="Normal"/>
    <w:link w:val="Heading5Char"/>
    <w:uiPriority w:val="5"/>
    <w:qFormat/>
    <w:rsid w:val="009C6E7C"/>
    <w:pPr>
      <w:keepNext/>
      <w:widowControl/>
      <w:autoSpaceDE/>
      <w:autoSpaceDN/>
      <w:spacing w:before="320" w:after="12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D43C0"/>
    <w:pPr>
      <w:spacing w:before="269"/>
      <w:ind w:left="100"/>
    </w:pPr>
  </w:style>
  <w:style w:type="paragraph" w:styleId="TOC2">
    <w:name w:val="toc 2"/>
    <w:basedOn w:val="Normal"/>
    <w:uiPriority w:val="39"/>
    <w:qFormat/>
    <w:rsid w:val="007372F5"/>
    <w:pPr>
      <w:tabs>
        <w:tab w:val="left" w:pos="1080"/>
        <w:tab w:val="right" w:leader="dot" w:pos="9350"/>
      </w:tabs>
      <w:spacing w:before="99"/>
      <w:ind w:left="1080" w:hanging="450"/>
    </w:pPr>
    <w:rPr>
      <w:noProof/>
    </w:rPr>
  </w:style>
  <w:style w:type="paragraph" w:styleId="BodyText">
    <w:name w:val="Body Text"/>
    <w:basedOn w:val="Normal"/>
    <w:link w:val="BodyTextChar"/>
    <w:uiPriority w:val="1"/>
    <w:qFormat/>
    <w:rsid w:val="007156B8"/>
    <w:pPr>
      <w:widowControl/>
      <w:spacing w:after="240"/>
    </w:pPr>
    <w:rPr>
      <w:szCs w:val="24"/>
    </w:rPr>
  </w:style>
  <w:style w:type="paragraph" w:styleId="ListParagraph">
    <w:name w:val="List Paragraph"/>
    <w:basedOn w:val="Normal"/>
    <w:uiPriority w:val="34"/>
    <w:qFormat/>
    <w:rsid w:val="002D43C0"/>
    <w:pPr>
      <w:keepLines/>
      <w:widowControl/>
      <w:ind w:left="936" w:hanging="360"/>
    </w:pPr>
  </w:style>
  <w:style w:type="paragraph" w:customStyle="1" w:styleId="TableParagraph">
    <w:name w:val="Table Paragraph"/>
    <w:basedOn w:val="Normal"/>
    <w:uiPriority w:val="1"/>
    <w:qFormat/>
    <w:rsid w:val="002D43C0"/>
    <w:pPr>
      <w:spacing w:before="38"/>
    </w:pPr>
  </w:style>
  <w:style w:type="character" w:styleId="CommentReference">
    <w:name w:val="annotation reference"/>
    <w:basedOn w:val="DefaultParagraphFont"/>
    <w:uiPriority w:val="99"/>
    <w:semiHidden/>
    <w:unhideWhenUsed/>
    <w:rsid w:val="002D43C0"/>
    <w:rPr>
      <w:sz w:val="16"/>
      <w:szCs w:val="16"/>
    </w:rPr>
  </w:style>
  <w:style w:type="paragraph" w:styleId="CommentText">
    <w:name w:val="annotation text"/>
    <w:basedOn w:val="Normal"/>
    <w:link w:val="CommentTextChar"/>
    <w:uiPriority w:val="99"/>
    <w:unhideWhenUsed/>
    <w:rsid w:val="002D43C0"/>
    <w:rPr>
      <w:sz w:val="20"/>
      <w:szCs w:val="20"/>
    </w:rPr>
  </w:style>
  <w:style w:type="character" w:customStyle="1" w:styleId="CommentTextChar">
    <w:name w:val="Comment Text Char"/>
    <w:basedOn w:val="DefaultParagraphFont"/>
    <w:link w:val="CommentText"/>
    <w:uiPriority w:val="99"/>
    <w:rsid w:val="002D43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43C0"/>
    <w:rPr>
      <w:b/>
      <w:bCs/>
    </w:rPr>
  </w:style>
  <w:style w:type="character" w:customStyle="1" w:styleId="CommentSubjectChar">
    <w:name w:val="Comment Subject Char"/>
    <w:basedOn w:val="CommentTextChar"/>
    <w:link w:val="CommentSubject"/>
    <w:uiPriority w:val="99"/>
    <w:semiHidden/>
    <w:rsid w:val="002D43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4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3C0"/>
    <w:rPr>
      <w:rFonts w:ascii="Segoe UI" w:eastAsia="Times New Roman" w:hAnsi="Segoe UI" w:cs="Segoe UI"/>
      <w:sz w:val="18"/>
      <w:szCs w:val="18"/>
    </w:rPr>
  </w:style>
  <w:style w:type="character" w:styleId="Hyperlink">
    <w:name w:val="Hyperlink"/>
    <w:basedOn w:val="DefaultParagraphFont"/>
    <w:uiPriority w:val="99"/>
    <w:unhideWhenUsed/>
    <w:rsid w:val="002D43C0"/>
    <w:rPr>
      <w:color w:val="0000FF" w:themeColor="hyperlink"/>
      <w:u w:val="single"/>
    </w:rPr>
  </w:style>
  <w:style w:type="paragraph" w:styleId="FootnoteText">
    <w:name w:val="footnote text"/>
    <w:basedOn w:val="Normal"/>
    <w:link w:val="FootnoteTextChar"/>
    <w:uiPriority w:val="99"/>
    <w:semiHidden/>
    <w:unhideWhenUsed/>
    <w:rsid w:val="002D43C0"/>
    <w:rPr>
      <w:sz w:val="20"/>
      <w:szCs w:val="20"/>
    </w:rPr>
  </w:style>
  <w:style w:type="character" w:customStyle="1" w:styleId="FootnoteTextChar">
    <w:name w:val="Footnote Text Char"/>
    <w:basedOn w:val="DefaultParagraphFont"/>
    <w:link w:val="FootnoteText"/>
    <w:uiPriority w:val="99"/>
    <w:semiHidden/>
    <w:rsid w:val="002D43C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D43C0"/>
    <w:rPr>
      <w:vertAlign w:val="superscript"/>
    </w:rPr>
  </w:style>
  <w:style w:type="character" w:customStyle="1" w:styleId="tp-label">
    <w:name w:val="tp-label"/>
    <w:basedOn w:val="DefaultParagraphFont"/>
    <w:rsid w:val="002D43C0"/>
  </w:style>
  <w:style w:type="character" w:customStyle="1" w:styleId="Heading5Char">
    <w:name w:val="Heading 5 Char"/>
    <w:basedOn w:val="DefaultParagraphFont"/>
    <w:link w:val="Heading5"/>
    <w:uiPriority w:val="5"/>
    <w:rsid w:val="009C6E7C"/>
    <w:rPr>
      <w:rFonts w:ascii="Times New Roman" w:eastAsia="Times New Roman" w:hAnsi="Times New Roman" w:cs="Times New Roman"/>
      <w:b/>
      <w:bCs/>
      <w:i/>
      <w:iCs/>
      <w:szCs w:val="26"/>
    </w:rPr>
  </w:style>
  <w:style w:type="paragraph" w:customStyle="1" w:styleId="Default">
    <w:name w:val="Default"/>
    <w:rsid w:val="002D43C0"/>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6E3A5D"/>
    <w:pPr>
      <w:keepNext/>
      <w:keepLines/>
      <w:widowControl/>
      <w:autoSpaceDE/>
      <w:autoSpaceDN/>
      <w:spacing w:before="240" w:after="240" w:line="240" w:lineRule="auto"/>
      <w:ind w:left="0" w:right="0"/>
      <w:contextualSpacing w:val="0"/>
      <w:jc w:val="left"/>
      <w:outlineLvl w:val="9"/>
    </w:pPr>
    <w:rPr>
      <w:rFonts w:eastAsiaTheme="majorEastAsia" w:cstheme="majorBidi"/>
      <w:b w:val="0"/>
      <w:bCs/>
      <w:szCs w:val="32"/>
    </w:rPr>
  </w:style>
  <w:style w:type="character" w:customStyle="1" w:styleId="Heading3Char">
    <w:name w:val="Heading 3 Char"/>
    <w:basedOn w:val="DefaultParagraphFont"/>
    <w:link w:val="Heading3"/>
    <w:uiPriority w:val="9"/>
    <w:rsid w:val="002D43C0"/>
    <w:rPr>
      <w:rFonts w:ascii="Times New Roman" w:eastAsiaTheme="majorEastAsia" w:hAnsi="Times New Roman" w:cstheme="majorBidi"/>
      <w:b/>
      <w:i/>
      <w:color w:val="000000" w:themeColor="text1"/>
      <w:sz w:val="24"/>
      <w:szCs w:val="24"/>
    </w:rPr>
  </w:style>
  <w:style w:type="paragraph" w:styleId="NormalWeb">
    <w:name w:val="Normal (Web)"/>
    <w:basedOn w:val="Normal"/>
    <w:uiPriority w:val="99"/>
    <w:semiHidden/>
    <w:unhideWhenUsed/>
    <w:rsid w:val="002D43C0"/>
    <w:pPr>
      <w:widowControl/>
      <w:autoSpaceDE/>
      <w:autoSpaceDN/>
      <w:spacing w:before="100" w:beforeAutospacing="1" w:after="100" w:afterAutospacing="1"/>
    </w:pPr>
    <w:rPr>
      <w:rFonts w:eastAsiaTheme="minorHAnsi"/>
      <w:sz w:val="24"/>
      <w:szCs w:val="24"/>
    </w:rPr>
  </w:style>
  <w:style w:type="character" w:styleId="Emphasis">
    <w:name w:val="Emphasis"/>
    <w:basedOn w:val="DefaultParagraphFont"/>
    <w:uiPriority w:val="20"/>
    <w:qFormat/>
    <w:rsid w:val="002D43C0"/>
    <w:rPr>
      <w:i/>
      <w:iCs/>
    </w:rPr>
  </w:style>
  <w:style w:type="character" w:customStyle="1" w:styleId="BodyTextChar">
    <w:name w:val="Body Text Char"/>
    <w:basedOn w:val="DefaultParagraphFont"/>
    <w:link w:val="BodyText"/>
    <w:uiPriority w:val="1"/>
    <w:rsid w:val="007156B8"/>
    <w:rPr>
      <w:rFonts w:ascii="Times New Roman" w:eastAsia="Times New Roman" w:hAnsi="Times New Roman" w:cs="Times New Roman"/>
      <w:szCs w:val="24"/>
    </w:rPr>
  </w:style>
  <w:style w:type="paragraph" w:styleId="EndnoteText">
    <w:name w:val="endnote text"/>
    <w:basedOn w:val="Normal"/>
    <w:link w:val="EndnoteTextChar"/>
    <w:uiPriority w:val="99"/>
    <w:semiHidden/>
    <w:unhideWhenUsed/>
    <w:rsid w:val="002D43C0"/>
    <w:rPr>
      <w:sz w:val="20"/>
      <w:szCs w:val="20"/>
    </w:rPr>
  </w:style>
  <w:style w:type="character" w:customStyle="1" w:styleId="EndnoteTextChar">
    <w:name w:val="Endnote Text Char"/>
    <w:basedOn w:val="DefaultParagraphFont"/>
    <w:link w:val="EndnoteText"/>
    <w:uiPriority w:val="99"/>
    <w:semiHidden/>
    <w:rsid w:val="002D43C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43C0"/>
    <w:rPr>
      <w:vertAlign w:val="superscript"/>
    </w:rPr>
  </w:style>
  <w:style w:type="paragraph" w:styleId="Header">
    <w:name w:val="header"/>
    <w:basedOn w:val="Normal"/>
    <w:link w:val="HeaderChar"/>
    <w:uiPriority w:val="99"/>
    <w:unhideWhenUsed/>
    <w:rsid w:val="002D43C0"/>
    <w:pPr>
      <w:tabs>
        <w:tab w:val="center" w:pos="4680"/>
        <w:tab w:val="right" w:pos="9360"/>
      </w:tabs>
    </w:pPr>
  </w:style>
  <w:style w:type="character" w:customStyle="1" w:styleId="HeaderChar">
    <w:name w:val="Header Char"/>
    <w:basedOn w:val="DefaultParagraphFont"/>
    <w:link w:val="Header"/>
    <w:uiPriority w:val="99"/>
    <w:rsid w:val="002D43C0"/>
    <w:rPr>
      <w:rFonts w:ascii="Times New Roman" w:eastAsia="Times New Roman" w:hAnsi="Times New Roman" w:cs="Times New Roman"/>
    </w:rPr>
  </w:style>
  <w:style w:type="paragraph" w:styleId="Footer">
    <w:name w:val="footer"/>
    <w:basedOn w:val="Normal"/>
    <w:link w:val="FooterChar"/>
    <w:uiPriority w:val="99"/>
    <w:unhideWhenUsed/>
    <w:rsid w:val="002D43C0"/>
    <w:pPr>
      <w:tabs>
        <w:tab w:val="center" w:pos="4680"/>
        <w:tab w:val="right" w:pos="9360"/>
      </w:tabs>
    </w:pPr>
  </w:style>
  <w:style w:type="character" w:customStyle="1" w:styleId="FooterChar">
    <w:name w:val="Footer Char"/>
    <w:basedOn w:val="DefaultParagraphFont"/>
    <w:link w:val="Footer"/>
    <w:uiPriority w:val="99"/>
    <w:rsid w:val="002D43C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2D43C0"/>
    <w:rPr>
      <w:rFonts w:ascii="Times New Roman" w:eastAsia="Times New Roman" w:hAnsi="Times New Roman" w:cs="Times New Roman"/>
      <w:b/>
      <w:sz w:val="26"/>
    </w:rPr>
  </w:style>
  <w:style w:type="paragraph" w:styleId="Caption">
    <w:name w:val="caption"/>
    <w:basedOn w:val="Normal"/>
    <w:next w:val="Normal"/>
    <w:uiPriority w:val="35"/>
    <w:unhideWhenUsed/>
    <w:qFormat/>
    <w:rsid w:val="002D43C0"/>
    <w:pPr>
      <w:keepNext/>
      <w:keepLines/>
      <w:widowControl/>
      <w:spacing w:before="240" w:after="120"/>
    </w:pPr>
    <w:rPr>
      <w:b/>
      <w:sz w:val="24"/>
    </w:rPr>
  </w:style>
  <w:style w:type="paragraph" w:styleId="TOC3">
    <w:name w:val="toc 3"/>
    <w:basedOn w:val="Normal"/>
    <w:next w:val="Normal"/>
    <w:autoRedefine/>
    <w:uiPriority w:val="39"/>
    <w:unhideWhenUsed/>
    <w:rsid w:val="002D43C0"/>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2D43C0"/>
    <w:rPr>
      <w:rFonts w:ascii="Times New Roman" w:eastAsia="Times New Roman" w:hAnsi="Times New Roman" w:cs="Times New Roman"/>
      <w:b/>
      <w:sz w:val="24"/>
    </w:rPr>
  </w:style>
  <w:style w:type="paragraph" w:styleId="ListBullet">
    <w:name w:val="List Bullet"/>
    <w:basedOn w:val="Normal"/>
    <w:uiPriority w:val="99"/>
    <w:unhideWhenUsed/>
    <w:rsid w:val="004D6EBE"/>
    <w:pPr>
      <w:tabs>
        <w:tab w:val="num" w:pos="360"/>
      </w:tabs>
      <w:ind w:left="360" w:hanging="360"/>
      <w:contextualSpacing/>
    </w:pPr>
  </w:style>
  <w:style w:type="paragraph" w:styleId="ListBullet2">
    <w:name w:val="List Bullet 2"/>
    <w:basedOn w:val="Normal"/>
    <w:uiPriority w:val="99"/>
    <w:unhideWhenUsed/>
    <w:rsid w:val="002D43C0"/>
    <w:pPr>
      <w:widowControl/>
      <w:numPr>
        <w:numId w:val="20"/>
      </w:numPr>
      <w:spacing w:after="240"/>
      <w:contextualSpacing/>
    </w:pPr>
    <w:rPr>
      <w:sz w:val="24"/>
    </w:rPr>
  </w:style>
  <w:style w:type="paragraph" w:styleId="BodyTextIndent">
    <w:name w:val="Body Text Indent"/>
    <w:basedOn w:val="BodyText"/>
    <w:link w:val="BodyTextIndentChar"/>
    <w:uiPriority w:val="99"/>
    <w:unhideWhenUsed/>
    <w:rsid w:val="002D43C0"/>
    <w:pPr>
      <w:ind w:left="720" w:right="259"/>
    </w:pPr>
  </w:style>
  <w:style w:type="character" w:customStyle="1" w:styleId="BodyTextIndentChar">
    <w:name w:val="Body Text Indent Char"/>
    <w:basedOn w:val="DefaultParagraphFont"/>
    <w:link w:val="BodyTextIndent"/>
    <w:uiPriority w:val="99"/>
    <w:rsid w:val="002D43C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3C0"/>
    <w:rPr>
      <w:color w:val="800080" w:themeColor="followedHyperlink"/>
      <w:u w:val="single"/>
    </w:rPr>
  </w:style>
  <w:style w:type="paragraph" w:styleId="ListBullet3">
    <w:name w:val="List Bullet 3"/>
    <w:basedOn w:val="Normal"/>
    <w:uiPriority w:val="99"/>
    <w:unhideWhenUsed/>
    <w:rsid w:val="00BD72D7"/>
    <w:pPr>
      <w:numPr>
        <w:numId w:val="21"/>
      </w:numPr>
      <w:contextualSpacing/>
    </w:pPr>
  </w:style>
  <w:style w:type="paragraph" w:styleId="Revision">
    <w:name w:val="Revision"/>
    <w:hidden/>
    <w:uiPriority w:val="99"/>
    <w:semiHidden/>
    <w:rsid w:val="00A00553"/>
    <w:pPr>
      <w:widowControl/>
      <w:autoSpaceDE/>
      <w:autoSpaceDN/>
    </w:pPr>
    <w:rPr>
      <w:rFonts w:ascii="Times New Roman" w:eastAsia="Times New Roman" w:hAnsi="Times New Roman" w:cs="Times New Roman"/>
    </w:rPr>
  </w:style>
  <w:style w:type="paragraph" w:customStyle="1" w:styleId="paragraph">
    <w:name w:val="paragraph"/>
    <w:basedOn w:val="Normal"/>
    <w:rsid w:val="002A6665"/>
    <w:pPr>
      <w:widowControl/>
      <w:autoSpaceDE/>
      <w:autoSpaceDN/>
    </w:pPr>
    <w:rPr>
      <w:sz w:val="24"/>
      <w:szCs w:val="24"/>
    </w:rPr>
  </w:style>
  <w:style w:type="character" w:customStyle="1" w:styleId="eop">
    <w:name w:val="eop"/>
    <w:basedOn w:val="DefaultParagraphFont"/>
    <w:rsid w:val="002A6665"/>
  </w:style>
  <w:style w:type="table" w:styleId="TableGrid">
    <w:name w:val="Table Grid"/>
    <w:basedOn w:val="TableNormal"/>
    <w:uiPriority w:val="59"/>
    <w:rsid w:val="00FB0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Contents">
    <w:name w:val="Table of Contents"/>
    <w:basedOn w:val="Title"/>
    <w:uiPriority w:val="1"/>
    <w:qFormat/>
    <w:rsid w:val="007156B8"/>
    <w:pPr>
      <w:outlineLvl w:val="1"/>
    </w:pPr>
  </w:style>
  <w:style w:type="paragraph" w:customStyle="1" w:styleId="Heading2-CMS">
    <w:name w:val="Heading 2 - CMS"/>
    <w:basedOn w:val="Normal"/>
    <w:uiPriority w:val="1"/>
    <w:qFormat/>
    <w:rsid w:val="007156B8"/>
    <w:pPr>
      <w:spacing w:after="240" w:line="276" w:lineRule="auto"/>
      <w:outlineLvl w:val="1"/>
    </w:pPr>
    <w:rPr>
      <w:b/>
      <w:sz w:val="24"/>
      <w:szCs w:val="24"/>
      <w:lang w:bidi="he-IL"/>
    </w:rPr>
  </w:style>
  <w:style w:type="paragraph" w:customStyle="1" w:styleId="BodyText-cover">
    <w:name w:val="Body Text - cover"/>
    <w:basedOn w:val="Normal"/>
    <w:uiPriority w:val="1"/>
    <w:qFormat/>
    <w:rsid w:val="006E3A5D"/>
    <w:pPr>
      <w:spacing w:before="305" w:line="640" w:lineRule="atLeast"/>
      <w:jc w:val="center"/>
    </w:pPr>
    <w:rPr>
      <w:sz w:val="28"/>
    </w:rPr>
  </w:style>
  <w:style w:type="paragraph" w:customStyle="1" w:styleId="Tablecolumnheading-bold">
    <w:name w:val="Table column heading - bold"/>
    <w:basedOn w:val="Normal"/>
    <w:uiPriority w:val="1"/>
    <w:qFormat/>
    <w:rsid w:val="006E3A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pPr>
    <w:rPr>
      <w:b/>
      <w:bCs/>
      <w:color w:val="000000"/>
    </w:rPr>
  </w:style>
  <w:style w:type="paragraph" w:customStyle="1" w:styleId="Tablerowheading">
    <w:name w:val="Table row heading"/>
    <w:basedOn w:val="Normal"/>
    <w:uiPriority w:val="1"/>
    <w:qFormat/>
    <w:rsid w:val="00E426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pPr>
    <w:rPr>
      <w:color w:val="000000"/>
    </w:rPr>
  </w:style>
  <w:style w:type="paragraph" w:customStyle="1" w:styleId="Tablebodytext">
    <w:name w:val="Table body text"/>
    <w:basedOn w:val="Normal"/>
    <w:uiPriority w:val="1"/>
    <w:qFormat/>
    <w:rsid w:val="00E426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20" w:after="20"/>
      <w:jc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86358">
      <w:bodyDiv w:val="1"/>
      <w:marLeft w:val="0"/>
      <w:marRight w:val="0"/>
      <w:marTop w:val="0"/>
      <w:marBottom w:val="0"/>
      <w:divBdr>
        <w:top w:val="none" w:sz="0" w:space="0" w:color="auto"/>
        <w:left w:val="none" w:sz="0" w:space="0" w:color="auto"/>
        <w:bottom w:val="none" w:sz="0" w:space="0" w:color="auto"/>
        <w:right w:val="none" w:sz="0" w:space="0" w:color="auto"/>
      </w:divBdr>
    </w:div>
    <w:div w:id="315383195">
      <w:bodyDiv w:val="1"/>
      <w:marLeft w:val="0"/>
      <w:marRight w:val="0"/>
      <w:marTop w:val="0"/>
      <w:marBottom w:val="0"/>
      <w:divBdr>
        <w:top w:val="none" w:sz="0" w:space="0" w:color="auto"/>
        <w:left w:val="none" w:sz="0" w:space="0" w:color="auto"/>
        <w:bottom w:val="none" w:sz="0" w:space="0" w:color="auto"/>
        <w:right w:val="none" w:sz="0" w:space="0" w:color="auto"/>
      </w:divBdr>
      <w:divsChild>
        <w:div w:id="293219218">
          <w:marLeft w:val="490"/>
          <w:marRight w:val="0"/>
          <w:marTop w:val="86"/>
          <w:marBottom w:val="120"/>
          <w:divBdr>
            <w:top w:val="none" w:sz="0" w:space="0" w:color="auto"/>
            <w:left w:val="none" w:sz="0" w:space="0" w:color="auto"/>
            <w:bottom w:val="none" w:sz="0" w:space="0" w:color="auto"/>
            <w:right w:val="none" w:sz="0" w:space="0" w:color="auto"/>
          </w:divBdr>
        </w:div>
        <w:div w:id="223759415">
          <w:marLeft w:val="994"/>
          <w:marRight w:val="0"/>
          <w:marTop w:val="77"/>
          <w:marBottom w:val="120"/>
          <w:divBdr>
            <w:top w:val="none" w:sz="0" w:space="0" w:color="auto"/>
            <w:left w:val="none" w:sz="0" w:space="0" w:color="auto"/>
            <w:bottom w:val="none" w:sz="0" w:space="0" w:color="auto"/>
            <w:right w:val="none" w:sz="0" w:space="0" w:color="auto"/>
          </w:divBdr>
        </w:div>
        <w:div w:id="1355616039">
          <w:marLeft w:val="994"/>
          <w:marRight w:val="0"/>
          <w:marTop w:val="77"/>
          <w:marBottom w:val="120"/>
          <w:divBdr>
            <w:top w:val="none" w:sz="0" w:space="0" w:color="auto"/>
            <w:left w:val="none" w:sz="0" w:space="0" w:color="auto"/>
            <w:bottom w:val="none" w:sz="0" w:space="0" w:color="auto"/>
            <w:right w:val="none" w:sz="0" w:space="0" w:color="auto"/>
          </w:divBdr>
        </w:div>
        <w:div w:id="1905946951">
          <w:marLeft w:val="994"/>
          <w:marRight w:val="0"/>
          <w:marTop w:val="77"/>
          <w:marBottom w:val="120"/>
          <w:divBdr>
            <w:top w:val="none" w:sz="0" w:space="0" w:color="auto"/>
            <w:left w:val="none" w:sz="0" w:space="0" w:color="auto"/>
            <w:bottom w:val="none" w:sz="0" w:space="0" w:color="auto"/>
            <w:right w:val="none" w:sz="0" w:space="0" w:color="auto"/>
          </w:divBdr>
        </w:div>
        <w:div w:id="426197991">
          <w:marLeft w:val="994"/>
          <w:marRight w:val="0"/>
          <w:marTop w:val="77"/>
          <w:marBottom w:val="120"/>
          <w:divBdr>
            <w:top w:val="none" w:sz="0" w:space="0" w:color="auto"/>
            <w:left w:val="none" w:sz="0" w:space="0" w:color="auto"/>
            <w:bottom w:val="none" w:sz="0" w:space="0" w:color="auto"/>
            <w:right w:val="none" w:sz="0" w:space="0" w:color="auto"/>
          </w:divBdr>
        </w:div>
      </w:divsChild>
    </w:div>
    <w:div w:id="505218736">
      <w:bodyDiv w:val="1"/>
      <w:marLeft w:val="0"/>
      <w:marRight w:val="0"/>
      <w:marTop w:val="0"/>
      <w:marBottom w:val="0"/>
      <w:divBdr>
        <w:top w:val="none" w:sz="0" w:space="0" w:color="auto"/>
        <w:left w:val="none" w:sz="0" w:space="0" w:color="auto"/>
        <w:bottom w:val="none" w:sz="0" w:space="0" w:color="auto"/>
        <w:right w:val="none" w:sz="0" w:space="0" w:color="auto"/>
      </w:divBdr>
    </w:div>
    <w:div w:id="665086971">
      <w:bodyDiv w:val="1"/>
      <w:marLeft w:val="0"/>
      <w:marRight w:val="0"/>
      <w:marTop w:val="0"/>
      <w:marBottom w:val="0"/>
      <w:divBdr>
        <w:top w:val="none" w:sz="0" w:space="0" w:color="auto"/>
        <w:left w:val="none" w:sz="0" w:space="0" w:color="auto"/>
        <w:bottom w:val="none" w:sz="0" w:space="0" w:color="auto"/>
        <w:right w:val="none" w:sz="0" w:space="0" w:color="auto"/>
      </w:divBdr>
    </w:div>
    <w:div w:id="683632255">
      <w:bodyDiv w:val="1"/>
      <w:marLeft w:val="0"/>
      <w:marRight w:val="0"/>
      <w:marTop w:val="0"/>
      <w:marBottom w:val="0"/>
      <w:divBdr>
        <w:top w:val="none" w:sz="0" w:space="0" w:color="auto"/>
        <w:left w:val="none" w:sz="0" w:space="0" w:color="auto"/>
        <w:bottom w:val="none" w:sz="0" w:space="0" w:color="auto"/>
        <w:right w:val="none" w:sz="0" w:space="0" w:color="auto"/>
      </w:divBdr>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
    <w:div w:id="1237010635">
      <w:bodyDiv w:val="1"/>
      <w:marLeft w:val="0"/>
      <w:marRight w:val="0"/>
      <w:marTop w:val="0"/>
      <w:marBottom w:val="0"/>
      <w:divBdr>
        <w:top w:val="none" w:sz="0" w:space="0" w:color="auto"/>
        <w:left w:val="none" w:sz="0" w:space="0" w:color="auto"/>
        <w:bottom w:val="none" w:sz="0" w:space="0" w:color="auto"/>
        <w:right w:val="none" w:sz="0" w:space="0" w:color="auto"/>
      </w:divBdr>
    </w:div>
    <w:div w:id="1336223397">
      <w:bodyDiv w:val="1"/>
      <w:marLeft w:val="0"/>
      <w:marRight w:val="0"/>
      <w:marTop w:val="0"/>
      <w:marBottom w:val="0"/>
      <w:divBdr>
        <w:top w:val="none" w:sz="0" w:space="0" w:color="auto"/>
        <w:left w:val="none" w:sz="0" w:space="0" w:color="auto"/>
        <w:bottom w:val="none" w:sz="0" w:space="0" w:color="auto"/>
        <w:right w:val="none" w:sz="0" w:space="0" w:color="auto"/>
      </w:divBdr>
    </w:div>
    <w:div w:id="1573083492">
      <w:bodyDiv w:val="1"/>
      <w:marLeft w:val="0"/>
      <w:marRight w:val="0"/>
      <w:marTop w:val="0"/>
      <w:marBottom w:val="0"/>
      <w:divBdr>
        <w:top w:val="none" w:sz="0" w:space="0" w:color="auto"/>
        <w:left w:val="none" w:sz="0" w:space="0" w:color="auto"/>
        <w:bottom w:val="none" w:sz="0" w:space="0" w:color="auto"/>
        <w:right w:val="none" w:sz="0" w:space="0" w:color="auto"/>
      </w:divBdr>
    </w:div>
    <w:div w:id="1588419247">
      <w:bodyDiv w:val="1"/>
      <w:marLeft w:val="0"/>
      <w:marRight w:val="0"/>
      <w:marTop w:val="0"/>
      <w:marBottom w:val="0"/>
      <w:divBdr>
        <w:top w:val="none" w:sz="0" w:space="0" w:color="auto"/>
        <w:left w:val="none" w:sz="0" w:space="0" w:color="auto"/>
        <w:bottom w:val="none" w:sz="0" w:space="0" w:color="auto"/>
        <w:right w:val="none" w:sz="0" w:space="0" w:color="auto"/>
      </w:divBdr>
    </w:div>
    <w:div w:id="1682926097">
      <w:bodyDiv w:val="1"/>
      <w:marLeft w:val="0"/>
      <w:marRight w:val="0"/>
      <w:marTop w:val="0"/>
      <w:marBottom w:val="0"/>
      <w:divBdr>
        <w:top w:val="none" w:sz="0" w:space="0" w:color="auto"/>
        <w:left w:val="none" w:sz="0" w:space="0" w:color="auto"/>
        <w:bottom w:val="none" w:sz="0" w:space="0" w:color="auto"/>
        <w:right w:val="none" w:sz="0" w:space="0" w:color="auto"/>
      </w:divBdr>
    </w:div>
    <w:div w:id="1728408647">
      <w:bodyDiv w:val="1"/>
      <w:marLeft w:val="0"/>
      <w:marRight w:val="0"/>
      <w:marTop w:val="0"/>
      <w:marBottom w:val="0"/>
      <w:divBdr>
        <w:top w:val="none" w:sz="0" w:space="0" w:color="auto"/>
        <w:left w:val="none" w:sz="0" w:space="0" w:color="auto"/>
        <w:bottom w:val="none" w:sz="0" w:space="0" w:color="auto"/>
        <w:right w:val="none" w:sz="0" w:space="0" w:color="auto"/>
      </w:divBdr>
    </w:div>
    <w:div w:id="1961836333">
      <w:bodyDiv w:val="1"/>
      <w:marLeft w:val="0"/>
      <w:marRight w:val="0"/>
      <w:marTop w:val="0"/>
      <w:marBottom w:val="0"/>
      <w:divBdr>
        <w:top w:val="none" w:sz="0" w:space="0" w:color="auto"/>
        <w:left w:val="none" w:sz="0" w:space="0" w:color="auto"/>
        <w:bottom w:val="none" w:sz="0" w:space="0" w:color="auto"/>
        <w:right w:val="none" w:sz="0" w:space="0" w:color="auto"/>
      </w:divBdr>
    </w:div>
    <w:div w:id="206571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lrow-Edward@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bs@norc.org)%2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EEE7E-B506-4E7E-ABC0-C961A54D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CMS-P-0015A (0935-NEW) Emergency Supporting Statement B</vt:lpstr>
    </vt:vector>
  </TitlesOfParts>
  <Manager>CMS</Manager>
  <Company>CMS</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(0938-NEW) Emergency Supporting Statement B</dc:title>
  <dc:subject>Emergency MCBS Supporting Statement B</dc:subject>
  <dc:creator>CMS</dc:creator>
  <cp:keywords>MCBS; ICR package; OMB clearance; supporting statement</cp:keywords>
  <cp:lastModifiedBy>Andrea Mayfield</cp:lastModifiedBy>
  <cp:revision>8</cp:revision>
  <cp:lastPrinted>2019-03-15T19:40:00Z</cp:lastPrinted>
  <dcterms:created xsi:type="dcterms:W3CDTF">2021-10-11T19:13:00Z</dcterms:created>
  <dcterms:modified xsi:type="dcterms:W3CDTF">2022-02-23T22:42:00Z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