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B0A7F" w:rsidR="00870D59" w:rsidP="005B0A7F" w:rsidRDefault="00870D5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Cs/>
          <w:sz w:val="24"/>
        </w:rPr>
      </w:pPr>
      <w:bookmarkStart w:name="_GoBack" w:id="0"/>
      <w:bookmarkEnd w:id="0"/>
      <w:r w:rsidRPr="005B0A7F">
        <w:rPr>
          <w:bCs/>
          <w:sz w:val="24"/>
        </w:rPr>
        <w:t>Supporting Statement – Part A</w:t>
      </w:r>
    </w:p>
    <w:p w:rsidR="0012335B" w:rsidP="005B0A7F" w:rsidRDefault="009D776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Cs/>
          <w:sz w:val="24"/>
        </w:rPr>
      </w:pPr>
      <w:r w:rsidRPr="005B0A7F">
        <w:rPr>
          <w:bCs/>
          <w:sz w:val="24"/>
        </w:rPr>
        <w:t>Substance Use</w:t>
      </w:r>
      <w:r w:rsidRPr="005B0A7F" w:rsidR="000A4D47">
        <w:rPr>
          <w:bCs/>
          <w:sz w:val="24"/>
        </w:rPr>
        <w:t>-</w:t>
      </w:r>
      <w:r w:rsidRPr="005B0A7F">
        <w:rPr>
          <w:bCs/>
          <w:sz w:val="24"/>
        </w:rPr>
        <w:t>Disorder Prevention that Promotes Opioid Recovery</w:t>
      </w:r>
    </w:p>
    <w:p w:rsidR="0012335B" w:rsidP="005B0A7F" w:rsidRDefault="009D776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Cs/>
          <w:sz w:val="24"/>
        </w:rPr>
      </w:pPr>
      <w:r w:rsidRPr="005B0A7F">
        <w:rPr>
          <w:bCs/>
          <w:sz w:val="24"/>
        </w:rPr>
        <w:t xml:space="preserve">and Treatment </w:t>
      </w:r>
      <w:r w:rsidRPr="005B0A7F" w:rsidR="008251EF">
        <w:rPr>
          <w:bCs/>
          <w:sz w:val="24"/>
        </w:rPr>
        <w:t xml:space="preserve">(SUPPORT) </w:t>
      </w:r>
      <w:r w:rsidRPr="005B0A7F">
        <w:rPr>
          <w:bCs/>
          <w:sz w:val="24"/>
        </w:rPr>
        <w:t xml:space="preserve">for Patients and Communities Act </w:t>
      </w:r>
    </w:p>
    <w:p w:rsidR="005B0A7F" w:rsidP="005B0A7F" w:rsidRDefault="009D776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Cs/>
          <w:sz w:val="24"/>
        </w:rPr>
      </w:pPr>
      <w:r w:rsidRPr="005B0A7F">
        <w:rPr>
          <w:bCs/>
          <w:sz w:val="24"/>
        </w:rPr>
        <w:t>Section 1003 Demonstration Evaluation</w:t>
      </w:r>
    </w:p>
    <w:p w:rsidRPr="005B0A7F" w:rsidR="009D776C" w:rsidP="005B0A7F" w:rsidRDefault="005B0A7F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Cs/>
          <w:sz w:val="24"/>
        </w:rPr>
      </w:pPr>
      <w:r>
        <w:rPr>
          <w:bCs/>
          <w:sz w:val="24"/>
        </w:rPr>
        <w:t>CMS-10786, OMB 0938-TBD (New Collection)</w:t>
      </w:r>
    </w:p>
    <w:p w:rsidR="000A4D47" w:rsidRDefault="000A4D47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32"/>
          <w:szCs w:val="32"/>
        </w:rPr>
      </w:pPr>
    </w:p>
    <w:p w:rsidRPr="007856F3" w:rsidR="008F1EB4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7856F3">
        <w:rPr>
          <w:b/>
          <w:bCs/>
          <w:sz w:val="24"/>
        </w:rPr>
        <w:t>A.</w:t>
      </w:r>
      <w:r w:rsidRPr="007856F3">
        <w:rPr>
          <w:b/>
          <w:bCs/>
          <w:sz w:val="24"/>
        </w:rPr>
        <w:tab/>
        <w:t>Background</w:t>
      </w:r>
    </w:p>
    <w:p w:rsidR="008F1EB4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72011" w:rsidP="007A7481" w:rsidRDefault="00F72011">
      <w:pPr>
        <w:rPr>
          <w:sz w:val="24"/>
        </w:rPr>
      </w:pPr>
      <w:r w:rsidRPr="000F2370">
        <w:rPr>
          <w:sz w:val="24"/>
        </w:rPr>
        <w:t xml:space="preserve">The extent of the opioid epidemic in the United States is well known, </w:t>
      </w:r>
      <w:r w:rsidR="00596774">
        <w:rPr>
          <w:sz w:val="24"/>
        </w:rPr>
        <w:t>and effective treatments exist.</w:t>
      </w:r>
      <w:r w:rsidR="000A4D47">
        <w:rPr>
          <w:sz w:val="24"/>
        </w:rPr>
        <w:t xml:space="preserve"> </w:t>
      </w:r>
      <w:r w:rsidR="000610F1">
        <w:rPr>
          <w:sz w:val="24"/>
        </w:rPr>
        <w:t xml:space="preserve"> Medication</w:t>
      </w:r>
      <w:r w:rsidR="00955A85">
        <w:rPr>
          <w:sz w:val="24"/>
        </w:rPr>
        <w:t>-assisted treatment (MAT)</w:t>
      </w:r>
      <w:r w:rsidRPr="000F2370">
        <w:rPr>
          <w:sz w:val="24"/>
        </w:rPr>
        <w:t>, which incorporates medication with psychosocial treatment and/or supports, is the gold standard for treating opioid use disorder (OUD) and can be effective for treating alcohol use disorder.</w:t>
      </w:r>
      <w:r w:rsidRPr="000F2370">
        <w:rPr>
          <w:rStyle w:val="EndnoteReference"/>
          <w:sz w:val="24"/>
        </w:rPr>
        <w:endnoteReference w:id="1"/>
      </w:r>
      <w:r w:rsidRPr="000F2370">
        <w:rPr>
          <w:sz w:val="24"/>
        </w:rPr>
        <w:t xml:space="preserve">  Despite the presence of evidence-based treatment, however, significant capacity shortfalls in</w:t>
      </w:r>
      <w:r w:rsidR="00596774">
        <w:rPr>
          <w:sz w:val="24"/>
        </w:rPr>
        <w:t xml:space="preserve"> </w:t>
      </w:r>
      <w:r w:rsidR="00955A85">
        <w:rPr>
          <w:sz w:val="24"/>
        </w:rPr>
        <w:t xml:space="preserve">substance use disorder </w:t>
      </w:r>
      <w:r w:rsidR="00596774">
        <w:rPr>
          <w:sz w:val="24"/>
        </w:rPr>
        <w:t xml:space="preserve">(SUD) treatment </w:t>
      </w:r>
      <w:r w:rsidR="000A4D47">
        <w:rPr>
          <w:sz w:val="24"/>
        </w:rPr>
        <w:t xml:space="preserve">or </w:t>
      </w:r>
      <w:r w:rsidR="00596774">
        <w:rPr>
          <w:sz w:val="24"/>
        </w:rPr>
        <w:t>recovery</w:t>
      </w:r>
      <w:r w:rsidRPr="000F2370">
        <w:rPr>
          <w:sz w:val="24"/>
        </w:rPr>
        <w:t xml:space="preserve"> services are widespread across the United States, particularly in rural areas.</w:t>
      </w:r>
      <w:r w:rsidRPr="000F2370">
        <w:rPr>
          <w:rStyle w:val="EndnoteReference"/>
          <w:sz w:val="24"/>
        </w:rPr>
        <w:endnoteReference w:id="2"/>
      </w:r>
      <w:r w:rsidRPr="000F2370">
        <w:rPr>
          <w:sz w:val="24"/>
          <w:vertAlign w:val="superscript"/>
        </w:rPr>
        <w:t>,</w:t>
      </w:r>
      <w:r w:rsidRPr="000F2370">
        <w:rPr>
          <w:rStyle w:val="EndnoteReference"/>
          <w:sz w:val="24"/>
        </w:rPr>
        <w:endnoteReference w:id="3"/>
      </w:r>
      <w:r w:rsidRPr="000F2370">
        <w:rPr>
          <w:sz w:val="24"/>
        </w:rPr>
        <w:t xml:space="preserve">  </w:t>
      </w:r>
    </w:p>
    <w:p w:rsidR="00F72011" w:rsidP="007A7481" w:rsidRDefault="00F72011">
      <w:pPr>
        <w:rPr>
          <w:sz w:val="24"/>
        </w:rPr>
      </w:pPr>
    </w:p>
    <w:p w:rsidR="00F24BEC" w:rsidP="007A7481" w:rsidRDefault="007A7481">
      <w:pPr>
        <w:rPr>
          <w:sz w:val="24"/>
        </w:rPr>
      </w:pPr>
      <w:r w:rsidRPr="00F85684">
        <w:rPr>
          <w:sz w:val="24"/>
        </w:rPr>
        <w:t>Section 1003 of the Substance Use</w:t>
      </w:r>
      <w:r w:rsidR="000A4D47">
        <w:rPr>
          <w:sz w:val="24"/>
        </w:rPr>
        <w:t>-</w:t>
      </w:r>
      <w:r w:rsidRPr="00F85684">
        <w:rPr>
          <w:sz w:val="24"/>
        </w:rPr>
        <w:t>Disorder Prevention that Promotes Opioid Recovery and Treatment (SUPPORT) for Patients and Communities Act</w:t>
      </w:r>
      <w:r w:rsidR="00986916">
        <w:rPr>
          <w:sz w:val="24"/>
        </w:rPr>
        <w:t xml:space="preserve"> </w:t>
      </w:r>
      <w:r w:rsidRPr="00F85684" w:rsidR="00F24BEC">
        <w:rPr>
          <w:sz w:val="24"/>
        </w:rPr>
        <w:t xml:space="preserve">authorizes the Secretary of the Department of Health and Human Services (HHS), in consultation with </w:t>
      </w:r>
      <w:r w:rsidR="000A4D47">
        <w:rPr>
          <w:sz w:val="24"/>
        </w:rPr>
        <w:t xml:space="preserve">the </w:t>
      </w:r>
      <w:r w:rsidRPr="00F85684" w:rsidR="00F24BEC">
        <w:rPr>
          <w:sz w:val="24"/>
        </w:rPr>
        <w:t xml:space="preserve">Agency for Healthcare Research and Quality (AHRQ) and the Substance Abuse and Mental Health Services Administration (SAMHSA), to conduct a 54-month demonstration project (the </w:t>
      </w:r>
      <w:r w:rsidR="003E0C6F">
        <w:rPr>
          <w:sz w:val="24"/>
        </w:rPr>
        <w:t>s</w:t>
      </w:r>
      <w:r w:rsidRPr="00F85684" w:rsidR="00F24BEC">
        <w:rPr>
          <w:sz w:val="24"/>
        </w:rPr>
        <w:t xml:space="preserve">ection 1003 </w:t>
      </w:r>
      <w:r w:rsidR="003E0C6F">
        <w:rPr>
          <w:sz w:val="24"/>
        </w:rPr>
        <w:t>d</w:t>
      </w:r>
      <w:r w:rsidRPr="00F85684" w:rsidR="00F24BEC">
        <w:rPr>
          <w:sz w:val="24"/>
        </w:rPr>
        <w:t>emonstration) designed to increase the capacity of Medicaid providers to deliver SUD</w:t>
      </w:r>
      <w:r w:rsidR="00E9262A">
        <w:rPr>
          <w:sz w:val="24"/>
        </w:rPr>
        <w:t xml:space="preserve"> </w:t>
      </w:r>
      <w:r w:rsidR="00955A85">
        <w:rPr>
          <w:sz w:val="24"/>
        </w:rPr>
        <w:t xml:space="preserve">treatment </w:t>
      </w:r>
      <w:r w:rsidR="000A4D47">
        <w:rPr>
          <w:sz w:val="24"/>
        </w:rPr>
        <w:t xml:space="preserve">or </w:t>
      </w:r>
      <w:r w:rsidR="00955A85">
        <w:rPr>
          <w:sz w:val="24"/>
        </w:rPr>
        <w:t>recovery</w:t>
      </w:r>
      <w:r w:rsidRPr="000F2370" w:rsidR="00955A85">
        <w:rPr>
          <w:sz w:val="24"/>
        </w:rPr>
        <w:t xml:space="preserve"> </w:t>
      </w:r>
      <w:r w:rsidRPr="00F85684" w:rsidR="00F24BEC">
        <w:rPr>
          <w:sz w:val="24"/>
        </w:rPr>
        <w:t>services.</w:t>
      </w:r>
      <w:r w:rsidRPr="00F85684" w:rsidR="00F24BEC">
        <w:rPr>
          <w:rStyle w:val="EndnoteReference"/>
          <w:sz w:val="24"/>
        </w:rPr>
        <w:endnoteReference w:id="4"/>
      </w:r>
      <w:r w:rsidRPr="00F85684" w:rsidR="00F24BEC">
        <w:rPr>
          <w:sz w:val="24"/>
        </w:rPr>
        <w:t xml:space="preserve"> </w:t>
      </w:r>
      <w:r w:rsidR="000A4D47">
        <w:rPr>
          <w:sz w:val="24"/>
        </w:rPr>
        <w:t xml:space="preserve"> </w:t>
      </w:r>
      <w:r w:rsidRPr="00F24BEC" w:rsidR="00F24BEC">
        <w:rPr>
          <w:sz w:val="24"/>
        </w:rPr>
        <w:t xml:space="preserve">The </w:t>
      </w:r>
      <w:r w:rsidR="00596774">
        <w:rPr>
          <w:sz w:val="24"/>
        </w:rPr>
        <w:t xml:space="preserve">capacity and </w:t>
      </w:r>
      <w:r w:rsidRPr="00F24BEC" w:rsidR="00F24BEC">
        <w:rPr>
          <w:sz w:val="24"/>
        </w:rPr>
        <w:t xml:space="preserve">role of Medicaid </w:t>
      </w:r>
      <w:r w:rsidR="000A4D47">
        <w:rPr>
          <w:sz w:val="24"/>
        </w:rPr>
        <w:t>are</w:t>
      </w:r>
      <w:r w:rsidRPr="00F24BEC" w:rsidR="00F24BEC">
        <w:rPr>
          <w:sz w:val="24"/>
        </w:rPr>
        <w:t xml:space="preserve"> important because Medicaid </w:t>
      </w:r>
      <w:r w:rsidR="000A4D47">
        <w:rPr>
          <w:sz w:val="24"/>
        </w:rPr>
        <w:t>covers</w:t>
      </w:r>
      <w:r w:rsidRPr="00F24BEC" w:rsidR="00F24BEC">
        <w:rPr>
          <w:sz w:val="24"/>
        </w:rPr>
        <w:t xml:space="preserve"> a substantial percentage of</w:t>
      </w:r>
      <w:r w:rsidR="000A4D47">
        <w:rPr>
          <w:sz w:val="24"/>
        </w:rPr>
        <w:t xml:space="preserve"> adults with</w:t>
      </w:r>
      <w:r w:rsidRPr="00F24BEC" w:rsidR="00F24BEC">
        <w:rPr>
          <w:sz w:val="24"/>
        </w:rPr>
        <w:t xml:space="preserve"> SUD in the United States. </w:t>
      </w:r>
      <w:r w:rsidR="00304271">
        <w:rPr>
          <w:sz w:val="24"/>
        </w:rPr>
        <w:t xml:space="preserve"> </w:t>
      </w:r>
      <w:r w:rsidRPr="00F24BEC" w:rsidR="00F24BEC">
        <w:rPr>
          <w:sz w:val="24"/>
        </w:rPr>
        <w:t>An estimated 40 percent of adults</w:t>
      </w:r>
      <w:r w:rsidR="00955A85">
        <w:rPr>
          <w:sz w:val="24"/>
        </w:rPr>
        <w:t xml:space="preserve"> younger than age 65 years</w:t>
      </w:r>
      <w:r w:rsidRPr="00F24BEC" w:rsidR="00F24BEC">
        <w:rPr>
          <w:sz w:val="24"/>
        </w:rPr>
        <w:t xml:space="preserve"> with</w:t>
      </w:r>
      <w:r w:rsidR="00F24BEC">
        <w:rPr>
          <w:sz w:val="24"/>
        </w:rPr>
        <w:t xml:space="preserve"> OUD are covered by Medicaid.</w:t>
      </w:r>
      <w:r w:rsidR="00F24BEC">
        <w:rPr>
          <w:rStyle w:val="EndnoteReference"/>
        </w:rPr>
        <w:endnoteReference w:id="5"/>
      </w:r>
      <w:r w:rsidR="00F24BEC">
        <w:rPr>
          <w:sz w:val="24"/>
        </w:rPr>
        <w:t xml:space="preserve">  </w:t>
      </w:r>
      <w:r w:rsidRPr="00F85684" w:rsidR="00F24BEC">
        <w:rPr>
          <w:sz w:val="24"/>
        </w:rPr>
        <w:t xml:space="preserve">Enrollment of qualified SUD providers in Medicaid is critical and includes specialty SUD providers, general practitioners, and non-SUD specialties such as obstetricians. </w:t>
      </w:r>
    </w:p>
    <w:p w:rsidRPr="00F85684" w:rsidR="008A2E17" w:rsidP="007A7481" w:rsidRDefault="008A2E17">
      <w:pPr>
        <w:rPr>
          <w:sz w:val="24"/>
        </w:rPr>
      </w:pPr>
    </w:p>
    <w:p w:rsidR="00F24BEC" w:rsidP="007A7481" w:rsidRDefault="00F24BEC">
      <w:pPr>
        <w:rPr>
          <w:sz w:val="22"/>
          <w:szCs w:val="22"/>
        </w:rPr>
      </w:pPr>
      <w:r w:rsidRPr="00F85684">
        <w:rPr>
          <w:sz w:val="24"/>
        </w:rPr>
        <w:t xml:space="preserve">The </w:t>
      </w:r>
      <w:r w:rsidR="00955A85">
        <w:rPr>
          <w:sz w:val="24"/>
        </w:rPr>
        <w:t>s</w:t>
      </w:r>
      <w:r w:rsidRPr="00F85684">
        <w:rPr>
          <w:sz w:val="24"/>
        </w:rPr>
        <w:t xml:space="preserve">ection 1003 </w:t>
      </w:r>
      <w:r w:rsidR="003E0C6F">
        <w:rPr>
          <w:sz w:val="24"/>
        </w:rPr>
        <w:t>d</w:t>
      </w:r>
      <w:r w:rsidRPr="00F85684">
        <w:rPr>
          <w:sz w:val="24"/>
        </w:rPr>
        <w:t xml:space="preserve">emonstration comprises two components: (1) a </w:t>
      </w:r>
      <w:r w:rsidR="009262AA">
        <w:rPr>
          <w:sz w:val="24"/>
        </w:rPr>
        <w:t xml:space="preserve">planning </w:t>
      </w:r>
      <w:r w:rsidR="00955A85">
        <w:rPr>
          <w:sz w:val="24"/>
        </w:rPr>
        <w:t>period</w:t>
      </w:r>
      <w:r w:rsidRPr="00F85684">
        <w:rPr>
          <w:sz w:val="24"/>
        </w:rPr>
        <w:t xml:space="preserve">, with planning grants originally awarded for an 18-month period to 15 states with funding of up to $50 million in aggregate, and (2) a 36-month </w:t>
      </w:r>
      <w:r w:rsidR="009262AA">
        <w:rPr>
          <w:sz w:val="24"/>
        </w:rPr>
        <w:t>p</w:t>
      </w:r>
      <w:r w:rsidRPr="00F85684">
        <w:rPr>
          <w:sz w:val="24"/>
        </w:rPr>
        <w:t>ost-</w:t>
      </w:r>
      <w:r w:rsidR="009262AA">
        <w:rPr>
          <w:sz w:val="24"/>
        </w:rPr>
        <w:t>p</w:t>
      </w:r>
      <w:r w:rsidRPr="00F85684">
        <w:rPr>
          <w:sz w:val="24"/>
        </w:rPr>
        <w:t xml:space="preserve">lanning </w:t>
      </w:r>
      <w:r w:rsidR="00955A85">
        <w:rPr>
          <w:sz w:val="24"/>
        </w:rPr>
        <w:t>period</w:t>
      </w:r>
      <w:r w:rsidRPr="00F85684">
        <w:rPr>
          <w:sz w:val="24"/>
        </w:rPr>
        <w:t xml:space="preserve">, with up to </w:t>
      </w:r>
      <w:r w:rsidR="003F4D76">
        <w:rPr>
          <w:sz w:val="24"/>
        </w:rPr>
        <w:t>five</w:t>
      </w:r>
      <w:r w:rsidRPr="00F85684" w:rsidR="003F4D76">
        <w:rPr>
          <w:sz w:val="24"/>
        </w:rPr>
        <w:t xml:space="preserve"> </w:t>
      </w:r>
      <w:r w:rsidRPr="00F85684">
        <w:rPr>
          <w:sz w:val="24"/>
        </w:rPr>
        <w:t xml:space="preserve">states selected from among </w:t>
      </w:r>
      <w:r>
        <w:rPr>
          <w:sz w:val="24"/>
        </w:rPr>
        <w:t xml:space="preserve">the 15 </w:t>
      </w:r>
      <w:r w:rsidR="000A4D47">
        <w:rPr>
          <w:sz w:val="24"/>
        </w:rPr>
        <w:t>p</w:t>
      </w:r>
      <w:r w:rsidR="00955A85">
        <w:rPr>
          <w:sz w:val="24"/>
        </w:rPr>
        <w:t xml:space="preserve">lanning </w:t>
      </w:r>
      <w:r w:rsidR="000A4D47">
        <w:rPr>
          <w:sz w:val="24"/>
        </w:rPr>
        <w:t>g</w:t>
      </w:r>
      <w:r w:rsidR="00955A85">
        <w:rPr>
          <w:sz w:val="24"/>
        </w:rPr>
        <w:t xml:space="preserve">rant </w:t>
      </w:r>
      <w:r w:rsidR="000A4D47">
        <w:rPr>
          <w:sz w:val="24"/>
        </w:rPr>
        <w:t>s</w:t>
      </w:r>
      <w:r w:rsidR="00955A85">
        <w:rPr>
          <w:sz w:val="24"/>
        </w:rPr>
        <w:t>tates</w:t>
      </w:r>
      <w:r>
        <w:rPr>
          <w:sz w:val="24"/>
        </w:rPr>
        <w:t xml:space="preserve">.  </w:t>
      </w:r>
      <w:r w:rsidRPr="00F85684">
        <w:rPr>
          <w:sz w:val="24"/>
        </w:rPr>
        <w:t xml:space="preserve">The Centers for Medicare &amp; Medicaid Services (CMS) extended the timing of the demonstration to allow states to complete the planning grant activities </w:t>
      </w:r>
      <w:r w:rsidR="008251EF">
        <w:rPr>
          <w:sz w:val="24"/>
        </w:rPr>
        <w:t>given</w:t>
      </w:r>
      <w:r w:rsidRPr="00F85684" w:rsidR="008251EF">
        <w:rPr>
          <w:sz w:val="24"/>
        </w:rPr>
        <w:t xml:space="preserve"> </w:t>
      </w:r>
      <w:r w:rsidRPr="00F85684">
        <w:rPr>
          <w:sz w:val="24"/>
        </w:rPr>
        <w:t xml:space="preserve">impediments from the novel coronavirus (COVID-19) pandemic and the accompanying </w:t>
      </w:r>
      <w:r w:rsidRPr="00F85684" w:rsidR="000A4D47">
        <w:rPr>
          <w:sz w:val="24"/>
        </w:rPr>
        <w:t xml:space="preserve">public </w:t>
      </w:r>
      <w:r w:rsidRPr="005E0DC9" w:rsidR="000A4D47">
        <w:rPr>
          <w:sz w:val="24"/>
        </w:rPr>
        <w:t>health em</w:t>
      </w:r>
      <w:r w:rsidRPr="005E0DC9">
        <w:rPr>
          <w:sz w:val="24"/>
        </w:rPr>
        <w:t>ergency.  A related emergency waiver extended the planning grants an additional 6 months and</w:t>
      </w:r>
      <w:r w:rsidRPr="00AC07CD">
        <w:rPr>
          <w:sz w:val="24"/>
        </w:rPr>
        <w:t xml:space="preserve"> postponed the beginning of the </w:t>
      </w:r>
      <w:r w:rsidRPr="00AC07CD" w:rsidR="009262AA">
        <w:rPr>
          <w:sz w:val="24"/>
        </w:rPr>
        <w:t xml:space="preserve">post-planning </w:t>
      </w:r>
      <w:r w:rsidR="00955A85">
        <w:rPr>
          <w:sz w:val="24"/>
        </w:rPr>
        <w:t>period</w:t>
      </w:r>
      <w:r w:rsidRPr="00AC07CD" w:rsidR="009262AA">
        <w:rPr>
          <w:sz w:val="24"/>
        </w:rPr>
        <w:t xml:space="preserve"> </w:t>
      </w:r>
      <w:r w:rsidRPr="00AC07CD">
        <w:rPr>
          <w:sz w:val="24"/>
        </w:rPr>
        <w:t>accordingly.</w:t>
      </w:r>
      <w:r w:rsidRPr="00C001ED">
        <w:rPr>
          <w:sz w:val="22"/>
          <w:szCs w:val="22"/>
        </w:rPr>
        <w:t xml:space="preserve">  </w:t>
      </w:r>
      <w:r w:rsidRPr="00F24BEC">
        <w:rPr>
          <w:sz w:val="24"/>
        </w:rPr>
        <w:t xml:space="preserve">CMS plans to begin the 36-month </w:t>
      </w:r>
      <w:r w:rsidR="009262AA">
        <w:rPr>
          <w:sz w:val="24"/>
        </w:rPr>
        <w:t xml:space="preserve">post-planning </w:t>
      </w:r>
      <w:r w:rsidR="00955A85">
        <w:rPr>
          <w:sz w:val="24"/>
        </w:rPr>
        <w:t>period</w:t>
      </w:r>
      <w:r w:rsidRPr="00F24BEC">
        <w:rPr>
          <w:sz w:val="24"/>
        </w:rPr>
        <w:t xml:space="preserve"> </w:t>
      </w:r>
      <w:r w:rsidR="00445E1A">
        <w:rPr>
          <w:sz w:val="24"/>
        </w:rPr>
        <w:t>o</w:t>
      </w:r>
      <w:r w:rsidRPr="00F24BEC">
        <w:rPr>
          <w:sz w:val="24"/>
        </w:rPr>
        <w:t>n October 1, 2021</w:t>
      </w:r>
      <w:r w:rsidR="000A4D47">
        <w:rPr>
          <w:sz w:val="24"/>
        </w:rPr>
        <w:t>, to last</w:t>
      </w:r>
      <w:r w:rsidRPr="00F24BEC">
        <w:rPr>
          <w:sz w:val="24"/>
        </w:rPr>
        <w:t xml:space="preserve"> through October 1, 2024. </w:t>
      </w:r>
      <w:r w:rsidR="000A4D47">
        <w:rPr>
          <w:sz w:val="24"/>
        </w:rPr>
        <w:t xml:space="preserve"> </w:t>
      </w:r>
      <w:r w:rsidRPr="00F24BEC">
        <w:rPr>
          <w:sz w:val="24"/>
        </w:rPr>
        <w:t xml:space="preserve">The </w:t>
      </w:r>
      <w:r w:rsidR="00E9262A">
        <w:rPr>
          <w:sz w:val="24"/>
        </w:rPr>
        <w:t>d</w:t>
      </w:r>
      <w:r w:rsidRPr="00F24BEC">
        <w:rPr>
          <w:sz w:val="24"/>
        </w:rPr>
        <w:t>emonstration will build on the</w:t>
      </w:r>
      <w:r w:rsidR="009262AA">
        <w:rPr>
          <w:sz w:val="24"/>
        </w:rPr>
        <w:t xml:space="preserve"> planning </w:t>
      </w:r>
      <w:r w:rsidR="00955A85">
        <w:rPr>
          <w:sz w:val="24"/>
        </w:rPr>
        <w:t>period</w:t>
      </w:r>
      <w:r w:rsidRPr="00F24BEC">
        <w:rPr>
          <w:sz w:val="24"/>
        </w:rPr>
        <w:t xml:space="preserve"> and will include enhanced reimbursement for defined Medicaid services.</w:t>
      </w:r>
      <w:r w:rsidRPr="00C001ED">
        <w:rPr>
          <w:sz w:val="22"/>
          <w:szCs w:val="22"/>
        </w:rPr>
        <w:t xml:space="preserve">  </w:t>
      </w:r>
    </w:p>
    <w:p w:rsidRPr="00C001ED" w:rsidR="000A4D47" w:rsidP="007A7481" w:rsidRDefault="000A4D47">
      <w:pPr>
        <w:rPr>
          <w:sz w:val="22"/>
          <w:szCs w:val="22"/>
        </w:rPr>
      </w:pPr>
    </w:p>
    <w:p w:rsidRPr="00F85684" w:rsidR="00F24BEC" w:rsidP="00445E1A" w:rsidRDefault="00F24BEC">
      <w:pPr>
        <w:pStyle w:val="AHeading1"/>
      </w:pPr>
      <w:bookmarkStart w:name="_Toc56435356" w:id="1"/>
      <w:r w:rsidRPr="00F85684">
        <w:t>Planning Grants</w:t>
      </w:r>
      <w:bookmarkEnd w:id="1"/>
      <w:r w:rsidRPr="00F85684">
        <w:t xml:space="preserve"> </w:t>
      </w:r>
    </w:p>
    <w:p w:rsidR="00F24BEC" w:rsidP="00445E1A" w:rsidRDefault="00F24BEC">
      <w:pPr>
        <w:widowControl/>
        <w:rPr>
          <w:sz w:val="24"/>
        </w:rPr>
      </w:pPr>
      <w:r w:rsidRPr="00CF2832">
        <w:rPr>
          <w:sz w:val="24"/>
        </w:rPr>
        <w:t>The 18-month planning grants were the f</w:t>
      </w:r>
      <w:r w:rsidRPr="00CF2832" w:rsidR="00CF2832">
        <w:rPr>
          <w:sz w:val="24"/>
        </w:rPr>
        <w:t xml:space="preserve">irst stage of the </w:t>
      </w:r>
      <w:r w:rsidR="00E9262A">
        <w:rPr>
          <w:sz w:val="24"/>
        </w:rPr>
        <w:t>d</w:t>
      </w:r>
      <w:r w:rsidRPr="00CF2832" w:rsidR="00CF2832">
        <w:rPr>
          <w:sz w:val="24"/>
        </w:rPr>
        <w:t xml:space="preserve">emonstration. </w:t>
      </w:r>
      <w:r w:rsidR="000A4D47">
        <w:rPr>
          <w:sz w:val="24"/>
        </w:rPr>
        <w:t xml:space="preserve"> </w:t>
      </w:r>
      <w:r w:rsidRPr="00CF2832">
        <w:rPr>
          <w:sz w:val="24"/>
        </w:rPr>
        <w:t>The</w:t>
      </w:r>
      <w:r w:rsidR="009262AA">
        <w:rPr>
          <w:sz w:val="24"/>
        </w:rPr>
        <w:t xml:space="preserve"> planning </w:t>
      </w:r>
      <w:r w:rsidR="00955A85">
        <w:rPr>
          <w:sz w:val="24"/>
        </w:rPr>
        <w:t>period</w:t>
      </w:r>
      <w:r w:rsidRPr="00CF2832">
        <w:rPr>
          <w:sz w:val="24"/>
        </w:rPr>
        <w:t xml:space="preserve"> included the award of up to $50 million in aggregate to the 15 selected states and the provision of technical assistance for the</w:t>
      </w:r>
      <w:r w:rsidR="008251EF">
        <w:rPr>
          <w:sz w:val="24"/>
        </w:rPr>
        <w:t xml:space="preserve">se </w:t>
      </w:r>
      <w:r w:rsidRPr="00CF2832">
        <w:rPr>
          <w:sz w:val="24"/>
        </w:rPr>
        <w:t xml:space="preserve">states. </w:t>
      </w:r>
      <w:r w:rsidR="000A4D47">
        <w:rPr>
          <w:sz w:val="24"/>
        </w:rPr>
        <w:t xml:space="preserve"> </w:t>
      </w:r>
      <w:r w:rsidRPr="00CF2832">
        <w:rPr>
          <w:sz w:val="24"/>
        </w:rPr>
        <w:t>CMS selected the</w:t>
      </w:r>
      <w:r w:rsidR="009262AA">
        <w:rPr>
          <w:sz w:val="24"/>
        </w:rPr>
        <w:t xml:space="preserve"> planning </w:t>
      </w:r>
      <w:r w:rsidR="00955A85">
        <w:rPr>
          <w:sz w:val="24"/>
        </w:rPr>
        <w:t>period</w:t>
      </w:r>
      <w:r w:rsidRPr="00CF2832">
        <w:rPr>
          <w:sz w:val="24"/>
        </w:rPr>
        <w:t xml:space="preserve"> states based on criteria that included a review of the applicants’ submissions for the following:</w:t>
      </w:r>
    </w:p>
    <w:p w:rsidRPr="00CF2832" w:rsidR="003121A0" w:rsidP="00C001ED" w:rsidRDefault="003121A0">
      <w:pPr>
        <w:rPr>
          <w:sz w:val="24"/>
        </w:rPr>
      </w:pPr>
    </w:p>
    <w:p w:rsidRPr="00CF2832" w:rsidR="00F24BEC" w:rsidP="00445E1A" w:rsidRDefault="00F24BEC">
      <w:pPr>
        <w:pStyle w:val="ListParagraph"/>
        <w:numPr>
          <w:ilvl w:val="0"/>
          <w:numId w:val="7"/>
        </w:numPr>
        <w:spacing w:after="80"/>
        <w:contextualSpacing w:val="0"/>
        <w:rPr>
          <w:rFonts w:cs="Times New Roman"/>
          <w:color w:val="auto"/>
          <w:sz w:val="24"/>
          <w:szCs w:val="24"/>
        </w:rPr>
      </w:pPr>
      <w:r w:rsidRPr="00CF2832">
        <w:rPr>
          <w:rFonts w:cs="Times New Roman"/>
          <w:color w:val="auto"/>
          <w:sz w:val="24"/>
          <w:szCs w:val="24"/>
        </w:rPr>
        <w:lastRenderedPageBreak/>
        <w:t xml:space="preserve">Proposed </w:t>
      </w:r>
      <w:r w:rsidRPr="00CF2832">
        <w:rPr>
          <w:rFonts w:cs="Times New Roman"/>
          <w:bCs/>
          <w:color w:val="auto"/>
          <w:sz w:val="24"/>
          <w:szCs w:val="24"/>
        </w:rPr>
        <w:t>activities to support the development of an initial assessment of the mental health and SUD treatment needs</w:t>
      </w:r>
      <w:r w:rsidRPr="00CF2832">
        <w:rPr>
          <w:rFonts w:cs="Times New Roman"/>
          <w:color w:val="auto"/>
          <w:sz w:val="24"/>
          <w:szCs w:val="24"/>
        </w:rPr>
        <w:t xml:space="preserve"> of the state to determine the extent to which providers are needed to address the SUD </w:t>
      </w:r>
      <w:r w:rsidR="000A4D47">
        <w:rPr>
          <w:rFonts w:cs="Times New Roman"/>
          <w:color w:val="auto"/>
          <w:sz w:val="24"/>
          <w:szCs w:val="24"/>
        </w:rPr>
        <w:t>treatment or recovery</w:t>
      </w:r>
      <w:r w:rsidRPr="00CF2832">
        <w:rPr>
          <w:rFonts w:cs="Times New Roman"/>
          <w:color w:val="auto"/>
          <w:sz w:val="24"/>
          <w:szCs w:val="24"/>
        </w:rPr>
        <w:t xml:space="preserve"> needs of Medicaid beneficiaries</w:t>
      </w:r>
      <w:r w:rsidR="000A4D47">
        <w:rPr>
          <w:rFonts w:cs="Times New Roman"/>
          <w:color w:val="auto"/>
          <w:sz w:val="24"/>
          <w:szCs w:val="24"/>
        </w:rPr>
        <w:t xml:space="preserve">; </w:t>
      </w:r>
    </w:p>
    <w:p w:rsidRPr="00CF2832" w:rsidR="00F24BEC" w:rsidP="00445E1A" w:rsidRDefault="00F24BEC">
      <w:pPr>
        <w:pStyle w:val="ListParagraph"/>
        <w:numPr>
          <w:ilvl w:val="0"/>
          <w:numId w:val="7"/>
        </w:numPr>
        <w:spacing w:after="80"/>
        <w:contextualSpacing w:val="0"/>
        <w:rPr>
          <w:rFonts w:cs="Times New Roman"/>
          <w:color w:val="auto"/>
          <w:sz w:val="24"/>
          <w:szCs w:val="24"/>
        </w:rPr>
      </w:pPr>
      <w:r w:rsidRPr="00CF2832">
        <w:rPr>
          <w:rFonts w:cs="Times New Roman"/>
          <w:color w:val="auto"/>
          <w:sz w:val="24"/>
          <w:szCs w:val="24"/>
        </w:rPr>
        <w:t xml:space="preserve">Proposed </w:t>
      </w:r>
      <w:r w:rsidRPr="00CF2832">
        <w:rPr>
          <w:rFonts w:cs="Times New Roman"/>
          <w:bCs/>
          <w:color w:val="auto"/>
          <w:sz w:val="24"/>
          <w:szCs w:val="24"/>
        </w:rPr>
        <w:t>activities that</w:t>
      </w:r>
      <w:r w:rsidRPr="00CF2832">
        <w:rPr>
          <w:rFonts w:cs="Times New Roman"/>
          <w:color w:val="auto"/>
          <w:sz w:val="24"/>
          <w:szCs w:val="24"/>
        </w:rPr>
        <w:t xml:space="preserve">, taking into account the results of the assessment, </w:t>
      </w:r>
      <w:r w:rsidRPr="00CF2832">
        <w:rPr>
          <w:rFonts w:cs="Times New Roman"/>
          <w:bCs/>
          <w:color w:val="auto"/>
          <w:sz w:val="24"/>
          <w:szCs w:val="24"/>
        </w:rPr>
        <w:t>would support the development of state infrastructure</w:t>
      </w:r>
      <w:r w:rsidRPr="00CF2832">
        <w:rPr>
          <w:rFonts w:cs="Times New Roman"/>
          <w:color w:val="auto"/>
          <w:sz w:val="24"/>
          <w:szCs w:val="24"/>
        </w:rPr>
        <w:t>, including to recruit prospective providers and provide training and technical assistance to providers who deliver SUD treatment or recovery services to Medicaid beneficiaries</w:t>
      </w:r>
      <w:r w:rsidR="000A4D47">
        <w:rPr>
          <w:rFonts w:cs="Times New Roman"/>
          <w:color w:val="auto"/>
          <w:sz w:val="24"/>
          <w:szCs w:val="24"/>
        </w:rPr>
        <w:t xml:space="preserve">; </w:t>
      </w:r>
    </w:p>
    <w:p w:rsidRPr="00CF2832" w:rsidR="00F24BEC" w:rsidP="00445E1A" w:rsidRDefault="00F24BEC">
      <w:pPr>
        <w:pStyle w:val="ListParagraph"/>
        <w:numPr>
          <w:ilvl w:val="0"/>
          <w:numId w:val="7"/>
        </w:numPr>
        <w:spacing w:after="80"/>
        <w:contextualSpacing w:val="0"/>
        <w:rPr>
          <w:rFonts w:cs="Times New Roman"/>
          <w:color w:val="auto"/>
          <w:sz w:val="24"/>
          <w:szCs w:val="24"/>
        </w:rPr>
      </w:pPr>
      <w:r w:rsidRPr="00CF2832">
        <w:rPr>
          <w:rFonts w:cs="Times New Roman"/>
          <w:color w:val="auto"/>
          <w:sz w:val="24"/>
          <w:szCs w:val="24"/>
        </w:rPr>
        <w:t xml:space="preserve">Proposed </w:t>
      </w:r>
      <w:r w:rsidRPr="00CF2832">
        <w:rPr>
          <w:rFonts w:cs="Times New Roman"/>
          <w:bCs/>
          <w:color w:val="auto"/>
          <w:sz w:val="24"/>
          <w:szCs w:val="24"/>
        </w:rPr>
        <w:t>activities to improve reimbursement, training, and education</w:t>
      </w:r>
      <w:r w:rsidRPr="00CF2832">
        <w:rPr>
          <w:rFonts w:cs="Times New Roman"/>
          <w:color w:val="auto"/>
          <w:sz w:val="24"/>
          <w:szCs w:val="24"/>
        </w:rPr>
        <w:t xml:space="preserve"> to expand Medicaid provider capacity to deliver SUD </w:t>
      </w:r>
      <w:r w:rsidR="000A4D47">
        <w:rPr>
          <w:rFonts w:cs="Times New Roman"/>
          <w:color w:val="auto"/>
          <w:sz w:val="24"/>
          <w:szCs w:val="24"/>
        </w:rPr>
        <w:t>treatment or recovery</w:t>
      </w:r>
      <w:r w:rsidRPr="00CF2832">
        <w:rPr>
          <w:rFonts w:cs="Times New Roman"/>
          <w:color w:val="auto"/>
          <w:sz w:val="24"/>
          <w:szCs w:val="24"/>
        </w:rPr>
        <w:t xml:space="preserve"> services</w:t>
      </w:r>
      <w:r w:rsidR="000A4D47">
        <w:rPr>
          <w:rFonts w:cs="Times New Roman"/>
          <w:color w:val="auto"/>
          <w:sz w:val="24"/>
          <w:szCs w:val="24"/>
        </w:rPr>
        <w:t xml:space="preserve">; and </w:t>
      </w:r>
    </w:p>
    <w:p w:rsidR="00F24BEC" w:rsidP="00E9262A" w:rsidRDefault="00F24BEC">
      <w:pPr>
        <w:pStyle w:val="ListParagraph"/>
        <w:numPr>
          <w:ilvl w:val="0"/>
          <w:numId w:val="7"/>
        </w:numPr>
        <w:spacing w:after="0"/>
        <w:rPr>
          <w:rFonts w:cs="Times New Roman"/>
          <w:color w:val="auto"/>
          <w:sz w:val="24"/>
          <w:szCs w:val="24"/>
        </w:rPr>
      </w:pPr>
      <w:r w:rsidRPr="00CF2832">
        <w:rPr>
          <w:rFonts w:cs="Times New Roman"/>
          <w:color w:val="auto"/>
          <w:sz w:val="24"/>
          <w:szCs w:val="24"/>
        </w:rPr>
        <w:t xml:space="preserve">Proposed </w:t>
      </w:r>
      <w:r w:rsidRPr="00CF2832">
        <w:rPr>
          <w:rFonts w:cs="Times New Roman"/>
          <w:bCs/>
          <w:color w:val="auto"/>
          <w:sz w:val="24"/>
          <w:szCs w:val="24"/>
        </w:rPr>
        <w:t>activities to develop projections regarding the extent to which the state would increase the number and capacity</w:t>
      </w:r>
      <w:r w:rsidRPr="00CF2832">
        <w:rPr>
          <w:rFonts w:cs="Times New Roman"/>
          <w:color w:val="auto"/>
          <w:sz w:val="24"/>
          <w:szCs w:val="24"/>
        </w:rPr>
        <w:t xml:space="preserve"> of Medicaid providers offering SUD </w:t>
      </w:r>
      <w:r w:rsidR="000A4D47">
        <w:rPr>
          <w:rFonts w:cs="Times New Roman"/>
          <w:color w:val="auto"/>
          <w:sz w:val="24"/>
          <w:szCs w:val="24"/>
        </w:rPr>
        <w:t xml:space="preserve">treatment or recovery </w:t>
      </w:r>
      <w:r w:rsidRPr="00CF2832">
        <w:rPr>
          <w:rFonts w:cs="Times New Roman"/>
          <w:color w:val="auto"/>
          <w:sz w:val="24"/>
          <w:szCs w:val="24"/>
        </w:rPr>
        <w:t xml:space="preserve">services, as well as the willingness of Medicaid providers to offer SUD </w:t>
      </w:r>
      <w:r w:rsidR="000A4D47">
        <w:rPr>
          <w:rFonts w:cs="Times New Roman"/>
          <w:color w:val="auto"/>
          <w:sz w:val="24"/>
          <w:szCs w:val="24"/>
        </w:rPr>
        <w:t>treatment or recovery</w:t>
      </w:r>
      <w:r w:rsidRPr="00CF2832">
        <w:rPr>
          <w:rFonts w:cs="Times New Roman"/>
          <w:color w:val="auto"/>
          <w:sz w:val="24"/>
          <w:szCs w:val="24"/>
        </w:rPr>
        <w:t xml:space="preserve"> services, during the demonstration project.</w:t>
      </w:r>
    </w:p>
    <w:p w:rsidRPr="00CF2832" w:rsidR="000A4D47" w:rsidP="00445E1A" w:rsidRDefault="000A4D47">
      <w:pPr>
        <w:pStyle w:val="ListParagraph"/>
        <w:spacing w:after="0"/>
        <w:rPr>
          <w:rFonts w:cs="Times New Roman"/>
          <w:color w:val="auto"/>
          <w:sz w:val="24"/>
          <w:szCs w:val="24"/>
        </w:rPr>
      </w:pPr>
    </w:p>
    <w:p w:rsidRPr="00CF2832" w:rsidR="00CF2832" w:rsidP="00445E1A" w:rsidRDefault="00CF2832">
      <w:pPr>
        <w:pStyle w:val="AHeading1"/>
      </w:pPr>
      <w:bookmarkStart w:name="_Toc56435357" w:id="2"/>
      <w:r w:rsidRPr="00CF2832">
        <w:t xml:space="preserve">Post-Planning </w:t>
      </w:r>
      <w:bookmarkEnd w:id="2"/>
      <w:r w:rsidR="00955A85">
        <w:t>Period</w:t>
      </w:r>
      <w:r>
        <w:t xml:space="preserve"> </w:t>
      </w:r>
    </w:p>
    <w:p w:rsidR="00F24BEC" w:rsidP="003D063F" w:rsidRDefault="00CF2832">
      <w:pPr>
        <w:rPr>
          <w:sz w:val="24"/>
        </w:rPr>
      </w:pPr>
      <w:r w:rsidRPr="00CF2832">
        <w:rPr>
          <w:sz w:val="24"/>
        </w:rPr>
        <w:t xml:space="preserve">The 36-month </w:t>
      </w:r>
      <w:r w:rsidR="009262AA">
        <w:rPr>
          <w:sz w:val="24"/>
        </w:rPr>
        <w:t xml:space="preserve">post-planning </w:t>
      </w:r>
      <w:r w:rsidR="00955A85">
        <w:rPr>
          <w:sz w:val="24"/>
        </w:rPr>
        <w:t>period</w:t>
      </w:r>
      <w:r w:rsidRPr="00CF2832">
        <w:rPr>
          <w:sz w:val="24"/>
        </w:rPr>
        <w:t xml:space="preserve"> </w:t>
      </w:r>
      <w:r w:rsidR="008251EF">
        <w:rPr>
          <w:sz w:val="24"/>
        </w:rPr>
        <w:t>will be</w:t>
      </w:r>
      <w:r w:rsidRPr="00CF2832">
        <w:rPr>
          <w:sz w:val="24"/>
        </w:rPr>
        <w:t xml:space="preserve"> a demons</w:t>
      </w:r>
      <w:r>
        <w:rPr>
          <w:sz w:val="24"/>
        </w:rPr>
        <w:t xml:space="preserve">tration with up to five states. </w:t>
      </w:r>
      <w:r w:rsidR="00893827">
        <w:rPr>
          <w:sz w:val="24"/>
        </w:rPr>
        <w:t xml:space="preserve"> </w:t>
      </w:r>
      <w:r w:rsidRPr="00CF2832">
        <w:rPr>
          <w:sz w:val="24"/>
        </w:rPr>
        <w:t xml:space="preserve">The demonstration will build on the </w:t>
      </w:r>
      <w:r w:rsidR="009262AA">
        <w:rPr>
          <w:sz w:val="24"/>
        </w:rPr>
        <w:t>planning</w:t>
      </w:r>
      <w:r w:rsidRPr="00CF2832">
        <w:rPr>
          <w:sz w:val="24"/>
        </w:rPr>
        <w:t xml:space="preserve"> </w:t>
      </w:r>
      <w:r w:rsidR="00955A85">
        <w:rPr>
          <w:sz w:val="24"/>
        </w:rPr>
        <w:t>period</w:t>
      </w:r>
      <w:r w:rsidRPr="00CF2832">
        <w:rPr>
          <w:sz w:val="24"/>
        </w:rPr>
        <w:t xml:space="preserve"> and include enhanced reimbursement for defined Medicaid services.  </w:t>
      </w:r>
    </w:p>
    <w:p w:rsidRPr="00F85684" w:rsidR="00CF2832" w:rsidP="003D063F" w:rsidRDefault="00CF2832">
      <w:pPr>
        <w:rPr>
          <w:sz w:val="24"/>
        </w:rPr>
      </w:pPr>
    </w:p>
    <w:p w:rsidRPr="00F85684" w:rsidR="00F24BEC" w:rsidP="00474660" w:rsidRDefault="00F24BEC">
      <w:pPr>
        <w:rPr>
          <w:sz w:val="24"/>
        </w:rPr>
      </w:pPr>
      <w:r w:rsidRPr="00F85684">
        <w:rPr>
          <w:sz w:val="24"/>
        </w:rPr>
        <w:t xml:space="preserve">Section 1003 of the SUPPORT Act also requires that there be an evaluation of the </w:t>
      </w:r>
      <w:r w:rsidR="00EE098D">
        <w:rPr>
          <w:sz w:val="24"/>
        </w:rPr>
        <w:t>d</w:t>
      </w:r>
      <w:r w:rsidRPr="00F85684">
        <w:rPr>
          <w:sz w:val="24"/>
        </w:rPr>
        <w:t xml:space="preserve">emonstration. </w:t>
      </w:r>
      <w:r w:rsidR="00893827">
        <w:rPr>
          <w:sz w:val="24"/>
        </w:rPr>
        <w:t xml:space="preserve"> </w:t>
      </w:r>
    </w:p>
    <w:p w:rsidRPr="00F85684" w:rsidR="00F24BEC" w:rsidP="003D063F" w:rsidRDefault="00F24BEC">
      <w:pPr>
        <w:rPr>
          <w:sz w:val="24"/>
        </w:rPr>
      </w:pPr>
      <w:r w:rsidRPr="00F85684">
        <w:rPr>
          <w:sz w:val="24"/>
        </w:rPr>
        <w:t>The evaluation began on September 1, 2020</w:t>
      </w:r>
      <w:r w:rsidR="00893827">
        <w:rPr>
          <w:sz w:val="24"/>
        </w:rPr>
        <w:t>,</w:t>
      </w:r>
      <w:r w:rsidRPr="00F85684">
        <w:rPr>
          <w:sz w:val="24"/>
        </w:rPr>
        <w:t xml:space="preserve"> and will end on August 31, 2025.</w:t>
      </w:r>
      <w:r w:rsidR="00474660">
        <w:rPr>
          <w:sz w:val="24"/>
        </w:rPr>
        <w:t xml:space="preserve">  </w:t>
      </w:r>
      <w:r w:rsidR="00CF2832">
        <w:rPr>
          <w:sz w:val="24"/>
        </w:rPr>
        <w:t>Primary</w:t>
      </w:r>
      <w:r w:rsidRPr="00F85684">
        <w:rPr>
          <w:sz w:val="24"/>
        </w:rPr>
        <w:t xml:space="preserve"> </w:t>
      </w:r>
      <w:r w:rsidR="00365609">
        <w:rPr>
          <w:sz w:val="24"/>
        </w:rPr>
        <w:t xml:space="preserve">data </w:t>
      </w:r>
      <w:r w:rsidRPr="00F85684">
        <w:rPr>
          <w:sz w:val="24"/>
        </w:rPr>
        <w:t xml:space="preserve">collection for </w:t>
      </w:r>
      <w:r>
        <w:rPr>
          <w:sz w:val="24"/>
        </w:rPr>
        <w:t xml:space="preserve">the </w:t>
      </w:r>
      <w:r w:rsidR="00EE098D">
        <w:rPr>
          <w:sz w:val="24"/>
        </w:rPr>
        <w:t>d</w:t>
      </w:r>
      <w:r w:rsidRPr="00F85684">
        <w:rPr>
          <w:sz w:val="24"/>
        </w:rPr>
        <w:t>emonstration in</w:t>
      </w:r>
      <w:r w:rsidR="00CF2832">
        <w:rPr>
          <w:sz w:val="24"/>
        </w:rPr>
        <w:t>cludes a survey and focus groups of providers, each conducted twice during the evaluation timeline</w:t>
      </w:r>
      <w:r w:rsidRPr="00F85684">
        <w:rPr>
          <w:sz w:val="24"/>
        </w:rPr>
        <w:t>.</w:t>
      </w:r>
      <w:r w:rsidR="00893827">
        <w:rPr>
          <w:sz w:val="24"/>
        </w:rPr>
        <w:t xml:space="preserve"> </w:t>
      </w:r>
      <w:r w:rsidRPr="00F85684">
        <w:rPr>
          <w:sz w:val="24"/>
        </w:rPr>
        <w:t xml:space="preserve"> Table 1 summarizes the purpose and the respondents for each type of data collection.</w:t>
      </w:r>
      <w:r w:rsidR="00893827">
        <w:rPr>
          <w:sz w:val="24"/>
        </w:rPr>
        <w:t xml:space="preserve"> </w:t>
      </w:r>
      <w:r w:rsidRPr="00F85684">
        <w:rPr>
          <w:sz w:val="24"/>
        </w:rPr>
        <w:t xml:space="preserve"> </w:t>
      </w:r>
      <w:r w:rsidR="00D92CE6">
        <w:rPr>
          <w:sz w:val="24"/>
        </w:rPr>
        <w:t xml:space="preserve">Individual provider types who are eligible for the survey include disciplines eligible to prescribe medication for OUD, such as </w:t>
      </w:r>
      <w:r w:rsidRPr="00D92CE6" w:rsidR="00D92CE6">
        <w:rPr>
          <w:sz w:val="24"/>
        </w:rPr>
        <w:t>primary care</w:t>
      </w:r>
      <w:r w:rsidR="00893827">
        <w:rPr>
          <w:sz w:val="24"/>
        </w:rPr>
        <w:t xml:space="preserve"> providers</w:t>
      </w:r>
      <w:r w:rsidR="00365609">
        <w:rPr>
          <w:sz w:val="24"/>
        </w:rPr>
        <w:t>, obstetricians,</w:t>
      </w:r>
      <w:r w:rsidRPr="00D92CE6" w:rsidR="00D92CE6">
        <w:rPr>
          <w:sz w:val="24"/>
        </w:rPr>
        <w:t xml:space="preserve"> and SUD specialty physicians</w:t>
      </w:r>
      <w:r w:rsidR="00893827">
        <w:rPr>
          <w:sz w:val="24"/>
        </w:rPr>
        <w:t>;</w:t>
      </w:r>
      <w:r w:rsidRPr="00D92CE6" w:rsidR="00893827">
        <w:rPr>
          <w:sz w:val="24"/>
        </w:rPr>
        <w:t xml:space="preserve"> </w:t>
      </w:r>
      <w:r w:rsidRPr="00D92CE6" w:rsidR="00D92CE6">
        <w:rPr>
          <w:sz w:val="24"/>
        </w:rPr>
        <w:t>nurse practitioners</w:t>
      </w:r>
      <w:r w:rsidR="00893827">
        <w:rPr>
          <w:sz w:val="24"/>
        </w:rPr>
        <w:t>;</w:t>
      </w:r>
      <w:r w:rsidRPr="00D92CE6" w:rsidR="00893827">
        <w:rPr>
          <w:sz w:val="24"/>
        </w:rPr>
        <w:t xml:space="preserve"> </w:t>
      </w:r>
      <w:r w:rsidR="00D92CE6">
        <w:rPr>
          <w:sz w:val="24"/>
        </w:rPr>
        <w:t xml:space="preserve">and </w:t>
      </w:r>
      <w:r w:rsidRPr="00D92CE6" w:rsidR="00D92CE6">
        <w:rPr>
          <w:sz w:val="24"/>
        </w:rPr>
        <w:t>physician assistan</w:t>
      </w:r>
      <w:r w:rsidR="00D92CE6">
        <w:rPr>
          <w:sz w:val="24"/>
        </w:rPr>
        <w:t xml:space="preserve">ts. </w:t>
      </w:r>
      <w:r w:rsidR="00893827">
        <w:rPr>
          <w:sz w:val="24"/>
        </w:rPr>
        <w:t xml:space="preserve"> </w:t>
      </w:r>
      <w:r w:rsidR="00D92CE6">
        <w:rPr>
          <w:sz w:val="24"/>
        </w:rPr>
        <w:t>Focus group participants can also include SUD counselors and peer recovery specialists.</w:t>
      </w:r>
    </w:p>
    <w:p w:rsidR="00F24BEC" w:rsidP="003D063F" w:rsidRDefault="00F24BEC">
      <w:pPr>
        <w:rPr>
          <w:sz w:val="22"/>
          <w:szCs w:val="22"/>
        </w:rPr>
      </w:pPr>
    </w:p>
    <w:p w:rsidRPr="00C73C25" w:rsidR="00F24BEC" w:rsidP="00445E1A" w:rsidRDefault="00F24BEC">
      <w:pPr>
        <w:pStyle w:val="StyleCaptionLeft"/>
      </w:pPr>
      <w:bookmarkStart w:name="_Ref433196257" w:id="3"/>
      <w:r w:rsidRPr="00C73C25">
        <w:t>Table 1: Purpose and Respondents for Data Collection Activities</w:t>
      </w:r>
      <w:bookmarkEnd w:id="3"/>
    </w:p>
    <w:tbl>
      <w:tblPr>
        <w:tblW w:w="96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28"/>
        <w:gridCol w:w="4860"/>
        <w:gridCol w:w="1440"/>
        <w:gridCol w:w="1620"/>
        <w:tblGridChange w:id="4">
          <w:tblGrid>
            <w:gridCol w:w="1728"/>
            <w:gridCol w:w="4860"/>
            <w:gridCol w:w="1440"/>
            <w:gridCol w:w="1620"/>
          </w:tblGrid>
        </w:tblGridChange>
      </w:tblGrid>
      <w:tr w:rsidR="001961F1" w:rsidTr="000161E4">
        <w:trPr>
          <w:tblHeader/>
        </w:trPr>
        <w:tc>
          <w:tcPr>
            <w:tcW w:w="1728" w:type="dxa"/>
            <w:shd w:val="clear" w:color="auto" w:fill="auto"/>
            <w:vAlign w:val="center"/>
          </w:tcPr>
          <w:p w:rsidRPr="000161E4" w:rsidR="00E77697" w:rsidP="000161E4" w:rsidRDefault="00E77697">
            <w:pPr>
              <w:jc w:val="center"/>
              <w:rPr>
                <w:sz w:val="22"/>
                <w:szCs w:val="22"/>
              </w:rPr>
            </w:pPr>
            <w:r w:rsidRPr="000161E4">
              <w:rPr>
                <w:b/>
                <w:bCs/>
                <w:sz w:val="22"/>
                <w:szCs w:val="22"/>
              </w:rPr>
              <w:t>Data Collection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Pr="000161E4" w:rsidR="00E77697" w:rsidP="000161E4" w:rsidRDefault="00E77697">
            <w:pPr>
              <w:jc w:val="center"/>
              <w:rPr>
                <w:sz w:val="22"/>
                <w:szCs w:val="22"/>
              </w:rPr>
            </w:pPr>
            <w:r w:rsidRPr="000161E4">
              <w:rPr>
                <w:b/>
                <w:sz w:val="22"/>
                <w:szCs w:val="22"/>
              </w:rPr>
              <w:t>Purpose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0161E4" w:rsidR="00E77697" w:rsidP="000161E4" w:rsidRDefault="00E77697">
            <w:pPr>
              <w:jc w:val="center"/>
              <w:rPr>
                <w:sz w:val="22"/>
                <w:szCs w:val="22"/>
              </w:rPr>
            </w:pPr>
            <w:r w:rsidRPr="000161E4">
              <w:rPr>
                <w:b/>
                <w:sz w:val="22"/>
                <w:szCs w:val="22"/>
              </w:rPr>
              <w:t>Respondents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Pr="000161E4" w:rsidR="00E77697" w:rsidP="000161E4" w:rsidRDefault="00E77697">
            <w:pPr>
              <w:jc w:val="center"/>
              <w:rPr>
                <w:sz w:val="22"/>
                <w:szCs w:val="22"/>
              </w:rPr>
            </w:pPr>
            <w:r w:rsidRPr="000161E4">
              <w:rPr>
                <w:b/>
                <w:sz w:val="22"/>
                <w:szCs w:val="22"/>
              </w:rPr>
              <w:t>Timing</w:t>
            </w:r>
          </w:p>
        </w:tc>
      </w:tr>
      <w:tr w:rsidR="001961F1" w:rsidTr="000161E4">
        <w:tc>
          <w:tcPr>
            <w:tcW w:w="1728" w:type="dxa"/>
            <w:shd w:val="clear" w:color="auto" w:fill="auto"/>
          </w:tcPr>
          <w:p w:rsidRPr="000161E4" w:rsidR="00E77697" w:rsidP="00E77697" w:rsidRDefault="00E77697">
            <w:pPr>
              <w:rPr>
                <w:sz w:val="22"/>
                <w:szCs w:val="22"/>
              </w:rPr>
            </w:pPr>
            <w:r w:rsidRPr="000161E4">
              <w:rPr>
                <w:sz w:val="22"/>
                <w:szCs w:val="22"/>
              </w:rPr>
              <w:t>MAT provider survey</w:t>
            </w:r>
          </w:p>
        </w:tc>
        <w:tc>
          <w:tcPr>
            <w:tcW w:w="4860" w:type="dxa"/>
            <w:shd w:val="clear" w:color="auto" w:fill="auto"/>
          </w:tcPr>
          <w:p w:rsidRPr="000161E4" w:rsidR="00E77697" w:rsidP="000161E4" w:rsidRDefault="00E77697">
            <w:pPr>
              <w:pStyle w:val="ListParagraph"/>
              <w:spacing w:after="0"/>
              <w:ind w:left="181" w:hanging="181"/>
              <w:rPr>
                <w:rFonts w:cs="Times New Roman"/>
                <w:color w:val="auto"/>
                <w:sz w:val="22"/>
                <w:szCs w:val="22"/>
              </w:rPr>
            </w:pPr>
            <w:r w:rsidRPr="000161E4">
              <w:rPr>
                <w:rFonts w:cs="Times New Roman"/>
                <w:color w:val="auto"/>
                <w:sz w:val="22"/>
                <w:szCs w:val="22"/>
              </w:rPr>
              <w:t>– To understand how prescribing or dispensing of buprenorphine, methadone, or naltrexone changed from the planning to the post-planning period</w:t>
            </w:r>
            <w:r w:rsidRPr="000161E4" w:rsidR="00CA49C3">
              <w:rPr>
                <w:rFonts w:cs="Times New Roman"/>
                <w:color w:val="auto"/>
                <w:sz w:val="22"/>
                <w:szCs w:val="22"/>
              </w:rPr>
              <w:t xml:space="preserve">; </w:t>
            </w:r>
          </w:p>
          <w:p w:rsidRPr="000161E4" w:rsidR="00E77697" w:rsidP="000161E4" w:rsidRDefault="00E77697">
            <w:pPr>
              <w:pStyle w:val="ListParagraph"/>
              <w:spacing w:after="0"/>
              <w:ind w:left="181" w:hanging="181"/>
              <w:rPr>
                <w:rFonts w:cs="Times New Roman"/>
                <w:color w:val="auto"/>
                <w:sz w:val="22"/>
                <w:szCs w:val="22"/>
              </w:rPr>
            </w:pPr>
            <w:r w:rsidRPr="000161E4">
              <w:rPr>
                <w:rFonts w:cs="Times New Roman"/>
                <w:color w:val="auto"/>
                <w:sz w:val="22"/>
                <w:szCs w:val="22"/>
              </w:rPr>
              <w:t>– To understand the barriers and facilitators of being a Medicaid provider</w:t>
            </w:r>
            <w:r w:rsidRPr="000161E4" w:rsidR="00CA49C3">
              <w:rPr>
                <w:rFonts w:cs="Times New Roman"/>
                <w:color w:val="auto"/>
                <w:sz w:val="22"/>
                <w:szCs w:val="22"/>
              </w:rPr>
              <w:t xml:space="preserve">; and </w:t>
            </w:r>
          </w:p>
          <w:p w:rsidRPr="000161E4" w:rsidR="00E77697" w:rsidP="000161E4" w:rsidRDefault="00E77697">
            <w:pPr>
              <w:pStyle w:val="ListParagraph"/>
              <w:spacing w:after="0"/>
              <w:ind w:left="181" w:hanging="181"/>
              <w:rPr>
                <w:rFonts w:cs="Times New Roman"/>
                <w:color w:val="auto"/>
                <w:sz w:val="22"/>
                <w:szCs w:val="22"/>
              </w:rPr>
            </w:pPr>
            <w:r w:rsidRPr="000161E4">
              <w:rPr>
                <w:rFonts w:cs="Times New Roman"/>
                <w:color w:val="auto"/>
                <w:sz w:val="22"/>
                <w:szCs w:val="22"/>
              </w:rPr>
              <w:t>– To characterize the type and setting of providers</w:t>
            </w:r>
            <w:r w:rsidRPr="000161E4" w:rsidR="00CA49C3">
              <w:rPr>
                <w:rFonts w:cs="Times New Roman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440" w:type="dxa"/>
            <w:shd w:val="clear" w:color="auto" w:fill="auto"/>
          </w:tcPr>
          <w:p w:rsidRPr="000161E4" w:rsidR="00E77697" w:rsidP="00E77697" w:rsidRDefault="00E77697">
            <w:pPr>
              <w:rPr>
                <w:sz w:val="22"/>
                <w:szCs w:val="22"/>
              </w:rPr>
            </w:pPr>
            <w:r w:rsidRPr="000161E4">
              <w:rPr>
                <w:sz w:val="22"/>
                <w:szCs w:val="22"/>
              </w:rPr>
              <w:t>Providers in planning grant states</w:t>
            </w:r>
          </w:p>
        </w:tc>
        <w:tc>
          <w:tcPr>
            <w:tcW w:w="1620" w:type="dxa"/>
            <w:shd w:val="clear" w:color="auto" w:fill="auto"/>
          </w:tcPr>
          <w:p w:rsidRPr="000161E4" w:rsidR="00E77697" w:rsidP="00E77697" w:rsidRDefault="00E77697">
            <w:pPr>
              <w:rPr>
                <w:sz w:val="22"/>
                <w:szCs w:val="22"/>
              </w:rPr>
            </w:pPr>
            <w:r w:rsidRPr="000161E4">
              <w:rPr>
                <w:sz w:val="22"/>
                <w:szCs w:val="22"/>
              </w:rPr>
              <w:t>Once in Year 2 (2021) and once in Year 4 (</w:t>
            </w:r>
            <w:r w:rsidRPr="000161E4">
              <w:rPr>
                <w:rFonts w:eastAsia="Calibri"/>
                <w:sz w:val="22"/>
                <w:szCs w:val="22"/>
              </w:rPr>
              <w:t>Sept</w:t>
            </w:r>
            <w:r w:rsidRPr="000161E4" w:rsidR="00CA49C3">
              <w:rPr>
                <w:rFonts w:eastAsia="Calibri"/>
                <w:sz w:val="22"/>
                <w:szCs w:val="22"/>
              </w:rPr>
              <w:t>ember</w:t>
            </w:r>
            <w:r w:rsidRPr="000161E4">
              <w:rPr>
                <w:rFonts w:eastAsia="Calibri"/>
                <w:sz w:val="22"/>
                <w:szCs w:val="22"/>
              </w:rPr>
              <w:t xml:space="preserve"> 2023 to Apr</w:t>
            </w:r>
            <w:r w:rsidRPr="000161E4" w:rsidR="00CA49C3">
              <w:rPr>
                <w:rFonts w:eastAsia="Calibri"/>
                <w:sz w:val="22"/>
                <w:szCs w:val="22"/>
              </w:rPr>
              <w:t>il</w:t>
            </w:r>
            <w:r w:rsidRPr="000161E4">
              <w:rPr>
                <w:rFonts w:eastAsia="Calibri"/>
                <w:sz w:val="22"/>
                <w:szCs w:val="22"/>
              </w:rPr>
              <w:t xml:space="preserve"> 2024)</w:t>
            </w:r>
          </w:p>
        </w:tc>
      </w:tr>
      <w:tr w:rsidR="001961F1" w:rsidTr="000161E4">
        <w:tc>
          <w:tcPr>
            <w:tcW w:w="1728" w:type="dxa"/>
            <w:shd w:val="clear" w:color="auto" w:fill="auto"/>
          </w:tcPr>
          <w:p w:rsidRPr="000161E4" w:rsidR="00E77697" w:rsidP="00E77697" w:rsidRDefault="00E77697">
            <w:pPr>
              <w:rPr>
                <w:sz w:val="22"/>
                <w:szCs w:val="22"/>
              </w:rPr>
            </w:pPr>
            <w:r w:rsidRPr="000161E4">
              <w:rPr>
                <w:sz w:val="22"/>
                <w:szCs w:val="22"/>
              </w:rPr>
              <w:t>SUD treatment provider focus groups</w:t>
            </w:r>
          </w:p>
        </w:tc>
        <w:tc>
          <w:tcPr>
            <w:tcW w:w="4860" w:type="dxa"/>
            <w:shd w:val="clear" w:color="auto" w:fill="auto"/>
          </w:tcPr>
          <w:p w:rsidRPr="000161E4" w:rsidR="00E77697" w:rsidP="000161E4" w:rsidRDefault="00E77697">
            <w:pPr>
              <w:pStyle w:val="ListParagraph"/>
              <w:spacing w:after="0"/>
              <w:ind w:left="181" w:hanging="181"/>
              <w:rPr>
                <w:rFonts w:cs="Times New Roman"/>
                <w:color w:val="auto"/>
                <w:sz w:val="22"/>
                <w:szCs w:val="22"/>
              </w:rPr>
            </w:pPr>
            <w:r w:rsidRPr="000161E4">
              <w:rPr>
                <w:rFonts w:cs="Times New Roman"/>
                <w:color w:val="auto"/>
                <w:sz w:val="22"/>
                <w:szCs w:val="22"/>
              </w:rPr>
              <w:t>– To explore the impact of key aspects of implementation, such as perceived burdens associated with Medicaid enrollment or MAT delivery, access to referral placements, value of state-provided technical assistance, and benefits and unanticipated outcomes experienced by providers during the demonstration.</w:t>
            </w:r>
          </w:p>
        </w:tc>
        <w:tc>
          <w:tcPr>
            <w:tcW w:w="1440" w:type="dxa"/>
            <w:shd w:val="clear" w:color="auto" w:fill="auto"/>
          </w:tcPr>
          <w:p w:rsidRPr="000161E4" w:rsidR="00E77697" w:rsidP="00E77697" w:rsidRDefault="00E77697">
            <w:pPr>
              <w:rPr>
                <w:sz w:val="22"/>
                <w:szCs w:val="22"/>
              </w:rPr>
            </w:pPr>
            <w:r w:rsidRPr="000161E4">
              <w:rPr>
                <w:sz w:val="22"/>
                <w:szCs w:val="22"/>
              </w:rPr>
              <w:t>Providers in post-planning states</w:t>
            </w:r>
          </w:p>
        </w:tc>
        <w:tc>
          <w:tcPr>
            <w:tcW w:w="1620" w:type="dxa"/>
            <w:shd w:val="clear" w:color="auto" w:fill="auto"/>
          </w:tcPr>
          <w:p w:rsidRPr="000161E4" w:rsidR="00E77697" w:rsidP="00E77697" w:rsidRDefault="00E77697">
            <w:pPr>
              <w:rPr>
                <w:sz w:val="22"/>
                <w:szCs w:val="22"/>
              </w:rPr>
            </w:pPr>
            <w:r w:rsidRPr="000161E4">
              <w:rPr>
                <w:sz w:val="22"/>
                <w:szCs w:val="22"/>
              </w:rPr>
              <w:t>Once in Year 2 (2021) and once in Year 4 (</w:t>
            </w:r>
            <w:r w:rsidRPr="000161E4">
              <w:rPr>
                <w:rFonts w:eastAsia="Calibri"/>
                <w:sz w:val="22"/>
                <w:szCs w:val="22"/>
              </w:rPr>
              <w:t>Sept</w:t>
            </w:r>
            <w:r w:rsidRPr="000161E4" w:rsidR="00CA49C3">
              <w:rPr>
                <w:rFonts w:eastAsia="Calibri"/>
                <w:sz w:val="22"/>
                <w:szCs w:val="22"/>
              </w:rPr>
              <w:t>ember</w:t>
            </w:r>
            <w:r w:rsidRPr="000161E4">
              <w:rPr>
                <w:rFonts w:eastAsia="Calibri"/>
                <w:sz w:val="22"/>
                <w:szCs w:val="22"/>
              </w:rPr>
              <w:t xml:space="preserve"> 2023</w:t>
            </w:r>
            <w:r w:rsidRPr="000161E4" w:rsidR="00CA49C3">
              <w:rPr>
                <w:rFonts w:eastAsia="Calibri"/>
                <w:sz w:val="22"/>
                <w:szCs w:val="22"/>
              </w:rPr>
              <w:t xml:space="preserve"> to </w:t>
            </w:r>
            <w:r w:rsidRPr="000161E4">
              <w:rPr>
                <w:rFonts w:eastAsia="Calibri"/>
                <w:sz w:val="22"/>
                <w:szCs w:val="22"/>
              </w:rPr>
              <w:t>Apr</w:t>
            </w:r>
            <w:r w:rsidRPr="000161E4" w:rsidR="00CA49C3">
              <w:rPr>
                <w:rFonts w:eastAsia="Calibri"/>
                <w:sz w:val="22"/>
                <w:szCs w:val="22"/>
              </w:rPr>
              <w:t>il</w:t>
            </w:r>
            <w:r w:rsidRPr="000161E4">
              <w:rPr>
                <w:rFonts w:eastAsia="Calibri"/>
                <w:sz w:val="22"/>
                <w:szCs w:val="22"/>
              </w:rPr>
              <w:t xml:space="preserve"> 2024)</w:t>
            </w:r>
          </w:p>
        </w:tc>
      </w:tr>
    </w:tbl>
    <w:p w:rsidR="003121A0" w:rsidP="003D063F" w:rsidRDefault="003121A0">
      <w:pPr>
        <w:rPr>
          <w:sz w:val="22"/>
          <w:szCs w:val="22"/>
        </w:rPr>
      </w:pPr>
    </w:p>
    <w:p w:rsidRPr="007856F3" w:rsidR="00F24BEC" w:rsidRDefault="003121A0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2"/>
          <w:szCs w:val="22"/>
        </w:rPr>
        <w:br w:type="page"/>
      </w:r>
      <w:r w:rsidRPr="007856F3" w:rsidR="00F24BEC">
        <w:rPr>
          <w:b/>
          <w:bCs/>
          <w:sz w:val="24"/>
        </w:rPr>
        <w:lastRenderedPageBreak/>
        <w:t>B.</w:t>
      </w:r>
      <w:r w:rsidRPr="007856F3" w:rsidR="00F24BEC">
        <w:rPr>
          <w:b/>
          <w:bCs/>
          <w:sz w:val="24"/>
        </w:rPr>
        <w:tab/>
        <w:t>Justification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24BEC" w:rsidRDefault="00C73C2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</w:t>
      </w:r>
      <w:r w:rsidR="00F24BEC">
        <w:rPr>
          <w:sz w:val="24"/>
        </w:rPr>
        <w:t>.</w:t>
      </w:r>
      <w:r w:rsidR="00F24BEC">
        <w:rPr>
          <w:sz w:val="24"/>
        </w:rPr>
        <w:tab/>
      </w:r>
      <w:r w:rsidR="00F24BEC">
        <w:rPr>
          <w:sz w:val="24"/>
          <w:u w:val="single"/>
        </w:rPr>
        <w:t>Need and Legal Basis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Pr="00474660" w:rsidR="00474660" w:rsidP="00AC07CD" w:rsidRDefault="00F7201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>The statu</w:t>
      </w:r>
      <w:r w:rsidR="00562F04">
        <w:rPr>
          <w:sz w:val="24"/>
        </w:rPr>
        <w:t>t</w:t>
      </w:r>
      <w:r>
        <w:rPr>
          <w:sz w:val="24"/>
        </w:rPr>
        <w:t>e (</w:t>
      </w:r>
      <w:r w:rsidRPr="00F72011">
        <w:rPr>
          <w:sz w:val="24"/>
        </w:rPr>
        <w:t>Public Law No</w:t>
      </w:r>
      <w:r w:rsidR="008251EF">
        <w:rPr>
          <w:sz w:val="24"/>
        </w:rPr>
        <w:t>.</w:t>
      </w:r>
      <w:r w:rsidRPr="00F72011">
        <w:rPr>
          <w:sz w:val="24"/>
        </w:rPr>
        <w:t xml:space="preserve"> 115-271</w:t>
      </w:r>
      <w:r>
        <w:rPr>
          <w:sz w:val="24"/>
        </w:rPr>
        <w:t xml:space="preserve">) authorizing the SUPPORT Act requires the </w:t>
      </w:r>
      <w:r w:rsidR="003E0C6F">
        <w:rPr>
          <w:sz w:val="24"/>
        </w:rPr>
        <w:t>s</w:t>
      </w:r>
      <w:r>
        <w:rPr>
          <w:sz w:val="24"/>
        </w:rPr>
        <w:t xml:space="preserve">ection 1003 </w:t>
      </w:r>
      <w:r w:rsidR="003E0C6F">
        <w:rPr>
          <w:sz w:val="24"/>
        </w:rPr>
        <w:t>d</w:t>
      </w:r>
      <w:r>
        <w:rPr>
          <w:sz w:val="24"/>
        </w:rPr>
        <w:t>emonstration</w:t>
      </w:r>
      <w:r w:rsidR="00365609">
        <w:rPr>
          <w:sz w:val="24"/>
        </w:rPr>
        <w:t xml:space="preserve">. </w:t>
      </w:r>
      <w:r w:rsidR="00562F04">
        <w:rPr>
          <w:sz w:val="24"/>
        </w:rPr>
        <w:t xml:space="preserve"> It states that the</w:t>
      </w:r>
      <w:r w:rsidRPr="00474660" w:rsidR="00562F04">
        <w:rPr>
          <w:sz w:val="24"/>
        </w:rPr>
        <w:t xml:space="preserve"> </w:t>
      </w:r>
      <w:r w:rsidRPr="00474660" w:rsidR="00474660">
        <w:rPr>
          <w:sz w:val="24"/>
        </w:rPr>
        <w:t xml:space="preserve">Administrator of </w:t>
      </w:r>
      <w:r w:rsidR="00562F04">
        <w:rPr>
          <w:sz w:val="24"/>
        </w:rPr>
        <w:t xml:space="preserve">CMS </w:t>
      </w:r>
      <w:r w:rsidRPr="00474660" w:rsidR="00474660">
        <w:rPr>
          <w:sz w:val="24"/>
        </w:rPr>
        <w:t xml:space="preserve">shall, in consultation with the Director of </w:t>
      </w:r>
      <w:r w:rsidR="00614A52">
        <w:rPr>
          <w:sz w:val="24"/>
        </w:rPr>
        <w:t>AHRQ</w:t>
      </w:r>
      <w:r w:rsidRPr="00474660" w:rsidR="00474660">
        <w:rPr>
          <w:sz w:val="24"/>
        </w:rPr>
        <w:t xml:space="preserve"> and the Assistant Secretary for Mental Health and Substance Use</w:t>
      </w:r>
      <w:r w:rsidR="00614A52">
        <w:rPr>
          <w:sz w:val="24"/>
        </w:rPr>
        <w:t xml:space="preserve"> from SAMHSA</w:t>
      </w:r>
      <w:r w:rsidRPr="00474660" w:rsidR="00474660">
        <w:rPr>
          <w:sz w:val="24"/>
        </w:rPr>
        <w:t>, subm</w:t>
      </w:r>
      <w:r w:rsidR="00474660">
        <w:rPr>
          <w:sz w:val="24"/>
        </w:rPr>
        <w:t xml:space="preserve">it to Congress </w:t>
      </w:r>
      <w:r w:rsidR="00365609">
        <w:rPr>
          <w:sz w:val="24"/>
        </w:rPr>
        <w:t>a</w:t>
      </w:r>
      <w:r w:rsidR="00474660">
        <w:rPr>
          <w:sz w:val="24"/>
        </w:rPr>
        <w:t xml:space="preserve"> final report </w:t>
      </w:r>
      <w:r w:rsidR="00365609">
        <w:rPr>
          <w:sz w:val="24"/>
        </w:rPr>
        <w:t>evaluating the demonstration</w:t>
      </w:r>
      <w:r w:rsidR="00474660">
        <w:rPr>
          <w:sz w:val="24"/>
        </w:rPr>
        <w:t xml:space="preserve">.  </w:t>
      </w:r>
    </w:p>
    <w:p w:rsidR="00474660" w:rsidP="00474660" w:rsidRDefault="00474660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Pr="00474660" w:rsidR="00F24BEC" w:rsidP="00474660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 w:rsidRPr="000F2370">
        <w:rPr>
          <w:sz w:val="24"/>
        </w:rPr>
        <w:t>The purpose of this evaluation is to</w:t>
      </w:r>
      <w:r w:rsidR="00474660">
        <w:rPr>
          <w:sz w:val="24"/>
        </w:rPr>
        <w:t xml:space="preserve"> meet the statutory goals and examine the </w:t>
      </w:r>
      <w:r w:rsidRPr="000F2370">
        <w:rPr>
          <w:sz w:val="24"/>
        </w:rPr>
        <w:t>extent to which the states</w:t>
      </w:r>
      <w:r w:rsidR="00F72011">
        <w:rPr>
          <w:sz w:val="24"/>
        </w:rPr>
        <w:t xml:space="preserve"> participating in the </w:t>
      </w:r>
      <w:r w:rsidR="00E87D8E">
        <w:rPr>
          <w:sz w:val="24"/>
        </w:rPr>
        <w:t>s</w:t>
      </w:r>
      <w:r w:rsidRPr="000F2370" w:rsidR="00F72011">
        <w:rPr>
          <w:sz w:val="24"/>
        </w:rPr>
        <w:t xml:space="preserve">ection 1003 </w:t>
      </w:r>
      <w:r w:rsidR="00E87D8E">
        <w:rPr>
          <w:sz w:val="24"/>
        </w:rPr>
        <w:t>d</w:t>
      </w:r>
      <w:r w:rsidR="00F72011">
        <w:rPr>
          <w:sz w:val="24"/>
        </w:rPr>
        <w:t>emonstration</w:t>
      </w:r>
      <w:r w:rsidRPr="000F2370">
        <w:rPr>
          <w:sz w:val="24"/>
        </w:rPr>
        <w:t xml:space="preserve"> achieved the goals they established to increase </w:t>
      </w:r>
      <w:r w:rsidR="00614A52">
        <w:rPr>
          <w:sz w:val="24"/>
        </w:rPr>
        <w:t>SUD</w:t>
      </w:r>
      <w:r w:rsidRPr="000F2370">
        <w:rPr>
          <w:sz w:val="24"/>
        </w:rPr>
        <w:t xml:space="preserve"> </w:t>
      </w:r>
      <w:r w:rsidR="00E87D8E">
        <w:rPr>
          <w:sz w:val="24"/>
        </w:rPr>
        <w:t xml:space="preserve">treatment </w:t>
      </w:r>
      <w:r w:rsidR="00562F04">
        <w:rPr>
          <w:sz w:val="24"/>
        </w:rPr>
        <w:t xml:space="preserve">or </w:t>
      </w:r>
      <w:r w:rsidR="00E87D8E">
        <w:rPr>
          <w:sz w:val="24"/>
        </w:rPr>
        <w:t>recovery</w:t>
      </w:r>
      <w:r w:rsidRPr="000F2370">
        <w:rPr>
          <w:sz w:val="24"/>
        </w:rPr>
        <w:t xml:space="preserve"> provider capacity under the Medicaid program.  This includes both the </w:t>
      </w:r>
      <w:r w:rsidR="00684004">
        <w:rPr>
          <w:sz w:val="24"/>
        </w:rPr>
        <w:t>planning</w:t>
      </w:r>
      <w:r w:rsidRPr="000F2370">
        <w:rPr>
          <w:sz w:val="24"/>
        </w:rPr>
        <w:t xml:space="preserve"> </w:t>
      </w:r>
      <w:r w:rsidR="00955A85">
        <w:rPr>
          <w:sz w:val="24"/>
        </w:rPr>
        <w:t>period</w:t>
      </w:r>
      <w:r w:rsidRPr="000F2370">
        <w:rPr>
          <w:sz w:val="24"/>
        </w:rPr>
        <w:t xml:space="preserve"> and the </w:t>
      </w:r>
      <w:r w:rsidR="00684004">
        <w:rPr>
          <w:sz w:val="24"/>
        </w:rPr>
        <w:t xml:space="preserve">post-planning </w:t>
      </w:r>
      <w:r w:rsidR="00955A85">
        <w:rPr>
          <w:sz w:val="24"/>
        </w:rPr>
        <w:t>period</w:t>
      </w:r>
      <w:r w:rsidR="00684004">
        <w:rPr>
          <w:sz w:val="24"/>
        </w:rPr>
        <w:t xml:space="preserve"> </w:t>
      </w:r>
      <w:r w:rsidR="00474660">
        <w:rPr>
          <w:sz w:val="24"/>
        </w:rPr>
        <w:t xml:space="preserve">of the </w:t>
      </w:r>
      <w:r w:rsidR="00E9262A">
        <w:rPr>
          <w:sz w:val="24"/>
        </w:rPr>
        <w:t>d</w:t>
      </w:r>
      <w:r w:rsidR="00474660">
        <w:rPr>
          <w:sz w:val="24"/>
        </w:rPr>
        <w:t xml:space="preserve">emonstration. </w:t>
      </w:r>
      <w:r w:rsidR="00562F04">
        <w:rPr>
          <w:sz w:val="24"/>
        </w:rPr>
        <w:t xml:space="preserve"> </w:t>
      </w:r>
      <w:r w:rsidR="00474660">
        <w:rPr>
          <w:sz w:val="24"/>
        </w:rPr>
        <w:t xml:space="preserve">To </w:t>
      </w:r>
      <w:r w:rsidR="00562F04">
        <w:rPr>
          <w:sz w:val="24"/>
        </w:rPr>
        <w:t xml:space="preserve">collect </w:t>
      </w:r>
      <w:r w:rsidR="00474660">
        <w:rPr>
          <w:sz w:val="24"/>
        </w:rPr>
        <w:t>the information required by statute, the</w:t>
      </w:r>
      <w:r w:rsidRPr="000F2370">
        <w:rPr>
          <w:sz w:val="24"/>
        </w:rPr>
        <w:t xml:space="preserve"> evaluation of the </w:t>
      </w:r>
      <w:r w:rsidR="00E9262A">
        <w:rPr>
          <w:sz w:val="24"/>
        </w:rPr>
        <w:t>d</w:t>
      </w:r>
      <w:r w:rsidRPr="000F2370">
        <w:rPr>
          <w:sz w:val="24"/>
        </w:rPr>
        <w:t xml:space="preserve">emonstration </w:t>
      </w:r>
      <w:r w:rsidR="00474660">
        <w:rPr>
          <w:sz w:val="24"/>
        </w:rPr>
        <w:t>will</w:t>
      </w:r>
      <w:r w:rsidRPr="000F2370">
        <w:rPr>
          <w:sz w:val="24"/>
        </w:rPr>
        <w:t xml:space="preserve"> </w:t>
      </w:r>
      <w:r w:rsidR="00E87D8E">
        <w:rPr>
          <w:sz w:val="24"/>
        </w:rPr>
        <w:t>include</w:t>
      </w:r>
      <w:r w:rsidRPr="000F2370" w:rsidR="00E87D8E">
        <w:rPr>
          <w:sz w:val="24"/>
        </w:rPr>
        <w:t xml:space="preserve"> </w:t>
      </w:r>
      <w:r w:rsidRPr="000F2370">
        <w:rPr>
          <w:sz w:val="24"/>
        </w:rPr>
        <w:t xml:space="preserve">a survey of </w:t>
      </w:r>
      <w:r w:rsidRPr="000F2370" w:rsidR="00E87D8E">
        <w:rPr>
          <w:sz w:val="24"/>
        </w:rPr>
        <w:t>M</w:t>
      </w:r>
      <w:r w:rsidR="00E87D8E">
        <w:rPr>
          <w:sz w:val="24"/>
        </w:rPr>
        <w:t>AT</w:t>
      </w:r>
      <w:r w:rsidRPr="000F2370" w:rsidR="00E87D8E">
        <w:rPr>
          <w:sz w:val="24"/>
        </w:rPr>
        <w:t xml:space="preserve"> </w:t>
      </w:r>
      <w:r w:rsidRPr="000F2370">
        <w:rPr>
          <w:sz w:val="24"/>
        </w:rPr>
        <w:t xml:space="preserve">prescribers </w:t>
      </w:r>
      <w:r w:rsidR="00474660">
        <w:rPr>
          <w:sz w:val="24"/>
        </w:rPr>
        <w:t xml:space="preserve">and focus groups with </w:t>
      </w:r>
      <w:r w:rsidR="00E87D8E">
        <w:rPr>
          <w:sz w:val="24"/>
        </w:rPr>
        <w:t xml:space="preserve">Medicaid </w:t>
      </w:r>
      <w:r w:rsidR="00474660">
        <w:rPr>
          <w:sz w:val="24"/>
        </w:rPr>
        <w:t>SUD treatment</w:t>
      </w:r>
      <w:r w:rsidR="00E87D8E">
        <w:rPr>
          <w:sz w:val="24"/>
        </w:rPr>
        <w:t xml:space="preserve"> </w:t>
      </w:r>
      <w:r w:rsidR="00562F04">
        <w:rPr>
          <w:sz w:val="24"/>
        </w:rPr>
        <w:t xml:space="preserve">or </w:t>
      </w:r>
      <w:r w:rsidR="00E87D8E">
        <w:rPr>
          <w:sz w:val="24"/>
        </w:rPr>
        <w:t>recovery</w:t>
      </w:r>
      <w:r w:rsidR="00474660">
        <w:rPr>
          <w:sz w:val="24"/>
        </w:rPr>
        <w:t xml:space="preserve"> providers, as described in more detail below.</w:t>
      </w:r>
    </w:p>
    <w:p w:rsidR="00F24BEC" w:rsidP="00474660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 w:cs="Calibri"/>
          <w:sz w:val="24"/>
        </w:rPr>
      </w:pPr>
    </w:p>
    <w:p w:rsidRPr="000F2370" w:rsidR="00F24BEC" w:rsidP="00445E1A" w:rsidRDefault="001111DE">
      <w:pPr>
        <w:pStyle w:val="AHeading1"/>
        <w:ind w:firstLine="450"/>
      </w:pPr>
      <w:r>
        <w:t>M</w:t>
      </w:r>
      <w:r w:rsidR="00E87D8E">
        <w:t>AT</w:t>
      </w:r>
      <w:r>
        <w:t xml:space="preserve"> </w:t>
      </w:r>
      <w:r w:rsidRPr="000F2370" w:rsidR="00F24BEC">
        <w:t xml:space="preserve">Provider </w:t>
      </w:r>
      <w:r w:rsidR="00FF0C54">
        <w:t>S</w:t>
      </w:r>
      <w:r w:rsidRPr="000F2370" w:rsidR="00F24BEC">
        <w:t>urveys</w:t>
      </w:r>
    </w:p>
    <w:p w:rsidR="004B1402" w:rsidP="004B1402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 w:rsidRPr="000F2370">
        <w:rPr>
          <w:sz w:val="24"/>
        </w:rPr>
        <w:t xml:space="preserve">The provider surveys will inform the </w:t>
      </w:r>
      <w:r>
        <w:rPr>
          <w:sz w:val="24"/>
        </w:rPr>
        <w:t xml:space="preserve">required </w:t>
      </w:r>
      <w:r w:rsidR="00474334">
        <w:rPr>
          <w:sz w:val="24"/>
        </w:rPr>
        <w:t xml:space="preserve">Final </w:t>
      </w:r>
      <w:r w:rsidR="008B20E6">
        <w:rPr>
          <w:sz w:val="24"/>
        </w:rPr>
        <w:t>R</w:t>
      </w:r>
      <w:r>
        <w:rPr>
          <w:sz w:val="24"/>
        </w:rPr>
        <w:t xml:space="preserve">eport to </w:t>
      </w:r>
      <w:r w:rsidR="00E87D8E">
        <w:rPr>
          <w:sz w:val="24"/>
        </w:rPr>
        <w:t>C</w:t>
      </w:r>
      <w:r w:rsidR="00684004">
        <w:rPr>
          <w:sz w:val="24"/>
        </w:rPr>
        <w:t>ongress and</w:t>
      </w:r>
      <w:r w:rsidRPr="000F2370">
        <w:rPr>
          <w:sz w:val="24"/>
        </w:rPr>
        <w:t xml:space="preserve"> will gather information on provider experiences related to Medicaid provider enrollment, SUD service delivery, and changes in OUD medication treatment, including barriers and enablers of prescribing and dispensing. </w:t>
      </w:r>
      <w:r w:rsidR="008B20E6">
        <w:rPr>
          <w:sz w:val="24"/>
        </w:rPr>
        <w:t xml:space="preserve"> </w:t>
      </w:r>
      <w:r w:rsidRPr="000F2370">
        <w:rPr>
          <w:sz w:val="24"/>
        </w:rPr>
        <w:t xml:space="preserve">The evaluation team </w:t>
      </w:r>
      <w:r w:rsidR="00474660">
        <w:rPr>
          <w:sz w:val="24"/>
        </w:rPr>
        <w:t>proposed to implement</w:t>
      </w:r>
      <w:r w:rsidRPr="000F2370">
        <w:rPr>
          <w:sz w:val="24"/>
        </w:rPr>
        <w:t xml:space="preserve"> 10-minute cross</w:t>
      </w:r>
      <w:r w:rsidR="008B20E6">
        <w:rPr>
          <w:sz w:val="24"/>
        </w:rPr>
        <w:t>-</w:t>
      </w:r>
      <w:r w:rsidRPr="000F2370">
        <w:rPr>
          <w:sz w:val="24"/>
        </w:rPr>
        <w:t xml:space="preserve">sectional surveys of OUD medication prescribers in all </w:t>
      </w:r>
      <w:r w:rsidR="008B20E6">
        <w:rPr>
          <w:sz w:val="24"/>
        </w:rPr>
        <w:t>p</w:t>
      </w:r>
      <w:r w:rsidR="00E87D8E">
        <w:rPr>
          <w:sz w:val="24"/>
        </w:rPr>
        <w:t xml:space="preserve">lanning </w:t>
      </w:r>
      <w:r w:rsidR="008B20E6">
        <w:rPr>
          <w:sz w:val="24"/>
        </w:rPr>
        <w:t>g</w:t>
      </w:r>
      <w:r w:rsidR="00E87D8E">
        <w:rPr>
          <w:sz w:val="24"/>
        </w:rPr>
        <w:t xml:space="preserve">rant </w:t>
      </w:r>
      <w:r w:rsidR="008B20E6">
        <w:rPr>
          <w:sz w:val="24"/>
        </w:rPr>
        <w:t>s</w:t>
      </w:r>
      <w:r w:rsidR="001613D4">
        <w:rPr>
          <w:sz w:val="24"/>
        </w:rPr>
        <w:t>tates</w:t>
      </w:r>
      <w:r w:rsidRPr="000F2370">
        <w:rPr>
          <w:sz w:val="24"/>
        </w:rPr>
        <w:t xml:space="preserve"> in the </w:t>
      </w:r>
      <w:r w:rsidR="00E87D8E">
        <w:rPr>
          <w:sz w:val="24"/>
        </w:rPr>
        <w:t>second</w:t>
      </w:r>
      <w:r w:rsidRPr="000F2370">
        <w:rPr>
          <w:sz w:val="24"/>
        </w:rPr>
        <w:t xml:space="preserve"> and fourth years of the evaluation contract.</w:t>
      </w:r>
      <w:r w:rsidR="008B20E6">
        <w:rPr>
          <w:sz w:val="24"/>
        </w:rPr>
        <w:t xml:space="preserve"> </w:t>
      </w:r>
      <w:r w:rsidRPr="000F2370">
        <w:rPr>
          <w:sz w:val="24"/>
        </w:rPr>
        <w:t xml:space="preserve"> The survey</w:t>
      </w:r>
      <w:r w:rsidR="00E87D8E">
        <w:rPr>
          <w:sz w:val="24"/>
        </w:rPr>
        <w:t>s</w:t>
      </w:r>
      <w:r w:rsidRPr="000F2370">
        <w:rPr>
          <w:sz w:val="24"/>
        </w:rPr>
        <w:t xml:space="preserve"> will capture data from providers </w:t>
      </w:r>
      <w:r w:rsidR="00474660">
        <w:rPr>
          <w:sz w:val="24"/>
        </w:rPr>
        <w:t xml:space="preserve">eligible to prescribe </w:t>
      </w:r>
      <w:r w:rsidR="00E87D8E">
        <w:rPr>
          <w:sz w:val="24"/>
        </w:rPr>
        <w:t xml:space="preserve">or dispense medication for OUD treatment </w:t>
      </w:r>
      <w:r w:rsidRPr="000F2370">
        <w:rPr>
          <w:sz w:val="24"/>
        </w:rPr>
        <w:t xml:space="preserve">across all </w:t>
      </w:r>
      <w:r w:rsidRPr="000F2370" w:rsidR="001111DE">
        <w:rPr>
          <w:sz w:val="24"/>
        </w:rPr>
        <w:t>15</w:t>
      </w:r>
      <w:r w:rsidR="00E87D8E">
        <w:rPr>
          <w:sz w:val="24"/>
        </w:rPr>
        <w:t xml:space="preserve"> </w:t>
      </w:r>
      <w:r w:rsidR="008B20E6">
        <w:rPr>
          <w:sz w:val="24"/>
        </w:rPr>
        <w:t>p</w:t>
      </w:r>
      <w:r w:rsidRPr="000F2370" w:rsidR="00E87D8E">
        <w:rPr>
          <w:sz w:val="24"/>
        </w:rPr>
        <w:t>lanning</w:t>
      </w:r>
      <w:r w:rsidR="00E87D8E">
        <w:rPr>
          <w:sz w:val="24"/>
        </w:rPr>
        <w:t xml:space="preserve"> </w:t>
      </w:r>
      <w:r w:rsidR="008B20E6">
        <w:rPr>
          <w:sz w:val="24"/>
        </w:rPr>
        <w:t>g</w:t>
      </w:r>
      <w:r w:rsidR="00E87D8E">
        <w:rPr>
          <w:sz w:val="24"/>
        </w:rPr>
        <w:t xml:space="preserve">rant </w:t>
      </w:r>
      <w:r w:rsidR="008B20E6">
        <w:rPr>
          <w:sz w:val="24"/>
        </w:rPr>
        <w:t>s</w:t>
      </w:r>
      <w:r w:rsidRPr="000F2370" w:rsidR="00E87D8E">
        <w:rPr>
          <w:sz w:val="24"/>
        </w:rPr>
        <w:t xml:space="preserve">tates </w:t>
      </w:r>
      <w:r w:rsidR="00E87D8E">
        <w:rPr>
          <w:sz w:val="24"/>
        </w:rPr>
        <w:t>at the beginning and near the end of</w:t>
      </w:r>
      <w:r w:rsidRPr="000F2370">
        <w:rPr>
          <w:sz w:val="24"/>
        </w:rPr>
        <w:t xml:space="preserve"> the </w:t>
      </w:r>
      <w:r w:rsidR="001111DE">
        <w:rPr>
          <w:sz w:val="24"/>
        </w:rPr>
        <w:t xml:space="preserve">post-planning </w:t>
      </w:r>
      <w:r w:rsidR="00955A85">
        <w:rPr>
          <w:sz w:val="24"/>
        </w:rPr>
        <w:t>period</w:t>
      </w:r>
      <w:r w:rsidRPr="000F2370">
        <w:rPr>
          <w:sz w:val="24"/>
        </w:rPr>
        <w:t xml:space="preserve">.  </w:t>
      </w:r>
      <w:bookmarkStart w:name="_Hlk71555020" w:id="5"/>
      <w:r w:rsidRPr="000F2370">
        <w:rPr>
          <w:sz w:val="24"/>
        </w:rPr>
        <w:t>The objective of having two surveys is to compare the incremental effect</w:t>
      </w:r>
      <w:r w:rsidR="00E87D8E">
        <w:rPr>
          <w:sz w:val="24"/>
        </w:rPr>
        <w:t xml:space="preserve"> </w:t>
      </w:r>
      <w:r w:rsidRPr="000F2370" w:rsidR="00E87D8E">
        <w:rPr>
          <w:sz w:val="24"/>
        </w:rPr>
        <w:t xml:space="preserve">on </w:t>
      </w:r>
      <w:r w:rsidR="00E87D8E">
        <w:rPr>
          <w:sz w:val="24"/>
        </w:rPr>
        <w:t xml:space="preserve">medication </w:t>
      </w:r>
      <w:r w:rsidRPr="000F2370" w:rsidR="00E87D8E">
        <w:rPr>
          <w:sz w:val="24"/>
        </w:rPr>
        <w:t xml:space="preserve">treatment </w:t>
      </w:r>
      <w:r w:rsidR="00E87D8E">
        <w:rPr>
          <w:sz w:val="24"/>
        </w:rPr>
        <w:t>for</w:t>
      </w:r>
      <w:r w:rsidRPr="000F2370" w:rsidR="00E87D8E">
        <w:rPr>
          <w:sz w:val="24"/>
        </w:rPr>
        <w:t xml:space="preserve"> OUD</w:t>
      </w:r>
      <w:r w:rsidRPr="000F2370">
        <w:rPr>
          <w:sz w:val="24"/>
        </w:rPr>
        <w:t xml:space="preserve"> of the </w:t>
      </w:r>
      <w:r w:rsidR="001111DE">
        <w:rPr>
          <w:sz w:val="24"/>
        </w:rPr>
        <w:t xml:space="preserve">post-planning </w:t>
      </w:r>
      <w:r w:rsidR="00955A85">
        <w:rPr>
          <w:sz w:val="24"/>
        </w:rPr>
        <w:t>period</w:t>
      </w:r>
      <w:r w:rsidR="001111DE">
        <w:rPr>
          <w:sz w:val="24"/>
        </w:rPr>
        <w:t xml:space="preserve"> activities</w:t>
      </w:r>
      <w:r w:rsidRPr="000F2370">
        <w:rPr>
          <w:sz w:val="24"/>
        </w:rPr>
        <w:t xml:space="preserve">, relative to those states </w:t>
      </w:r>
      <w:r w:rsidR="008B20E6">
        <w:rPr>
          <w:sz w:val="24"/>
        </w:rPr>
        <w:t>that</w:t>
      </w:r>
      <w:r w:rsidRPr="000F2370" w:rsidR="008B20E6">
        <w:rPr>
          <w:sz w:val="24"/>
        </w:rPr>
        <w:t xml:space="preserve"> </w:t>
      </w:r>
      <w:r w:rsidR="001111DE">
        <w:rPr>
          <w:sz w:val="24"/>
        </w:rPr>
        <w:t xml:space="preserve">participated </w:t>
      </w:r>
      <w:r w:rsidRPr="000F2370" w:rsidR="008B20E6">
        <w:rPr>
          <w:sz w:val="24"/>
        </w:rPr>
        <w:t xml:space="preserve">only </w:t>
      </w:r>
      <w:r w:rsidR="001111DE">
        <w:rPr>
          <w:sz w:val="24"/>
        </w:rPr>
        <w:t>in the p</w:t>
      </w:r>
      <w:r w:rsidRPr="000F2370" w:rsidR="001111DE">
        <w:rPr>
          <w:sz w:val="24"/>
        </w:rPr>
        <w:t xml:space="preserve">lanning </w:t>
      </w:r>
      <w:r w:rsidR="00955A85">
        <w:rPr>
          <w:sz w:val="24"/>
        </w:rPr>
        <w:t>period</w:t>
      </w:r>
      <w:r w:rsidR="004B1402">
        <w:rPr>
          <w:sz w:val="24"/>
        </w:rPr>
        <w:t>.</w:t>
      </w:r>
      <w:bookmarkEnd w:id="5"/>
    </w:p>
    <w:p w:rsidR="004B1402" w:rsidP="004B1402" w:rsidRDefault="004B140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rFonts w:eastAsia="Calibri" w:cs="Calibri"/>
          <w:b/>
          <w:sz w:val="24"/>
        </w:rPr>
      </w:pPr>
    </w:p>
    <w:p w:rsidR="004B1402" w:rsidP="00445E1A" w:rsidRDefault="00474660">
      <w:pPr>
        <w:pStyle w:val="AHeading1"/>
        <w:ind w:firstLine="450"/>
      </w:pPr>
      <w:r w:rsidRPr="000F2370">
        <w:rPr>
          <w:rFonts w:eastAsia="Calibri"/>
        </w:rPr>
        <w:t xml:space="preserve">Provider Focus Groups </w:t>
      </w:r>
    </w:p>
    <w:p w:rsidR="003D5321" w:rsidP="003D5321" w:rsidRDefault="00474660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 xml:space="preserve">In </w:t>
      </w:r>
      <w:r w:rsidRPr="00395B75">
        <w:rPr>
          <w:rFonts w:eastAsia="Calibri" w:cs="Calibri"/>
          <w:sz w:val="24"/>
        </w:rPr>
        <w:t>the second and fo</w:t>
      </w:r>
      <w:r>
        <w:rPr>
          <w:rFonts w:eastAsia="Calibri" w:cs="Calibri"/>
          <w:sz w:val="24"/>
        </w:rPr>
        <w:t xml:space="preserve">urth year of the evaluation, the evaluation </w:t>
      </w:r>
      <w:r w:rsidR="008B20E6">
        <w:rPr>
          <w:rFonts w:eastAsia="Calibri" w:cs="Calibri"/>
          <w:sz w:val="24"/>
        </w:rPr>
        <w:t xml:space="preserve">team </w:t>
      </w:r>
      <w:r w:rsidR="001111DE">
        <w:rPr>
          <w:rFonts w:eastAsia="Calibri" w:cs="Calibri"/>
          <w:sz w:val="24"/>
        </w:rPr>
        <w:t>will</w:t>
      </w:r>
      <w:r>
        <w:rPr>
          <w:rFonts w:eastAsia="Calibri" w:cs="Calibri"/>
          <w:sz w:val="24"/>
        </w:rPr>
        <w:t xml:space="preserve"> conduct</w:t>
      </w:r>
      <w:r w:rsidRPr="00395B75">
        <w:rPr>
          <w:rFonts w:eastAsia="Calibri" w:cs="Calibri"/>
          <w:sz w:val="24"/>
        </w:rPr>
        <w:t xml:space="preserve"> virtual focus groups with providers in </w:t>
      </w:r>
      <w:r w:rsidR="001111DE">
        <w:rPr>
          <w:rFonts w:eastAsia="Calibri" w:cs="Calibri"/>
          <w:sz w:val="24"/>
        </w:rPr>
        <w:t xml:space="preserve">post-planning </w:t>
      </w:r>
      <w:r w:rsidRPr="00395B75">
        <w:rPr>
          <w:rFonts w:eastAsia="Calibri" w:cs="Calibri"/>
          <w:sz w:val="24"/>
        </w:rPr>
        <w:t>states</w:t>
      </w:r>
      <w:r>
        <w:rPr>
          <w:rFonts w:eastAsia="Calibri" w:cs="Calibri"/>
          <w:sz w:val="24"/>
        </w:rPr>
        <w:t xml:space="preserve">, </w:t>
      </w:r>
      <w:r w:rsidR="00FF0C54">
        <w:rPr>
          <w:rFonts w:eastAsia="Calibri" w:cs="Calibri"/>
          <w:sz w:val="24"/>
        </w:rPr>
        <w:t>two</w:t>
      </w:r>
      <w:r w:rsidR="00D96169">
        <w:rPr>
          <w:rFonts w:eastAsia="Calibri" w:cs="Calibri"/>
          <w:sz w:val="24"/>
        </w:rPr>
        <w:t xml:space="preserve"> groups per state. </w:t>
      </w:r>
      <w:r w:rsidR="008B20E6">
        <w:rPr>
          <w:rFonts w:eastAsia="Calibri" w:cs="Calibri"/>
          <w:sz w:val="24"/>
        </w:rPr>
        <w:t xml:space="preserve"> </w:t>
      </w:r>
      <w:r w:rsidRPr="00B325C4" w:rsidR="00B325C4">
        <w:rPr>
          <w:rFonts w:eastAsia="Calibri" w:cs="Calibri"/>
          <w:sz w:val="24"/>
        </w:rPr>
        <w:t xml:space="preserve">We </w:t>
      </w:r>
      <w:r w:rsidR="00D96169">
        <w:rPr>
          <w:rFonts w:eastAsia="Calibri" w:cs="Calibri"/>
          <w:sz w:val="24"/>
        </w:rPr>
        <w:t>anticipate</w:t>
      </w:r>
      <w:r w:rsidRPr="00B325C4" w:rsidR="00B325C4">
        <w:rPr>
          <w:rFonts w:eastAsia="Calibri" w:cs="Calibri"/>
          <w:sz w:val="24"/>
        </w:rPr>
        <w:t xml:space="preserve"> between six to eight participants </w:t>
      </w:r>
      <w:r w:rsidR="00D96169">
        <w:rPr>
          <w:rFonts w:eastAsia="Calibri" w:cs="Calibri"/>
          <w:sz w:val="24"/>
        </w:rPr>
        <w:t xml:space="preserve">for </w:t>
      </w:r>
      <w:r>
        <w:rPr>
          <w:rFonts w:eastAsia="Calibri" w:cs="Calibri"/>
          <w:sz w:val="24"/>
        </w:rPr>
        <w:t>each 90-minute focus group</w:t>
      </w:r>
      <w:r w:rsidR="00D96169">
        <w:rPr>
          <w:rFonts w:eastAsia="Calibri" w:cs="Calibri"/>
          <w:sz w:val="24"/>
        </w:rPr>
        <w:t>, which will be conducted</w:t>
      </w:r>
      <w:r w:rsidRPr="00395B75">
        <w:rPr>
          <w:rFonts w:eastAsia="Calibri" w:cs="Calibri"/>
          <w:sz w:val="24"/>
        </w:rPr>
        <w:t xml:space="preserve"> via password-secured Zoom or another virtual conferencing platform. </w:t>
      </w:r>
      <w:r w:rsidR="008B20E6">
        <w:rPr>
          <w:rFonts w:eastAsia="Calibri" w:cs="Calibri"/>
          <w:sz w:val="24"/>
        </w:rPr>
        <w:t xml:space="preserve"> </w:t>
      </w:r>
      <w:r>
        <w:rPr>
          <w:rFonts w:eastAsia="Calibri" w:cs="Calibri"/>
          <w:sz w:val="24"/>
        </w:rPr>
        <w:t>The evaluation team will</w:t>
      </w:r>
      <w:r w:rsidRPr="00395B75">
        <w:rPr>
          <w:rFonts w:eastAsia="Calibri" w:cs="Calibri"/>
          <w:sz w:val="24"/>
        </w:rPr>
        <w:t xml:space="preserve"> recruit a range of Medicaid-enrolled SUD providers (e.g., primary care and SUD specialty physicians, nurse practitioners, physician assistants, peer providers, and ob</w:t>
      </w:r>
      <w:r w:rsidR="00DA758E">
        <w:rPr>
          <w:rFonts w:eastAsia="Calibri" w:cs="Calibri"/>
          <w:sz w:val="24"/>
        </w:rPr>
        <w:t>stetricians</w:t>
      </w:r>
      <w:r w:rsidRPr="00395B75">
        <w:rPr>
          <w:rFonts w:eastAsia="Calibri" w:cs="Calibri"/>
          <w:sz w:val="24"/>
        </w:rPr>
        <w:t>) who are</w:t>
      </w:r>
      <w:r w:rsidR="008A57E3">
        <w:rPr>
          <w:rFonts w:eastAsia="Calibri" w:cs="Calibri"/>
          <w:sz w:val="24"/>
        </w:rPr>
        <w:t xml:space="preserve"> the</w:t>
      </w:r>
      <w:r w:rsidRPr="00395B75">
        <w:rPr>
          <w:rFonts w:eastAsia="Calibri" w:cs="Calibri"/>
          <w:sz w:val="24"/>
        </w:rPr>
        <w:t xml:space="preserve"> primary targets of the </w:t>
      </w:r>
      <w:r w:rsidR="00E87D8E">
        <w:rPr>
          <w:rFonts w:eastAsia="Calibri" w:cs="Calibri"/>
          <w:sz w:val="24"/>
        </w:rPr>
        <w:t>respective states participating in the post-planning period of the s</w:t>
      </w:r>
      <w:r w:rsidRPr="00395B75">
        <w:rPr>
          <w:rFonts w:eastAsia="Calibri" w:cs="Calibri"/>
          <w:sz w:val="24"/>
        </w:rPr>
        <w:t xml:space="preserve">ection 1003 </w:t>
      </w:r>
      <w:r w:rsidR="00E87D8E">
        <w:rPr>
          <w:rFonts w:eastAsia="Calibri" w:cs="Calibri"/>
          <w:sz w:val="24"/>
        </w:rPr>
        <w:t>d</w:t>
      </w:r>
      <w:r w:rsidRPr="00395B75">
        <w:rPr>
          <w:rFonts w:eastAsia="Calibri" w:cs="Calibri"/>
          <w:sz w:val="24"/>
        </w:rPr>
        <w:t xml:space="preserve">emonstration. </w:t>
      </w:r>
      <w:r w:rsidR="008B20E6">
        <w:rPr>
          <w:rFonts w:eastAsia="Calibri" w:cs="Calibri"/>
          <w:sz w:val="24"/>
        </w:rPr>
        <w:t xml:space="preserve"> </w:t>
      </w:r>
      <w:r w:rsidRPr="00395B75" w:rsidR="00E87D8E">
        <w:rPr>
          <w:rFonts w:eastAsia="Calibri" w:cs="Calibri"/>
          <w:sz w:val="24"/>
        </w:rPr>
        <w:t>In discussion with the C</w:t>
      </w:r>
      <w:r w:rsidR="008B20E6">
        <w:rPr>
          <w:rFonts w:eastAsia="Calibri" w:cs="Calibri"/>
          <w:sz w:val="24"/>
        </w:rPr>
        <w:t xml:space="preserve">ontracting </w:t>
      </w:r>
      <w:r w:rsidRPr="00395B75" w:rsidR="00E87D8E">
        <w:rPr>
          <w:rFonts w:eastAsia="Calibri" w:cs="Calibri"/>
          <w:sz w:val="24"/>
        </w:rPr>
        <w:t>O</w:t>
      </w:r>
      <w:r w:rsidR="008B20E6">
        <w:rPr>
          <w:rFonts w:eastAsia="Calibri" w:cs="Calibri"/>
          <w:sz w:val="24"/>
        </w:rPr>
        <w:t xml:space="preserve">fficer’s </w:t>
      </w:r>
      <w:r w:rsidRPr="00395B75" w:rsidR="00E87D8E">
        <w:rPr>
          <w:rFonts w:eastAsia="Calibri" w:cs="Calibri"/>
          <w:sz w:val="24"/>
        </w:rPr>
        <w:t>R</w:t>
      </w:r>
      <w:r w:rsidR="008B20E6">
        <w:rPr>
          <w:rFonts w:eastAsia="Calibri" w:cs="Calibri"/>
          <w:sz w:val="24"/>
        </w:rPr>
        <w:t>epresentative</w:t>
      </w:r>
      <w:r w:rsidR="00E87D8E">
        <w:rPr>
          <w:rFonts w:eastAsia="Calibri" w:cs="Calibri"/>
          <w:sz w:val="24"/>
        </w:rPr>
        <w:t xml:space="preserve"> and the states, w</w:t>
      </w:r>
      <w:r w:rsidRPr="00395B75">
        <w:rPr>
          <w:rFonts w:eastAsia="Calibri" w:cs="Calibri"/>
          <w:sz w:val="24"/>
        </w:rPr>
        <w:t xml:space="preserve">e </w:t>
      </w:r>
      <w:r w:rsidR="008A57E3">
        <w:rPr>
          <w:rFonts w:eastAsia="Calibri" w:cs="Calibri"/>
          <w:sz w:val="24"/>
        </w:rPr>
        <w:t>will choose</w:t>
      </w:r>
      <w:r w:rsidRPr="00395B75">
        <w:rPr>
          <w:rFonts w:eastAsia="Calibri" w:cs="Calibri"/>
          <w:sz w:val="24"/>
        </w:rPr>
        <w:t xml:space="preserve"> provider types </w:t>
      </w:r>
      <w:r w:rsidR="008A57E3">
        <w:rPr>
          <w:rFonts w:eastAsia="Calibri" w:cs="Calibri"/>
          <w:sz w:val="24"/>
        </w:rPr>
        <w:t>that reflect</w:t>
      </w:r>
      <w:r w:rsidRPr="00395B75">
        <w:rPr>
          <w:rFonts w:eastAsia="Calibri" w:cs="Calibri"/>
          <w:sz w:val="24"/>
        </w:rPr>
        <w:t xml:space="preserve"> the goals of each state, with particular attention given to areas that the state aimed to support and develop.  </w:t>
      </w:r>
    </w:p>
    <w:p w:rsidR="00D96169" w:rsidP="003D5321" w:rsidRDefault="00D9616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="00F24BEC" w:rsidP="00445E1A" w:rsidRDefault="00474660">
      <w:pPr>
        <w:widowControl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 w:rsidRPr="00395B75">
        <w:rPr>
          <w:rFonts w:eastAsia="Calibri" w:cs="Calibri"/>
          <w:sz w:val="24"/>
        </w:rPr>
        <w:t xml:space="preserve">The focus groups will explore the impact of key aspects of implementation, such as perceived </w:t>
      </w:r>
      <w:r w:rsidR="00777577">
        <w:rPr>
          <w:rFonts w:eastAsia="Calibri" w:cs="Calibri"/>
          <w:sz w:val="24"/>
        </w:rPr>
        <w:t>challenge</w:t>
      </w:r>
      <w:r w:rsidRPr="00395B75" w:rsidR="00777577">
        <w:rPr>
          <w:rFonts w:eastAsia="Calibri" w:cs="Calibri"/>
          <w:sz w:val="24"/>
        </w:rPr>
        <w:t xml:space="preserve">s </w:t>
      </w:r>
      <w:r w:rsidRPr="00395B75">
        <w:rPr>
          <w:rFonts w:eastAsia="Calibri" w:cs="Calibri"/>
          <w:sz w:val="24"/>
        </w:rPr>
        <w:t xml:space="preserve">associated with </w:t>
      </w:r>
      <w:r w:rsidRPr="008A57E3">
        <w:rPr>
          <w:rFonts w:eastAsia="Calibri" w:cs="Calibri"/>
          <w:sz w:val="24"/>
        </w:rPr>
        <w:t>Medicaid enrollment or delivery</w:t>
      </w:r>
      <w:r w:rsidR="00E87D8E">
        <w:rPr>
          <w:rFonts w:eastAsia="Calibri" w:cs="Calibri"/>
          <w:sz w:val="24"/>
        </w:rPr>
        <w:t xml:space="preserve"> of SUD treatment or recovery services</w:t>
      </w:r>
      <w:r w:rsidRPr="008A57E3">
        <w:rPr>
          <w:rFonts w:eastAsia="Calibri" w:cs="Calibri"/>
          <w:sz w:val="24"/>
        </w:rPr>
        <w:t xml:space="preserve">, access to referral placements, </w:t>
      </w:r>
      <w:r w:rsidR="008B20E6">
        <w:rPr>
          <w:rFonts w:eastAsia="Calibri" w:cs="Calibri"/>
          <w:sz w:val="24"/>
        </w:rPr>
        <w:t xml:space="preserve">the </w:t>
      </w:r>
      <w:r w:rsidRPr="008A57E3">
        <w:rPr>
          <w:rFonts w:eastAsia="Calibri" w:cs="Calibri"/>
          <w:sz w:val="24"/>
        </w:rPr>
        <w:t xml:space="preserve">value of state-provided </w:t>
      </w:r>
      <w:r w:rsidR="008B20E6">
        <w:rPr>
          <w:rFonts w:eastAsia="Calibri" w:cs="Calibri"/>
          <w:sz w:val="24"/>
        </w:rPr>
        <w:t>technical assistance</w:t>
      </w:r>
      <w:r w:rsidRPr="008A57E3">
        <w:rPr>
          <w:rFonts w:eastAsia="Calibri" w:cs="Calibri"/>
          <w:sz w:val="24"/>
        </w:rPr>
        <w:t xml:space="preserve">, and benefits and unanticipated outcomes experienced by providers. </w:t>
      </w:r>
      <w:r w:rsidR="008B20E6">
        <w:rPr>
          <w:rFonts w:eastAsia="Calibri" w:cs="Calibri"/>
          <w:sz w:val="24"/>
        </w:rPr>
        <w:t xml:space="preserve"> </w:t>
      </w:r>
      <w:r w:rsidRPr="008A57E3">
        <w:rPr>
          <w:rFonts w:eastAsia="Calibri" w:cs="Calibri"/>
          <w:sz w:val="24"/>
        </w:rPr>
        <w:t xml:space="preserve">Focus groups allow for </w:t>
      </w:r>
      <w:r w:rsidRPr="008A57E3">
        <w:rPr>
          <w:rFonts w:eastAsia="Calibri" w:cs="Calibri"/>
          <w:sz w:val="24"/>
        </w:rPr>
        <w:lastRenderedPageBreak/>
        <w:t>interaction across participants and may elicit comments and insights that would not surface in one-on-one discussions.</w:t>
      </w:r>
      <w:r w:rsidRPr="00395B75">
        <w:rPr>
          <w:rFonts w:eastAsia="Calibri" w:cs="Calibri"/>
          <w:sz w:val="24"/>
        </w:rPr>
        <w:t xml:space="preserve">  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 w:rsidRPr="00445E1A">
        <w:rPr>
          <w:bCs/>
          <w:sz w:val="24"/>
          <w:u w:val="single"/>
        </w:rPr>
        <w:t>Information Users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777577" w:rsidRDefault="00886D8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>The information collected from the provider surveys and focus groups will be used by the evaluation team</w:t>
      </w:r>
      <w:r w:rsidR="00D05895">
        <w:rPr>
          <w:sz w:val="24"/>
        </w:rPr>
        <w:t>, CMS</w:t>
      </w:r>
      <w:r w:rsidR="00777577">
        <w:rPr>
          <w:sz w:val="24"/>
        </w:rPr>
        <w:t>,</w:t>
      </w:r>
      <w:r w:rsidR="00D05895">
        <w:rPr>
          <w:sz w:val="24"/>
        </w:rPr>
        <w:t xml:space="preserve"> and </w:t>
      </w:r>
      <w:r w:rsidR="00777577">
        <w:rPr>
          <w:sz w:val="24"/>
        </w:rPr>
        <w:t>its federal partners</w:t>
      </w:r>
      <w:r>
        <w:rPr>
          <w:sz w:val="24"/>
        </w:rPr>
        <w:t xml:space="preserve"> to inform the mandated </w:t>
      </w:r>
      <w:r w:rsidR="00474334">
        <w:rPr>
          <w:sz w:val="24"/>
        </w:rPr>
        <w:t>F</w:t>
      </w:r>
      <w:r w:rsidR="00777577">
        <w:rPr>
          <w:sz w:val="24"/>
        </w:rPr>
        <w:t xml:space="preserve">inal </w:t>
      </w:r>
      <w:r w:rsidR="00F84911">
        <w:rPr>
          <w:sz w:val="24"/>
        </w:rPr>
        <w:t>R</w:t>
      </w:r>
      <w:r>
        <w:rPr>
          <w:sz w:val="24"/>
        </w:rPr>
        <w:t xml:space="preserve">eport to </w:t>
      </w:r>
      <w:r w:rsidR="00D05895">
        <w:rPr>
          <w:sz w:val="24"/>
        </w:rPr>
        <w:t>C</w:t>
      </w:r>
      <w:r>
        <w:rPr>
          <w:sz w:val="24"/>
        </w:rPr>
        <w:t xml:space="preserve">ongress regarding the SUPPORT Act section 1003 demonstration.  </w:t>
      </w:r>
      <w:r w:rsidR="00D05895">
        <w:rPr>
          <w:sz w:val="24"/>
        </w:rPr>
        <w:t xml:space="preserve">All data will be reported at the aggregate level. </w:t>
      </w:r>
    </w:p>
    <w:p w:rsidRPr="00C001ED"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br/>
      </w:r>
      <w:r w:rsidRPr="00C001ED">
        <w:rPr>
          <w:sz w:val="24"/>
        </w:rPr>
        <w:t xml:space="preserve">The information collected from the </w:t>
      </w:r>
      <w:r w:rsidR="004F648C">
        <w:rPr>
          <w:sz w:val="24"/>
        </w:rPr>
        <w:t>p</w:t>
      </w:r>
      <w:r>
        <w:rPr>
          <w:sz w:val="24"/>
        </w:rPr>
        <w:t xml:space="preserve">rovider </w:t>
      </w:r>
      <w:r w:rsidR="004F648C">
        <w:rPr>
          <w:sz w:val="24"/>
        </w:rPr>
        <w:t>s</w:t>
      </w:r>
      <w:r>
        <w:rPr>
          <w:sz w:val="24"/>
        </w:rPr>
        <w:t>urvey</w:t>
      </w:r>
      <w:r w:rsidR="004F648C">
        <w:rPr>
          <w:sz w:val="24"/>
        </w:rPr>
        <w:t>s</w:t>
      </w:r>
      <w:r>
        <w:rPr>
          <w:sz w:val="24"/>
        </w:rPr>
        <w:t xml:space="preserve"> </w:t>
      </w:r>
      <w:r w:rsidRPr="00C001ED">
        <w:rPr>
          <w:sz w:val="24"/>
        </w:rPr>
        <w:t>will be used</w:t>
      </w:r>
      <w:r>
        <w:rPr>
          <w:sz w:val="24"/>
        </w:rPr>
        <w:t xml:space="preserve"> </w:t>
      </w:r>
      <w:r w:rsidRPr="00C001ED">
        <w:rPr>
          <w:sz w:val="24"/>
        </w:rPr>
        <w:t xml:space="preserve">to </w:t>
      </w:r>
      <w:r>
        <w:rPr>
          <w:sz w:val="24"/>
        </w:rPr>
        <w:t xml:space="preserve">understand </w:t>
      </w:r>
      <w:r w:rsidRPr="00C001ED">
        <w:rPr>
          <w:sz w:val="24"/>
        </w:rPr>
        <w:t xml:space="preserve">how </w:t>
      </w:r>
      <w:r w:rsidR="00777577">
        <w:rPr>
          <w:sz w:val="24"/>
        </w:rPr>
        <w:t xml:space="preserve">MAT </w:t>
      </w:r>
      <w:r>
        <w:rPr>
          <w:sz w:val="24"/>
        </w:rPr>
        <w:t>prescribing has changed during the</w:t>
      </w:r>
      <w:r w:rsidRPr="00C001ED">
        <w:rPr>
          <w:sz w:val="24"/>
        </w:rPr>
        <w:t xml:space="preserve"> </w:t>
      </w:r>
      <w:r w:rsidR="00E9262A">
        <w:rPr>
          <w:sz w:val="24"/>
        </w:rPr>
        <w:t>d</w:t>
      </w:r>
      <w:r w:rsidRPr="00C001ED">
        <w:rPr>
          <w:sz w:val="24"/>
        </w:rPr>
        <w:t>emonstration</w:t>
      </w:r>
      <w:r w:rsidR="008A57E3">
        <w:rPr>
          <w:sz w:val="24"/>
        </w:rPr>
        <w:t xml:space="preserve">, </w:t>
      </w:r>
      <w:r w:rsidR="00F84911">
        <w:rPr>
          <w:sz w:val="24"/>
        </w:rPr>
        <w:t xml:space="preserve">identify </w:t>
      </w:r>
      <w:r w:rsidR="00777577">
        <w:rPr>
          <w:sz w:val="24"/>
        </w:rPr>
        <w:t xml:space="preserve">challenges </w:t>
      </w:r>
      <w:r w:rsidR="008A57E3">
        <w:rPr>
          <w:sz w:val="24"/>
        </w:rPr>
        <w:t>to prescribing,</w:t>
      </w:r>
      <w:r>
        <w:rPr>
          <w:sz w:val="24"/>
        </w:rPr>
        <w:t xml:space="preserve"> and </w:t>
      </w:r>
      <w:r w:rsidRPr="009113EF">
        <w:rPr>
          <w:sz w:val="24"/>
        </w:rPr>
        <w:t xml:space="preserve">compare the incremental effect of the </w:t>
      </w:r>
      <w:r w:rsidR="00236323">
        <w:rPr>
          <w:sz w:val="24"/>
        </w:rPr>
        <w:t xml:space="preserve">post-planning </w:t>
      </w:r>
      <w:r w:rsidR="00955A85">
        <w:rPr>
          <w:sz w:val="24"/>
        </w:rPr>
        <w:t>period</w:t>
      </w:r>
      <w:r w:rsidRPr="009113EF">
        <w:rPr>
          <w:sz w:val="24"/>
        </w:rPr>
        <w:t xml:space="preserve">, relative to those states who </w:t>
      </w:r>
      <w:r w:rsidR="00236323">
        <w:rPr>
          <w:sz w:val="24"/>
        </w:rPr>
        <w:t xml:space="preserve">participated </w:t>
      </w:r>
      <w:r w:rsidRPr="009113EF" w:rsidR="00F84911">
        <w:rPr>
          <w:sz w:val="24"/>
        </w:rPr>
        <w:t xml:space="preserve">only </w:t>
      </w:r>
      <w:r w:rsidR="00236323">
        <w:rPr>
          <w:sz w:val="24"/>
        </w:rPr>
        <w:t xml:space="preserve">in the planning </w:t>
      </w:r>
      <w:r w:rsidR="00955A85">
        <w:rPr>
          <w:sz w:val="24"/>
        </w:rPr>
        <w:t>period</w:t>
      </w:r>
      <w:r w:rsidRPr="009113EF">
        <w:rPr>
          <w:sz w:val="24"/>
        </w:rPr>
        <w:t xml:space="preserve">, on </w:t>
      </w:r>
      <w:r w:rsidR="00236323">
        <w:rPr>
          <w:sz w:val="24"/>
        </w:rPr>
        <w:t xml:space="preserve">increased capacity for SUD </w:t>
      </w:r>
      <w:r w:rsidRPr="009113EF">
        <w:rPr>
          <w:sz w:val="24"/>
        </w:rPr>
        <w:t>treatment</w:t>
      </w:r>
      <w:r w:rsidR="00236323">
        <w:rPr>
          <w:sz w:val="24"/>
        </w:rPr>
        <w:t xml:space="preserve"> </w:t>
      </w:r>
      <w:r w:rsidR="00F84911">
        <w:rPr>
          <w:sz w:val="24"/>
        </w:rPr>
        <w:t xml:space="preserve">or </w:t>
      </w:r>
      <w:r w:rsidR="00236323">
        <w:rPr>
          <w:sz w:val="24"/>
        </w:rPr>
        <w:t xml:space="preserve">recovery </w:t>
      </w:r>
      <w:r w:rsidR="00777577">
        <w:rPr>
          <w:sz w:val="24"/>
        </w:rPr>
        <w:t>service delivery</w:t>
      </w:r>
      <w:r w:rsidRPr="009113EF">
        <w:rPr>
          <w:sz w:val="24"/>
        </w:rPr>
        <w:t>.</w:t>
      </w:r>
      <w:r w:rsidR="00F84911">
        <w:rPr>
          <w:sz w:val="24"/>
        </w:rPr>
        <w:t xml:space="preserve"> </w:t>
      </w:r>
      <w:r w:rsidRPr="009113EF">
        <w:rPr>
          <w:sz w:val="24"/>
        </w:rPr>
        <w:t xml:space="preserve"> The focus groups will </w:t>
      </w:r>
      <w:r>
        <w:rPr>
          <w:sz w:val="24"/>
        </w:rPr>
        <w:t xml:space="preserve">provide </w:t>
      </w:r>
      <w:r w:rsidR="008A57E3">
        <w:rPr>
          <w:sz w:val="24"/>
        </w:rPr>
        <w:t>strategic</w:t>
      </w:r>
      <w:r>
        <w:rPr>
          <w:sz w:val="24"/>
        </w:rPr>
        <w:t xml:space="preserve"> information on </w:t>
      </w:r>
      <w:r w:rsidRPr="009113EF">
        <w:rPr>
          <w:sz w:val="24"/>
        </w:rPr>
        <w:t xml:space="preserve">the impact of key aspects of implementation, such as perceived </w:t>
      </w:r>
      <w:r w:rsidR="00777577">
        <w:rPr>
          <w:sz w:val="24"/>
        </w:rPr>
        <w:t>challenge</w:t>
      </w:r>
      <w:r w:rsidRPr="009113EF" w:rsidR="00777577">
        <w:rPr>
          <w:sz w:val="24"/>
        </w:rPr>
        <w:t xml:space="preserve">s </w:t>
      </w:r>
      <w:r w:rsidRPr="009113EF">
        <w:rPr>
          <w:sz w:val="24"/>
        </w:rPr>
        <w:t xml:space="preserve">associated with Medicaid enrollment or MAT delivery, access to referral placements, </w:t>
      </w:r>
      <w:r w:rsidR="00F84911">
        <w:rPr>
          <w:sz w:val="24"/>
        </w:rPr>
        <w:t xml:space="preserve">the </w:t>
      </w:r>
      <w:r w:rsidRPr="009113EF">
        <w:rPr>
          <w:sz w:val="24"/>
        </w:rPr>
        <w:t xml:space="preserve">value of state-provided </w:t>
      </w:r>
      <w:r w:rsidR="00F84911">
        <w:rPr>
          <w:sz w:val="24"/>
        </w:rPr>
        <w:t>technical assistance</w:t>
      </w:r>
      <w:r w:rsidRPr="009113EF">
        <w:rPr>
          <w:sz w:val="24"/>
        </w:rPr>
        <w:t xml:space="preserve">, and benefits and unanticipated outcomes experienced by providers during the </w:t>
      </w:r>
      <w:r w:rsidR="00E9262A">
        <w:rPr>
          <w:sz w:val="24"/>
        </w:rPr>
        <w:t>d</w:t>
      </w:r>
      <w:r w:rsidRPr="009113EF">
        <w:rPr>
          <w:sz w:val="24"/>
        </w:rPr>
        <w:t xml:space="preserve">emonstration.  </w:t>
      </w:r>
      <w:r>
        <w:rPr>
          <w:sz w:val="24"/>
        </w:rPr>
        <w:t xml:space="preserve">The data collected will allow </w:t>
      </w:r>
      <w:r w:rsidR="00886D8D">
        <w:rPr>
          <w:sz w:val="24"/>
        </w:rPr>
        <w:t xml:space="preserve">for an understanding of </w:t>
      </w:r>
      <w:r w:rsidR="00777577">
        <w:rPr>
          <w:sz w:val="24"/>
        </w:rPr>
        <w:t>challenge</w:t>
      </w:r>
      <w:r>
        <w:rPr>
          <w:sz w:val="24"/>
        </w:rPr>
        <w:t>s and facilitators to state demonstration implementation plans,</w:t>
      </w:r>
      <w:r w:rsidRPr="00C001ED">
        <w:rPr>
          <w:sz w:val="24"/>
        </w:rPr>
        <w:t xml:space="preserve"> </w:t>
      </w:r>
      <w:r w:rsidR="00F84911">
        <w:rPr>
          <w:sz w:val="24"/>
        </w:rPr>
        <w:t xml:space="preserve">as well as </w:t>
      </w:r>
      <w:r w:rsidRPr="00C001ED">
        <w:rPr>
          <w:sz w:val="24"/>
        </w:rPr>
        <w:t>unintended consequences</w:t>
      </w:r>
      <w:r>
        <w:rPr>
          <w:sz w:val="24"/>
        </w:rPr>
        <w:t xml:space="preserve">, both positive and negative, with respect to service delivery and </w:t>
      </w:r>
      <w:r w:rsidR="00777577">
        <w:rPr>
          <w:sz w:val="24"/>
        </w:rPr>
        <w:t xml:space="preserve">demonstration </w:t>
      </w:r>
      <w:r>
        <w:rPr>
          <w:sz w:val="24"/>
        </w:rPr>
        <w:t>outcomes</w:t>
      </w:r>
      <w:r w:rsidRPr="00C001ED">
        <w:rPr>
          <w:sz w:val="24"/>
        </w:rPr>
        <w:t xml:space="preserve">. 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  <w:u w:val="single"/>
        </w:rPr>
        <w:t>Use of Information Technology</w:t>
      </w:r>
    </w:p>
    <w:p w:rsidR="00F24BEC" w:rsidP="00537BCA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Pr="00537BCA" w:rsidR="00F24BEC" w:rsidP="00F85684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 w:rsidRPr="00537BCA">
        <w:rPr>
          <w:sz w:val="24"/>
        </w:rPr>
        <w:t>All information</w:t>
      </w:r>
      <w:r w:rsidR="0005019E">
        <w:rPr>
          <w:sz w:val="24"/>
        </w:rPr>
        <w:t xml:space="preserve"> (100 percent)</w:t>
      </w:r>
      <w:r w:rsidRPr="00537BCA">
        <w:rPr>
          <w:sz w:val="24"/>
        </w:rPr>
        <w:t xml:space="preserve"> will be collected electronically via web-based platforms. </w:t>
      </w:r>
      <w:r w:rsidR="00F84911">
        <w:rPr>
          <w:sz w:val="24"/>
        </w:rPr>
        <w:t xml:space="preserve"> </w:t>
      </w:r>
      <w:r>
        <w:rPr>
          <w:sz w:val="24"/>
        </w:rPr>
        <w:t xml:space="preserve">The </w:t>
      </w:r>
      <w:r w:rsidR="00F17911">
        <w:rPr>
          <w:sz w:val="24"/>
        </w:rPr>
        <w:t>p</w:t>
      </w:r>
      <w:r w:rsidRPr="00537BCA">
        <w:rPr>
          <w:sz w:val="24"/>
        </w:rPr>
        <w:t>rovider survey</w:t>
      </w:r>
      <w:r w:rsidR="00F17911">
        <w:rPr>
          <w:sz w:val="24"/>
        </w:rPr>
        <w:t>s</w:t>
      </w:r>
      <w:r w:rsidRPr="00537BCA">
        <w:rPr>
          <w:sz w:val="24"/>
        </w:rPr>
        <w:t xml:space="preserve"> will be conducted via a web-based platform, and the focus groups will </w:t>
      </w:r>
      <w:r>
        <w:rPr>
          <w:sz w:val="24"/>
        </w:rPr>
        <w:t xml:space="preserve">be </w:t>
      </w:r>
      <w:r w:rsidRPr="00537BCA">
        <w:rPr>
          <w:sz w:val="24"/>
        </w:rPr>
        <w:t xml:space="preserve">conducted virtually via </w:t>
      </w:r>
      <w:r w:rsidR="00474334">
        <w:rPr>
          <w:sz w:val="24"/>
        </w:rPr>
        <w:t xml:space="preserve">the </w:t>
      </w:r>
      <w:r w:rsidRPr="00537BCA">
        <w:rPr>
          <w:sz w:val="24"/>
        </w:rPr>
        <w:t>Zoom platform.</w:t>
      </w:r>
      <w:r w:rsidR="00F84911">
        <w:rPr>
          <w:sz w:val="24"/>
        </w:rPr>
        <w:t xml:space="preserve"> </w:t>
      </w:r>
      <w:r w:rsidRPr="00537BCA">
        <w:rPr>
          <w:sz w:val="24"/>
        </w:rPr>
        <w:t xml:space="preserve"> Electronic data collection poses a lesser burden than completing manual data collection (e.g., a paper-based survey) and is also less costly. </w:t>
      </w:r>
      <w:r w:rsidR="00F84911">
        <w:rPr>
          <w:sz w:val="24"/>
        </w:rPr>
        <w:t xml:space="preserve"> </w:t>
      </w:r>
      <w:r w:rsidRPr="00537BCA" w:rsidR="00F17911">
        <w:rPr>
          <w:sz w:val="24"/>
        </w:rPr>
        <w:t>Neither the survey</w:t>
      </w:r>
      <w:r w:rsidR="00F17911">
        <w:rPr>
          <w:sz w:val="24"/>
        </w:rPr>
        <w:t>s</w:t>
      </w:r>
      <w:r w:rsidRPr="00537BCA" w:rsidR="00F17911">
        <w:rPr>
          <w:sz w:val="24"/>
        </w:rPr>
        <w:t xml:space="preserve"> </w:t>
      </w:r>
      <w:r w:rsidR="00F17911">
        <w:rPr>
          <w:sz w:val="24"/>
        </w:rPr>
        <w:t>n</w:t>
      </w:r>
      <w:r w:rsidRPr="00537BCA" w:rsidR="00F17911">
        <w:rPr>
          <w:sz w:val="24"/>
        </w:rPr>
        <w:t xml:space="preserve">or </w:t>
      </w:r>
      <w:r w:rsidR="00F84911">
        <w:rPr>
          <w:sz w:val="24"/>
        </w:rPr>
        <w:t xml:space="preserve">the </w:t>
      </w:r>
      <w:r w:rsidRPr="00537BCA" w:rsidR="00F17911">
        <w:rPr>
          <w:sz w:val="24"/>
        </w:rPr>
        <w:t>focus group</w:t>
      </w:r>
      <w:r w:rsidR="00F17911">
        <w:rPr>
          <w:sz w:val="24"/>
        </w:rPr>
        <w:t>s</w:t>
      </w:r>
      <w:r w:rsidRPr="00537BCA" w:rsidR="00F17911">
        <w:rPr>
          <w:sz w:val="24"/>
        </w:rPr>
        <w:t xml:space="preserve"> require any s</w:t>
      </w:r>
      <w:r w:rsidR="00F17911">
        <w:rPr>
          <w:sz w:val="24"/>
        </w:rPr>
        <w:t xml:space="preserve">ignatures from the respondents. </w:t>
      </w:r>
      <w:r w:rsidR="00F84911">
        <w:rPr>
          <w:sz w:val="24"/>
        </w:rPr>
        <w:t xml:space="preserve"> </w:t>
      </w:r>
      <w:r w:rsidR="00F17911">
        <w:rPr>
          <w:sz w:val="24"/>
        </w:rPr>
        <w:t>Additionally,</w:t>
      </w:r>
      <w:r w:rsidRPr="00537BCA">
        <w:rPr>
          <w:sz w:val="24"/>
        </w:rPr>
        <w:t xml:space="preserve"> all participation is voluntary. </w:t>
      </w:r>
      <w:r w:rsidR="00F84911">
        <w:rPr>
          <w:sz w:val="24"/>
        </w:rPr>
        <w:t xml:space="preserve"> </w:t>
      </w:r>
      <w:r w:rsidRPr="00537BCA">
        <w:rPr>
          <w:sz w:val="24"/>
        </w:rPr>
        <w:t>The survey</w:t>
      </w:r>
      <w:r w:rsidR="00F17911">
        <w:rPr>
          <w:sz w:val="24"/>
        </w:rPr>
        <w:t>s</w:t>
      </w:r>
      <w:r w:rsidRPr="00537BCA">
        <w:rPr>
          <w:sz w:val="24"/>
        </w:rPr>
        <w:t xml:space="preserve"> will be implemented on a platform that ensures the highest protection as per </w:t>
      </w:r>
      <w:r w:rsidRPr="00F84911" w:rsidR="00F84911">
        <w:rPr>
          <w:sz w:val="24"/>
        </w:rPr>
        <w:t>Health Information Technology for Economic and Clinical Health</w:t>
      </w:r>
      <w:r w:rsidR="00F84911">
        <w:rPr>
          <w:sz w:val="24"/>
        </w:rPr>
        <w:t xml:space="preserve"> Act </w:t>
      </w:r>
      <w:r w:rsidRPr="00537BCA">
        <w:rPr>
          <w:sz w:val="24"/>
        </w:rPr>
        <w:t xml:space="preserve">requirements, including the </w:t>
      </w:r>
      <w:r w:rsidRPr="00F84911" w:rsidR="00F84911">
        <w:rPr>
          <w:sz w:val="24"/>
        </w:rPr>
        <w:t xml:space="preserve">Federal Information Security Modernization Act </w:t>
      </w:r>
      <w:r w:rsidRPr="00537BCA">
        <w:rPr>
          <w:sz w:val="24"/>
        </w:rPr>
        <w:t xml:space="preserve">of 2002, and meets or exceeds the minimum requirements as outlined in </w:t>
      </w:r>
      <w:r w:rsidRPr="00F84911" w:rsidR="00F84911">
        <w:rPr>
          <w:sz w:val="24"/>
        </w:rPr>
        <w:t>Federal Information Processing Standards</w:t>
      </w:r>
      <w:r w:rsidR="00F84911">
        <w:rPr>
          <w:sz w:val="24"/>
        </w:rPr>
        <w:t xml:space="preserve"> </w:t>
      </w:r>
      <w:r w:rsidRPr="00537BCA">
        <w:rPr>
          <w:sz w:val="24"/>
        </w:rPr>
        <w:t>Publication 200</w:t>
      </w:r>
      <w:r w:rsidR="008A57E3">
        <w:rPr>
          <w:sz w:val="24"/>
        </w:rPr>
        <w:t>.</w:t>
      </w:r>
      <w:r w:rsidR="00F84911">
        <w:rPr>
          <w:sz w:val="24"/>
        </w:rPr>
        <w:t xml:space="preserve">  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  <w:u w:val="single"/>
        </w:rPr>
        <w:t>Duplication of Efforts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24BEC" w:rsidP="00537BCA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>This information collection does not duplicate any other effort</w:t>
      </w:r>
      <w:r w:rsidR="00A30856">
        <w:rPr>
          <w:sz w:val="24"/>
        </w:rPr>
        <w:t>s,</w:t>
      </w:r>
      <w:r>
        <w:rPr>
          <w:sz w:val="24"/>
        </w:rPr>
        <w:t xml:space="preserve"> and the information cannot be obtained from any other source.  There are no other data sources that contain the specific information on demonstration implementation and outcomes</w:t>
      </w:r>
      <w:r w:rsidR="00777577">
        <w:rPr>
          <w:sz w:val="24"/>
        </w:rPr>
        <w:t xml:space="preserve"> related to increasing Medicaid SUD treatment </w:t>
      </w:r>
      <w:r w:rsidR="00A30856">
        <w:rPr>
          <w:sz w:val="24"/>
        </w:rPr>
        <w:t xml:space="preserve">or </w:t>
      </w:r>
      <w:r w:rsidR="00777577">
        <w:rPr>
          <w:sz w:val="24"/>
        </w:rPr>
        <w:t>recovery provider capacity</w:t>
      </w:r>
      <w:r>
        <w:rPr>
          <w:sz w:val="24"/>
        </w:rPr>
        <w:t xml:space="preserve"> required to suitably</w:t>
      </w:r>
      <w:r w:rsidR="008A57E3">
        <w:rPr>
          <w:sz w:val="24"/>
        </w:rPr>
        <w:t xml:space="preserve"> evaluate the demonstration and meet statutory requirements.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24BEC" w:rsidP="00445E1A" w:rsidRDefault="00F24BEC">
      <w:pPr>
        <w:keepNext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lastRenderedPageBreak/>
        <w:t>5.</w:t>
      </w:r>
      <w:r>
        <w:rPr>
          <w:sz w:val="24"/>
        </w:rPr>
        <w:tab/>
      </w:r>
      <w:r>
        <w:rPr>
          <w:sz w:val="24"/>
          <w:u w:val="single"/>
        </w:rPr>
        <w:t>Small Businesses</w:t>
      </w:r>
    </w:p>
    <w:p w:rsidR="00F24BEC" w:rsidP="00445E1A" w:rsidRDefault="00F24BEC">
      <w:pPr>
        <w:keepNext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24BEC" w:rsidP="00445E1A" w:rsidRDefault="00F24BEC">
      <w:pPr>
        <w:widowControl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 w:rsidRPr="00642991">
        <w:rPr>
          <w:sz w:val="24"/>
        </w:rPr>
        <w:t xml:space="preserve">Data collection from </w:t>
      </w:r>
      <w:r>
        <w:rPr>
          <w:sz w:val="24"/>
        </w:rPr>
        <w:t>providers</w:t>
      </w:r>
      <w:r w:rsidRPr="00642991">
        <w:rPr>
          <w:sz w:val="24"/>
        </w:rPr>
        <w:t xml:space="preserve"> required for the evaluation may involve small businesses</w:t>
      </w:r>
      <w:r>
        <w:rPr>
          <w:sz w:val="24"/>
        </w:rPr>
        <w:t xml:space="preserve"> (e.g., provider practices)</w:t>
      </w:r>
      <w:r w:rsidRPr="00642991">
        <w:rPr>
          <w:sz w:val="24"/>
        </w:rPr>
        <w:t>.</w:t>
      </w:r>
      <w:r w:rsidR="0005155B">
        <w:rPr>
          <w:sz w:val="24"/>
        </w:rPr>
        <w:t xml:space="preserve"> </w:t>
      </w:r>
      <w:r w:rsidRPr="00642991">
        <w:rPr>
          <w:sz w:val="24"/>
        </w:rPr>
        <w:t xml:space="preserve"> To reduce the burden on small businesses, the survey will </w:t>
      </w:r>
      <w:r>
        <w:rPr>
          <w:sz w:val="24"/>
        </w:rPr>
        <w:t>collect</w:t>
      </w:r>
      <w:r w:rsidRPr="0005155B" w:rsidR="0005155B">
        <w:rPr>
          <w:sz w:val="24"/>
        </w:rPr>
        <w:t xml:space="preserve"> </w:t>
      </w:r>
      <w:r w:rsidR="0005155B">
        <w:rPr>
          <w:sz w:val="24"/>
        </w:rPr>
        <w:t>only</w:t>
      </w:r>
      <w:r>
        <w:rPr>
          <w:sz w:val="24"/>
        </w:rPr>
        <w:t xml:space="preserve"> the most critical information </w:t>
      </w:r>
      <w:r w:rsidRPr="00642991">
        <w:rPr>
          <w:sz w:val="24"/>
        </w:rPr>
        <w:t>necessary</w:t>
      </w:r>
      <w:r>
        <w:rPr>
          <w:sz w:val="24"/>
        </w:rPr>
        <w:t xml:space="preserve"> for the evaluation and that which cannot be collected through other sources.</w:t>
      </w:r>
      <w:r w:rsidR="0005155B">
        <w:rPr>
          <w:sz w:val="24"/>
        </w:rPr>
        <w:t xml:space="preserve"> </w:t>
      </w:r>
      <w:r>
        <w:rPr>
          <w:sz w:val="24"/>
        </w:rPr>
        <w:t xml:space="preserve"> The survey will take no more than 1</w:t>
      </w:r>
      <w:r w:rsidR="00D16E90">
        <w:rPr>
          <w:sz w:val="24"/>
        </w:rPr>
        <w:t>5</w:t>
      </w:r>
      <w:r>
        <w:rPr>
          <w:sz w:val="24"/>
        </w:rPr>
        <w:t xml:space="preserve"> minutes to complete</w:t>
      </w:r>
      <w:r w:rsidR="0005155B">
        <w:rPr>
          <w:sz w:val="24"/>
        </w:rPr>
        <w:t>,</w:t>
      </w:r>
      <w:r>
        <w:rPr>
          <w:sz w:val="24"/>
        </w:rPr>
        <w:t xml:space="preserve"> and the focus group will las</w:t>
      </w:r>
      <w:r w:rsidR="00F17911">
        <w:rPr>
          <w:sz w:val="24"/>
        </w:rPr>
        <w:t>t</w:t>
      </w:r>
      <w:r>
        <w:rPr>
          <w:sz w:val="24"/>
        </w:rPr>
        <w:t xml:space="preserve"> no more than 90 minutes.  All participation is voluntary. 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  <w:u w:val="single"/>
        </w:rPr>
        <w:t>Less Frequent Collection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24BEC" w:rsidP="009734A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 w:rsidRPr="008A57E3">
        <w:rPr>
          <w:sz w:val="24"/>
        </w:rPr>
        <w:t xml:space="preserve">The </w:t>
      </w:r>
      <w:r w:rsidR="00EE098D">
        <w:rPr>
          <w:sz w:val="24"/>
        </w:rPr>
        <w:t>evaluation</w:t>
      </w:r>
      <w:r w:rsidR="008A57E3">
        <w:rPr>
          <w:sz w:val="24"/>
        </w:rPr>
        <w:t xml:space="preserve"> team will need to collect, a</w:t>
      </w:r>
      <w:r w:rsidRPr="008A57E3">
        <w:rPr>
          <w:sz w:val="24"/>
        </w:rPr>
        <w:t xml:space="preserve">t a minimum, the items listed in Table 1 </w:t>
      </w:r>
      <w:r w:rsidRPr="008A57E3" w:rsidR="009734AC">
        <w:rPr>
          <w:sz w:val="24"/>
        </w:rPr>
        <w:t>to</w:t>
      </w:r>
      <w:r w:rsidRPr="008A57E3">
        <w:rPr>
          <w:sz w:val="24"/>
        </w:rPr>
        <w:t xml:space="preserve"> fulfill the statutory mandates of the </w:t>
      </w:r>
      <w:r w:rsidR="003130AC">
        <w:rPr>
          <w:sz w:val="24"/>
        </w:rPr>
        <w:t>d</w:t>
      </w:r>
      <w:r w:rsidRPr="008A57E3">
        <w:rPr>
          <w:sz w:val="24"/>
        </w:rPr>
        <w:t xml:space="preserve">emonstration evaluation. </w:t>
      </w:r>
    </w:p>
    <w:p w:rsidR="009734AC" w:rsidP="00AC07CD" w:rsidRDefault="009734A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  <w:u w:val="single"/>
        </w:rPr>
        <w:t>Special Circumstances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ab/>
      </w:r>
      <w:r w:rsidRPr="00DF4A49">
        <w:rPr>
          <w:sz w:val="24"/>
        </w:rPr>
        <w:t>There are no special circumstances for this data collection effort.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84B53" w:rsidP="003D5321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 w:rsidRPr="009B31DE">
        <w:rPr>
          <w:sz w:val="24"/>
        </w:rPr>
        <w:t>8.</w:t>
      </w:r>
      <w:r w:rsidRPr="009B31DE">
        <w:rPr>
          <w:sz w:val="24"/>
        </w:rPr>
        <w:tab/>
      </w:r>
      <w:r w:rsidRPr="009B31DE">
        <w:rPr>
          <w:sz w:val="24"/>
          <w:u w:val="single"/>
        </w:rPr>
        <w:t>Federal Register/Outside Consultation</w:t>
      </w:r>
      <w:r w:rsidR="003D5321">
        <w:rPr>
          <w:sz w:val="24"/>
          <w:u w:val="single"/>
        </w:rPr>
        <w:br/>
      </w:r>
    </w:p>
    <w:p w:rsidRPr="00F84B53" w:rsidR="00F84B53" w:rsidP="003D5321" w:rsidRDefault="00F84B5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i/>
          <w:sz w:val="24"/>
        </w:rPr>
      </w:pPr>
      <w:r w:rsidRPr="00F84B53">
        <w:rPr>
          <w:i/>
          <w:sz w:val="24"/>
        </w:rPr>
        <w:t>Federal Register</w:t>
      </w:r>
    </w:p>
    <w:p w:rsidR="00F84B53" w:rsidP="003D5321" w:rsidRDefault="00F84B5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</w:p>
    <w:p w:rsidRPr="00F84B53" w:rsidR="00F84B53" w:rsidP="00F84B53" w:rsidRDefault="00F84B5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F84B53">
        <w:rPr>
          <w:sz w:val="24"/>
        </w:rPr>
        <w:t xml:space="preserve">The 60-day notice published in the Federal Register on September 24, 2021 (86 FR </w:t>
      </w:r>
      <w:r w:rsidRPr="003718A0" w:rsidR="003718A0">
        <w:rPr>
          <w:sz w:val="24"/>
        </w:rPr>
        <w:t>53060</w:t>
      </w:r>
      <w:r w:rsidRPr="00F84B53">
        <w:rPr>
          <w:sz w:val="24"/>
        </w:rPr>
        <w:t>). Comments were received and are attached to this package along with our response</w:t>
      </w:r>
      <w:r w:rsidR="003718A0">
        <w:rPr>
          <w:sz w:val="24"/>
        </w:rPr>
        <w:t xml:space="preserve"> and Crosswalks</w:t>
      </w:r>
      <w:r w:rsidRPr="00F84B53">
        <w:rPr>
          <w:sz w:val="24"/>
        </w:rPr>
        <w:t xml:space="preserve">. </w:t>
      </w:r>
      <w:r w:rsidR="003718A0">
        <w:rPr>
          <w:sz w:val="24"/>
        </w:rPr>
        <w:t xml:space="preserve">While some changes were made, none of the changes impact our </w:t>
      </w:r>
      <w:r w:rsidRPr="00F84B53">
        <w:rPr>
          <w:sz w:val="24"/>
        </w:rPr>
        <w:t>burden estimates.</w:t>
      </w:r>
      <w:r w:rsidR="003718A0">
        <w:rPr>
          <w:sz w:val="24"/>
        </w:rPr>
        <w:t xml:space="preserve"> </w:t>
      </w:r>
    </w:p>
    <w:p w:rsidRPr="00F84B53" w:rsidR="00F84B53" w:rsidP="00F84B53" w:rsidRDefault="00F84B5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</w:p>
    <w:p w:rsidR="00F84B53" w:rsidP="003718A0" w:rsidRDefault="00F84B5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F84B53">
        <w:rPr>
          <w:sz w:val="24"/>
        </w:rPr>
        <w:t xml:space="preserve">The 30-day notice published in the Federal Register on </w:t>
      </w:r>
      <w:r w:rsidRPr="003718A0" w:rsidR="003718A0">
        <w:rPr>
          <w:sz w:val="24"/>
        </w:rPr>
        <w:t>February 22, 2022</w:t>
      </w:r>
      <w:r w:rsidRPr="00F84B53">
        <w:rPr>
          <w:sz w:val="24"/>
        </w:rPr>
        <w:t xml:space="preserve"> (8</w:t>
      </w:r>
      <w:r w:rsidR="003718A0">
        <w:rPr>
          <w:sz w:val="24"/>
        </w:rPr>
        <w:t>7</w:t>
      </w:r>
      <w:r w:rsidRPr="00F84B53">
        <w:rPr>
          <w:sz w:val="24"/>
        </w:rPr>
        <w:t xml:space="preserve"> FR </w:t>
      </w:r>
      <w:r w:rsidRPr="003718A0" w:rsidR="003718A0">
        <w:rPr>
          <w:sz w:val="24"/>
        </w:rPr>
        <w:t>9625</w:t>
      </w:r>
      <w:r w:rsidRPr="00F84B53">
        <w:rPr>
          <w:sz w:val="24"/>
        </w:rPr>
        <w:t xml:space="preserve">). Comments are due on/by </w:t>
      </w:r>
      <w:r w:rsidRPr="003718A0" w:rsidR="003718A0">
        <w:rPr>
          <w:sz w:val="24"/>
        </w:rPr>
        <w:t>March 24, 2022</w:t>
      </w:r>
      <w:r w:rsidRPr="00F84B53">
        <w:rPr>
          <w:sz w:val="24"/>
        </w:rPr>
        <w:t>.</w:t>
      </w:r>
    </w:p>
    <w:p w:rsidR="00F84B53" w:rsidP="003D5321" w:rsidRDefault="00F84B5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</w:p>
    <w:p w:rsidRPr="00F84B53" w:rsidR="00F84B53" w:rsidP="003D5321" w:rsidRDefault="00F84B5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i/>
          <w:sz w:val="24"/>
        </w:rPr>
      </w:pPr>
      <w:r w:rsidRPr="00F84B53">
        <w:rPr>
          <w:i/>
          <w:sz w:val="24"/>
        </w:rPr>
        <w:t>Consultation</w:t>
      </w:r>
    </w:p>
    <w:p w:rsidR="00F84B53" w:rsidP="003D5321" w:rsidRDefault="00F84B5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</w:p>
    <w:p w:rsidR="00F24BEC" w:rsidP="004B3AB6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 xml:space="preserve">The evaluation team discussed all proposed data collection activities and developed the data collection instruments in consultation with </w:t>
      </w:r>
      <w:r w:rsidR="008A57E3">
        <w:rPr>
          <w:sz w:val="24"/>
        </w:rPr>
        <w:t xml:space="preserve">the </w:t>
      </w:r>
      <w:r>
        <w:rPr>
          <w:sz w:val="24"/>
        </w:rPr>
        <w:t>CMS Contract</w:t>
      </w:r>
      <w:r w:rsidR="00E55CB3">
        <w:rPr>
          <w:sz w:val="24"/>
        </w:rPr>
        <w:t>ing Officer’s</w:t>
      </w:r>
      <w:r>
        <w:rPr>
          <w:sz w:val="24"/>
        </w:rPr>
        <w:t xml:space="preserve"> Representative</w:t>
      </w:r>
      <w:r w:rsidR="009734AC">
        <w:rPr>
          <w:sz w:val="24"/>
        </w:rPr>
        <w:t xml:space="preserve"> and other CMS representatives involved in the SUPPORT Act </w:t>
      </w:r>
      <w:r w:rsidR="00777577">
        <w:rPr>
          <w:sz w:val="24"/>
        </w:rPr>
        <w:t xml:space="preserve">section </w:t>
      </w:r>
      <w:r w:rsidR="009734AC">
        <w:rPr>
          <w:sz w:val="24"/>
        </w:rPr>
        <w:t xml:space="preserve">1003 </w:t>
      </w:r>
      <w:r w:rsidR="00777577">
        <w:rPr>
          <w:sz w:val="24"/>
        </w:rPr>
        <w:t>d</w:t>
      </w:r>
      <w:r w:rsidR="009734AC">
        <w:rPr>
          <w:sz w:val="24"/>
        </w:rPr>
        <w:t>emonstration project</w:t>
      </w:r>
      <w:r>
        <w:rPr>
          <w:sz w:val="24"/>
        </w:rPr>
        <w:t xml:space="preserve">.  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>
        <w:rPr>
          <w:sz w:val="24"/>
          <w:u w:val="single"/>
        </w:rPr>
        <w:t>Payments/Gifts to Respondents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>There are no payments or gift</w:t>
      </w:r>
      <w:r w:rsidR="0005155B">
        <w:rPr>
          <w:sz w:val="24"/>
        </w:rPr>
        <w:t>s</w:t>
      </w:r>
      <w:r>
        <w:rPr>
          <w:sz w:val="24"/>
        </w:rPr>
        <w:t xml:space="preserve"> to respondents.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</w:r>
      <w:r>
        <w:rPr>
          <w:sz w:val="24"/>
          <w:u w:val="single"/>
        </w:rPr>
        <w:t>Confidentiality</w:t>
      </w:r>
    </w:p>
    <w:p w:rsidR="00F24BEC" w:rsidP="00C73C25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Pr="00AE46D9" w:rsidR="00F24BEC" w:rsidP="00AE46D9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 w:rsidRPr="00AE46D9">
        <w:rPr>
          <w:sz w:val="24"/>
        </w:rPr>
        <w:t xml:space="preserve">The data collected under the </w:t>
      </w:r>
      <w:r w:rsidR="003130AC">
        <w:rPr>
          <w:sz w:val="24"/>
        </w:rPr>
        <w:t>d</w:t>
      </w:r>
      <w:r w:rsidRPr="00AE46D9">
        <w:rPr>
          <w:sz w:val="24"/>
        </w:rPr>
        <w:t xml:space="preserve">emonstration </w:t>
      </w:r>
      <w:r w:rsidR="003130AC">
        <w:rPr>
          <w:sz w:val="24"/>
        </w:rPr>
        <w:t xml:space="preserve">evaluation </w:t>
      </w:r>
      <w:r w:rsidRPr="00AE46D9">
        <w:rPr>
          <w:sz w:val="24"/>
        </w:rPr>
        <w:t>will be maintained as required by the Privacy Act of 1974 (5 U.S.</w:t>
      </w:r>
      <w:r w:rsidR="001961F1">
        <w:rPr>
          <w:sz w:val="24"/>
        </w:rPr>
        <w:t xml:space="preserve"> </w:t>
      </w:r>
      <w:r w:rsidRPr="00AE46D9">
        <w:rPr>
          <w:sz w:val="24"/>
        </w:rPr>
        <w:t>C</w:t>
      </w:r>
      <w:r w:rsidR="001961F1">
        <w:rPr>
          <w:sz w:val="24"/>
        </w:rPr>
        <w:t>ode</w:t>
      </w:r>
      <w:r w:rsidRPr="00AE46D9" w:rsidR="001961F1">
        <w:rPr>
          <w:sz w:val="24"/>
        </w:rPr>
        <w:t xml:space="preserve"> </w:t>
      </w:r>
      <w:r w:rsidRPr="00AE46D9">
        <w:rPr>
          <w:sz w:val="24"/>
        </w:rPr>
        <w:t>552a).</w:t>
      </w:r>
      <w:r w:rsidR="0005155B">
        <w:rPr>
          <w:sz w:val="24"/>
        </w:rPr>
        <w:t xml:space="preserve"> </w:t>
      </w:r>
      <w:r w:rsidRPr="00AE46D9">
        <w:rPr>
          <w:sz w:val="24"/>
        </w:rPr>
        <w:t xml:space="preserve"> </w:t>
      </w:r>
      <w:r>
        <w:rPr>
          <w:sz w:val="24"/>
        </w:rPr>
        <w:t>There is no pr</w:t>
      </w:r>
      <w:r w:rsidR="00E55CB3">
        <w:rPr>
          <w:sz w:val="24"/>
        </w:rPr>
        <w:t>otected</w:t>
      </w:r>
      <w:r>
        <w:rPr>
          <w:sz w:val="24"/>
        </w:rPr>
        <w:t xml:space="preserve"> health information or </w:t>
      </w:r>
      <w:r w:rsidR="00CD0F21">
        <w:rPr>
          <w:sz w:val="24"/>
        </w:rPr>
        <w:t>personally identif</w:t>
      </w:r>
      <w:r w:rsidR="00E55CB3">
        <w:rPr>
          <w:sz w:val="24"/>
        </w:rPr>
        <w:t>iable</w:t>
      </w:r>
      <w:r w:rsidR="00CD0F21">
        <w:rPr>
          <w:sz w:val="24"/>
        </w:rPr>
        <w:t xml:space="preserve"> information</w:t>
      </w:r>
      <w:r>
        <w:rPr>
          <w:sz w:val="24"/>
        </w:rPr>
        <w:t xml:space="preserve"> collected in the data collection instruments. </w:t>
      </w:r>
      <w:r w:rsidR="0005155B">
        <w:rPr>
          <w:sz w:val="24"/>
        </w:rPr>
        <w:t xml:space="preserve"> </w:t>
      </w:r>
      <w:r w:rsidR="00C73C25">
        <w:rPr>
          <w:sz w:val="24"/>
        </w:rPr>
        <w:t>Respondents will be informed that the information supplied is voluntary in nature</w:t>
      </w:r>
      <w:r w:rsidR="001961F1">
        <w:rPr>
          <w:sz w:val="24"/>
        </w:rPr>
        <w:t>,</w:t>
      </w:r>
      <w:r w:rsidR="00C73C25">
        <w:rPr>
          <w:sz w:val="24"/>
        </w:rPr>
        <w:t xml:space="preserve"> and data will be deidentified and reported in aggregate only. 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</w:r>
      <w:r>
        <w:rPr>
          <w:sz w:val="24"/>
          <w:u w:val="single"/>
        </w:rPr>
        <w:t>Sensitive Questions</w:t>
      </w:r>
    </w:p>
    <w:p w:rsidR="00F24BEC" w:rsidP="00C73C25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Pr="003B6DED"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 xml:space="preserve">There are no sensitive questions. 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12.</w:t>
      </w:r>
      <w:r>
        <w:rPr>
          <w:sz w:val="24"/>
        </w:rPr>
        <w:tab/>
      </w:r>
      <w:r>
        <w:rPr>
          <w:sz w:val="24"/>
          <w:u w:val="single"/>
        </w:rPr>
        <w:t>Burden Estimates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Pr="00A516F6" w:rsidR="00F24BEC" w:rsidP="00613A91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 w:rsidRPr="00613A91">
        <w:rPr>
          <w:sz w:val="24"/>
        </w:rPr>
        <w:t xml:space="preserve">For </w:t>
      </w:r>
      <w:r>
        <w:rPr>
          <w:sz w:val="24"/>
        </w:rPr>
        <w:t xml:space="preserve">the survey and focus groups, </w:t>
      </w:r>
      <w:r w:rsidRPr="00613A91">
        <w:rPr>
          <w:sz w:val="24"/>
        </w:rPr>
        <w:t xml:space="preserve">the burden hours are calculated by multiplying the number of responses estimated for each year by the hours per response. </w:t>
      </w:r>
      <w:r w:rsidR="001961F1">
        <w:rPr>
          <w:sz w:val="24"/>
        </w:rPr>
        <w:t xml:space="preserve"> </w:t>
      </w:r>
      <w:r>
        <w:rPr>
          <w:sz w:val="24"/>
        </w:rPr>
        <w:t xml:space="preserve">Table 2 reflects the annual </w:t>
      </w:r>
      <w:r w:rsidRPr="00613A91">
        <w:rPr>
          <w:sz w:val="24"/>
        </w:rPr>
        <w:t>burden estimate</w:t>
      </w:r>
      <w:r w:rsidR="00777577">
        <w:rPr>
          <w:sz w:val="24"/>
        </w:rPr>
        <w:t xml:space="preserve"> for</w:t>
      </w:r>
      <w:r w:rsidRPr="00613A91">
        <w:rPr>
          <w:sz w:val="24"/>
        </w:rPr>
        <w:t xml:space="preserve"> </w:t>
      </w:r>
      <w:r>
        <w:rPr>
          <w:sz w:val="24"/>
        </w:rPr>
        <w:t xml:space="preserve">the evaluation year when it would be </w:t>
      </w:r>
      <w:r w:rsidRPr="00613A91">
        <w:rPr>
          <w:sz w:val="24"/>
        </w:rPr>
        <w:t>realized</w:t>
      </w:r>
      <w:r w:rsidR="00E55CB3">
        <w:rPr>
          <w:sz w:val="24"/>
        </w:rPr>
        <w:t xml:space="preserve"> and Table 3 reflects the estimated annual and overall costs</w:t>
      </w:r>
      <w:r w:rsidRPr="00613A91">
        <w:rPr>
          <w:sz w:val="24"/>
        </w:rPr>
        <w:t xml:space="preserve">. </w:t>
      </w:r>
      <w:r w:rsidR="001961F1">
        <w:rPr>
          <w:sz w:val="24"/>
        </w:rPr>
        <w:t xml:space="preserve"> </w:t>
      </w:r>
      <w:r w:rsidRPr="00CB7E28">
        <w:rPr>
          <w:sz w:val="24"/>
        </w:rPr>
        <w:t>The burden hour estimates for the survey are based on the length of time each respondent is likely to need to read the survey invitation</w:t>
      </w:r>
      <w:r w:rsidR="008A57E3">
        <w:rPr>
          <w:sz w:val="24"/>
        </w:rPr>
        <w:t xml:space="preserve"> and instructions</w:t>
      </w:r>
      <w:r w:rsidRPr="00CB7E28">
        <w:rPr>
          <w:sz w:val="24"/>
        </w:rPr>
        <w:t xml:space="preserve"> (5 minutes)</w:t>
      </w:r>
      <w:r w:rsidR="000D7122">
        <w:rPr>
          <w:sz w:val="24"/>
        </w:rPr>
        <w:t xml:space="preserve"> </w:t>
      </w:r>
      <w:r w:rsidRPr="00CB7E28">
        <w:rPr>
          <w:sz w:val="24"/>
        </w:rPr>
        <w:t>and complete the survey questions (</w:t>
      </w:r>
      <w:r>
        <w:rPr>
          <w:sz w:val="24"/>
        </w:rPr>
        <w:t>10</w:t>
      </w:r>
      <w:r w:rsidRPr="00CB7E28">
        <w:rPr>
          <w:sz w:val="24"/>
        </w:rPr>
        <w:t xml:space="preserve"> minutes</w:t>
      </w:r>
      <w:r w:rsidRPr="00613A91">
        <w:rPr>
          <w:sz w:val="24"/>
        </w:rPr>
        <w:t xml:space="preserve">). </w:t>
      </w:r>
      <w:r w:rsidR="001961F1">
        <w:rPr>
          <w:sz w:val="24"/>
        </w:rPr>
        <w:t xml:space="preserve"> </w:t>
      </w:r>
      <w:r w:rsidRPr="00613A91">
        <w:rPr>
          <w:sz w:val="24"/>
        </w:rPr>
        <w:t xml:space="preserve">Estimates of the annual respondent costs were based on </w:t>
      </w:r>
      <w:r>
        <w:rPr>
          <w:sz w:val="24"/>
        </w:rPr>
        <w:t xml:space="preserve">median hourly family physician wages, regardless of specialty, </w:t>
      </w:r>
      <w:r w:rsidRPr="00613A91">
        <w:rPr>
          <w:sz w:val="24"/>
        </w:rPr>
        <w:t>according to the U.S. Department of Labor</w:t>
      </w:r>
      <w:r w:rsidR="00474334">
        <w:rPr>
          <w:sz w:val="24"/>
        </w:rPr>
        <w:t>,</w:t>
      </w:r>
      <w:r w:rsidRPr="00613A91">
        <w:rPr>
          <w:sz w:val="24"/>
        </w:rPr>
        <w:t xml:space="preserve"> Bureau of Labor Statistics.</w:t>
      </w:r>
      <w:r w:rsidRPr="00613A91">
        <w:rPr>
          <w:rStyle w:val="EndnoteReference"/>
          <w:sz w:val="24"/>
        </w:rPr>
        <w:endnoteReference w:id="6"/>
      </w:r>
      <w:r w:rsidR="001961F1">
        <w:rPr>
          <w:sz w:val="24"/>
        </w:rPr>
        <w:t xml:space="preserve"> </w:t>
      </w:r>
      <w:r w:rsidRPr="00613A91">
        <w:rPr>
          <w:sz w:val="24"/>
        </w:rPr>
        <w:t xml:space="preserve"> </w:t>
      </w:r>
      <w:r>
        <w:rPr>
          <w:sz w:val="24"/>
        </w:rPr>
        <w:t xml:space="preserve">We </w:t>
      </w:r>
      <w:r w:rsidRPr="00A516F6">
        <w:rPr>
          <w:sz w:val="24"/>
        </w:rPr>
        <w:t>recognize that physician assis</w:t>
      </w:r>
      <w:r w:rsidR="008A57E3">
        <w:rPr>
          <w:sz w:val="24"/>
        </w:rPr>
        <w:t xml:space="preserve">tants and nurse practitioners </w:t>
      </w:r>
      <w:r w:rsidRPr="00A516F6">
        <w:rPr>
          <w:sz w:val="24"/>
        </w:rPr>
        <w:t xml:space="preserve">may also prescribe </w:t>
      </w:r>
      <w:r w:rsidR="00777577">
        <w:rPr>
          <w:sz w:val="24"/>
        </w:rPr>
        <w:t xml:space="preserve">medication for </w:t>
      </w:r>
      <w:r w:rsidRPr="00A516F6">
        <w:rPr>
          <w:sz w:val="24"/>
        </w:rPr>
        <w:t>OUD</w:t>
      </w:r>
      <w:r w:rsidR="008A57E3">
        <w:rPr>
          <w:sz w:val="24"/>
        </w:rPr>
        <w:t xml:space="preserve"> and likely </w:t>
      </w:r>
      <w:r w:rsidR="00CD0F21">
        <w:rPr>
          <w:sz w:val="24"/>
        </w:rPr>
        <w:t xml:space="preserve">serve </w:t>
      </w:r>
      <w:r w:rsidR="008A57E3">
        <w:rPr>
          <w:sz w:val="24"/>
        </w:rPr>
        <w:t>Medicaid patients</w:t>
      </w:r>
      <w:r w:rsidRPr="00A516F6">
        <w:rPr>
          <w:sz w:val="24"/>
        </w:rPr>
        <w:t>; however</w:t>
      </w:r>
      <w:r w:rsidR="001961F1">
        <w:rPr>
          <w:sz w:val="24"/>
        </w:rPr>
        <w:t>,</w:t>
      </w:r>
      <w:r w:rsidRPr="00A516F6">
        <w:rPr>
          <w:sz w:val="24"/>
        </w:rPr>
        <w:t xml:space="preserve"> </w:t>
      </w:r>
      <w:r w:rsidR="001961F1">
        <w:rPr>
          <w:sz w:val="24"/>
        </w:rPr>
        <w:t>because</w:t>
      </w:r>
      <w:r w:rsidRPr="00A516F6" w:rsidR="001961F1">
        <w:rPr>
          <w:sz w:val="24"/>
        </w:rPr>
        <w:t xml:space="preserve"> </w:t>
      </w:r>
      <w:r w:rsidRPr="00A516F6">
        <w:rPr>
          <w:sz w:val="24"/>
        </w:rPr>
        <w:t>we do not know the di</w:t>
      </w:r>
      <w:r w:rsidR="008A57E3">
        <w:rPr>
          <w:sz w:val="24"/>
        </w:rPr>
        <w:t>stribution of each discipline in the target population</w:t>
      </w:r>
      <w:r w:rsidRPr="00A516F6">
        <w:rPr>
          <w:sz w:val="24"/>
        </w:rPr>
        <w:t xml:space="preserve">, we chose a “middle ground” of </w:t>
      </w:r>
      <w:r w:rsidR="008A57E3">
        <w:rPr>
          <w:sz w:val="24"/>
        </w:rPr>
        <w:t>family</w:t>
      </w:r>
      <w:r w:rsidRPr="00A516F6">
        <w:rPr>
          <w:sz w:val="24"/>
        </w:rPr>
        <w:t xml:space="preserve"> physicians to account for the range of possible wages. </w:t>
      </w:r>
      <w:r w:rsidR="001961F1">
        <w:rPr>
          <w:sz w:val="24"/>
        </w:rPr>
        <w:t xml:space="preserve"> </w:t>
      </w:r>
      <w:r w:rsidRPr="00A516F6">
        <w:rPr>
          <w:sz w:val="24"/>
        </w:rPr>
        <w:t>We then calculated a loaded hourly wage, with benefits and overhead accounting for 100 percent of the total hourly wage (which doubles the base wage) to account for fringe benefits and overhead.</w:t>
      </w:r>
      <w:r w:rsidRPr="00A516F6">
        <w:rPr>
          <w:rStyle w:val="EndnoteReference"/>
          <w:sz w:val="24"/>
        </w:rPr>
        <w:endnoteReference w:id="7"/>
      </w:r>
      <w:r w:rsidRPr="00A516F6">
        <w:rPr>
          <w:sz w:val="24"/>
          <w:vertAlign w:val="superscript"/>
        </w:rPr>
        <w:t xml:space="preserve"> </w:t>
      </w:r>
    </w:p>
    <w:p w:rsidRPr="00A516F6" w:rsidR="00F24BEC" w:rsidP="00613A91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="00F24BEC" w:rsidP="00F85684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>The survey will include all</w:t>
      </w:r>
      <w:r w:rsidRPr="000F2370">
        <w:rPr>
          <w:sz w:val="24"/>
        </w:rPr>
        <w:t xml:space="preserve"> current prescribers or dispensers of buprenorphine</w:t>
      </w:r>
      <w:r w:rsidR="00777577">
        <w:rPr>
          <w:sz w:val="24"/>
        </w:rPr>
        <w:t xml:space="preserve"> or </w:t>
      </w:r>
      <w:r w:rsidRPr="000F2370">
        <w:rPr>
          <w:sz w:val="24"/>
        </w:rPr>
        <w:t xml:space="preserve">methadone, </w:t>
      </w:r>
      <w:r w:rsidR="009734AC">
        <w:rPr>
          <w:sz w:val="24"/>
        </w:rPr>
        <w:t xml:space="preserve">for the states participating in the planning </w:t>
      </w:r>
      <w:r w:rsidR="00955A85">
        <w:rPr>
          <w:sz w:val="24"/>
        </w:rPr>
        <w:t>period</w:t>
      </w:r>
      <w:r w:rsidRPr="000F2370">
        <w:rPr>
          <w:sz w:val="24"/>
        </w:rPr>
        <w:t xml:space="preserve">. </w:t>
      </w:r>
      <w:r w:rsidR="001961F1">
        <w:rPr>
          <w:sz w:val="24"/>
        </w:rPr>
        <w:t xml:space="preserve"> </w:t>
      </w:r>
      <w:r>
        <w:rPr>
          <w:sz w:val="24"/>
        </w:rPr>
        <w:t xml:space="preserve">This “census” approach </w:t>
      </w:r>
      <w:r w:rsidRPr="000F2370">
        <w:rPr>
          <w:sz w:val="24"/>
        </w:rPr>
        <w:t xml:space="preserve">ensures that we recruit all types of providers who are qualified to provide </w:t>
      </w:r>
      <w:r w:rsidR="00777577">
        <w:rPr>
          <w:sz w:val="24"/>
        </w:rPr>
        <w:t>those two types of medication</w:t>
      </w:r>
      <w:r w:rsidRPr="000F2370" w:rsidR="00777577">
        <w:rPr>
          <w:sz w:val="24"/>
        </w:rPr>
        <w:t xml:space="preserve"> </w:t>
      </w:r>
      <w:r w:rsidRPr="000F2370">
        <w:rPr>
          <w:sz w:val="24"/>
        </w:rPr>
        <w:t>and are the targets of each state’s demonstration.</w:t>
      </w:r>
      <w:r w:rsidR="001961F1">
        <w:rPr>
          <w:sz w:val="24"/>
        </w:rPr>
        <w:t xml:space="preserve"> </w:t>
      </w:r>
      <w:r w:rsidRPr="000F2370">
        <w:rPr>
          <w:sz w:val="24"/>
        </w:rPr>
        <w:t xml:space="preserve"> </w:t>
      </w:r>
      <w:r w:rsidR="00925A03">
        <w:rPr>
          <w:sz w:val="24"/>
        </w:rPr>
        <w:t>We will use data from SAMHSA’s provider locat</w:t>
      </w:r>
      <w:r w:rsidR="001961F1">
        <w:rPr>
          <w:sz w:val="24"/>
        </w:rPr>
        <w:t>o</w:t>
      </w:r>
      <w:r w:rsidR="00925A03">
        <w:rPr>
          <w:sz w:val="24"/>
        </w:rPr>
        <w:t>r database, supplemented by data from the State Opioid Treatment Authorities</w:t>
      </w:r>
      <w:r w:rsidR="00474334">
        <w:rPr>
          <w:sz w:val="24"/>
        </w:rPr>
        <w:t>,</w:t>
      </w:r>
      <w:r w:rsidR="00925A03">
        <w:rPr>
          <w:sz w:val="24"/>
        </w:rPr>
        <w:t xml:space="preserve"> to obtain provider contact information. </w:t>
      </w:r>
    </w:p>
    <w:p w:rsidR="00F628CC" w:rsidP="00111028" w:rsidRDefault="00F628C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Pr="00925A03" w:rsidR="00F628CC" w:rsidP="00445E1A" w:rsidRDefault="00F24BEC">
      <w:pPr>
        <w:pStyle w:val="Caption"/>
        <w:ind w:firstLine="450"/>
      </w:pPr>
      <w:r w:rsidRPr="00651B1E">
        <w:t>Table 2: Estimated</w:t>
      </w:r>
      <w:r>
        <w:t xml:space="preserve"> Annual</w:t>
      </w:r>
      <w:r w:rsidRPr="00651B1E">
        <w:t xml:space="preserve"> Respondent Overall Burden</w:t>
      </w:r>
      <w:r>
        <w:t xml:space="preserve"> in Each Round of Data Collection</w:t>
      </w:r>
    </w:p>
    <w:tbl>
      <w:tblPr>
        <w:tblW w:w="9139" w:type="dxa"/>
        <w:tblInd w:w="479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070"/>
        <w:gridCol w:w="1800"/>
        <w:gridCol w:w="1530"/>
        <w:gridCol w:w="1710"/>
        <w:gridCol w:w="2029"/>
      </w:tblGrid>
      <w:tr w:rsidRPr="00012C93" w:rsidR="001F2662" w:rsidTr="00445E1A">
        <w:trPr>
          <w:trHeight w:val="288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C93">
              <w:rPr>
                <w:b/>
                <w:bCs/>
                <w:color w:val="000000"/>
                <w:sz w:val="22"/>
                <w:szCs w:val="22"/>
              </w:rPr>
              <w:t xml:space="preserve">Type of </w:t>
            </w:r>
            <w:r w:rsidR="00925A03">
              <w:rPr>
                <w:b/>
                <w:bCs/>
                <w:color w:val="000000"/>
                <w:sz w:val="22"/>
                <w:szCs w:val="22"/>
              </w:rPr>
              <w:t>Collection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1F2662" w:rsidP="008251EF" w:rsidRDefault="001F266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C93">
              <w:rPr>
                <w:b/>
                <w:bCs/>
                <w:color w:val="000000"/>
                <w:sz w:val="22"/>
                <w:szCs w:val="22"/>
              </w:rPr>
              <w:t xml:space="preserve">Annual Estimated </w:t>
            </w:r>
            <w:r w:rsidR="002D7677">
              <w:rPr>
                <w:b/>
                <w:bCs/>
                <w:color w:val="000000"/>
                <w:sz w:val="22"/>
                <w:szCs w:val="22"/>
              </w:rPr>
              <w:t>No.</w:t>
            </w:r>
            <w:r w:rsidRPr="00012C93" w:rsidR="002D767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12C93">
              <w:rPr>
                <w:b/>
                <w:bCs/>
                <w:color w:val="000000"/>
                <w:sz w:val="22"/>
                <w:szCs w:val="22"/>
              </w:rPr>
              <w:t>of Total Responses (1)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1F2662" w:rsidP="00445E1A" w:rsidRDefault="002D76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No.</w:t>
            </w:r>
            <w:r w:rsidRPr="00012C9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12C93" w:rsidR="001F2662">
              <w:rPr>
                <w:b/>
                <w:bCs/>
                <w:color w:val="000000"/>
                <w:sz w:val="22"/>
                <w:szCs w:val="22"/>
              </w:rPr>
              <w:t xml:space="preserve">of Responses per Respondent per </w:t>
            </w:r>
            <w:r>
              <w:rPr>
                <w:b/>
                <w:bCs/>
                <w:color w:val="000000"/>
                <w:sz w:val="22"/>
                <w:szCs w:val="22"/>
              </w:rPr>
              <w:t>Y</w:t>
            </w:r>
            <w:r w:rsidRPr="00012C93" w:rsidR="001F2662">
              <w:rPr>
                <w:b/>
                <w:bCs/>
                <w:color w:val="000000"/>
                <w:sz w:val="22"/>
                <w:szCs w:val="22"/>
              </w:rPr>
              <w:t>ear (2)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C93">
              <w:rPr>
                <w:b/>
                <w:bCs/>
                <w:color w:val="000000"/>
                <w:sz w:val="22"/>
                <w:szCs w:val="22"/>
              </w:rPr>
              <w:t xml:space="preserve">Average Burden per Response </w:t>
            </w:r>
            <w:r w:rsidR="00B5251D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012C93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892AEF">
              <w:rPr>
                <w:b/>
                <w:bCs/>
                <w:color w:val="000000"/>
                <w:sz w:val="22"/>
                <w:szCs w:val="22"/>
              </w:rPr>
              <w:t>h</w:t>
            </w:r>
            <w:r w:rsidRPr="00012C93">
              <w:rPr>
                <w:b/>
                <w:bCs/>
                <w:color w:val="000000"/>
                <w:sz w:val="22"/>
                <w:szCs w:val="22"/>
              </w:rPr>
              <w:t>ours) (3)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C93">
              <w:rPr>
                <w:b/>
                <w:bCs/>
                <w:color w:val="000000"/>
                <w:sz w:val="22"/>
                <w:szCs w:val="22"/>
              </w:rPr>
              <w:t xml:space="preserve">Estimated Total Annual Burden </w:t>
            </w:r>
            <w:r w:rsidR="00012E48">
              <w:rPr>
                <w:b/>
                <w:bCs/>
                <w:color w:val="000000"/>
                <w:sz w:val="22"/>
                <w:szCs w:val="22"/>
              </w:rPr>
              <w:t>(h</w:t>
            </w:r>
            <w:r w:rsidRPr="00012C93">
              <w:rPr>
                <w:b/>
                <w:bCs/>
                <w:color w:val="000000"/>
                <w:sz w:val="22"/>
                <w:szCs w:val="22"/>
              </w:rPr>
              <w:t>ours</w:t>
            </w:r>
            <w:r w:rsidR="00012E48">
              <w:rPr>
                <w:b/>
                <w:bCs/>
                <w:color w:val="000000"/>
                <w:sz w:val="22"/>
                <w:szCs w:val="22"/>
              </w:rPr>
              <w:t>)</w:t>
            </w:r>
            <w:r w:rsidRPr="00012C93">
              <w:rPr>
                <w:b/>
                <w:bCs/>
                <w:color w:val="000000"/>
                <w:sz w:val="22"/>
                <w:szCs w:val="22"/>
              </w:rPr>
              <w:t xml:space="preserve"> (1)*(2)*(3)</w:t>
            </w:r>
          </w:p>
        </w:tc>
      </w:tr>
      <w:tr w:rsidRPr="00012C93" w:rsidR="001F2662" w:rsidTr="00445E1A">
        <w:trPr>
          <w:trHeight w:val="288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1F2662" w:rsidP="00445E1A" w:rsidRDefault="001F2662">
            <w:pPr>
              <w:widowControl/>
              <w:autoSpaceDE/>
              <w:autoSpaceDN/>
              <w:adjustRightInd/>
              <w:ind w:left="43"/>
              <w:rPr>
                <w:color w:val="000000"/>
                <w:sz w:val="22"/>
                <w:szCs w:val="22"/>
              </w:rPr>
            </w:pPr>
            <w:r w:rsidRPr="00012C93">
              <w:rPr>
                <w:color w:val="000000"/>
                <w:sz w:val="22"/>
                <w:szCs w:val="22"/>
              </w:rPr>
              <w:t xml:space="preserve">Focus </w:t>
            </w:r>
            <w:r w:rsidR="00474334">
              <w:rPr>
                <w:color w:val="000000"/>
                <w:sz w:val="22"/>
                <w:szCs w:val="22"/>
              </w:rPr>
              <w:t>g</w:t>
            </w:r>
            <w:r w:rsidRPr="00012C93" w:rsidR="00474334">
              <w:rPr>
                <w:color w:val="000000"/>
                <w:sz w:val="22"/>
                <w:szCs w:val="22"/>
              </w:rPr>
              <w:t xml:space="preserve">roup </w:t>
            </w:r>
            <w:r w:rsidR="00474334">
              <w:rPr>
                <w:color w:val="000000"/>
                <w:sz w:val="22"/>
                <w:szCs w:val="22"/>
              </w:rPr>
              <w:t>r</w:t>
            </w:r>
            <w:r w:rsidRPr="00012C93" w:rsidR="00474334">
              <w:rPr>
                <w:color w:val="000000"/>
                <w:sz w:val="22"/>
                <w:szCs w:val="22"/>
              </w:rPr>
              <w:t xml:space="preserve">ound </w:t>
            </w:r>
            <w:r w:rsidRPr="00012C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1F2662" w:rsidP="008251EF" w:rsidRDefault="00A77A0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12C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12C93">
              <w:rPr>
                <w:color w:val="000000"/>
                <w:sz w:val="22"/>
                <w:szCs w:val="22"/>
              </w:rPr>
              <w:t>1.50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1F2662" w:rsidP="00445E1A" w:rsidRDefault="00A77A0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</w:tr>
      <w:tr w:rsidRPr="00012C93" w:rsidR="001F2662" w:rsidTr="00445E1A">
        <w:trPr>
          <w:trHeight w:val="288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1F2662" w:rsidP="00445E1A" w:rsidRDefault="001F2662">
            <w:pPr>
              <w:widowControl/>
              <w:autoSpaceDE/>
              <w:autoSpaceDN/>
              <w:adjustRightInd/>
              <w:ind w:left="43"/>
              <w:rPr>
                <w:color w:val="000000"/>
                <w:sz w:val="22"/>
                <w:szCs w:val="22"/>
              </w:rPr>
            </w:pPr>
            <w:r w:rsidRPr="00012C93">
              <w:rPr>
                <w:color w:val="000000"/>
                <w:sz w:val="22"/>
                <w:szCs w:val="22"/>
              </w:rPr>
              <w:t xml:space="preserve">Focus </w:t>
            </w:r>
            <w:r w:rsidR="00474334">
              <w:rPr>
                <w:color w:val="000000"/>
                <w:sz w:val="22"/>
                <w:szCs w:val="22"/>
              </w:rPr>
              <w:t>g</w:t>
            </w:r>
            <w:r w:rsidRPr="00012C93" w:rsidR="00474334">
              <w:rPr>
                <w:color w:val="000000"/>
                <w:sz w:val="22"/>
                <w:szCs w:val="22"/>
              </w:rPr>
              <w:t xml:space="preserve">roup </w:t>
            </w:r>
            <w:r w:rsidR="00474334">
              <w:rPr>
                <w:color w:val="000000"/>
                <w:sz w:val="22"/>
                <w:szCs w:val="22"/>
              </w:rPr>
              <w:t>r</w:t>
            </w:r>
            <w:r w:rsidRPr="00012C93" w:rsidR="00474334">
              <w:rPr>
                <w:color w:val="000000"/>
                <w:sz w:val="22"/>
                <w:szCs w:val="22"/>
              </w:rPr>
              <w:t xml:space="preserve">ound </w:t>
            </w:r>
            <w:r w:rsidRPr="00012C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1F2662" w:rsidP="008251EF" w:rsidRDefault="001F266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12C93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12C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12C93">
              <w:rPr>
                <w:color w:val="000000"/>
                <w:sz w:val="22"/>
                <w:szCs w:val="22"/>
              </w:rPr>
              <w:t>1.50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12C93">
              <w:rPr>
                <w:color w:val="000000"/>
                <w:sz w:val="22"/>
                <w:szCs w:val="22"/>
              </w:rPr>
              <w:t>105</w:t>
            </w:r>
          </w:p>
        </w:tc>
      </w:tr>
      <w:tr w:rsidRPr="00012C93" w:rsidR="00A727E1" w:rsidTr="00445E1A">
        <w:trPr>
          <w:trHeight w:val="288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ind w:left="43"/>
              <w:rPr>
                <w:color w:val="000000"/>
                <w:sz w:val="22"/>
                <w:szCs w:val="22"/>
              </w:rPr>
            </w:pPr>
            <w:r w:rsidRPr="00012C93">
              <w:rPr>
                <w:color w:val="000000"/>
                <w:sz w:val="22"/>
                <w:szCs w:val="22"/>
              </w:rPr>
              <w:t xml:space="preserve">Surveys </w:t>
            </w:r>
            <w:r w:rsidR="00474334">
              <w:rPr>
                <w:color w:val="000000"/>
                <w:sz w:val="22"/>
                <w:szCs w:val="22"/>
              </w:rPr>
              <w:t>r</w:t>
            </w:r>
            <w:r w:rsidRPr="00012C93" w:rsidR="00474334">
              <w:rPr>
                <w:color w:val="000000"/>
                <w:sz w:val="22"/>
                <w:szCs w:val="22"/>
              </w:rPr>
              <w:t xml:space="preserve">ound </w:t>
            </w:r>
            <w:r w:rsidRPr="00012C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A727E1" w:rsidP="008251EF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14,335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12C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12C93">
              <w:rPr>
                <w:color w:val="000000"/>
                <w:sz w:val="22"/>
                <w:szCs w:val="22"/>
              </w:rPr>
              <w:t>0.25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3,584</w:t>
            </w:r>
          </w:p>
        </w:tc>
      </w:tr>
      <w:tr w:rsidRPr="00012C93" w:rsidR="00A727E1" w:rsidTr="00445E1A">
        <w:trPr>
          <w:trHeight w:val="288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ind w:left="43"/>
              <w:rPr>
                <w:color w:val="000000"/>
                <w:sz w:val="22"/>
                <w:szCs w:val="22"/>
              </w:rPr>
            </w:pPr>
            <w:r w:rsidRPr="00012C93">
              <w:rPr>
                <w:color w:val="000000"/>
                <w:sz w:val="22"/>
                <w:szCs w:val="22"/>
              </w:rPr>
              <w:t xml:space="preserve">Surveys </w:t>
            </w:r>
            <w:r w:rsidR="00474334">
              <w:rPr>
                <w:color w:val="000000"/>
                <w:sz w:val="22"/>
                <w:szCs w:val="22"/>
              </w:rPr>
              <w:t>r</w:t>
            </w:r>
            <w:r w:rsidRPr="00012C93" w:rsidR="00474334">
              <w:rPr>
                <w:color w:val="000000"/>
                <w:sz w:val="22"/>
                <w:szCs w:val="22"/>
              </w:rPr>
              <w:t xml:space="preserve">ound </w:t>
            </w:r>
            <w:r w:rsidRPr="00012C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A727E1" w:rsidP="008251EF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14,335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12C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12C93">
              <w:rPr>
                <w:color w:val="000000"/>
                <w:sz w:val="22"/>
                <w:szCs w:val="22"/>
              </w:rPr>
              <w:t>0.25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3,584</w:t>
            </w:r>
          </w:p>
        </w:tc>
      </w:tr>
      <w:tr w:rsidRPr="00012C93" w:rsidR="00A727E1" w:rsidTr="00445E1A">
        <w:trPr>
          <w:trHeight w:val="288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ind w:left="43"/>
              <w:rPr>
                <w:b/>
                <w:bCs/>
                <w:color w:val="000000"/>
                <w:sz w:val="22"/>
                <w:szCs w:val="22"/>
              </w:rPr>
            </w:pPr>
            <w:r w:rsidRPr="00012C93">
              <w:rPr>
                <w:b/>
                <w:bCs/>
                <w:color w:val="000000"/>
                <w:sz w:val="22"/>
                <w:szCs w:val="22"/>
              </w:rPr>
              <w:t>Round 1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 w:rsidRPr="00012C93" w:rsidR="00A727E1" w:rsidP="008251EF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14,405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C9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12C93">
              <w:rPr>
                <w:color w:val="000000"/>
                <w:sz w:val="22"/>
                <w:szCs w:val="22"/>
              </w:rPr>
              <w:t>(average)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3,689</w:t>
            </w:r>
            <w:r w:rsidRPr="00012C93">
              <w:rPr>
                <w:color w:val="000000"/>
                <w:sz w:val="22"/>
                <w:szCs w:val="22"/>
              </w:rPr>
              <w:t xml:space="preserve"> (total)</w:t>
            </w:r>
          </w:p>
        </w:tc>
      </w:tr>
      <w:tr w:rsidRPr="00012C93" w:rsidR="00A727E1" w:rsidTr="00445E1A">
        <w:trPr>
          <w:trHeight w:val="288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ind w:left="43"/>
              <w:rPr>
                <w:b/>
                <w:bCs/>
                <w:color w:val="000000"/>
                <w:sz w:val="22"/>
                <w:szCs w:val="22"/>
              </w:rPr>
            </w:pPr>
            <w:r w:rsidRPr="00012C93">
              <w:rPr>
                <w:b/>
                <w:bCs/>
                <w:color w:val="000000"/>
                <w:sz w:val="22"/>
                <w:szCs w:val="22"/>
              </w:rPr>
              <w:t>Round 2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 w:rsidRPr="00012C93" w:rsidR="00A727E1" w:rsidP="008251EF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14,405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C9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12C93">
              <w:rPr>
                <w:color w:val="000000"/>
                <w:sz w:val="22"/>
                <w:szCs w:val="22"/>
              </w:rPr>
              <w:t>(average)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3,689 </w:t>
            </w:r>
            <w:r w:rsidRPr="00012C93">
              <w:rPr>
                <w:color w:val="000000"/>
                <w:sz w:val="22"/>
                <w:szCs w:val="22"/>
              </w:rPr>
              <w:t>(total)</w:t>
            </w:r>
          </w:p>
        </w:tc>
      </w:tr>
      <w:tr w:rsidRPr="00012C93" w:rsidR="00A727E1" w:rsidTr="00445E1A">
        <w:trPr>
          <w:trHeight w:val="288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ind w:left="43"/>
              <w:rPr>
                <w:b/>
                <w:bCs/>
                <w:color w:val="000000"/>
                <w:sz w:val="22"/>
                <w:szCs w:val="22"/>
              </w:rPr>
            </w:pPr>
            <w:r w:rsidRPr="00012C93">
              <w:rPr>
                <w:b/>
                <w:bCs/>
                <w:color w:val="000000"/>
                <w:sz w:val="22"/>
                <w:szCs w:val="22"/>
              </w:rPr>
              <w:t xml:space="preserve">Annualized </w:t>
            </w:r>
            <w:r w:rsidR="00B5251D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Pr="00012C93">
              <w:rPr>
                <w:b/>
                <w:bCs/>
                <w:color w:val="000000"/>
                <w:sz w:val="22"/>
                <w:szCs w:val="22"/>
              </w:rPr>
              <w:t>verage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  <w:hideMark/>
          </w:tcPr>
          <w:p w:rsidRPr="00012C93" w:rsidR="00A727E1" w:rsidP="008251EF" w:rsidRDefault="00A727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14,405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C9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C93">
              <w:rPr>
                <w:b/>
                <w:bCs/>
                <w:color w:val="000000"/>
                <w:sz w:val="22"/>
                <w:szCs w:val="22"/>
              </w:rPr>
              <w:t xml:space="preserve">Annualized </w:t>
            </w:r>
            <w:r w:rsidR="00892AEF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Pr="00012C93">
              <w:rPr>
                <w:b/>
                <w:bCs/>
                <w:color w:val="000000"/>
                <w:sz w:val="22"/>
                <w:szCs w:val="22"/>
              </w:rPr>
              <w:t>verage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3,689</w:t>
            </w:r>
          </w:p>
        </w:tc>
      </w:tr>
      <w:tr w:rsidRPr="00012C93" w:rsidR="00A727E1" w:rsidTr="00445E1A">
        <w:trPr>
          <w:trHeight w:val="288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ind w:left="43"/>
              <w:rPr>
                <w:b/>
                <w:bCs/>
                <w:color w:val="000000"/>
                <w:sz w:val="22"/>
                <w:szCs w:val="22"/>
              </w:rPr>
            </w:pPr>
            <w:r w:rsidRPr="00012C93">
              <w:rPr>
                <w:b/>
                <w:bCs/>
                <w:color w:val="000000"/>
                <w:sz w:val="22"/>
                <w:szCs w:val="22"/>
              </w:rPr>
              <w:t xml:space="preserve">Overall </w:t>
            </w:r>
            <w:r w:rsidR="00B5251D">
              <w:rPr>
                <w:b/>
                <w:bCs/>
                <w:color w:val="000000"/>
                <w:sz w:val="22"/>
                <w:szCs w:val="22"/>
              </w:rPr>
              <w:t>t</w:t>
            </w:r>
            <w:r w:rsidRPr="00012C93">
              <w:rPr>
                <w:b/>
                <w:bCs/>
                <w:color w:val="000000"/>
                <w:sz w:val="22"/>
                <w:szCs w:val="22"/>
              </w:rPr>
              <w:t>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vAlign w:val="center"/>
            <w:hideMark/>
          </w:tcPr>
          <w:p w:rsidRPr="00012C93" w:rsidR="00A727E1" w:rsidP="008251EF" w:rsidRDefault="00A727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28,810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C9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C93">
              <w:rPr>
                <w:b/>
                <w:bCs/>
                <w:color w:val="000000"/>
                <w:sz w:val="22"/>
                <w:szCs w:val="22"/>
              </w:rPr>
              <w:t xml:space="preserve">Overall </w:t>
            </w:r>
            <w:r w:rsidR="00892AEF">
              <w:rPr>
                <w:b/>
                <w:bCs/>
                <w:color w:val="000000"/>
                <w:sz w:val="22"/>
                <w:szCs w:val="22"/>
              </w:rPr>
              <w:t>t</w:t>
            </w:r>
            <w:r w:rsidRPr="00012C93">
              <w:rPr>
                <w:b/>
                <w:bCs/>
                <w:color w:val="000000"/>
                <w:sz w:val="22"/>
                <w:szCs w:val="22"/>
              </w:rPr>
              <w:t>otal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  <w:hideMark/>
          </w:tcPr>
          <w:p w:rsidRPr="00012C9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7,378</w:t>
            </w:r>
          </w:p>
        </w:tc>
      </w:tr>
    </w:tbl>
    <w:p w:rsidRPr="00111028" w:rsidR="00F24BEC" w:rsidP="00445E1A" w:rsidRDefault="00F628CC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446"/>
        <w:rPr>
          <w:sz w:val="18"/>
          <w:szCs w:val="18"/>
        </w:rPr>
      </w:pPr>
      <w:r w:rsidRPr="0069304E">
        <w:rPr>
          <w:sz w:val="18"/>
          <w:szCs w:val="18"/>
        </w:rPr>
        <w:t xml:space="preserve">Notes: </w:t>
      </w:r>
      <w:r w:rsidR="00A77A0E">
        <w:rPr>
          <w:sz w:val="18"/>
          <w:szCs w:val="18"/>
        </w:rPr>
        <w:t>Focus</w:t>
      </w:r>
      <w:r w:rsidRPr="0069304E">
        <w:rPr>
          <w:sz w:val="18"/>
          <w:szCs w:val="18"/>
        </w:rPr>
        <w:t xml:space="preserve"> groups</w:t>
      </w:r>
      <w:r w:rsidR="003B3BA1">
        <w:rPr>
          <w:sz w:val="18"/>
          <w:szCs w:val="18"/>
        </w:rPr>
        <w:t xml:space="preserve"> responses </w:t>
      </w:r>
      <w:r w:rsidR="00A77A0E">
        <w:rPr>
          <w:sz w:val="18"/>
          <w:szCs w:val="18"/>
        </w:rPr>
        <w:t>are</w:t>
      </w:r>
      <w:r w:rsidRPr="0069304E">
        <w:rPr>
          <w:sz w:val="18"/>
          <w:szCs w:val="18"/>
        </w:rPr>
        <w:t xml:space="preserve"> calculated as 7 persons*2 groups per state*5 </w:t>
      </w:r>
      <w:r w:rsidR="00A77A0E">
        <w:rPr>
          <w:sz w:val="18"/>
          <w:szCs w:val="18"/>
        </w:rPr>
        <w:t xml:space="preserve">states. </w:t>
      </w:r>
      <w:r w:rsidR="00B5251D">
        <w:rPr>
          <w:sz w:val="18"/>
          <w:szCs w:val="18"/>
        </w:rPr>
        <w:t xml:space="preserve"> </w:t>
      </w:r>
      <w:r w:rsidR="00A77A0E">
        <w:rPr>
          <w:sz w:val="18"/>
          <w:szCs w:val="18"/>
        </w:rPr>
        <w:t>S</w:t>
      </w:r>
      <w:r w:rsidRPr="0069304E">
        <w:rPr>
          <w:sz w:val="18"/>
          <w:szCs w:val="18"/>
        </w:rPr>
        <w:t>urvey</w:t>
      </w:r>
      <w:r w:rsidR="00A77A0E">
        <w:rPr>
          <w:sz w:val="18"/>
          <w:szCs w:val="18"/>
        </w:rPr>
        <w:t xml:space="preserve"> responses are</w:t>
      </w:r>
      <w:r w:rsidRPr="0069304E">
        <w:rPr>
          <w:sz w:val="18"/>
          <w:szCs w:val="18"/>
        </w:rPr>
        <w:t xml:space="preserve"> </w:t>
      </w:r>
      <w:r w:rsidR="003B3BA1">
        <w:rPr>
          <w:sz w:val="18"/>
          <w:szCs w:val="18"/>
        </w:rPr>
        <w:t>estimated</w:t>
      </w:r>
      <w:r w:rsidRPr="0069304E">
        <w:rPr>
          <w:sz w:val="18"/>
          <w:szCs w:val="18"/>
        </w:rPr>
        <w:t xml:space="preserve"> from data on buprenorphine prescribers in the 15 </w:t>
      </w:r>
      <w:r w:rsidR="00B5251D">
        <w:rPr>
          <w:sz w:val="18"/>
          <w:szCs w:val="18"/>
        </w:rPr>
        <w:t>planning grant</w:t>
      </w:r>
      <w:r w:rsidRPr="0069304E" w:rsidR="00B5251D">
        <w:rPr>
          <w:sz w:val="18"/>
          <w:szCs w:val="18"/>
        </w:rPr>
        <w:t xml:space="preserve"> </w:t>
      </w:r>
      <w:r w:rsidRPr="0069304E">
        <w:rPr>
          <w:sz w:val="18"/>
          <w:szCs w:val="18"/>
        </w:rPr>
        <w:t xml:space="preserve">states from SAMHSA’s treatment </w:t>
      </w:r>
      <w:r w:rsidR="00A77A0E">
        <w:rPr>
          <w:sz w:val="18"/>
          <w:szCs w:val="18"/>
        </w:rPr>
        <w:t>locator supplemented with data from State Opioid Treatment Authorities</w:t>
      </w:r>
      <w:r w:rsidRPr="0069304E">
        <w:rPr>
          <w:sz w:val="18"/>
          <w:szCs w:val="18"/>
        </w:rPr>
        <w:t>.</w:t>
      </w:r>
    </w:p>
    <w:p w:rsidR="00F24BEC" w:rsidP="00CB7E28" w:rsidRDefault="00F24BEC">
      <w:pPr>
        <w:tabs>
          <w:tab w:val="left" w:pos="720"/>
          <w:tab w:val="left" w:pos="2250"/>
        </w:tabs>
        <w:rPr>
          <w:rFonts w:ascii="Calibri" w:hAnsi="Calibri" w:cs="Calibri"/>
          <w:b/>
          <w:bCs/>
          <w:sz w:val="22"/>
          <w:szCs w:val="22"/>
        </w:rPr>
      </w:pPr>
    </w:p>
    <w:p w:rsidRPr="00651B1E" w:rsidR="00F24BEC" w:rsidP="00445E1A" w:rsidRDefault="00F24BEC">
      <w:pPr>
        <w:pStyle w:val="Caption"/>
        <w:ind w:firstLine="450"/>
      </w:pPr>
      <w:r w:rsidRPr="00651B1E">
        <w:t xml:space="preserve">Table 3: Estimated </w:t>
      </w:r>
      <w:r w:rsidRPr="00651B1E" w:rsidR="00430B6F">
        <w:t xml:space="preserve">Annual </w:t>
      </w:r>
      <w:r w:rsidRPr="00651B1E">
        <w:t>Respondent Burden</w:t>
      </w:r>
      <w:r w:rsidR="00430B6F">
        <w:t>,</w:t>
      </w:r>
      <w:r w:rsidRPr="00651B1E">
        <w:t xml:space="preserve"> Cost and Overall</w:t>
      </w:r>
    </w:p>
    <w:tbl>
      <w:tblPr>
        <w:tblW w:w="9270" w:type="dxa"/>
        <w:tblInd w:w="49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70"/>
        <w:gridCol w:w="1890"/>
        <w:gridCol w:w="1350"/>
        <w:gridCol w:w="1080"/>
        <w:gridCol w:w="1530"/>
        <w:gridCol w:w="1350"/>
      </w:tblGrid>
      <w:tr w:rsidRPr="00130FD5" w:rsidR="00012E48" w:rsidTr="00445E1A">
        <w:trPr>
          <w:trHeight w:val="288"/>
          <w:tblHeader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25A0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25A03">
              <w:rPr>
                <w:b/>
                <w:bCs/>
                <w:color w:val="000000"/>
                <w:sz w:val="21"/>
                <w:szCs w:val="21"/>
              </w:rPr>
              <w:t>Type of Respondent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25A03" w:rsidR="001F2662" w:rsidP="008251EF" w:rsidRDefault="001F266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25A03">
              <w:rPr>
                <w:b/>
                <w:bCs/>
                <w:color w:val="000000"/>
                <w:sz w:val="21"/>
                <w:szCs w:val="21"/>
              </w:rPr>
              <w:t xml:space="preserve">Average Hourly Wage Rate (including </w:t>
            </w:r>
            <w:r w:rsidR="00012E48">
              <w:rPr>
                <w:b/>
                <w:bCs/>
                <w:color w:val="000000"/>
                <w:sz w:val="21"/>
                <w:szCs w:val="21"/>
              </w:rPr>
              <w:t>b</w:t>
            </w:r>
            <w:r w:rsidRPr="00925A03">
              <w:rPr>
                <w:b/>
                <w:bCs/>
                <w:color w:val="000000"/>
                <w:sz w:val="21"/>
                <w:szCs w:val="21"/>
              </w:rPr>
              <w:t xml:space="preserve">enefits) </w:t>
            </w:r>
            <w:r w:rsidR="00892AEF">
              <w:rPr>
                <w:b/>
                <w:bCs/>
                <w:color w:val="000000"/>
                <w:sz w:val="21"/>
                <w:szCs w:val="21"/>
              </w:rPr>
              <w:t>p</w:t>
            </w:r>
            <w:r w:rsidRPr="00925A03">
              <w:rPr>
                <w:b/>
                <w:bCs/>
                <w:color w:val="000000"/>
                <w:sz w:val="21"/>
                <w:szCs w:val="21"/>
              </w:rPr>
              <w:t xml:space="preserve">er </w:t>
            </w:r>
            <w:r w:rsidR="00012E48">
              <w:rPr>
                <w:b/>
                <w:bCs/>
                <w:color w:val="000000"/>
                <w:sz w:val="21"/>
                <w:szCs w:val="21"/>
              </w:rPr>
              <w:t>r</w:t>
            </w:r>
            <w:r w:rsidRPr="00925A03">
              <w:rPr>
                <w:b/>
                <w:bCs/>
                <w:color w:val="000000"/>
                <w:sz w:val="21"/>
                <w:szCs w:val="21"/>
              </w:rPr>
              <w:t>espondent ($)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25A0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25A03">
              <w:rPr>
                <w:b/>
                <w:bCs/>
                <w:color w:val="000000"/>
                <w:sz w:val="21"/>
                <w:szCs w:val="21"/>
              </w:rPr>
              <w:t>Average</w:t>
            </w:r>
            <w:r w:rsidRPr="00925A03" w:rsidR="003B3BA1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925A03">
              <w:rPr>
                <w:b/>
                <w:bCs/>
                <w:color w:val="000000"/>
                <w:sz w:val="21"/>
                <w:szCs w:val="21"/>
              </w:rPr>
              <w:t xml:space="preserve"> Burden per Response </w:t>
            </w:r>
            <w:r w:rsidRPr="00925A03" w:rsidR="003B3BA1">
              <w:rPr>
                <w:b/>
                <w:bCs/>
                <w:color w:val="000000"/>
                <w:sz w:val="21"/>
                <w:szCs w:val="21"/>
              </w:rPr>
              <w:br/>
              <w:t>(hours</w:t>
            </w:r>
            <w:r w:rsidRPr="00925A03">
              <w:rPr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25A0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25A03">
              <w:rPr>
                <w:b/>
                <w:bCs/>
                <w:color w:val="000000"/>
                <w:sz w:val="21"/>
                <w:szCs w:val="21"/>
              </w:rPr>
              <w:t>Average Cost per Response ($)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25A0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25A03">
              <w:rPr>
                <w:b/>
                <w:bCs/>
                <w:color w:val="000000"/>
                <w:sz w:val="21"/>
                <w:szCs w:val="21"/>
              </w:rPr>
              <w:t xml:space="preserve">Estimated Total Annual Burden </w:t>
            </w:r>
            <w:r w:rsidR="00012E48">
              <w:rPr>
                <w:b/>
                <w:bCs/>
                <w:color w:val="000000"/>
                <w:sz w:val="21"/>
                <w:szCs w:val="21"/>
              </w:rPr>
              <w:t>(h</w:t>
            </w:r>
            <w:r w:rsidRPr="00925A03">
              <w:rPr>
                <w:b/>
                <w:bCs/>
                <w:color w:val="000000"/>
                <w:sz w:val="21"/>
                <w:szCs w:val="21"/>
              </w:rPr>
              <w:t>ours</w:t>
            </w:r>
            <w:r w:rsidR="00012E48">
              <w:rPr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25A0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25A03">
              <w:rPr>
                <w:b/>
                <w:bCs/>
                <w:color w:val="000000"/>
                <w:sz w:val="21"/>
                <w:szCs w:val="21"/>
              </w:rPr>
              <w:t>Estimated Total Annual Burden Cost  ($)</w:t>
            </w:r>
          </w:p>
        </w:tc>
      </w:tr>
      <w:tr w:rsidRPr="00130FD5" w:rsidR="001F2662" w:rsidTr="00445E1A">
        <w:trPr>
          <w:trHeight w:val="288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925A03" w:rsidR="001F2662" w:rsidP="00445E1A" w:rsidRDefault="00892AEF">
            <w:pPr>
              <w:widowControl/>
              <w:autoSpaceDE/>
              <w:autoSpaceDN/>
              <w:adjustRightInd/>
              <w:ind w:left="43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C</w:t>
            </w:r>
            <w:r w:rsidRPr="00925A03" w:rsidR="001F2662">
              <w:rPr>
                <w:i/>
                <w:iCs/>
                <w:color w:val="000000"/>
                <w:sz w:val="21"/>
                <w:szCs w:val="21"/>
              </w:rPr>
              <w:t>olumn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925A03" w:rsidR="001F2662" w:rsidP="008251EF" w:rsidRDefault="001F2662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925A03">
              <w:rPr>
                <w:i/>
                <w:i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925A0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925A03">
              <w:rPr>
                <w:i/>
                <w:i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925A0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925A03">
              <w:rPr>
                <w:i/>
                <w:iCs/>
                <w:color w:val="000000"/>
                <w:sz w:val="21"/>
                <w:szCs w:val="21"/>
              </w:rPr>
              <w:t>(3)=(1)*(2)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925A0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925A03">
              <w:rPr>
                <w:i/>
                <w:i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925A0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925A03">
              <w:rPr>
                <w:i/>
                <w:iCs/>
                <w:color w:val="000000"/>
                <w:sz w:val="21"/>
                <w:szCs w:val="21"/>
              </w:rPr>
              <w:t>(3)*(4)</w:t>
            </w:r>
          </w:p>
        </w:tc>
      </w:tr>
      <w:tr w:rsidRPr="00130FD5" w:rsidR="001F2662" w:rsidTr="00445E1A">
        <w:trPr>
          <w:trHeight w:val="288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25A03" w:rsidR="001F2662" w:rsidP="00445E1A" w:rsidRDefault="001F2662">
            <w:pPr>
              <w:widowControl/>
              <w:autoSpaceDE/>
              <w:autoSpaceDN/>
              <w:adjustRightInd/>
              <w:ind w:left="43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 xml:space="preserve">Focus </w:t>
            </w:r>
            <w:r w:rsidR="00474334">
              <w:rPr>
                <w:color w:val="000000"/>
                <w:sz w:val="21"/>
                <w:szCs w:val="21"/>
              </w:rPr>
              <w:t>g</w:t>
            </w:r>
            <w:r w:rsidRPr="00925A03" w:rsidR="00474334">
              <w:rPr>
                <w:color w:val="000000"/>
                <w:sz w:val="21"/>
                <w:szCs w:val="21"/>
              </w:rPr>
              <w:t xml:space="preserve">roup </w:t>
            </w:r>
            <w:r w:rsidR="00474334">
              <w:rPr>
                <w:color w:val="000000"/>
                <w:sz w:val="21"/>
                <w:szCs w:val="21"/>
              </w:rPr>
              <w:t>r</w:t>
            </w:r>
            <w:r w:rsidRPr="00925A03" w:rsidR="00474334">
              <w:rPr>
                <w:color w:val="000000"/>
                <w:sz w:val="21"/>
                <w:szCs w:val="21"/>
              </w:rPr>
              <w:t xml:space="preserve">ound </w:t>
            </w:r>
            <w:r w:rsidRPr="00925A03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25A03" w:rsidR="001F2662" w:rsidP="008251EF" w:rsidRDefault="001F266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199.40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25A0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1.50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25A0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299.10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25A03" w:rsidR="001F2662" w:rsidP="00445E1A" w:rsidRDefault="00A77A0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105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25A03" w:rsidR="001F2662" w:rsidP="00445E1A" w:rsidRDefault="003B3BA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31,405.50</w:t>
            </w:r>
          </w:p>
        </w:tc>
      </w:tr>
      <w:tr w:rsidRPr="00130FD5" w:rsidR="001F2662" w:rsidTr="00445E1A">
        <w:trPr>
          <w:trHeight w:val="288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25A03" w:rsidR="001F2662" w:rsidP="00445E1A" w:rsidRDefault="001F2662">
            <w:pPr>
              <w:widowControl/>
              <w:autoSpaceDE/>
              <w:autoSpaceDN/>
              <w:adjustRightInd/>
              <w:ind w:left="43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 xml:space="preserve">Focus </w:t>
            </w:r>
            <w:r w:rsidR="00474334">
              <w:rPr>
                <w:color w:val="000000"/>
                <w:sz w:val="21"/>
                <w:szCs w:val="21"/>
              </w:rPr>
              <w:t>g</w:t>
            </w:r>
            <w:r w:rsidRPr="00925A03" w:rsidR="00474334">
              <w:rPr>
                <w:color w:val="000000"/>
                <w:sz w:val="21"/>
                <w:szCs w:val="21"/>
              </w:rPr>
              <w:t xml:space="preserve">roup </w:t>
            </w:r>
            <w:r w:rsidR="00474334">
              <w:rPr>
                <w:color w:val="000000"/>
                <w:sz w:val="21"/>
                <w:szCs w:val="21"/>
              </w:rPr>
              <w:t>r</w:t>
            </w:r>
            <w:r w:rsidRPr="00925A03" w:rsidR="00474334">
              <w:rPr>
                <w:color w:val="000000"/>
                <w:sz w:val="21"/>
                <w:szCs w:val="21"/>
              </w:rPr>
              <w:t xml:space="preserve">ound </w:t>
            </w:r>
            <w:r w:rsidRPr="00925A03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25A03" w:rsidR="001F2662" w:rsidP="008251EF" w:rsidRDefault="001F266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199.40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25A0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1.50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25A0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299.10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25A0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105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25A03" w:rsidR="001F2662" w:rsidP="00445E1A" w:rsidRDefault="001F266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31,405.50</w:t>
            </w:r>
          </w:p>
        </w:tc>
      </w:tr>
      <w:tr w:rsidRPr="00130FD5" w:rsidR="00A727E1" w:rsidTr="00445E1A">
        <w:trPr>
          <w:trHeight w:val="288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ind w:left="43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 xml:space="preserve">Surveys </w:t>
            </w:r>
            <w:r w:rsidR="00474334">
              <w:rPr>
                <w:color w:val="000000"/>
                <w:sz w:val="21"/>
                <w:szCs w:val="21"/>
              </w:rPr>
              <w:t>r</w:t>
            </w:r>
            <w:r w:rsidRPr="00925A03" w:rsidR="00474334">
              <w:rPr>
                <w:color w:val="000000"/>
                <w:sz w:val="21"/>
                <w:szCs w:val="21"/>
              </w:rPr>
              <w:t xml:space="preserve">ound </w:t>
            </w:r>
            <w:r w:rsidRPr="00925A03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25A03" w:rsidR="00A727E1" w:rsidP="008251EF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199.40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0.25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49.85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3,</w:t>
            </w:r>
            <w:r>
              <w:rPr>
                <w:color w:val="000000"/>
                <w:sz w:val="21"/>
                <w:szCs w:val="21"/>
              </w:rPr>
              <w:t>584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78,649.94</w:t>
            </w:r>
          </w:p>
        </w:tc>
      </w:tr>
      <w:tr w:rsidRPr="00130FD5" w:rsidR="00A727E1" w:rsidTr="00445E1A">
        <w:trPr>
          <w:trHeight w:val="288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ind w:left="43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 xml:space="preserve">Surveys </w:t>
            </w:r>
            <w:r w:rsidR="00474334">
              <w:rPr>
                <w:color w:val="000000"/>
                <w:sz w:val="21"/>
                <w:szCs w:val="21"/>
              </w:rPr>
              <w:t>r</w:t>
            </w:r>
            <w:r w:rsidRPr="00925A03" w:rsidR="00474334">
              <w:rPr>
                <w:color w:val="000000"/>
                <w:sz w:val="21"/>
                <w:szCs w:val="21"/>
              </w:rPr>
              <w:t xml:space="preserve">ound </w:t>
            </w:r>
            <w:r w:rsidRPr="00925A03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25A03" w:rsidR="00A727E1" w:rsidP="008251EF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199.40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0.25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49.85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3,584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78,649.94</w:t>
            </w:r>
          </w:p>
        </w:tc>
      </w:tr>
      <w:tr w:rsidRPr="00130FD5" w:rsidR="00A727E1" w:rsidTr="00445E1A">
        <w:trPr>
          <w:trHeight w:val="288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ind w:left="43"/>
              <w:rPr>
                <w:color w:val="000000"/>
                <w:sz w:val="21"/>
                <w:szCs w:val="21"/>
              </w:rPr>
            </w:pPr>
            <w:r w:rsidRPr="00925A03">
              <w:rPr>
                <w:b/>
                <w:bCs/>
                <w:color w:val="000000"/>
                <w:sz w:val="21"/>
                <w:szCs w:val="21"/>
              </w:rPr>
              <w:t xml:space="preserve">Round 1 </w:t>
            </w:r>
            <w:r w:rsidR="00892AEF">
              <w:rPr>
                <w:b/>
                <w:bCs/>
                <w:color w:val="000000"/>
                <w:sz w:val="21"/>
                <w:szCs w:val="21"/>
              </w:rPr>
              <w:t>t</w:t>
            </w:r>
            <w:r w:rsidRPr="00925A03">
              <w:rPr>
                <w:b/>
                <w:bCs/>
                <w:color w:val="000000"/>
                <w:sz w:val="21"/>
                <w:szCs w:val="21"/>
              </w:rPr>
              <w:t>otal</w:t>
            </w:r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 w:rsidRPr="00925A03" w:rsidR="00A727E1" w:rsidP="008251EF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199.40 (average)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0.29 (average)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56.94</w:t>
            </w:r>
            <w:r w:rsidRPr="00925A03">
              <w:rPr>
                <w:color w:val="000000"/>
                <w:sz w:val="21"/>
                <w:szCs w:val="21"/>
              </w:rPr>
              <w:t xml:space="preserve"> (average)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  <w:hideMark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>,689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  <w:hideMark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F722E4">
              <w:rPr>
                <w:color w:val="000000"/>
                <w:sz w:val="21"/>
                <w:szCs w:val="21"/>
              </w:rPr>
              <w:t>210,055.44</w:t>
            </w:r>
          </w:p>
        </w:tc>
      </w:tr>
      <w:tr w:rsidRPr="00130FD5" w:rsidR="00A727E1" w:rsidTr="00445E1A">
        <w:trPr>
          <w:cantSplit/>
          <w:trHeight w:val="288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ind w:left="43"/>
              <w:rPr>
                <w:color w:val="000000"/>
                <w:sz w:val="21"/>
                <w:szCs w:val="21"/>
              </w:rPr>
            </w:pPr>
            <w:r w:rsidRPr="00925A03">
              <w:rPr>
                <w:b/>
                <w:bCs/>
                <w:color w:val="000000"/>
                <w:sz w:val="21"/>
                <w:szCs w:val="21"/>
              </w:rPr>
              <w:t xml:space="preserve">Round 2 </w:t>
            </w:r>
            <w:r w:rsidR="00892AEF">
              <w:rPr>
                <w:b/>
                <w:bCs/>
                <w:color w:val="000000"/>
                <w:sz w:val="21"/>
                <w:szCs w:val="21"/>
              </w:rPr>
              <w:t>t</w:t>
            </w:r>
            <w:r w:rsidRPr="00925A03">
              <w:rPr>
                <w:b/>
                <w:bCs/>
                <w:color w:val="000000"/>
                <w:sz w:val="21"/>
                <w:szCs w:val="21"/>
              </w:rPr>
              <w:t>otal</w:t>
            </w:r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 w:rsidRPr="00925A03" w:rsidR="00A727E1" w:rsidP="008251EF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199.40 (average)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925A03">
              <w:rPr>
                <w:color w:val="000000"/>
                <w:sz w:val="21"/>
                <w:szCs w:val="21"/>
              </w:rPr>
              <w:t>0.29 (average)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56.94</w:t>
            </w:r>
            <w:r w:rsidRPr="00925A03">
              <w:rPr>
                <w:color w:val="000000"/>
                <w:sz w:val="21"/>
                <w:szCs w:val="21"/>
              </w:rPr>
              <w:t xml:space="preserve"> (average)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  <w:hideMark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3,689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  <w:hideMark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</w:rPr>
            </w:pPr>
            <w:r w:rsidRPr="00F722E4">
              <w:rPr>
                <w:color w:val="000000"/>
                <w:sz w:val="21"/>
                <w:szCs w:val="21"/>
              </w:rPr>
              <w:t>210,055.44</w:t>
            </w:r>
          </w:p>
        </w:tc>
      </w:tr>
      <w:tr w:rsidRPr="00130FD5" w:rsidR="00A727E1" w:rsidTr="00445E1A">
        <w:trPr>
          <w:trHeight w:val="288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  <w:hideMark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ind w:left="43"/>
              <w:rPr>
                <w:b/>
                <w:bCs/>
                <w:color w:val="000000"/>
                <w:sz w:val="21"/>
                <w:szCs w:val="21"/>
              </w:rPr>
            </w:pPr>
            <w:r w:rsidRPr="00925A03">
              <w:rPr>
                <w:b/>
                <w:bCs/>
                <w:color w:val="000000"/>
                <w:sz w:val="21"/>
                <w:szCs w:val="21"/>
              </w:rPr>
              <w:t xml:space="preserve">Overall </w:t>
            </w:r>
            <w:r w:rsidR="00892AEF">
              <w:rPr>
                <w:b/>
                <w:bCs/>
                <w:color w:val="000000"/>
                <w:sz w:val="21"/>
                <w:szCs w:val="21"/>
              </w:rPr>
              <w:t>a</w:t>
            </w:r>
            <w:r w:rsidRPr="00925A03">
              <w:rPr>
                <w:b/>
                <w:bCs/>
                <w:color w:val="000000"/>
                <w:sz w:val="21"/>
                <w:szCs w:val="21"/>
              </w:rPr>
              <w:t xml:space="preserve">nnualized </w:t>
            </w:r>
            <w:r w:rsidR="00892AEF">
              <w:rPr>
                <w:b/>
                <w:bCs/>
                <w:color w:val="000000"/>
                <w:sz w:val="21"/>
                <w:szCs w:val="21"/>
              </w:rPr>
              <w:t>a</w:t>
            </w:r>
            <w:r w:rsidRPr="00925A03">
              <w:rPr>
                <w:b/>
                <w:bCs/>
                <w:color w:val="000000"/>
                <w:sz w:val="21"/>
                <w:szCs w:val="21"/>
              </w:rPr>
              <w:t>verage</w:t>
            </w:r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 w:rsidRPr="00925A03" w:rsidR="00A727E1" w:rsidP="008251EF" w:rsidRDefault="00A727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25A03">
              <w:rPr>
                <w:b/>
                <w:color w:val="000000"/>
                <w:sz w:val="21"/>
                <w:szCs w:val="21"/>
              </w:rPr>
              <w:t>199.40 (average)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25A03">
              <w:rPr>
                <w:b/>
                <w:color w:val="000000"/>
                <w:sz w:val="21"/>
                <w:szCs w:val="21"/>
              </w:rPr>
              <w:t>0.</w:t>
            </w:r>
            <w:r>
              <w:rPr>
                <w:b/>
                <w:color w:val="000000"/>
                <w:sz w:val="21"/>
                <w:szCs w:val="21"/>
              </w:rPr>
              <w:t>29</w:t>
            </w:r>
            <w:r w:rsidRPr="00925A03">
              <w:rPr>
                <w:b/>
                <w:color w:val="000000"/>
                <w:sz w:val="21"/>
                <w:szCs w:val="21"/>
              </w:rPr>
              <w:t xml:space="preserve"> (average)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F722E4">
              <w:rPr>
                <w:b/>
                <w:color w:val="000000"/>
                <w:sz w:val="21"/>
                <w:szCs w:val="21"/>
              </w:rPr>
              <w:t xml:space="preserve">56.94 </w:t>
            </w:r>
            <w:r w:rsidRPr="00925A03">
              <w:rPr>
                <w:b/>
                <w:color w:val="000000"/>
                <w:sz w:val="21"/>
                <w:szCs w:val="21"/>
              </w:rPr>
              <w:t>(average)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vAlign w:val="center"/>
            <w:hideMark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3,689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vAlign w:val="center"/>
            <w:hideMark/>
          </w:tcPr>
          <w:p w:rsidRPr="00925A03" w:rsidR="00A727E1" w:rsidP="00445E1A" w:rsidRDefault="00A727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F722E4">
              <w:rPr>
                <w:b/>
                <w:color w:val="000000"/>
                <w:sz w:val="21"/>
                <w:szCs w:val="21"/>
              </w:rPr>
              <w:t>210,055.44</w:t>
            </w:r>
          </w:p>
        </w:tc>
      </w:tr>
    </w:tbl>
    <w:p w:rsidRPr="00CF3D1A" w:rsidR="00CF3D1A" w:rsidRDefault="00CF3D1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0"/>
        </w:rPr>
      </w:pP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13.</w:t>
      </w:r>
      <w:r>
        <w:rPr>
          <w:sz w:val="24"/>
        </w:rPr>
        <w:tab/>
      </w:r>
      <w:r>
        <w:rPr>
          <w:sz w:val="24"/>
          <w:u w:val="single"/>
        </w:rPr>
        <w:t>Capital Costs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24BEC" w:rsidP="00F628C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 w:rsidRPr="001770A3">
        <w:rPr>
          <w:sz w:val="24"/>
        </w:rPr>
        <w:t xml:space="preserve">There are no </w:t>
      </w:r>
      <w:r>
        <w:rPr>
          <w:sz w:val="24"/>
        </w:rPr>
        <w:t>capital</w:t>
      </w:r>
      <w:r w:rsidRPr="001770A3">
        <w:rPr>
          <w:sz w:val="24"/>
        </w:rPr>
        <w:t xml:space="preserve"> costs to respondents other than their time to participate in the </w:t>
      </w:r>
      <w:r>
        <w:rPr>
          <w:sz w:val="24"/>
        </w:rPr>
        <w:t>survey or focus group</w:t>
      </w:r>
      <w:r w:rsidRPr="001770A3">
        <w:rPr>
          <w:sz w:val="24"/>
        </w:rPr>
        <w:t>.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14.</w:t>
      </w:r>
      <w:r>
        <w:rPr>
          <w:sz w:val="24"/>
        </w:rPr>
        <w:tab/>
      </w:r>
      <w:r>
        <w:rPr>
          <w:sz w:val="24"/>
          <w:u w:val="single"/>
        </w:rPr>
        <w:t>Cost to Federal Government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24BEC" w:rsidP="00651B1E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>The</w:t>
      </w:r>
      <w:r w:rsidRPr="00651B1E">
        <w:rPr>
          <w:sz w:val="24"/>
        </w:rPr>
        <w:t xml:space="preserve"> cost to the government </w:t>
      </w:r>
      <w:r>
        <w:rPr>
          <w:sz w:val="24"/>
        </w:rPr>
        <w:t xml:space="preserve">for this data collection </w:t>
      </w:r>
      <w:r w:rsidRPr="00651B1E">
        <w:rPr>
          <w:sz w:val="24"/>
        </w:rPr>
        <w:t xml:space="preserve">consists mainly of the salaries of the </w:t>
      </w:r>
      <w:r w:rsidR="00E55CB3">
        <w:rPr>
          <w:sz w:val="24"/>
        </w:rPr>
        <w:t xml:space="preserve"> </w:t>
      </w:r>
      <w:r w:rsidR="00D60EFC">
        <w:rPr>
          <w:sz w:val="24"/>
        </w:rPr>
        <w:t xml:space="preserve">five </w:t>
      </w:r>
      <w:r w:rsidR="00B620EE">
        <w:rPr>
          <w:sz w:val="24"/>
        </w:rPr>
        <w:t>CMS</w:t>
      </w:r>
      <w:r>
        <w:rPr>
          <w:sz w:val="24"/>
        </w:rPr>
        <w:t xml:space="preserve"> staff </w:t>
      </w:r>
      <w:r w:rsidR="00E55CB3">
        <w:rPr>
          <w:sz w:val="24"/>
        </w:rPr>
        <w:t xml:space="preserve">who oversee the section 1003 evaluation project </w:t>
      </w:r>
      <w:r>
        <w:rPr>
          <w:sz w:val="24"/>
        </w:rPr>
        <w:t xml:space="preserve">to monitor and oversee </w:t>
      </w:r>
      <w:r w:rsidR="00EE098D">
        <w:rPr>
          <w:sz w:val="24"/>
        </w:rPr>
        <w:t>d</w:t>
      </w:r>
      <w:r>
        <w:rPr>
          <w:sz w:val="24"/>
        </w:rPr>
        <w:t>emonstration</w:t>
      </w:r>
      <w:r w:rsidRPr="00651B1E">
        <w:rPr>
          <w:sz w:val="24"/>
        </w:rPr>
        <w:t xml:space="preserve"> </w:t>
      </w:r>
      <w:r>
        <w:rPr>
          <w:sz w:val="24"/>
        </w:rPr>
        <w:t xml:space="preserve">activities (see </w:t>
      </w:r>
      <w:r w:rsidRPr="00651B1E">
        <w:rPr>
          <w:sz w:val="24"/>
        </w:rPr>
        <w:t>Table 4</w:t>
      </w:r>
      <w:r>
        <w:rPr>
          <w:sz w:val="24"/>
        </w:rPr>
        <w:t>)</w:t>
      </w:r>
      <w:r w:rsidRPr="00651B1E">
        <w:rPr>
          <w:sz w:val="24"/>
        </w:rPr>
        <w:t>.</w:t>
      </w:r>
      <w:r w:rsidR="00DF724C">
        <w:rPr>
          <w:sz w:val="24"/>
        </w:rPr>
        <w:t xml:space="preserve"> </w:t>
      </w:r>
      <w:r w:rsidRPr="00651B1E">
        <w:rPr>
          <w:sz w:val="24"/>
        </w:rPr>
        <w:t xml:space="preserve"> The </w:t>
      </w:r>
      <w:r>
        <w:rPr>
          <w:sz w:val="24"/>
        </w:rPr>
        <w:t>staff</w:t>
      </w:r>
      <w:r w:rsidRPr="00651B1E">
        <w:rPr>
          <w:sz w:val="24"/>
        </w:rPr>
        <w:t xml:space="preserve"> activity </w:t>
      </w:r>
      <w:r>
        <w:rPr>
          <w:sz w:val="24"/>
        </w:rPr>
        <w:t>includes contractor meetings</w:t>
      </w:r>
      <w:r w:rsidR="00DF724C">
        <w:rPr>
          <w:sz w:val="24"/>
        </w:rPr>
        <w:t>,</w:t>
      </w:r>
      <w:r>
        <w:rPr>
          <w:sz w:val="24"/>
        </w:rPr>
        <w:t xml:space="preserve"> </w:t>
      </w:r>
      <w:r w:rsidRPr="00651B1E">
        <w:rPr>
          <w:sz w:val="24"/>
        </w:rPr>
        <w:t>review of data collection instruments</w:t>
      </w:r>
      <w:r w:rsidR="00DF724C">
        <w:rPr>
          <w:sz w:val="24"/>
        </w:rPr>
        <w:t xml:space="preserve">, </w:t>
      </w:r>
      <w:r>
        <w:rPr>
          <w:sz w:val="24"/>
        </w:rPr>
        <w:t>oversight of</w:t>
      </w:r>
      <w:r w:rsidRPr="00651B1E">
        <w:rPr>
          <w:sz w:val="24"/>
        </w:rPr>
        <w:t xml:space="preserve"> the scope of work conducted under </w:t>
      </w:r>
      <w:r w:rsidR="00BE3ECD">
        <w:rPr>
          <w:sz w:val="24"/>
        </w:rPr>
        <w:t>the evaluation</w:t>
      </w:r>
      <w:r>
        <w:rPr>
          <w:sz w:val="24"/>
        </w:rPr>
        <w:t xml:space="preserve">, </w:t>
      </w:r>
      <w:r w:rsidR="00DF724C">
        <w:rPr>
          <w:sz w:val="24"/>
        </w:rPr>
        <w:t xml:space="preserve">and </w:t>
      </w:r>
      <w:r>
        <w:rPr>
          <w:sz w:val="24"/>
        </w:rPr>
        <w:t>review</w:t>
      </w:r>
      <w:r w:rsidR="00474334">
        <w:rPr>
          <w:sz w:val="24"/>
        </w:rPr>
        <w:t xml:space="preserve"> of</w:t>
      </w:r>
      <w:r w:rsidRPr="00651B1E">
        <w:rPr>
          <w:sz w:val="24"/>
        </w:rPr>
        <w:t xml:space="preserve"> </w:t>
      </w:r>
      <w:r>
        <w:rPr>
          <w:sz w:val="24"/>
        </w:rPr>
        <w:t>evaluation design reports and interim and final demonstration reports</w:t>
      </w:r>
      <w:r w:rsidRPr="00651B1E">
        <w:rPr>
          <w:sz w:val="24"/>
        </w:rPr>
        <w:t>.</w:t>
      </w:r>
      <w:r>
        <w:rPr>
          <w:sz w:val="24"/>
        </w:rPr>
        <w:t xml:space="preserve"> </w:t>
      </w:r>
      <w:r w:rsidR="00DF724C">
        <w:rPr>
          <w:sz w:val="24"/>
        </w:rPr>
        <w:t xml:space="preserve"> </w:t>
      </w:r>
      <w:r>
        <w:rPr>
          <w:sz w:val="24"/>
        </w:rPr>
        <w:t>It is</w:t>
      </w:r>
      <w:r w:rsidRPr="00651B1E">
        <w:rPr>
          <w:sz w:val="24"/>
        </w:rPr>
        <w:t xml:space="preserve"> estimated that needed staff time for the </w:t>
      </w:r>
      <w:r w:rsidR="00E55CB3">
        <w:rPr>
          <w:sz w:val="24"/>
        </w:rPr>
        <w:t>CMS staff</w:t>
      </w:r>
      <w:r w:rsidRPr="00651B1E">
        <w:rPr>
          <w:sz w:val="24"/>
        </w:rPr>
        <w:t xml:space="preserve"> to cover the items</w:t>
      </w:r>
      <w:r w:rsidR="00DF724C">
        <w:rPr>
          <w:sz w:val="24"/>
        </w:rPr>
        <w:t xml:space="preserve"> mentioned above</w:t>
      </w:r>
      <w:r w:rsidRPr="00651B1E">
        <w:rPr>
          <w:sz w:val="24"/>
        </w:rPr>
        <w:t xml:space="preserve"> is </w:t>
      </w:r>
      <w:r>
        <w:rPr>
          <w:sz w:val="24"/>
        </w:rPr>
        <w:t>0</w:t>
      </w:r>
      <w:r w:rsidRPr="00651B1E">
        <w:rPr>
          <w:sz w:val="24"/>
        </w:rPr>
        <w:t>.</w:t>
      </w:r>
      <w:r w:rsidR="00D60EFC">
        <w:rPr>
          <w:sz w:val="24"/>
        </w:rPr>
        <w:t>1</w:t>
      </w:r>
      <w:r w:rsidRPr="00651B1E" w:rsidR="00D60EFC">
        <w:rPr>
          <w:sz w:val="24"/>
        </w:rPr>
        <w:t xml:space="preserve"> </w:t>
      </w:r>
      <w:r w:rsidR="00DF724C">
        <w:rPr>
          <w:sz w:val="24"/>
        </w:rPr>
        <w:t>full-time equivalent</w:t>
      </w:r>
      <w:r w:rsidR="00474334">
        <w:rPr>
          <w:sz w:val="24"/>
        </w:rPr>
        <w:t>s</w:t>
      </w:r>
      <w:r w:rsidRPr="00651B1E" w:rsidR="00DF724C">
        <w:rPr>
          <w:sz w:val="24"/>
        </w:rPr>
        <w:t xml:space="preserve"> </w:t>
      </w:r>
      <w:r w:rsidRPr="00651B1E">
        <w:rPr>
          <w:sz w:val="24"/>
        </w:rPr>
        <w:t>at the GS-13</w:t>
      </w:r>
      <w:r>
        <w:rPr>
          <w:sz w:val="24"/>
        </w:rPr>
        <w:t xml:space="preserve"> Level (step 1), per agency</w:t>
      </w:r>
      <w:r w:rsidRPr="00651B1E">
        <w:rPr>
          <w:sz w:val="24"/>
        </w:rPr>
        <w:t xml:space="preserve"> level</w:t>
      </w:r>
      <w:r>
        <w:rPr>
          <w:sz w:val="24"/>
        </w:rPr>
        <w:t>,</w:t>
      </w:r>
      <w:r w:rsidRPr="00651B1E">
        <w:rPr>
          <w:sz w:val="24"/>
        </w:rPr>
        <w:t xml:space="preserve"> for a total of $</w:t>
      </w:r>
      <w:r>
        <w:rPr>
          <w:sz w:val="24"/>
        </w:rPr>
        <w:t>51</w:t>
      </w:r>
      <w:r w:rsidRPr="00651B1E">
        <w:rPr>
          <w:sz w:val="24"/>
        </w:rPr>
        <w:t>,</w:t>
      </w:r>
      <w:r w:rsidR="00A77A0E">
        <w:rPr>
          <w:sz w:val="24"/>
        </w:rPr>
        <w:t>8</w:t>
      </w:r>
      <w:r w:rsidR="00874BCC">
        <w:rPr>
          <w:sz w:val="24"/>
        </w:rPr>
        <w:t>41</w:t>
      </w:r>
      <w:r w:rsidR="00925A03">
        <w:rPr>
          <w:sz w:val="24"/>
        </w:rPr>
        <w:t xml:space="preserve"> annually</w:t>
      </w:r>
      <w:r w:rsidR="00584207">
        <w:rPr>
          <w:sz w:val="24"/>
        </w:rPr>
        <w:t>.</w:t>
      </w:r>
      <w:r w:rsidR="00DF724C">
        <w:rPr>
          <w:sz w:val="24"/>
        </w:rPr>
        <w:t xml:space="preserve"> </w:t>
      </w:r>
      <w:r w:rsidRPr="00965004">
        <w:t xml:space="preserve"> </w:t>
      </w:r>
      <w:r w:rsidRPr="00965004">
        <w:rPr>
          <w:sz w:val="24"/>
        </w:rPr>
        <w:t>Wage rates are for staf</w:t>
      </w:r>
      <w:r>
        <w:rPr>
          <w:sz w:val="24"/>
        </w:rPr>
        <w:t xml:space="preserve">f in the Washington, DC, area, </w:t>
      </w:r>
      <w:r w:rsidRPr="00965004">
        <w:rPr>
          <w:sz w:val="24"/>
        </w:rPr>
        <w:t xml:space="preserve">based on </w:t>
      </w:r>
      <w:r w:rsidR="00474334">
        <w:rPr>
          <w:sz w:val="24"/>
        </w:rPr>
        <w:t xml:space="preserve">the </w:t>
      </w:r>
      <w:r w:rsidRPr="00965004">
        <w:rPr>
          <w:sz w:val="24"/>
        </w:rPr>
        <w:t>O</w:t>
      </w:r>
      <w:r w:rsidR="00474334">
        <w:rPr>
          <w:sz w:val="24"/>
        </w:rPr>
        <w:t xml:space="preserve">ffice of </w:t>
      </w:r>
      <w:r w:rsidRPr="00965004">
        <w:rPr>
          <w:sz w:val="24"/>
        </w:rPr>
        <w:t>P</w:t>
      </w:r>
      <w:r w:rsidR="00474334">
        <w:rPr>
          <w:sz w:val="24"/>
        </w:rPr>
        <w:t xml:space="preserve">ersonnel </w:t>
      </w:r>
      <w:r w:rsidRPr="00965004">
        <w:rPr>
          <w:sz w:val="24"/>
        </w:rPr>
        <w:t>M</w:t>
      </w:r>
      <w:r w:rsidR="00474334">
        <w:rPr>
          <w:sz w:val="24"/>
        </w:rPr>
        <w:t xml:space="preserve">anagement’s </w:t>
      </w:r>
      <w:r>
        <w:rPr>
          <w:sz w:val="24"/>
        </w:rPr>
        <w:t>2021</w:t>
      </w:r>
      <w:r w:rsidRPr="00965004">
        <w:rPr>
          <w:sz w:val="24"/>
        </w:rPr>
        <w:t xml:space="preserve"> General Schedule Salary &amp; Wages</w:t>
      </w:r>
      <w:r>
        <w:rPr>
          <w:sz w:val="24"/>
        </w:rPr>
        <w:t>.</w:t>
      </w:r>
      <w:r w:rsidRPr="00965004">
        <w:rPr>
          <w:rStyle w:val="EndnoteReference"/>
          <w:sz w:val="24"/>
        </w:rPr>
        <w:endnoteReference w:id="8"/>
      </w:r>
    </w:p>
    <w:p w:rsidR="00111028" w:rsidP="00651B1E" w:rsidRDefault="00111028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Pr="00651B1E" w:rsidR="00F24BEC" w:rsidP="00445E1A" w:rsidRDefault="00F24BEC">
      <w:pPr>
        <w:pStyle w:val="Caption"/>
        <w:ind w:firstLine="450"/>
      </w:pPr>
      <w:r w:rsidRPr="00651B1E">
        <w:t>Table 4: Estimated</w:t>
      </w:r>
      <w:r>
        <w:t xml:space="preserve"> Annual</w:t>
      </w:r>
      <w:r w:rsidRPr="00651B1E">
        <w:t xml:space="preserve"> Government Staff Costs</w:t>
      </w:r>
    </w:p>
    <w:tbl>
      <w:tblPr>
        <w:tblW w:w="8460" w:type="dxa"/>
        <w:tblInd w:w="5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620"/>
        <w:gridCol w:w="1364"/>
        <w:gridCol w:w="990"/>
        <w:gridCol w:w="2506"/>
      </w:tblGrid>
      <w:tr w:rsidRPr="00EE098D" w:rsidR="00F24BEC" w:rsidTr="00445E1A">
        <w:trPr>
          <w:trHeight w:val="495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9262A" w:rsidR="00F24BEC" w:rsidP="00445E1A" w:rsidRDefault="00111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Federal </w:t>
            </w:r>
            <w:r w:rsidRPr="00E9262A" w:rsidR="00F24BEC">
              <w:rPr>
                <w:b/>
                <w:bCs/>
                <w:sz w:val="22"/>
                <w:szCs w:val="22"/>
              </w:rPr>
              <w:t>Program Staff</w:t>
            </w:r>
            <w:r>
              <w:rPr>
                <w:b/>
                <w:bCs/>
                <w:sz w:val="22"/>
                <w:szCs w:val="22"/>
              </w:rPr>
              <w:t xml:space="preserve"> Level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9262A" w:rsidR="00F24BEC" w:rsidP="00445E1A" w:rsidRDefault="00F24BEC">
            <w:pPr>
              <w:jc w:val="center"/>
              <w:rPr>
                <w:b/>
                <w:bCs/>
                <w:sz w:val="22"/>
                <w:szCs w:val="22"/>
              </w:rPr>
            </w:pPr>
            <w:r w:rsidRPr="00E9262A">
              <w:rPr>
                <w:b/>
                <w:bCs/>
                <w:sz w:val="22"/>
                <w:szCs w:val="22"/>
              </w:rPr>
              <w:t>Total Annual Burden Hours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9262A" w:rsidR="00F24BEC" w:rsidP="008251EF" w:rsidRDefault="00F24BEC">
            <w:pPr>
              <w:jc w:val="center"/>
              <w:rPr>
                <w:b/>
                <w:bCs/>
                <w:sz w:val="22"/>
                <w:szCs w:val="22"/>
              </w:rPr>
            </w:pPr>
            <w:r w:rsidRPr="00E9262A">
              <w:rPr>
                <w:b/>
                <w:bCs/>
                <w:sz w:val="22"/>
                <w:szCs w:val="22"/>
              </w:rPr>
              <w:t>Hourly Wage Rate</w:t>
            </w:r>
          </w:p>
        </w:tc>
        <w:tc>
          <w:tcPr>
            <w:tcW w:w="990" w:type="dxa"/>
            <w:vAlign w:val="center"/>
          </w:tcPr>
          <w:p w:rsidRPr="00F628CC" w:rsidR="00F24BEC" w:rsidP="00445E1A" w:rsidRDefault="00F24BEC">
            <w:pPr>
              <w:jc w:val="center"/>
              <w:rPr>
                <w:b/>
                <w:bCs/>
                <w:sz w:val="22"/>
                <w:szCs w:val="22"/>
              </w:rPr>
            </w:pPr>
            <w:r w:rsidRPr="00F628CC">
              <w:rPr>
                <w:b/>
                <w:bCs/>
                <w:sz w:val="22"/>
                <w:szCs w:val="22"/>
              </w:rPr>
              <w:t>Total Staff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628CC" w:rsidR="00F24BEC" w:rsidP="00445E1A" w:rsidRDefault="00F24BEC">
            <w:pPr>
              <w:jc w:val="center"/>
              <w:rPr>
                <w:b/>
                <w:bCs/>
                <w:sz w:val="22"/>
                <w:szCs w:val="22"/>
              </w:rPr>
            </w:pPr>
            <w:r w:rsidRPr="00F628CC">
              <w:rPr>
                <w:b/>
                <w:bCs/>
                <w:sz w:val="22"/>
                <w:szCs w:val="22"/>
              </w:rPr>
              <w:t>Total Annual Government Staff Cost</w:t>
            </w:r>
          </w:p>
        </w:tc>
      </w:tr>
      <w:tr w:rsidRPr="00EE098D" w:rsidR="00F24BEC" w:rsidTr="00445E1A">
        <w:trPr>
          <w:trHeight w:val="205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E098D" w:rsidR="00F24BEC" w:rsidP="008251EF" w:rsidRDefault="00F24BEC">
            <w:pPr>
              <w:jc w:val="center"/>
              <w:rPr>
                <w:sz w:val="22"/>
                <w:szCs w:val="22"/>
              </w:rPr>
            </w:pPr>
            <w:r w:rsidRPr="00EE098D">
              <w:rPr>
                <w:sz w:val="22"/>
                <w:szCs w:val="22"/>
              </w:rPr>
              <w:t>GS-013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E098D" w:rsidR="00F24BEC" w:rsidP="00445E1A" w:rsidRDefault="00F24BEC">
            <w:pPr>
              <w:jc w:val="center"/>
              <w:rPr>
                <w:sz w:val="22"/>
                <w:szCs w:val="22"/>
              </w:rPr>
            </w:pPr>
            <w:r w:rsidRPr="00EE098D">
              <w:rPr>
                <w:sz w:val="22"/>
                <w:szCs w:val="22"/>
              </w:rPr>
              <w:t>1,044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9262A" w:rsidR="00F24BEC" w:rsidP="00445E1A" w:rsidRDefault="00F24BEC">
            <w:pPr>
              <w:jc w:val="center"/>
              <w:rPr>
                <w:sz w:val="22"/>
                <w:szCs w:val="22"/>
              </w:rPr>
            </w:pPr>
            <w:r w:rsidRPr="00EE098D">
              <w:rPr>
                <w:sz w:val="22"/>
                <w:szCs w:val="22"/>
              </w:rPr>
              <w:t>$49.68</w:t>
            </w:r>
          </w:p>
        </w:tc>
        <w:tc>
          <w:tcPr>
            <w:tcW w:w="990" w:type="dxa"/>
          </w:tcPr>
          <w:p w:rsidRPr="00E9262A" w:rsidR="00F24BEC" w:rsidP="00445E1A" w:rsidRDefault="00584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9262A" w:rsidR="00F24BEC" w:rsidP="00445E1A" w:rsidRDefault="00F24BEC">
            <w:pPr>
              <w:jc w:val="center"/>
              <w:rPr>
                <w:sz w:val="22"/>
                <w:szCs w:val="22"/>
              </w:rPr>
            </w:pPr>
            <w:r w:rsidRPr="00E9262A">
              <w:rPr>
                <w:sz w:val="22"/>
                <w:szCs w:val="22"/>
              </w:rPr>
              <w:t>$</w:t>
            </w:r>
            <w:r w:rsidR="00925A03">
              <w:rPr>
                <w:sz w:val="22"/>
                <w:szCs w:val="22"/>
              </w:rPr>
              <w:t>51,841.08</w:t>
            </w:r>
          </w:p>
        </w:tc>
      </w:tr>
    </w:tbl>
    <w:p w:rsidRPr="00445E1A" w:rsidR="00F24BEC" w:rsidP="00445E1A" w:rsidRDefault="005842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432"/>
        <w:rPr>
          <w:szCs w:val="20"/>
        </w:rPr>
      </w:pPr>
      <w:r w:rsidRPr="00445E1A">
        <w:rPr>
          <w:szCs w:val="20"/>
        </w:rPr>
        <w:t xml:space="preserve">Notes: </w:t>
      </w:r>
      <w:r w:rsidR="00474334">
        <w:rPr>
          <w:szCs w:val="20"/>
        </w:rPr>
        <w:t>B</w:t>
      </w:r>
      <w:r w:rsidRPr="00445E1A">
        <w:rPr>
          <w:szCs w:val="20"/>
        </w:rPr>
        <w:t>urden hours reflect a calculation of five staff at 0.1 full-time equivalents*2</w:t>
      </w:r>
      <w:r w:rsidRPr="00445E1A" w:rsidR="002C127B">
        <w:rPr>
          <w:szCs w:val="20"/>
        </w:rPr>
        <w:t>,</w:t>
      </w:r>
      <w:r w:rsidRPr="00445E1A">
        <w:rPr>
          <w:szCs w:val="20"/>
        </w:rPr>
        <w:t>087 annual hours.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15.</w:t>
      </w:r>
      <w:r>
        <w:rPr>
          <w:sz w:val="24"/>
        </w:rPr>
        <w:tab/>
      </w:r>
      <w:r>
        <w:rPr>
          <w:sz w:val="24"/>
          <w:u w:val="single"/>
        </w:rPr>
        <w:t>Changes to Burden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24BEC" w:rsidRDefault="00A701F8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>There are no ch</w:t>
      </w:r>
      <w:r w:rsidR="00925ED3">
        <w:rPr>
          <w:sz w:val="24"/>
        </w:rPr>
        <w:t xml:space="preserve">anges as this </w:t>
      </w:r>
      <w:r w:rsidRPr="00CA12C4" w:rsidR="00F24BEC">
        <w:rPr>
          <w:sz w:val="24"/>
        </w:rPr>
        <w:t>is a new information collection.</w:t>
      </w: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16.</w:t>
      </w:r>
      <w:r>
        <w:rPr>
          <w:sz w:val="24"/>
        </w:rPr>
        <w:tab/>
      </w:r>
      <w:r>
        <w:rPr>
          <w:sz w:val="24"/>
          <w:u w:val="single"/>
        </w:rPr>
        <w:t>Publication/Tabulation Dates</w:t>
      </w:r>
    </w:p>
    <w:p w:rsidRPr="00341378" w:rsidR="00F24BEC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DF724C" w:rsidP="00EE098D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 w:rsidRPr="00341378">
        <w:rPr>
          <w:sz w:val="24"/>
        </w:rPr>
        <w:t>Th</w:t>
      </w:r>
      <w:r w:rsidR="009A2E05">
        <w:rPr>
          <w:sz w:val="24"/>
        </w:rPr>
        <w:t>ese</w:t>
      </w:r>
      <w:r w:rsidRPr="00341378">
        <w:rPr>
          <w:sz w:val="24"/>
        </w:rPr>
        <w:t xml:space="preserve"> data will b</w:t>
      </w:r>
      <w:r>
        <w:rPr>
          <w:sz w:val="24"/>
        </w:rPr>
        <w:t xml:space="preserve">e aggregated or reported out by state or provider type; </w:t>
      </w:r>
      <w:r w:rsidR="009A2E05">
        <w:rPr>
          <w:sz w:val="24"/>
        </w:rPr>
        <w:t>this</w:t>
      </w:r>
      <w:r>
        <w:rPr>
          <w:sz w:val="24"/>
        </w:rPr>
        <w:t xml:space="preserve"> wi</w:t>
      </w:r>
      <w:r w:rsidRPr="00341378">
        <w:rPr>
          <w:sz w:val="24"/>
        </w:rPr>
        <w:t>l</w:t>
      </w:r>
      <w:r>
        <w:rPr>
          <w:sz w:val="24"/>
        </w:rPr>
        <w:t>l</w:t>
      </w:r>
      <w:r w:rsidRPr="00341378">
        <w:rPr>
          <w:sz w:val="24"/>
        </w:rPr>
        <w:t xml:space="preserve"> not indicate the results of individual participants.</w:t>
      </w:r>
    </w:p>
    <w:p w:rsidRPr="00341378" w:rsidR="00F24BEC" w:rsidP="00EE098D" w:rsidRDefault="00F24B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 w:rsidRPr="00341378">
        <w:rPr>
          <w:sz w:val="24"/>
        </w:rPr>
        <w:t xml:space="preserve">  </w:t>
      </w:r>
    </w:p>
    <w:p w:rsidR="00F24BEC" w:rsidP="00445E1A" w:rsidRDefault="00F24BEC">
      <w:pPr>
        <w:pStyle w:val="BodyText"/>
        <w:spacing w:after="0"/>
        <w:ind w:left="446"/>
        <w:rPr>
          <w:sz w:val="24"/>
        </w:rPr>
      </w:pPr>
      <w:r w:rsidRPr="00341378">
        <w:rPr>
          <w:b/>
          <w:sz w:val="24"/>
        </w:rPr>
        <w:t xml:space="preserve">Plans for </w:t>
      </w:r>
      <w:r w:rsidR="00DF724C">
        <w:rPr>
          <w:b/>
          <w:sz w:val="24"/>
        </w:rPr>
        <w:t>t</w:t>
      </w:r>
      <w:r w:rsidRPr="00341378">
        <w:rPr>
          <w:b/>
          <w:sz w:val="24"/>
        </w:rPr>
        <w:t>abulation</w:t>
      </w:r>
      <w:r w:rsidR="00DF724C">
        <w:rPr>
          <w:b/>
          <w:sz w:val="24"/>
        </w:rPr>
        <w:t>.</w:t>
      </w:r>
      <w:r w:rsidRPr="00341378">
        <w:rPr>
          <w:sz w:val="24"/>
        </w:rPr>
        <w:t xml:space="preserve"> </w:t>
      </w:r>
      <w:r w:rsidR="00DF724C">
        <w:rPr>
          <w:sz w:val="24"/>
        </w:rPr>
        <w:t xml:space="preserve"> </w:t>
      </w:r>
      <w:r w:rsidRPr="00341378">
        <w:rPr>
          <w:sz w:val="24"/>
        </w:rPr>
        <w:t xml:space="preserve">The analysis of the </w:t>
      </w:r>
      <w:r>
        <w:rPr>
          <w:sz w:val="24"/>
        </w:rPr>
        <w:t>survey</w:t>
      </w:r>
      <w:r w:rsidRPr="00341378">
        <w:rPr>
          <w:sz w:val="24"/>
        </w:rPr>
        <w:t xml:space="preserve"> data will involve producing univariate (descriptive) (e.g., means, medians, frequency distributions, and cross-tabulations) and bivariate statistics </w:t>
      </w:r>
      <w:r>
        <w:rPr>
          <w:sz w:val="24"/>
        </w:rPr>
        <w:t xml:space="preserve">(t-tests and chi-square tests) </w:t>
      </w:r>
      <w:r w:rsidRPr="00341378">
        <w:rPr>
          <w:sz w:val="24"/>
        </w:rPr>
        <w:t xml:space="preserve">to describe and compare among types of providers. </w:t>
      </w:r>
      <w:r w:rsidR="00DF724C">
        <w:rPr>
          <w:sz w:val="24"/>
        </w:rPr>
        <w:t xml:space="preserve"> </w:t>
      </w:r>
      <w:r w:rsidRPr="00341378">
        <w:rPr>
          <w:sz w:val="24"/>
        </w:rPr>
        <w:t xml:space="preserve">Closed-ended responses from the survey data will be reported in </w:t>
      </w:r>
      <w:r>
        <w:rPr>
          <w:sz w:val="24"/>
        </w:rPr>
        <w:t>tables</w:t>
      </w:r>
      <w:r w:rsidRPr="00341378">
        <w:rPr>
          <w:sz w:val="24"/>
        </w:rPr>
        <w:t xml:space="preserve"> to facilitate an understanding of results and comparisons across subgroups (e.g., types of providers, states). </w:t>
      </w:r>
      <w:r w:rsidR="00DF724C">
        <w:rPr>
          <w:sz w:val="24"/>
        </w:rPr>
        <w:t xml:space="preserve"> </w:t>
      </w:r>
      <w:r w:rsidRPr="00341378">
        <w:rPr>
          <w:sz w:val="24"/>
        </w:rPr>
        <w:t xml:space="preserve">Specific planned comparisons include: </w:t>
      </w:r>
    </w:p>
    <w:p w:rsidRPr="00341378" w:rsidR="00DF724C" w:rsidP="00445E1A" w:rsidRDefault="00DF724C">
      <w:pPr>
        <w:pStyle w:val="BodyText"/>
        <w:spacing w:after="0"/>
        <w:ind w:left="446"/>
        <w:rPr>
          <w:sz w:val="24"/>
        </w:rPr>
      </w:pPr>
    </w:p>
    <w:p w:rsidRPr="00341378" w:rsidR="00F24BEC" w:rsidP="00445E1A" w:rsidRDefault="00F24BEC">
      <w:pPr>
        <w:pStyle w:val="BodyText"/>
        <w:numPr>
          <w:ilvl w:val="0"/>
          <w:numId w:val="10"/>
        </w:numPr>
        <w:spacing w:after="0"/>
        <w:ind w:left="1440"/>
        <w:rPr>
          <w:sz w:val="24"/>
        </w:rPr>
      </w:pPr>
      <w:r w:rsidRPr="00341378">
        <w:rPr>
          <w:sz w:val="24"/>
        </w:rPr>
        <w:t xml:space="preserve">Survey </w:t>
      </w:r>
      <w:r>
        <w:rPr>
          <w:sz w:val="24"/>
        </w:rPr>
        <w:t>o</w:t>
      </w:r>
      <w:r w:rsidRPr="00341378">
        <w:rPr>
          <w:sz w:val="24"/>
        </w:rPr>
        <w:t xml:space="preserve">utcomes (e.g., changes in </w:t>
      </w:r>
      <w:r w:rsidR="009A2E05">
        <w:rPr>
          <w:sz w:val="24"/>
        </w:rPr>
        <w:t>MAT</w:t>
      </w:r>
      <w:r w:rsidRPr="00341378" w:rsidR="009A2E05">
        <w:rPr>
          <w:sz w:val="24"/>
        </w:rPr>
        <w:t xml:space="preserve"> </w:t>
      </w:r>
      <w:r w:rsidRPr="00341378">
        <w:rPr>
          <w:sz w:val="24"/>
        </w:rPr>
        <w:t xml:space="preserve">prescribing) across types of providers </w:t>
      </w:r>
    </w:p>
    <w:p w:rsidR="00F24BEC" w:rsidP="00445E1A" w:rsidRDefault="00F24BEC">
      <w:pPr>
        <w:pStyle w:val="BodyText"/>
        <w:numPr>
          <w:ilvl w:val="0"/>
          <w:numId w:val="10"/>
        </w:numPr>
        <w:spacing w:after="0"/>
        <w:ind w:left="1440"/>
        <w:rPr>
          <w:sz w:val="24"/>
        </w:rPr>
      </w:pPr>
      <w:r w:rsidRPr="00341378">
        <w:rPr>
          <w:sz w:val="24"/>
        </w:rPr>
        <w:t xml:space="preserve">Characteristics of provider types across </w:t>
      </w:r>
      <w:r w:rsidR="009A2E05">
        <w:rPr>
          <w:sz w:val="24"/>
        </w:rPr>
        <w:t>states</w:t>
      </w:r>
    </w:p>
    <w:p w:rsidRPr="00341378" w:rsidR="00F24BEC" w:rsidP="00445E1A" w:rsidRDefault="00F24BEC">
      <w:pPr>
        <w:pStyle w:val="BodyText"/>
        <w:spacing w:after="0"/>
        <w:ind w:left="360"/>
        <w:rPr>
          <w:sz w:val="24"/>
        </w:rPr>
      </w:pPr>
    </w:p>
    <w:p w:rsidRPr="00341378" w:rsidR="00F24BEC" w:rsidP="00445E1A" w:rsidRDefault="00F24BEC">
      <w:pPr>
        <w:pStyle w:val="BodyText"/>
        <w:widowControl/>
        <w:ind w:left="360"/>
        <w:rPr>
          <w:sz w:val="24"/>
        </w:rPr>
      </w:pPr>
      <w:r>
        <w:rPr>
          <w:sz w:val="24"/>
        </w:rPr>
        <w:t xml:space="preserve">We will </w:t>
      </w:r>
      <w:r w:rsidRPr="00341378">
        <w:rPr>
          <w:sz w:val="24"/>
        </w:rPr>
        <w:t xml:space="preserve">analyze the focus group data to describe and characterize implementation experience, including activities, challenges, and drivers of success. </w:t>
      </w:r>
      <w:r w:rsidR="00DF724C">
        <w:rPr>
          <w:sz w:val="24"/>
        </w:rPr>
        <w:t xml:space="preserve"> </w:t>
      </w:r>
      <w:r w:rsidRPr="00341378">
        <w:rPr>
          <w:sz w:val="24"/>
        </w:rPr>
        <w:t>We will categorize these factors and produce summary tables to help contextualize quantitative findings and to elucidate the provider and organizational factors that may contribute to the demonstration implementation experience.</w:t>
      </w:r>
    </w:p>
    <w:p w:rsidRPr="00341378" w:rsidR="00F24BEC" w:rsidP="00EE098D" w:rsidRDefault="00F24BEC">
      <w:pPr>
        <w:pStyle w:val="BodyText"/>
        <w:ind w:left="360"/>
        <w:rPr>
          <w:sz w:val="24"/>
        </w:rPr>
      </w:pPr>
      <w:r w:rsidRPr="00341378">
        <w:rPr>
          <w:sz w:val="24"/>
        </w:rPr>
        <w:t>We will also use public</w:t>
      </w:r>
      <w:r>
        <w:rPr>
          <w:sz w:val="24"/>
        </w:rPr>
        <w:t>ly available</w:t>
      </w:r>
      <w:r w:rsidRPr="00341378">
        <w:rPr>
          <w:sz w:val="24"/>
        </w:rPr>
        <w:t xml:space="preserve"> data to understand the socio-demographic characteristics and SUD treatment and prevalence rates of communities with demonstration providers. </w:t>
      </w:r>
      <w:r w:rsidR="008949C2">
        <w:rPr>
          <w:sz w:val="24"/>
        </w:rPr>
        <w:t xml:space="preserve"> </w:t>
      </w:r>
      <w:r w:rsidRPr="00341378">
        <w:rPr>
          <w:sz w:val="24"/>
        </w:rPr>
        <w:t xml:space="preserve">We will link these data to survey data by ZIP </w:t>
      </w:r>
      <w:r w:rsidR="008949C2">
        <w:rPr>
          <w:sz w:val="24"/>
        </w:rPr>
        <w:t>C</w:t>
      </w:r>
      <w:r w:rsidRPr="00341378">
        <w:rPr>
          <w:sz w:val="24"/>
        </w:rPr>
        <w:t>ode or county geographic identifiers to create visual maps to show the geographic distribution of demonstration providers</w:t>
      </w:r>
      <w:r>
        <w:rPr>
          <w:sz w:val="24"/>
        </w:rPr>
        <w:t xml:space="preserve"> and the characteristics of their communities. </w:t>
      </w:r>
    </w:p>
    <w:p w:rsidRPr="00845C61" w:rsidR="008F1EB4" w:rsidP="00845C61" w:rsidRDefault="00F24BEC">
      <w:pPr>
        <w:widowControl/>
        <w:tabs>
          <w:tab w:val="left" w:pos="1440"/>
          <w:tab w:val="left" w:pos="4320"/>
          <w:tab w:val="left" w:pos="5940"/>
          <w:tab w:val="right" w:pos="8280"/>
        </w:tabs>
        <w:spacing w:before="120" w:after="120"/>
        <w:ind w:left="360"/>
        <w:contextualSpacing/>
        <w:rPr>
          <w:sz w:val="24"/>
        </w:rPr>
      </w:pPr>
      <w:r w:rsidRPr="00341378">
        <w:rPr>
          <w:b/>
          <w:sz w:val="24"/>
        </w:rPr>
        <w:t>Reports</w:t>
      </w:r>
      <w:r w:rsidR="008949C2">
        <w:rPr>
          <w:b/>
          <w:sz w:val="24"/>
        </w:rPr>
        <w:t>.</w:t>
      </w:r>
      <w:r w:rsidR="00352005">
        <w:rPr>
          <w:sz w:val="24"/>
        </w:rPr>
        <w:t xml:space="preserve"> </w:t>
      </w:r>
      <w:r w:rsidR="008949C2">
        <w:rPr>
          <w:sz w:val="24"/>
        </w:rPr>
        <w:t xml:space="preserve"> </w:t>
      </w:r>
      <w:r w:rsidR="00352005">
        <w:rPr>
          <w:sz w:val="24"/>
        </w:rPr>
        <w:t xml:space="preserve">The survey and focus group data will be used to inform </w:t>
      </w:r>
      <w:r w:rsidR="009A2E05">
        <w:rPr>
          <w:sz w:val="24"/>
        </w:rPr>
        <w:t xml:space="preserve">the </w:t>
      </w:r>
      <w:r w:rsidR="00474334">
        <w:rPr>
          <w:sz w:val="24"/>
        </w:rPr>
        <w:t>F</w:t>
      </w:r>
      <w:r w:rsidR="009A2E05">
        <w:rPr>
          <w:sz w:val="24"/>
        </w:rPr>
        <w:t xml:space="preserve">inal </w:t>
      </w:r>
      <w:r w:rsidR="008949C2">
        <w:rPr>
          <w:sz w:val="24"/>
        </w:rPr>
        <w:t>R</w:t>
      </w:r>
      <w:r w:rsidR="009D56FD">
        <w:rPr>
          <w:sz w:val="24"/>
        </w:rPr>
        <w:t>eport to Congress</w:t>
      </w:r>
      <w:r w:rsidR="00EE342D">
        <w:rPr>
          <w:sz w:val="24"/>
        </w:rPr>
        <w:t xml:space="preserve"> on the section 1003 demonstration.</w:t>
      </w:r>
      <w:r w:rsidR="008949C2">
        <w:rPr>
          <w:sz w:val="24"/>
        </w:rPr>
        <w:t xml:space="preserve"> </w:t>
      </w:r>
      <w:r w:rsidR="00EE342D">
        <w:rPr>
          <w:sz w:val="24"/>
        </w:rPr>
        <w:t xml:space="preserve"> The </w:t>
      </w:r>
      <w:r w:rsidR="00474334">
        <w:rPr>
          <w:sz w:val="24"/>
        </w:rPr>
        <w:t>F</w:t>
      </w:r>
      <w:r w:rsidRPr="00341378">
        <w:rPr>
          <w:sz w:val="24"/>
        </w:rPr>
        <w:t xml:space="preserve">inal </w:t>
      </w:r>
      <w:r w:rsidR="008949C2">
        <w:rPr>
          <w:sz w:val="24"/>
        </w:rPr>
        <w:t>R</w:t>
      </w:r>
      <w:r w:rsidRPr="00341378">
        <w:rPr>
          <w:sz w:val="24"/>
        </w:rPr>
        <w:t>eport to Congress</w:t>
      </w:r>
      <w:r w:rsidRPr="00F24BEC">
        <w:rPr>
          <w:sz w:val="24"/>
          <w:vertAlign w:val="superscript"/>
        </w:rPr>
        <w:t xml:space="preserve"> </w:t>
      </w:r>
      <w:r w:rsidRPr="00341378" w:rsidR="00010F90">
        <w:rPr>
          <w:sz w:val="24"/>
        </w:rPr>
        <w:t xml:space="preserve">will include </w:t>
      </w:r>
      <w:r w:rsidR="00EE342D">
        <w:rPr>
          <w:sz w:val="24"/>
        </w:rPr>
        <w:t xml:space="preserve">evaluation </w:t>
      </w:r>
      <w:r w:rsidRPr="00341378" w:rsidR="00010F90">
        <w:rPr>
          <w:sz w:val="24"/>
        </w:rPr>
        <w:t>findings, discussion of the results, and implications of the results.</w:t>
      </w:r>
      <w:r w:rsidR="008949C2">
        <w:rPr>
          <w:sz w:val="24"/>
        </w:rPr>
        <w:t xml:space="preserve"> </w:t>
      </w:r>
      <w:r w:rsidRPr="00341378" w:rsidR="00010F90">
        <w:rPr>
          <w:sz w:val="24"/>
        </w:rPr>
        <w:t xml:space="preserve"> Th</w:t>
      </w:r>
      <w:r w:rsidRPr="00341378" w:rsidR="00D77255">
        <w:rPr>
          <w:sz w:val="24"/>
        </w:rPr>
        <w:t xml:space="preserve">e findings will include survey and focus group </w:t>
      </w:r>
      <w:r w:rsidRPr="00341378" w:rsidR="00010F90">
        <w:rPr>
          <w:sz w:val="24"/>
        </w:rPr>
        <w:t xml:space="preserve">results in tables. </w:t>
      </w:r>
      <w:r w:rsidR="008949C2">
        <w:rPr>
          <w:sz w:val="24"/>
        </w:rPr>
        <w:t xml:space="preserve"> </w:t>
      </w:r>
      <w:r w:rsidRPr="00341378" w:rsidR="00D77255">
        <w:rPr>
          <w:sz w:val="24"/>
        </w:rPr>
        <w:t xml:space="preserve">The </w:t>
      </w:r>
      <w:r w:rsidR="00474334">
        <w:rPr>
          <w:sz w:val="24"/>
        </w:rPr>
        <w:t>F</w:t>
      </w:r>
      <w:r w:rsidR="009A2E05">
        <w:rPr>
          <w:sz w:val="24"/>
        </w:rPr>
        <w:t xml:space="preserve">inal </w:t>
      </w:r>
      <w:r w:rsidR="008949C2">
        <w:rPr>
          <w:sz w:val="24"/>
        </w:rPr>
        <w:t>R</w:t>
      </w:r>
      <w:r w:rsidR="009A2E05">
        <w:rPr>
          <w:sz w:val="24"/>
        </w:rPr>
        <w:t>eport to Congress will be published in 2025.</w:t>
      </w:r>
      <w:r w:rsidRPr="00341378" w:rsidR="00010F90">
        <w:rPr>
          <w:sz w:val="24"/>
        </w:rPr>
        <w:t xml:space="preserve"> </w:t>
      </w:r>
      <w:r w:rsidR="008949C2">
        <w:rPr>
          <w:sz w:val="24"/>
        </w:rPr>
        <w:t xml:space="preserve"> </w:t>
      </w:r>
      <w:r w:rsidRPr="00341378" w:rsidR="00341378">
        <w:rPr>
          <w:sz w:val="24"/>
        </w:rPr>
        <w:t xml:space="preserve">Table </w:t>
      </w:r>
      <w:r w:rsidR="009A2E05">
        <w:rPr>
          <w:sz w:val="24"/>
        </w:rPr>
        <w:t>5</w:t>
      </w:r>
      <w:r w:rsidRPr="00341378" w:rsidR="00341378">
        <w:rPr>
          <w:sz w:val="24"/>
        </w:rPr>
        <w:t xml:space="preserve"> </w:t>
      </w:r>
      <w:r w:rsidR="00341378">
        <w:rPr>
          <w:sz w:val="24"/>
        </w:rPr>
        <w:t>p</w:t>
      </w:r>
      <w:r w:rsidRPr="00341378" w:rsidR="008F1EB4">
        <w:rPr>
          <w:sz w:val="24"/>
        </w:rPr>
        <w:t>rovide</w:t>
      </w:r>
      <w:r>
        <w:rPr>
          <w:sz w:val="24"/>
        </w:rPr>
        <w:t>s</w:t>
      </w:r>
      <w:r w:rsidRPr="00341378" w:rsidR="008F1EB4">
        <w:rPr>
          <w:sz w:val="24"/>
        </w:rPr>
        <w:t xml:space="preserve"> the</w:t>
      </w:r>
      <w:r w:rsidR="00341378">
        <w:rPr>
          <w:sz w:val="24"/>
        </w:rPr>
        <w:t xml:space="preserve"> target timeline </w:t>
      </w:r>
      <w:r w:rsidRPr="00341378" w:rsidR="008F1EB4">
        <w:rPr>
          <w:sz w:val="24"/>
        </w:rPr>
        <w:t xml:space="preserve">for the </w:t>
      </w:r>
      <w:r w:rsidR="00341378">
        <w:rPr>
          <w:sz w:val="24"/>
        </w:rPr>
        <w:t>data collection activities during the evaluation</w:t>
      </w:r>
      <w:r w:rsidRPr="00560095" w:rsidR="008F1EB4">
        <w:rPr>
          <w:i/>
          <w:sz w:val="24"/>
        </w:rPr>
        <w:t>.</w:t>
      </w:r>
    </w:p>
    <w:p w:rsidR="00D77255" w:rsidP="00EE098D" w:rsidRDefault="00D7725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"/>
        <w:rPr>
          <w:sz w:val="24"/>
        </w:rPr>
      </w:pPr>
    </w:p>
    <w:p w:rsidRPr="00845C61" w:rsidR="00D77255" w:rsidP="00445E1A" w:rsidRDefault="00341378">
      <w:pPr>
        <w:pStyle w:val="Caption"/>
        <w:ind w:firstLine="360"/>
      </w:pPr>
      <w:r w:rsidRPr="00341378">
        <w:t xml:space="preserve">Table </w:t>
      </w:r>
      <w:r w:rsidR="009A2E05">
        <w:t>5</w:t>
      </w:r>
      <w:r>
        <w:t>: Information Collection Activity Timeline</w:t>
      </w:r>
    </w:p>
    <w:tbl>
      <w:tblPr>
        <w:tblW w:w="9125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88"/>
        <w:gridCol w:w="2504"/>
        <w:gridCol w:w="2733"/>
      </w:tblGrid>
      <w:tr w:rsidRPr="00EE098D" w:rsidR="00771D07" w:rsidTr="00445E1A">
        <w:trPr>
          <w:trHeight w:val="300"/>
        </w:trPr>
        <w:tc>
          <w:tcPr>
            <w:tcW w:w="3888" w:type="dxa"/>
            <w:shd w:val="clear" w:color="auto" w:fill="auto"/>
            <w:vAlign w:val="center"/>
            <w:hideMark/>
          </w:tcPr>
          <w:p w:rsidRPr="00EE098D" w:rsidR="00771D07" w:rsidP="00771D07" w:rsidRDefault="00771D07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EE098D">
              <w:rPr>
                <w:b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504" w:type="dxa"/>
            <w:shd w:val="clear" w:color="auto" w:fill="auto"/>
            <w:vAlign w:val="center"/>
            <w:hideMark/>
          </w:tcPr>
          <w:p w:rsidRPr="00EE098D" w:rsidR="00771D07" w:rsidP="00901DB5" w:rsidRDefault="00771D0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E098D">
              <w:rPr>
                <w:b/>
                <w:bCs/>
                <w:sz w:val="22"/>
                <w:szCs w:val="22"/>
              </w:rPr>
              <w:t xml:space="preserve">Target Date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EE098D">
              <w:rPr>
                <w:b/>
                <w:bCs/>
                <w:sz w:val="22"/>
                <w:szCs w:val="22"/>
              </w:rPr>
              <w:t>(</w:t>
            </w:r>
            <w:r w:rsidR="008949C2">
              <w:rPr>
                <w:b/>
                <w:bCs/>
                <w:sz w:val="22"/>
                <w:szCs w:val="22"/>
              </w:rPr>
              <w:t>f</w:t>
            </w:r>
            <w:r w:rsidRPr="00EE098D">
              <w:rPr>
                <w:b/>
                <w:bCs/>
                <w:sz w:val="22"/>
                <w:szCs w:val="22"/>
              </w:rPr>
              <w:t xml:space="preserve">irst </w:t>
            </w:r>
            <w:r w:rsidR="008949C2">
              <w:rPr>
                <w:b/>
                <w:bCs/>
                <w:sz w:val="22"/>
                <w:szCs w:val="22"/>
              </w:rPr>
              <w:t>r</w:t>
            </w:r>
            <w:r w:rsidRPr="00EE098D">
              <w:rPr>
                <w:b/>
                <w:bCs/>
                <w:sz w:val="22"/>
                <w:szCs w:val="22"/>
              </w:rPr>
              <w:t>ound)</w:t>
            </w:r>
          </w:p>
        </w:tc>
        <w:tc>
          <w:tcPr>
            <w:tcW w:w="2733" w:type="dxa"/>
          </w:tcPr>
          <w:p w:rsidRPr="00EE098D" w:rsidR="00771D07" w:rsidP="00901DB5" w:rsidRDefault="00771D0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E098D">
              <w:rPr>
                <w:b/>
                <w:bCs/>
                <w:sz w:val="22"/>
                <w:szCs w:val="22"/>
              </w:rPr>
              <w:t xml:space="preserve">Target Date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EE098D">
              <w:rPr>
                <w:b/>
                <w:bCs/>
                <w:sz w:val="22"/>
                <w:szCs w:val="22"/>
              </w:rPr>
              <w:t>(</w:t>
            </w:r>
            <w:r w:rsidR="008949C2">
              <w:rPr>
                <w:b/>
                <w:bCs/>
                <w:sz w:val="22"/>
                <w:szCs w:val="22"/>
              </w:rPr>
              <w:t>s</w:t>
            </w:r>
            <w:r w:rsidRPr="00EE098D">
              <w:rPr>
                <w:b/>
                <w:bCs/>
                <w:sz w:val="22"/>
                <w:szCs w:val="22"/>
              </w:rPr>
              <w:t xml:space="preserve">econd </w:t>
            </w:r>
            <w:r w:rsidR="008949C2">
              <w:rPr>
                <w:b/>
                <w:bCs/>
                <w:sz w:val="22"/>
                <w:szCs w:val="22"/>
              </w:rPr>
              <w:t>r</w:t>
            </w:r>
            <w:r w:rsidRPr="00EE098D">
              <w:rPr>
                <w:b/>
                <w:bCs/>
                <w:sz w:val="22"/>
                <w:szCs w:val="22"/>
              </w:rPr>
              <w:t>ound)</w:t>
            </w:r>
          </w:p>
        </w:tc>
      </w:tr>
      <w:tr w:rsidRPr="00EE098D" w:rsidR="00771D07" w:rsidTr="00445E1A">
        <w:trPr>
          <w:trHeight w:val="300"/>
        </w:trPr>
        <w:tc>
          <w:tcPr>
            <w:tcW w:w="3888" w:type="dxa"/>
            <w:shd w:val="clear" w:color="auto" w:fill="auto"/>
            <w:vAlign w:val="center"/>
            <w:hideMark/>
          </w:tcPr>
          <w:p w:rsidRPr="00EE098D" w:rsidR="00771D07" w:rsidP="00901DB5" w:rsidRDefault="00771D0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EE098D">
              <w:rPr>
                <w:color w:val="000000"/>
                <w:sz w:val="22"/>
                <w:szCs w:val="22"/>
              </w:rPr>
              <w:t>Draft data collection instruments</w:t>
            </w:r>
          </w:p>
        </w:tc>
        <w:tc>
          <w:tcPr>
            <w:tcW w:w="2504" w:type="dxa"/>
            <w:shd w:val="clear" w:color="auto" w:fill="auto"/>
            <w:vAlign w:val="center"/>
            <w:hideMark/>
          </w:tcPr>
          <w:p w:rsidRPr="00EE098D" w:rsidR="00771D07" w:rsidP="00901DB5" w:rsidRDefault="00771D0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EE098D">
              <w:rPr>
                <w:color w:val="000000"/>
                <w:sz w:val="22"/>
                <w:szCs w:val="22"/>
              </w:rPr>
              <w:t>November 2020</w:t>
            </w:r>
          </w:p>
        </w:tc>
        <w:tc>
          <w:tcPr>
            <w:tcW w:w="2733" w:type="dxa"/>
          </w:tcPr>
          <w:p w:rsidRPr="00EE098D" w:rsidR="00771D07" w:rsidP="00901DB5" w:rsidRDefault="00771D0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EE098D">
              <w:rPr>
                <w:color w:val="000000"/>
                <w:sz w:val="22"/>
                <w:szCs w:val="22"/>
              </w:rPr>
              <w:t>Not applicable</w:t>
            </w:r>
          </w:p>
        </w:tc>
      </w:tr>
      <w:tr w:rsidRPr="00EE098D" w:rsidR="00771D07" w:rsidTr="00445E1A">
        <w:trPr>
          <w:trHeight w:val="564"/>
        </w:trPr>
        <w:tc>
          <w:tcPr>
            <w:tcW w:w="3888" w:type="dxa"/>
            <w:shd w:val="clear" w:color="auto" w:fill="auto"/>
            <w:vAlign w:val="center"/>
            <w:hideMark/>
          </w:tcPr>
          <w:p w:rsidRPr="00EE098D" w:rsidR="00771D07" w:rsidP="00901DB5" w:rsidRDefault="00771D0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EE098D">
              <w:rPr>
                <w:color w:val="000000"/>
                <w:sz w:val="22"/>
                <w:szCs w:val="22"/>
              </w:rPr>
              <w:t>Provide primary data collection instruments to CMS</w:t>
            </w:r>
          </w:p>
        </w:tc>
        <w:tc>
          <w:tcPr>
            <w:tcW w:w="2504" w:type="dxa"/>
            <w:shd w:val="clear" w:color="auto" w:fill="auto"/>
            <w:vAlign w:val="center"/>
            <w:hideMark/>
          </w:tcPr>
          <w:p w:rsidRPr="00EE098D" w:rsidR="00771D07" w:rsidP="00901DB5" w:rsidRDefault="00771D0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EE098D">
              <w:rPr>
                <w:color w:val="000000"/>
                <w:sz w:val="22"/>
                <w:szCs w:val="22"/>
              </w:rPr>
              <w:t>November 2020</w:t>
            </w:r>
          </w:p>
        </w:tc>
        <w:tc>
          <w:tcPr>
            <w:tcW w:w="2733" w:type="dxa"/>
          </w:tcPr>
          <w:p w:rsidRPr="00EE098D" w:rsidR="00771D07" w:rsidP="00901DB5" w:rsidRDefault="00771D0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EE098D">
              <w:rPr>
                <w:color w:val="000000"/>
                <w:sz w:val="22"/>
                <w:szCs w:val="22"/>
              </w:rPr>
              <w:t>Not applicable</w:t>
            </w:r>
          </w:p>
        </w:tc>
      </w:tr>
      <w:tr w:rsidRPr="00EE098D" w:rsidR="00771D07" w:rsidTr="00445E1A">
        <w:trPr>
          <w:trHeight w:val="300"/>
        </w:trPr>
        <w:tc>
          <w:tcPr>
            <w:tcW w:w="3888" w:type="dxa"/>
            <w:shd w:val="clear" w:color="auto" w:fill="auto"/>
            <w:vAlign w:val="center"/>
            <w:hideMark/>
          </w:tcPr>
          <w:p w:rsidRPr="00EE098D" w:rsidR="00771D07" w:rsidP="00901DB5" w:rsidRDefault="00771D0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EE098D">
              <w:rPr>
                <w:color w:val="000000"/>
                <w:sz w:val="22"/>
                <w:szCs w:val="22"/>
              </w:rPr>
              <w:t xml:space="preserve">Begin </w:t>
            </w:r>
            <w:r w:rsidR="008949C2">
              <w:rPr>
                <w:color w:val="000000"/>
                <w:sz w:val="22"/>
                <w:szCs w:val="22"/>
              </w:rPr>
              <w:t>institutional review board</w:t>
            </w:r>
            <w:r w:rsidRPr="00EE098D" w:rsidR="008949C2">
              <w:rPr>
                <w:color w:val="000000"/>
                <w:sz w:val="22"/>
                <w:szCs w:val="22"/>
              </w:rPr>
              <w:t xml:space="preserve"> </w:t>
            </w:r>
            <w:r w:rsidRPr="00EE098D">
              <w:rPr>
                <w:color w:val="000000"/>
                <w:sz w:val="22"/>
                <w:szCs w:val="22"/>
              </w:rPr>
              <w:t xml:space="preserve">process and </w:t>
            </w:r>
            <w:r w:rsidR="008949C2">
              <w:rPr>
                <w:color w:val="000000"/>
                <w:sz w:val="22"/>
                <w:szCs w:val="22"/>
              </w:rPr>
              <w:t>Office of Management and Budget</w:t>
            </w:r>
            <w:r w:rsidRPr="00EE098D" w:rsidR="008949C2">
              <w:rPr>
                <w:color w:val="000000"/>
                <w:sz w:val="22"/>
                <w:szCs w:val="22"/>
              </w:rPr>
              <w:t xml:space="preserve"> </w:t>
            </w:r>
            <w:r w:rsidRPr="00EE098D">
              <w:rPr>
                <w:color w:val="000000"/>
                <w:sz w:val="22"/>
                <w:szCs w:val="22"/>
              </w:rPr>
              <w:t>clearance</w:t>
            </w:r>
          </w:p>
        </w:tc>
        <w:tc>
          <w:tcPr>
            <w:tcW w:w="2504" w:type="dxa"/>
            <w:shd w:val="clear" w:color="auto" w:fill="auto"/>
            <w:vAlign w:val="center"/>
            <w:hideMark/>
          </w:tcPr>
          <w:p w:rsidRPr="00EE098D" w:rsidR="00771D07" w:rsidP="00901DB5" w:rsidRDefault="00771D0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May</w:t>
            </w:r>
            <w:r w:rsidRPr="00EE098D">
              <w:rPr>
                <w:color w:val="000000"/>
                <w:sz w:val="22"/>
                <w:szCs w:val="22"/>
              </w:rPr>
              <w:t xml:space="preserve"> 2021</w:t>
            </w:r>
          </w:p>
        </w:tc>
        <w:tc>
          <w:tcPr>
            <w:tcW w:w="2733" w:type="dxa"/>
          </w:tcPr>
          <w:p w:rsidRPr="00EE098D" w:rsidR="00771D07" w:rsidP="00901DB5" w:rsidRDefault="00771D0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EE098D">
              <w:rPr>
                <w:color w:val="000000"/>
                <w:sz w:val="22"/>
                <w:szCs w:val="22"/>
              </w:rPr>
              <w:t>Not applicable</w:t>
            </w:r>
          </w:p>
        </w:tc>
      </w:tr>
      <w:tr w:rsidRPr="00EE098D" w:rsidR="00771D07" w:rsidTr="00445E1A">
        <w:trPr>
          <w:trHeight w:val="300"/>
        </w:trPr>
        <w:tc>
          <w:tcPr>
            <w:tcW w:w="3888" w:type="dxa"/>
            <w:shd w:val="clear" w:color="auto" w:fill="auto"/>
            <w:vAlign w:val="center"/>
            <w:hideMark/>
          </w:tcPr>
          <w:p w:rsidRPr="00EE098D" w:rsidR="00771D07" w:rsidP="00901DB5" w:rsidRDefault="00771D0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EE098D">
              <w:rPr>
                <w:color w:val="000000"/>
                <w:sz w:val="22"/>
                <w:szCs w:val="22"/>
              </w:rPr>
              <w:t>Begin focus group recruitment</w:t>
            </w:r>
          </w:p>
        </w:tc>
        <w:tc>
          <w:tcPr>
            <w:tcW w:w="2504" w:type="dxa"/>
            <w:shd w:val="clear" w:color="auto" w:fill="auto"/>
            <w:vAlign w:val="center"/>
            <w:hideMark/>
          </w:tcPr>
          <w:p w:rsidRPr="00EE098D" w:rsidR="00771D07" w:rsidP="00901DB5" w:rsidRDefault="00771D0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October </w:t>
            </w:r>
            <w:r w:rsidRPr="00EE098D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733" w:type="dxa"/>
          </w:tcPr>
          <w:p w:rsidRPr="00EE098D" w:rsidR="00771D07" w:rsidP="00901DB5" w:rsidRDefault="00771D0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EE098D">
              <w:rPr>
                <w:color w:val="000000"/>
                <w:sz w:val="22"/>
                <w:szCs w:val="22"/>
              </w:rPr>
              <w:t>July to August 2023</w:t>
            </w:r>
          </w:p>
        </w:tc>
      </w:tr>
      <w:tr w:rsidRPr="00EE098D" w:rsidR="00771D07" w:rsidTr="00445E1A">
        <w:trPr>
          <w:trHeight w:val="300"/>
        </w:trPr>
        <w:tc>
          <w:tcPr>
            <w:tcW w:w="3888" w:type="dxa"/>
            <w:shd w:val="clear" w:color="auto" w:fill="auto"/>
            <w:vAlign w:val="center"/>
            <w:hideMark/>
          </w:tcPr>
          <w:p w:rsidRPr="00EE098D" w:rsidR="00771D07" w:rsidP="00901DB5" w:rsidRDefault="00771D0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EE098D">
              <w:rPr>
                <w:color w:val="000000"/>
                <w:sz w:val="22"/>
                <w:szCs w:val="22"/>
              </w:rPr>
              <w:t>Begin provider survey recruitment</w:t>
            </w:r>
          </w:p>
        </w:tc>
        <w:tc>
          <w:tcPr>
            <w:tcW w:w="2504" w:type="dxa"/>
            <w:shd w:val="clear" w:color="auto" w:fill="auto"/>
            <w:vAlign w:val="center"/>
            <w:hideMark/>
          </w:tcPr>
          <w:p w:rsidRPr="00EE098D" w:rsidR="00771D07" w:rsidP="00901DB5" w:rsidRDefault="00771D0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October </w:t>
            </w:r>
            <w:r w:rsidRPr="00EE098D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733" w:type="dxa"/>
          </w:tcPr>
          <w:p w:rsidRPr="00EE098D" w:rsidR="00771D07" w:rsidP="00901DB5" w:rsidRDefault="00771D0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EE098D">
              <w:rPr>
                <w:color w:val="000000"/>
                <w:sz w:val="22"/>
                <w:szCs w:val="22"/>
              </w:rPr>
              <w:t>July to August 2023</w:t>
            </w:r>
          </w:p>
        </w:tc>
      </w:tr>
      <w:tr w:rsidRPr="00EE098D" w:rsidR="00771D07" w:rsidTr="00445E1A">
        <w:trPr>
          <w:trHeight w:val="564"/>
        </w:trPr>
        <w:tc>
          <w:tcPr>
            <w:tcW w:w="3888" w:type="dxa"/>
            <w:shd w:val="clear" w:color="auto" w:fill="auto"/>
            <w:vAlign w:val="center"/>
            <w:hideMark/>
          </w:tcPr>
          <w:p w:rsidRPr="00EE098D" w:rsidR="00771D07" w:rsidP="00901DB5" w:rsidRDefault="008949C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Begin f</w:t>
            </w:r>
            <w:r w:rsidRPr="00EE098D">
              <w:rPr>
                <w:color w:val="000000"/>
                <w:sz w:val="22"/>
                <w:szCs w:val="22"/>
              </w:rPr>
              <w:t xml:space="preserve">ocus </w:t>
            </w:r>
            <w:r w:rsidRPr="00EE098D" w:rsidR="00771D07">
              <w:rPr>
                <w:color w:val="000000"/>
                <w:sz w:val="22"/>
                <w:szCs w:val="22"/>
              </w:rPr>
              <w:t xml:space="preserve">group and provider survey data collection </w:t>
            </w:r>
          </w:p>
        </w:tc>
        <w:tc>
          <w:tcPr>
            <w:tcW w:w="2504" w:type="dxa"/>
            <w:shd w:val="clear" w:color="auto" w:fill="auto"/>
            <w:vAlign w:val="center"/>
            <w:hideMark/>
          </w:tcPr>
          <w:p w:rsidRPr="00EE098D" w:rsidR="00771D07" w:rsidP="00901DB5" w:rsidRDefault="00771D0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November</w:t>
            </w:r>
            <w:r w:rsidRPr="00EE098D">
              <w:rPr>
                <w:color w:val="000000"/>
                <w:sz w:val="22"/>
                <w:szCs w:val="22"/>
              </w:rPr>
              <w:t xml:space="preserve"> 2021</w:t>
            </w:r>
            <w:r>
              <w:rPr>
                <w:color w:val="000000"/>
                <w:sz w:val="22"/>
                <w:szCs w:val="22"/>
              </w:rPr>
              <w:t xml:space="preserve"> to January 2022</w:t>
            </w:r>
          </w:p>
        </w:tc>
        <w:tc>
          <w:tcPr>
            <w:tcW w:w="2733" w:type="dxa"/>
          </w:tcPr>
          <w:p w:rsidRPr="00EE098D" w:rsidR="00771D07" w:rsidP="00901DB5" w:rsidRDefault="00771D0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EE098D">
              <w:rPr>
                <w:color w:val="000000"/>
                <w:sz w:val="22"/>
                <w:szCs w:val="22"/>
              </w:rPr>
              <w:t>September to October 2023</w:t>
            </w:r>
          </w:p>
        </w:tc>
      </w:tr>
    </w:tbl>
    <w:p w:rsidR="008F1EB4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17.</w:t>
      </w:r>
      <w:r>
        <w:rPr>
          <w:sz w:val="24"/>
        </w:rPr>
        <w:tab/>
      </w:r>
      <w:r>
        <w:rPr>
          <w:sz w:val="24"/>
          <w:u w:val="single"/>
        </w:rPr>
        <w:t>Expiration Date</w:t>
      </w:r>
    </w:p>
    <w:p w:rsidR="000F3AF4" w:rsidRDefault="000F3AF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="008F1EB4" w:rsidRDefault="00CA12C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 w:rsidRPr="00CA12C4">
        <w:rPr>
          <w:sz w:val="24"/>
        </w:rPr>
        <w:t xml:space="preserve">The </w:t>
      </w:r>
      <w:r>
        <w:rPr>
          <w:sz w:val="24"/>
        </w:rPr>
        <w:t>surveys</w:t>
      </w:r>
      <w:r w:rsidRPr="00CA12C4">
        <w:rPr>
          <w:sz w:val="24"/>
        </w:rPr>
        <w:t xml:space="preserve"> </w:t>
      </w:r>
      <w:r>
        <w:rPr>
          <w:sz w:val="24"/>
        </w:rPr>
        <w:t xml:space="preserve">and focus group guides </w:t>
      </w:r>
      <w:r w:rsidRPr="00CA12C4">
        <w:rPr>
          <w:sz w:val="24"/>
        </w:rPr>
        <w:t>will display the approved expiration date, CMS Number, O</w:t>
      </w:r>
      <w:r w:rsidR="008949C2">
        <w:rPr>
          <w:sz w:val="24"/>
        </w:rPr>
        <w:t xml:space="preserve">ffice of </w:t>
      </w:r>
      <w:r w:rsidRPr="00CA12C4">
        <w:rPr>
          <w:sz w:val="24"/>
        </w:rPr>
        <w:t>M</w:t>
      </w:r>
      <w:r w:rsidR="008949C2">
        <w:rPr>
          <w:sz w:val="24"/>
        </w:rPr>
        <w:t xml:space="preserve">anagement and </w:t>
      </w:r>
      <w:r w:rsidRPr="00CA12C4">
        <w:rPr>
          <w:sz w:val="24"/>
        </w:rPr>
        <w:t>B</w:t>
      </w:r>
      <w:r w:rsidR="008949C2">
        <w:rPr>
          <w:sz w:val="24"/>
        </w:rPr>
        <w:t>udget</w:t>
      </w:r>
      <w:r w:rsidRPr="00CA12C4">
        <w:rPr>
          <w:sz w:val="24"/>
        </w:rPr>
        <w:t xml:space="preserve"> Control Number, and Disclosure Statement.  </w:t>
      </w:r>
    </w:p>
    <w:p w:rsidR="008F1EB4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18.</w:t>
      </w:r>
      <w:r>
        <w:rPr>
          <w:sz w:val="24"/>
        </w:rPr>
        <w:tab/>
      </w:r>
      <w:r>
        <w:rPr>
          <w:sz w:val="24"/>
          <w:u w:val="single"/>
        </w:rPr>
        <w:t>Certification Statement</w:t>
      </w:r>
    </w:p>
    <w:p w:rsidR="008F1EB4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0F3AF4" w:rsidP="007856F3" w:rsidRDefault="00CA12C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>No exceptions are requested.</w:t>
      </w:r>
    </w:p>
    <w:p w:rsidR="007856F3" w:rsidP="007856F3" w:rsidRDefault="007856F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b/>
          <w:bCs/>
          <w:sz w:val="24"/>
          <w:u w:val="single"/>
        </w:rPr>
      </w:pPr>
    </w:p>
    <w:sectPr w:rsidR="007856F3" w:rsidSect="00445E1A">
      <w:footerReference w:type="default" r:id="rId12"/>
      <w:endnotePr>
        <w:numFmt w:val="decimal"/>
      </w:endnotePr>
      <w:type w:val="continuous"/>
      <w:pgSz w:w="12240" w:h="15840"/>
      <w:pgMar w:top="1440" w:right="1296" w:bottom="1440" w:left="1440" w:header="144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343" w:rsidRDefault="00160343">
      <w:r>
        <w:separator/>
      </w:r>
    </w:p>
  </w:endnote>
  <w:endnote w:type="continuationSeparator" w:id="0">
    <w:p w:rsidR="00160343" w:rsidRDefault="00160343">
      <w:r>
        <w:continuationSeparator/>
      </w:r>
    </w:p>
  </w:endnote>
  <w:endnote w:id="1">
    <w:p w:rsidR="00474334" w:rsidRPr="00445E1A" w:rsidRDefault="00474334" w:rsidP="0067537A">
      <w:pPr>
        <w:pStyle w:val="EndnoteText"/>
        <w:spacing w:after="60"/>
        <w:rPr>
          <w:sz w:val="22"/>
          <w:szCs w:val="22"/>
        </w:rPr>
      </w:pPr>
      <w:r w:rsidRPr="0067537A">
        <w:rPr>
          <w:rStyle w:val="EndnoteReference"/>
          <w:sz w:val="22"/>
          <w:szCs w:val="22"/>
        </w:rPr>
        <w:endnoteRef/>
      </w:r>
      <w:r w:rsidRPr="00445E1A">
        <w:rPr>
          <w:sz w:val="22"/>
          <w:szCs w:val="22"/>
        </w:rPr>
        <w:t xml:space="preserve"> Substance Abuse and Mental Health Services Administration. </w:t>
      </w:r>
      <w:r w:rsidRPr="00445E1A">
        <w:rPr>
          <w:i/>
          <w:sz w:val="22"/>
          <w:szCs w:val="22"/>
        </w:rPr>
        <w:t>Medicaid Coverage of Medication-Assisted Treatment for Alcohol and Opioid Use Disorders and of Medication for the Reversal of Opioid Overdose.</w:t>
      </w:r>
      <w:r w:rsidRPr="00445E1A">
        <w:rPr>
          <w:sz w:val="22"/>
          <w:szCs w:val="22"/>
        </w:rPr>
        <w:t xml:space="preserve"> HHS Publication No. SMA-18-5093. 2018. </w:t>
      </w:r>
      <w:hyperlink r:id="rId1" w:history="1">
        <w:r w:rsidRPr="00445E1A">
          <w:rPr>
            <w:sz w:val="22"/>
            <w:szCs w:val="22"/>
            <w:u w:val="single"/>
          </w:rPr>
          <w:t>https://store.samhsa.gov/product/Medicaid-Coverage-of-Medication-Assisted-Treatment-for-Alcohol-and-Opioid-Use-Disorders-and-of-Medication-for-the-Reversal-of-Opioid-Overdose/SMA18-5093</w:t>
        </w:r>
      </w:hyperlink>
      <w:r w:rsidRPr="00445E1A">
        <w:rPr>
          <w:sz w:val="22"/>
          <w:szCs w:val="22"/>
        </w:rPr>
        <w:t xml:space="preserve"> </w:t>
      </w:r>
    </w:p>
  </w:endnote>
  <w:endnote w:id="2">
    <w:p w:rsidR="00474334" w:rsidRPr="00445E1A" w:rsidRDefault="00474334" w:rsidP="0067537A">
      <w:pPr>
        <w:pStyle w:val="EndnoteText"/>
        <w:spacing w:after="60"/>
        <w:rPr>
          <w:sz w:val="22"/>
          <w:szCs w:val="22"/>
        </w:rPr>
      </w:pPr>
      <w:r w:rsidRPr="00445E1A">
        <w:rPr>
          <w:rStyle w:val="EndnoteReference"/>
          <w:sz w:val="22"/>
          <w:szCs w:val="22"/>
        </w:rPr>
        <w:endnoteRef/>
      </w:r>
      <w:r w:rsidRPr="00445E1A">
        <w:rPr>
          <w:sz w:val="22"/>
          <w:szCs w:val="22"/>
        </w:rPr>
        <w:t xml:space="preserve"> </w:t>
      </w:r>
      <w:r w:rsidRPr="00445E1A">
        <w:rPr>
          <w:color w:val="303030"/>
          <w:sz w:val="22"/>
          <w:szCs w:val="22"/>
          <w:shd w:val="clear" w:color="auto" w:fill="FFFFFF"/>
        </w:rPr>
        <w:t>Huskamp HA, Busch AB, Souza J, et al. How is telemedicine being used in opioid and other substance use disorder treatment?. </w:t>
      </w:r>
      <w:r w:rsidRPr="00445E1A">
        <w:rPr>
          <w:i/>
          <w:iCs/>
          <w:color w:val="303030"/>
          <w:sz w:val="22"/>
          <w:szCs w:val="22"/>
          <w:shd w:val="clear" w:color="auto" w:fill="FFFFFF"/>
        </w:rPr>
        <w:t>Health Affairs (Millwood)</w:t>
      </w:r>
      <w:r w:rsidRPr="00445E1A">
        <w:rPr>
          <w:color w:val="303030"/>
          <w:sz w:val="22"/>
          <w:szCs w:val="22"/>
          <w:shd w:val="clear" w:color="auto" w:fill="FFFFFF"/>
        </w:rPr>
        <w:t xml:space="preserve">. 2018;37(12):1940-1947. </w:t>
      </w:r>
    </w:p>
  </w:endnote>
  <w:endnote w:id="3">
    <w:p w:rsidR="00474334" w:rsidRPr="00445E1A" w:rsidRDefault="00474334" w:rsidP="0067537A">
      <w:pPr>
        <w:pStyle w:val="EndnoteText"/>
        <w:spacing w:after="60"/>
        <w:rPr>
          <w:sz w:val="22"/>
          <w:szCs w:val="22"/>
        </w:rPr>
      </w:pPr>
      <w:r w:rsidRPr="00445E1A">
        <w:rPr>
          <w:rStyle w:val="EndnoteReference"/>
          <w:sz w:val="22"/>
          <w:szCs w:val="22"/>
        </w:rPr>
        <w:endnoteRef/>
      </w:r>
      <w:r w:rsidRPr="00445E1A">
        <w:rPr>
          <w:sz w:val="22"/>
          <w:szCs w:val="22"/>
        </w:rPr>
        <w:t xml:space="preserve"> Browne T, Priester MA, Clone S, Iachini A, DeHart D, Hock R. Barriers and facilitators to substance use treatment in the rural South: a qualitative study. </w:t>
      </w:r>
      <w:r w:rsidRPr="00445E1A">
        <w:rPr>
          <w:i/>
          <w:iCs/>
          <w:sz w:val="22"/>
          <w:szCs w:val="22"/>
        </w:rPr>
        <w:t>Journal of Rural Health</w:t>
      </w:r>
      <w:r w:rsidRPr="00445E1A">
        <w:rPr>
          <w:sz w:val="22"/>
          <w:szCs w:val="22"/>
        </w:rPr>
        <w:t xml:space="preserve">. 2016;32(1):92-101. </w:t>
      </w:r>
    </w:p>
  </w:endnote>
  <w:endnote w:id="4">
    <w:p w:rsidR="00474334" w:rsidRPr="00445E1A" w:rsidRDefault="00474334" w:rsidP="0067537A">
      <w:pPr>
        <w:pStyle w:val="EndnoteText"/>
        <w:spacing w:after="60"/>
        <w:rPr>
          <w:sz w:val="22"/>
          <w:szCs w:val="22"/>
        </w:rPr>
      </w:pPr>
      <w:r w:rsidRPr="00445E1A">
        <w:rPr>
          <w:rStyle w:val="EndnoteReference"/>
          <w:sz w:val="22"/>
          <w:szCs w:val="22"/>
        </w:rPr>
        <w:endnoteRef/>
      </w:r>
      <w:r w:rsidRPr="00445E1A">
        <w:rPr>
          <w:sz w:val="22"/>
          <w:szCs w:val="22"/>
        </w:rPr>
        <w:t xml:space="preserve"> SUPPORT Act, Section 1003(aa)(1),(2).</w:t>
      </w:r>
    </w:p>
  </w:endnote>
  <w:endnote w:id="5">
    <w:p w:rsidR="00474334" w:rsidRPr="00445E1A" w:rsidRDefault="00474334" w:rsidP="0067537A">
      <w:pPr>
        <w:spacing w:after="60"/>
        <w:rPr>
          <w:sz w:val="22"/>
          <w:szCs w:val="22"/>
        </w:rPr>
      </w:pPr>
      <w:r w:rsidRPr="00445E1A">
        <w:rPr>
          <w:rStyle w:val="EndnoteReference"/>
          <w:sz w:val="22"/>
          <w:szCs w:val="22"/>
        </w:rPr>
        <w:endnoteRef/>
      </w:r>
      <w:r w:rsidRPr="00445E1A">
        <w:rPr>
          <w:sz w:val="22"/>
          <w:szCs w:val="22"/>
        </w:rPr>
        <w:t xml:space="preserve"> Henry J. Kaiser Family Foundation. </w:t>
      </w:r>
      <w:r w:rsidRPr="00445E1A">
        <w:rPr>
          <w:i/>
          <w:iCs/>
          <w:sz w:val="22"/>
          <w:szCs w:val="22"/>
        </w:rPr>
        <w:t>Medicaid’s Role in Addressing the Opioid Epidemic.</w:t>
      </w:r>
      <w:r w:rsidRPr="00445E1A">
        <w:rPr>
          <w:sz w:val="22"/>
          <w:szCs w:val="22"/>
        </w:rPr>
        <w:t xml:space="preserve"> Published June 3, 2019.  </w:t>
      </w:r>
      <w:hyperlink r:id="rId2" w:history="1">
        <w:r w:rsidRPr="00445E1A">
          <w:rPr>
            <w:rStyle w:val="Hyperlink"/>
            <w:sz w:val="22"/>
            <w:szCs w:val="22"/>
          </w:rPr>
          <w:t>https://www.kff.org/infographic/medicaids-role-in-addressing-opioid-epidemic/</w:t>
        </w:r>
      </w:hyperlink>
    </w:p>
  </w:endnote>
  <w:endnote w:id="6">
    <w:p w:rsidR="00474334" w:rsidRPr="00445E1A" w:rsidRDefault="00474334" w:rsidP="0067537A">
      <w:pPr>
        <w:spacing w:after="60"/>
        <w:rPr>
          <w:sz w:val="22"/>
          <w:szCs w:val="22"/>
        </w:rPr>
      </w:pPr>
      <w:r w:rsidRPr="00445E1A">
        <w:rPr>
          <w:rStyle w:val="EndnoteReference"/>
          <w:sz w:val="22"/>
          <w:szCs w:val="22"/>
        </w:rPr>
        <w:endnoteRef/>
      </w:r>
      <w:r w:rsidRPr="00445E1A">
        <w:rPr>
          <w:sz w:val="22"/>
          <w:szCs w:val="22"/>
          <w:vertAlign w:val="superscript"/>
        </w:rPr>
        <w:t xml:space="preserve"> </w:t>
      </w:r>
      <w:r w:rsidRPr="00445E1A">
        <w:rPr>
          <w:sz w:val="22"/>
          <w:szCs w:val="22"/>
        </w:rPr>
        <w:t xml:space="preserve">Please see the following: Bureau of Labor Statistics. Occupational employment and wage statistics. May 2020. </w:t>
      </w:r>
      <w:hyperlink r:id="rId3" w:history="1">
        <w:r w:rsidRPr="00445E1A">
          <w:rPr>
            <w:rStyle w:val="Hyperlink"/>
            <w:sz w:val="22"/>
            <w:szCs w:val="22"/>
          </w:rPr>
          <w:t>https://www.bls.g</w:t>
        </w:r>
        <w:r w:rsidRPr="00445E1A">
          <w:rPr>
            <w:rStyle w:val="Hyperlink"/>
            <w:sz w:val="22"/>
            <w:szCs w:val="22"/>
          </w:rPr>
          <w:t>o</w:t>
        </w:r>
        <w:r w:rsidRPr="00445E1A">
          <w:rPr>
            <w:rStyle w:val="Hyperlink"/>
            <w:sz w:val="22"/>
            <w:szCs w:val="22"/>
          </w:rPr>
          <w:t>v/oes/current/</w:t>
        </w:r>
        <w:r w:rsidRPr="00445E1A">
          <w:rPr>
            <w:rStyle w:val="Hyperlink"/>
            <w:sz w:val="22"/>
            <w:szCs w:val="22"/>
          </w:rPr>
          <w:t>o</w:t>
        </w:r>
        <w:r w:rsidRPr="00445E1A">
          <w:rPr>
            <w:rStyle w:val="Hyperlink"/>
            <w:sz w:val="22"/>
            <w:szCs w:val="22"/>
          </w:rPr>
          <w:t>es_nat.</w:t>
        </w:r>
        <w:r w:rsidRPr="00445E1A">
          <w:rPr>
            <w:rStyle w:val="Hyperlink"/>
            <w:sz w:val="22"/>
            <w:szCs w:val="22"/>
          </w:rPr>
          <w:t>h</w:t>
        </w:r>
        <w:r w:rsidRPr="00445E1A">
          <w:rPr>
            <w:rStyle w:val="Hyperlink"/>
            <w:sz w:val="22"/>
            <w:szCs w:val="22"/>
          </w:rPr>
          <w:t>tm</w:t>
        </w:r>
      </w:hyperlink>
      <w:r w:rsidRPr="00445E1A">
        <w:rPr>
          <w:rStyle w:val="Hyperlink"/>
          <w:sz w:val="22"/>
          <w:szCs w:val="22"/>
        </w:rPr>
        <w:t xml:space="preserve"> </w:t>
      </w:r>
    </w:p>
  </w:endnote>
  <w:endnote w:id="7">
    <w:p w:rsidR="00474334" w:rsidRPr="00445E1A" w:rsidRDefault="00474334" w:rsidP="0067537A">
      <w:pPr>
        <w:pStyle w:val="EndnoteText"/>
        <w:spacing w:after="60"/>
        <w:rPr>
          <w:sz w:val="22"/>
          <w:szCs w:val="22"/>
        </w:rPr>
      </w:pPr>
      <w:r w:rsidRPr="00445E1A">
        <w:rPr>
          <w:rStyle w:val="EndnoteReference"/>
          <w:sz w:val="22"/>
          <w:szCs w:val="22"/>
        </w:rPr>
        <w:endnoteRef/>
      </w:r>
      <w:r w:rsidRPr="00445E1A">
        <w:rPr>
          <w:sz w:val="22"/>
          <w:szCs w:val="22"/>
        </w:rPr>
        <w:t xml:space="preserve"> For more information, see p. 29–30 of the following: Office of the Assistant Secretary for Planning and Evaluation. </w:t>
      </w:r>
      <w:r w:rsidRPr="00445E1A">
        <w:rPr>
          <w:i/>
          <w:iCs/>
          <w:sz w:val="22"/>
          <w:szCs w:val="22"/>
        </w:rPr>
        <w:t>Guidelines for Regulatory Impact Analysis</w:t>
      </w:r>
      <w:r w:rsidRPr="00445E1A">
        <w:rPr>
          <w:sz w:val="22"/>
          <w:szCs w:val="22"/>
        </w:rPr>
        <w:t xml:space="preserve">. 2016. </w:t>
      </w:r>
      <w:hyperlink r:id="rId4" w:history="1">
        <w:r w:rsidRPr="00445E1A">
          <w:rPr>
            <w:rStyle w:val="Hyperlink"/>
            <w:sz w:val="22"/>
            <w:szCs w:val="22"/>
          </w:rPr>
          <w:t>https://as</w:t>
        </w:r>
        <w:r w:rsidRPr="00445E1A">
          <w:rPr>
            <w:rStyle w:val="Hyperlink"/>
            <w:sz w:val="22"/>
            <w:szCs w:val="22"/>
          </w:rPr>
          <w:t>p</w:t>
        </w:r>
        <w:r w:rsidRPr="00445E1A">
          <w:rPr>
            <w:rStyle w:val="Hyperlink"/>
            <w:sz w:val="22"/>
            <w:szCs w:val="22"/>
          </w:rPr>
          <w:t>e.hhs.gov/pdf-report/guideline</w:t>
        </w:r>
        <w:r w:rsidRPr="00445E1A">
          <w:rPr>
            <w:rStyle w:val="Hyperlink"/>
            <w:sz w:val="22"/>
            <w:szCs w:val="22"/>
          </w:rPr>
          <w:t>s</w:t>
        </w:r>
        <w:r w:rsidRPr="00445E1A">
          <w:rPr>
            <w:rStyle w:val="Hyperlink"/>
            <w:sz w:val="22"/>
            <w:szCs w:val="22"/>
          </w:rPr>
          <w:t>-regulatory-impact-analysis</w:t>
        </w:r>
      </w:hyperlink>
      <w:r w:rsidRPr="00445E1A">
        <w:rPr>
          <w:sz w:val="22"/>
          <w:szCs w:val="22"/>
        </w:rPr>
        <w:t xml:space="preserve">. </w:t>
      </w:r>
    </w:p>
  </w:endnote>
  <w:endnote w:id="8">
    <w:p w:rsidR="00474334" w:rsidRPr="00445E1A" w:rsidRDefault="00474334" w:rsidP="0067537A">
      <w:pPr>
        <w:pStyle w:val="EndnoteText"/>
        <w:spacing w:after="60"/>
        <w:rPr>
          <w:sz w:val="22"/>
          <w:szCs w:val="22"/>
        </w:rPr>
      </w:pPr>
      <w:r w:rsidRPr="00445E1A">
        <w:rPr>
          <w:rStyle w:val="EndnoteReference"/>
          <w:sz w:val="22"/>
          <w:szCs w:val="22"/>
        </w:rPr>
        <w:endnoteRef/>
      </w:r>
      <w:r w:rsidRPr="00445E1A">
        <w:rPr>
          <w:sz w:val="22"/>
          <w:szCs w:val="22"/>
        </w:rPr>
        <w:t xml:space="preserve"> Please see the following: Office of Personnel Management. Salary Table 2021-DCB: Annual Rates by Grade and Step. </w:t>
      </w:r>
      <w:hyperlink r:id="rId5" w:history="1">
        <w:r w:rsidRPr="00445E1A">
          <w:rPr>
            <w:rStyle w:val="Hyperlink"/>
            <w:sz w:val="22"/>
            <w:szCs w:val="22"/>
          </w:rPr>
          <w:t>https://www.opm.gov</w:t>
        </w:r>
        <w:r w:rsidRPr="00445E1A">
          <w:rPr>
            <w:rStyle w:val="Hyperlink"/>
            <w:sz w:val="22"/>
            <w:szCs w:val="22"/>
          </w:rPr>
          <w:t>/</w:t>
        </w:r>
        <w:r w:rsidRPr="00445E1A">
          <w:rPr>
            <w:rStyle w:val="Hyperlink"/>
            <w:sz w:val="22"/>
            <w:szCs w:val="22"/>
          </w:rPr>
          <w:t>policy-data-oversight/pay-leave/salaries-wages/salary-tables/pdf/2021/DCB.pdf</w:t>
        </w:r>
      </w:hyperlink>
      <w:r w:rsidRPr="00445E1A">
        <w:rPr>
          <w:sz w:val="22"/>
          <w:szCs w:val="22"/>
        </w:rPr>
        <w:t xml:space="preserve"> and</w:t>
      </w:r>
    </w:p>
    <w:p w:rsidR="00474334" w:rsidRPr="00EE098D" w:rsidRDefault="00474334" w:rsidP="00965004">
      <w:pPr>
        <w:pStyle w:val="EndnoteText"/>
      </w:pPr>
      <w:r w:rsidRPr="00445E1A">
        <w:rPr>
          <w:sz w:val="22"/>
          <w:szCs w:val="22"/>
        </w:rPr>
        <w:t xml:space="preserve">Office of Personnel Management. Salary Table 2021-DCB: Hourly Basic (B) Rates by Grade and Step Hourly Title 5 Overtime (O) Rates for FLSA-Exempt Employees by Grade and Step. </w:t>
      </w:r>
      <w:hyperlink r:id="rId6" w:history="1">
        <w:r w:rsidRPr="00445E1A">
          <w:rPr>
            <w:rStyle w:val="Hyperlink"/>
            <w:sz w:val="22"/>
            <w:szCs w:val="22"/>
          </w:rPr>
          <w:t>https://www.opm.gov/policy-data-oversight/pay-leave/sa</w:t>
        </w:r>
        <w:r w:rsidRPr="00445E1A">
          <w:rPr>
            <w:rStyle w:val="Hyperlink"/>
            <w:sz w:val="22"/>
            <w:szCs w:val="22"/>
          </w:rPr>
          <w:t>l</w:t>
        </w:r>
        <w:r w:rsidRPr="00445E1A">
          <w:rPr>
            <w:rStyle w:val="Hyperlink"/>
            <w:sz w:val="22"/>
            <w:szCs w:val="22"/>
          </w:rPr>
          <w:t>aries-wages/salary-tables/pdf/2021/DCB_h.pdf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 Regular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334" w:rsidRDefault="00474334">
    <w:pPr>
      <w:spacing w:line="240" w:lineRule="exact"/>
    </w:pPr>
  </w:p>
  <w:p w:rsidR="00474334" w:rsidRDefault="00474334">
    <w:pPr>
      <w:framePr w:w="9505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noProof/>
        <w:sz w:val="24"/>
      </w:rPr>
      <w:t>7</w:t>
    </w:r>
    <w:r>
      <w:rPr>
        <w:sz w:val="24"/>
      </w:rPr>
      <w:fldChar w:fldCharType="end"/>
    </w:r>
  </w:p>
  <w:p w:rsidR="00474334" w:rsidRDefault="00474334">
    <w:pPr>
      <w:ind w:right="144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343" w:rsidRDefault="00160343">
      <w:r>
        <w:separator/>
      </w:r>
    </w:p>
  </w:footnote>
  <w:footnote w:type="continuationSeparator" w:id="0">
    <w:p w:rsidR="00160343" w:rsidRDefault="00160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306D1DE"/>
    <w:lvl w:ilvl="0">
      <w:start w:val="1"/>
      <w:numFmt w:val="decimal"/>
      <w:pStyle w:val="ListNumber"/>
      <w:lvlText w:val="%1."/>
      <w:lvlJc w:val="left"/>
      <w:pPr>
        <w:tabs>
          <w:tab w:val="num" w:pos="-270"/>
        </w:tabs>
        <w:ind w:left="450" w:hanging="360"/>
      </w:pPr>
      <w:rPr>
        <w:rFonts w:ascii="Times New Roman" w:hAnsi="Times New Roman" w:hint="default"/>
        <w:b w:val="0"/>
        <w:i w:val="0"/>
        <w:sz w:val="22"/>
        <w:szCs w:val="24"/>
      </w:rPr>
    </w:lvl>
  </w:abstractNum>
  <w:abstractNum w:abstractNumId="1" w15:restartNumberingAfterBreak="0">
    <w:nsid w:val="04222919"/>
    <w:multiLevelType w:val="hybridMultilevel"/>
    <w:tmpl w:val="BCB6011E"/>
    <w:lvl w:ilvl="0" w:tplc="B762D49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D01F2"/>
    <w:multiLevelType w:val="hybridMultilevel"/>
    <w:tmpl w:val="A4CC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C5793"/>
    <w:multiLevelType w:val="hybridMultilevel"/>
    <w:tmpl w:val="CB66BD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560893"/>
    <w:multiLevelType w:val="hybridMultilevel"/>
    <w:tmpl w:val="27A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7424C"/>
    <w:multiLevelType w:val="hybridMultilevel"/>
    <w:tmpl w:val="0D04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12445"/>
    <w:multiLevelType w:val="hybridMultilevel"/>
    <w:tmpl w:val="4E02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A0CB0"/>
    <w:multiLevelType w:val="hybridMultilevel"/>
    <w:tmpl w:val="CCA2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B47DA"/>
    <w:multiLevelType w:val="hybridMultilevel"/>
    <w:tmpl w:val="54B0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26C3E"/>
    <w:multiLevelType w:val="hybridMultilevel"/>
    <w:tmpl w:val="ECBC6838"/>
    <w:lvl w:ilvl="0" w:tplc="39DAE42C">
      <w:start w:val="1"/>
      <w:numFmt w:val="bullet"/>
      <w:suff w:val="space"/>
      <w:lvlText w:val=""/>
      <w:lvlJc w:val="left"/>
      <w:pPr>
        <w:ind w:left="144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745B0"/>
    <w:multiLevelType w:val="hybridMultilevel"/>
    <w:tmpl w:val="BAF012FC"/>
    <w:lvl w:ilvl="0" w:tplc="FBA6DD42">
      <w:start w:val="1"/>
      <w:numFmt w:val="bullet"/>
      <w:pStyle w:val="Table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C2E6E"/>
    <w:multiLevelType w:val="hybridMultilevel"/>
    <w:tmpl w:val="CB2C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3152B"/>
    <w:multiLevelType w:val="hybridMultilevel"/>
    <w:tmpl w:val="8AE2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67BBE"/>
    <w:multiLevelType w:val="hybridMultilevel"/>
    <w:tmpl w:val="E2EC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E3D63"/>
    <w:multiLevelType w:val="hybridMultilevel"/>
    <w:tmpl w:val="856E4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F520C"/>
    <w:multiLevelType w:val="hybridMultilevel"/>
    <w:tmpl w:val="91D28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14"/>
  </w:num>
  <w:num w:numId="8">
    <w:abstractNumId w:val="3"/>
  </w:num>
  <w:num w:numId="9">
    <w:abstractNumId w:val="7"/>
  </w:num>
  <w:num w:numId="10">
    <w:abstractNumId w:val="12"/>
  </w:num>
  <w:num w:numId="11">
    <w:abstractNumId w:val="0"/>
  </w:num>
  <w:num w:numId="12">
    <w:abstractNumId w:val="11"/>
  </w:num>
  <w:num w:numId="13">
    <w:abstractNumId w:val="6"/>
  </w:num>
  <w:num w:numId="14">
    <w:abstractNumId w:val="1"/>
  </w:num>
  <w:num w:numId="15">
    <w:abstractNumId w:val="10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F4"/>
    <w:rsid w:val="00010F90"/>
    <w:rsid w:val="00012C93"/>
    <w:rsid w:val="00012E48"/>
    <w:rsid w:val="000161E4"/>
    <w:rsid w:val="000211FA"/>
    <w:rsid w:val="0005019E"/>
    <w:rsid w:val="0005155B"/>
    <w:rsid w:val="000610F1"/>
    <w:rsid w:val="00080C04"/>
    <w:rsid w:val="000871E9"/>
    <w:rsid w:val="000A4D47"/>
    <w:rsid w:val="000B17AF"/>
    <w:rsid w:val="000B2D75"/>
    <w:rsid w:val="000C40F2"/>
    <w:rsid w:val="000C72FD"/>
    <w:rsid w:val="000D7122"/>
    <w:rsid w:val="000D72C0"/>
    <w:rsid w:val="000D7703"/>
    <w:rsid w:val="000F2370"/>
    <w:rsid w:val="000F3AF4"/>
    <w:rsid w:val="00111028"/>
    <w:rsid w:val="001111DE"/>
    <w:rsid w:val="0012335B"/>
    <w:rsid w:val="00130FD5"/>
    <w:rsid w:val="001340D0"/>
    <w:rsid w:val="001546D0"/>
    <w:rsid w:val="00160343"/>
    <w:rsid w:val="001613D4"/>
    <w:rsid w:val="001752EE"/>
    <w:rsid w:val="00175926"/>
    <w:rsid w:val="001770A3"/>
    <w:rsid w:val="001961F1"/>
    <w:rsid w:val="001B4828"/>
    <w:rsid w:val="001F2662"/>
    <w:rsid w:val="001F405C"/>
    <w:rsid w:val="00201436"/>
    <w:rsid w:val="00236323"/>
    <w:rsid w:val="002476E2"/>
    <w:rsid w:val="002C127B"/>
    <w:rsid w:val="002D5D75"/>
    <w:rsid w:val="002D7677"/>
    <w:rsid w:val="002F29CB"/>
    <w:rsid w:val="00304271"/>
    <w:rsid w:val="003121A0"/>
    <w:rsid w:val="003130AC"/>
    <w:rsid w:val="00316FD8"/>
    <w:rsid w:val="00322BE8"/>
    <w:rsid w:val="00341378"/>
    <w:rsid w:val="00352005"/>
    <w:rsid w:val="00357BC9"/>
    <w:rsid w:val="00365609"/>
    <w:rsid w:val="003718A0"/>
    <w:rsid w:val="00381CA0"/>
    <w:rsid w:val="00393EF6"/>
    <w:rsid w:val="003954DB"/>
    <w:rsid w:val="00395B75"/>
    <w:rsid w:val="003979FA"/>
    <w:rsid w:val="003A1CF3"/>
    <w:rsid w:val="003B3BA1"/>
    <w:rsid w:val="003B6DED"/>
    <w:rsid w:val="003D063F"/>
    <w:rsid w:val="003D5321"/>
    <w:rsid w:val="003E0C6F"/>
    <w:rsid w:val="003F4D76"/>
    <w:rsid w:val="00403709"/>
    <w:rsid w:val="004211B5"/>
    <w:rsid w:val="00430B6F"/>
    <w:rsid w:val="00437491"/>
    <w:rsid w:val="00445E1A"/>
    <w:rsid w:val="00465A86"/>
    <w:rsid w:val="00471CCD"/>
    <w:rsid w:val="00474334"/>
    <w:rsid w:val="00474660"/>
    <w:rsid w:val="00487D15"/>
    <w:rsid w:val="004A11FE"/>
    <w:rsid w:val="004B1402"/>
    <w:rsid w:val="004B3AB6"/>
    <w:rsid w:val="004B4818"/>
    <w:rsid w:val="004D594D"/>
    <w:rsid w:val="004F648C"/>
    <w:rsid w:val="004F7EDE"/>
    <w:rsid w:val="00514BD8"/>
    <w:rsid w:val="00520CA1"/>
    <w:rsid w:val="00520E81"/>
    <w:rsid w:val="00537BCA"/>
    <w:rsid w:val="00560095"/>
    <w:rsid w:val="00562F04"/>
    <w:rsid w:val="00584207"/>
    <w:rsid w:val="00596774"/>
    <w:rsid w:val="005B0A7F"/>
    <w:rsid w:val="005E0DC9"/>
    <w:rsid w:val="00613A91"/>
    <w:rsid w:val="00614A52"/>
    <w:rsid w:val="006348AF"/>
    <w:rsid w:val="00642991"/>
    <w:rsid w:val="00645312"/>
    <w:rsid w:val="00651B1E"/>
    <w:rsid w:val="00652F8B"/>
    <w:rsid w:val="00674D8A"/>
    <w:rsid w:val="0067537A"/>
    <w:rsid w:val="006807DE"/>
    <w:rsid w:val="00684004"/>
    <w:rsid w:val="00686E68"/>
    <w:rsid w:val="0069304E"/>
    <w:rsid w:val="006A1145"/>
    <w:rsid w:val="006F6761"/>
    <w:rsid w:val="0072248F"/>
    <w:rsid w:val="00736CD7"/>
    <w:rsid w:val="007513CC"/>
    <w:rsid w:val="00771D07"/>
    <w:rsid w:val="00777577"/>
    <w:rsid w:val="00777619"/>
    <w:rsid w:val="007856F3"/>
    <w:rsid w:val="007A7481"/>
    <w:rsid w:val="007E322F"/>
    <w:rsid w:val="007E5EFA"/>
    <w:rsid w:val="007E791C"/>
    <w:rsid w:val="007F2924"/>
    <w:rsid w:val="008251EF"/>
    <w:rsid w:val="008341E5"/>
    <w:rsid w:val="00837B8F"/>
    <w:rsid w:val="00845C61"/>
    <w:rsid w:val="008515B6"/>
    <w:rsid w:val="00870D59"/>
    <w:rsid w:val="008747CA"/>
    <w:rsid w:val="00874BCC"/>
    <w:rsid w:val="00886D8D"/>
    <w:rsid w:val="00892AEF"/>
    <w:rsid w:val="00893827"/>
    <w:rsid w:val="008949C2"/>
    <w:rsid w:val="008952A0"/>
    <w:rsid w:val="008976BE"/>
    <w:rsid w:val="008A2E17"/>
    <w:rsid w:val="008A57E3"/>
    <w:rsid w:val="008B20E6"/>
    <w:rsid w:val="008B26F8"/>
    <w:rsid w:val="008B4B18"/>
    <w:rsid w:val="008E5242"/>
    <w:rsid w:val="008F1EB4"/>
    <w:rsid w:val="00901DB5"/>
    <w:rsid w:val="009113EF"/>
    <w:rsid w:val="0091724D"/>
    <w:rsid w:val="00925A03"/>
    <w:rsid w:val="00925ED3"/>
    <w:rsid w:val="009262AA"/>
    <w:rsid w:val="00937A50"/>
    <w:rsid w:val="00955A85"/>
    <w:rsid w:val="00963FDF"/>
    <w:rsid w:val="00965004"/>
    <w:rsid w:val="009734AC"/>
    <w:rsid w:val="00974D24"/>
    <w:rsid w:val="00986916"/>
    <w:rsid w:val="009A2E05"/>
    <w:rsid w:val="009A6F43"/>
    <w:rsid w:val="009B31DE"/>
    <w:rsid w:val="009D56FD"/>
    <w:rsid w:val="009D776C"/>
    <w:rsid w:val="009E7240"/>
    <w:rsid w:val="009F643B"/>
    <w:rsid w:val="00A070C5"/>
    <w:rsid w:val="00A10281"/>
    <w:rsid w:val="00A20C84"/>
    <w:rsid w:val="00A30856"/>
    <w:rsid w:val="00A44F80"/>
    <w:rsid w:val="00A516F6"/>
    <w:rsid w:val="00A701F8"/>
    <w:rsid w:val="00A727E1"/>
    <w:rsid w:val="00A77A0E"/>
    <w:rsid w:val="00AC07CD"/>
    <w:rsid w:val="00AC12F6"/>
    <w:rsid w:val="00AC610A"/>
    <w:rsid w:val="00AD49AE"/>
    <w:rsid w:val="00AE46D9"/>
    <w:rsid w:val="00AE58CD"/>
    <w:rsid w:val="00B11A54"/>
    <w:rsid w:val="00B325C4"/>
    <w:rsid w:val="00B5251D"/>
    <w:rsid w:val="00B56C5C"/>
    <w:rsid w:val="00B620EE"/>
    <w:rsid w:val="00B74120"/>
    <w:rsid w:val="00B769E4"/>
    <w:rsid w:val="00B85347"/>
    <w:rsid w:val="00B92414"/>
    <w:rsid w:val="00BC56E7"/>
    <w:rsid w:val="00BD75FB"/>
    <w:rsid w:val="00BE3ECD"/>
    <w:rsid w:val="00BF5B33"/>
    <w:rsid w:val="00C001ED"/>
    <w:rsid w:val="00C165C1"/>
    <w:rsid w:val="00C420F6"/>
    <w:rsid w:val="00C73C25"/>
    <w:rsid w:val="00C745BA"/>
    <w:rsid w:val="00C8206F"/>
    <w:rsid w:val="00C90DFB"/>
    <w:rsid w:val="00C9650F"/>
    <w:rsid w:val="00CA12C4"/>
    <w:rsid w:val="00CA49C3"/>
    <w:rsid w:val="00CA7A3F"/>
    <w:rsid w:val="00CB7E28"/>
    <w:rsid w:val="00CD0F21"/>
    <w:rsid w:val="00CF2832"/>
    <w:rsid w:val="00CF3D1A"/>
    <w:rsid w:val="00D02CB6"/>
    <w:rsid w:val="00D03A4F"/>
    <w:rsid w:val="00D05895"/>
    <w:rsid w:val="00D15DD8"/>
    <w:rsid w:val="00D16E90"/>
    <w:rsid w:val="00D47B36"/>
    <w:rsid w:val="00D60EFC"/>
    <w:rsid w:val="00D77255"/>
    <w:rsid w:val="00D92CE6"/>
    <w:rsid w:val="00D96169"/>
    <w:rsid w:val="00DA758E"/>
    <w:rsid w:val="00DD16BB"/>
    <w:rsid w:val="00DF4A49"/>
    <w:rsid w:val="00DF724C"/>
    <w:rsid w:val="00E12EEC"/>
    <w:rsid w:val="00E55CB3"/>
    <w:rsid w:val="00E77697"/>
    <w:rsid w:val="00E87D8E"/>
    <w:rsid w:val="00E9262A"/>
    <w:rsid w:val="00EC4439"/>
    <w:rsid w:val="00EE098D"/>
    <w:rsid w:val="00EE342D"/>
    <w:rsid w:val="00F17911"/>
    <w:rsid w:val="00F24BEC"/>
    <w:rsid w:val="00F52BA8"/>
    <w:rsid w:val="00F628CC"/>
    <w:rsid w:val="00F65E59"/>
    <w:rsid w:val="00F72011"/>
    <w:rsid w:val="00F74D68"/>
    <w:rsid w:val="00F82C86"/>
    <w:rsid w:val="00F84911"/>
    <w:rsid w:val="00F84B53"/>
    <w:rsid w:val="00F85684"/>
    <w:rsid w:val="00FD1135"/>
    <w:rsid w:val="00FF0C54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7324F7B-5270-429E-94B3-1C20815A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endnote reference" w:uiPriority="99"/>
    <w:lsdException w:name="endnote text" w:uiPriority="99"/>
    <w:lsdException w:name="List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50F"/>
    <w:pPr>
      <w:keepNext/>
      <w:keepLines/>
      <w:widowControl/>
      <w:autoSpaceDE/>
      <w:autoSpaceDN/>
      <w:adjustRightInd/>
      <w:spacing w:before="120"/>
      <w:outlineLvl w:val="1"/>
    </w:pPr>
    <w:rPr>
      <w:rFonts w:ascii="Arial" w:hAnsi="Arial"/>
      <w:b/>
      <w:bCs/>
      <w:color w:val="595959"/>
      <w:sz w:val="22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7201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styleId="CommentReference">
    <w:name w:val="annotation reference"/>
    <w:rsid w:val="00C965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50F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9650F"/>
  </w:style>
  <w:style w:type="paragraph" w:styleId="CommentSubject">
    <w:name w:val="annotation subject"/>
    <w:basedOn w:val="CommentText"/>
    <w:next w:val="CommentText"/>
    <w:link w:val="CommentSubjectChar"/>
    <w:rsid w:val="00C9650F"/>
    <w:rPr>
      <w:b/>
      <w:bCs/>
    </w:rPr>
  </w:style>
  <w:style w:type="character" w:customStyle="1" w:styleId="CommentSubjectChar">
    <w:name w:val="Comment Subject Char"/>
    <w:link w:val="CommentSubject"/>
    <w:rsid w:val="00C9650F"/>
    <w:rPr>
      <w:b/>
      <w:bCs/>
    </w:rPr>
  </w:style>
  <w:style w:type="paragraph" w:styleId="BalloonText">
    <w:name w:val="Balloon Text"/>
    <w:basedOn w:val="Normal"/>
    <w:link w:val="BalloonTextChar"/>
    <w:rsid w:val="00C96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650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C9650F"/>
    <w:rPr>
      <w:rFonts w:ascii="Arial" w:hAnsi="Arial"/>
      <w:b/>
      <w:bCs/>
      <w:color w:val="595959"/>
      <w:sz w:val="22"/>
      <w:szCs w:val="26"/>
    </w:rPr>
  </w:style>
  <w:style w:type="character" w:styleId="Hyperlink">
    <w:name w:val="Hyperlink"/>
    <w:uiPriority w:val="99"/>
    <w:unhideWhenUsed/>
    <w:rsid w:val="00C9650F"/>
    <w:rPr>
      <w:color w:val="0000FF"/>
      <w:u w:val="single"/>
    </w:rPr>
  </w:style>
  <w:style w:type="character" w:customStyle="1" w:styleId="ListParagraphChar">
    <w:name w:val="List Paragraph Char"/>
    <w:aliases w:val="LP Char,Bullet List Char,Issue Action POC Char,List Paragraph1 Char,3 Char,POCG Table Text Char,Dot pt Char,F5 List Paragraph Char,List Paragraph Char Char Char Char,Indicator Text Char,Colorful List - Accent 11 Char"/>
    <w:link w:val="ListParagraph"/>
    <w:uiPriority w:val="34"/>
    <w:locked/>
    <w:rsid w:val="00C9650F"/>
    <w:rPr>
      <w:rFonts w:cs="Arial"/>
      <w:color w:val="404040"/>
    </w:rPr>
  </w:style>
  <w:style w:type="paragraph" w:styleId="ListParagraph">
    <w:name w:val="List Paragraph"/>
    <w:aliases w:val="LP,Bullet List,Issue Action POC,List Paragraph1,3,POCG Table Text,Dot pt,F5 List Paragraph,List Paragraph Char Char Char,Indicator Text,Colorful List - Accent 11,Numbered Para 1,Bullet 1,Bullet Points,List Paragraph2,MAIN CONTENT,target"/>
    <w:basedOn w:val="Normal"/>
    <w:link w:val="ListParagraphChar"/>
    <w:uiPriority w:val="34"/>
    <w:qFormat/>
    <w:rsid w:val="00C9650F"/>
    <w:pPr>
      <w:widowControl/>
      <w:autoSpaceDE/>
      <w:autoSpaceDN/>
      <w:adjustRightInd/>
      <w:spacing w:after="100"/>
      <w:ind w:left="720"/>
      <w:contextualSpacing/>
    </w:pPr>
    <w:rPr>
      <w:rFonts w:cs="Arial"/>
      <w:color w:val="404040"/>
      <w:szCs w:val="20"/>
    </w:rPr>
  </w:style>
  <w:style w:type="paragraph" w:styleId="ListNumber">
    <w:name w:val="List Number"/>
    <w:basedOn w:val="Normal"/>
    <w:uiPriority w:val="99"/>
    <w:rsid w:val="008341E5"/>
    <w:pPr>
      <w:widowControl/>
      <w:numPr>
        <w:numId w:val="3"/>
      </w:numPr>
      <w:autoSpaceDE/>
      <w:autoSpaceDN/>
      <w:adjustRightInd/>
      <w:spacing w:after="240" w:line="259" w:lineRule="auto"/>
    </w:pPr>
    <w:rPr>
      <w:sz w:val="22"/>
    </w:rPr>
  </w:style>
  <w:style w:type="table" w:styleId="TableGrid">
    <w:name w:val="Table Grid"/>
    <w:basedOn w:val="TableNormal"/>
    <w:uiPriority w:val="39"/>
    <w:rsid w:val="008341E5"/>
    <w:pPr>
      <w:spacing w:after="120" w:line="259" w:lineRule="auto"/>
    </w:pPr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uiPriority w:val="99"/>
    <w:unhideWhenUsed/>
    <w:rsid w:val="007A7481"/>
    <w:rPr>
      <w:vertAlign w:val="superscript"/>
    </w:rPr>
  </w:style>
  <w:style w:type="paragraph" w:styleId="FootnoteText">
    <w:name w:val="footnote text"/>
    <w:basedOn w:val="Normal"/>
    <w:link w:val="FootnoteTextChar"/>
    <w:rsid w:val="007A7481"/>
    <w:pPr>
      <w:widowControl/>
      <w:autoSpaceDE/>
      <w:autoSpaceDN/>
      <w:adjustRightInd/>
      <w:spacing w:after="120" w:line="259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A7481"/>
  </w:style>
  <w:style w:type="paragraph" w:styleId="EndnoteText">
    <w:name w:val="endnote text"/>
    <w:basedOn w:val="Normal"/>
    <w:link w:val="EndnoteTextChar"/>
    <w:uiPriority w:val="99"/>
    <w:unhideWhenUsed/>
    <w:rsid w:val="007A7481"/>
    <w:pPr>
      <w:widowControl/>
      <w:autoSpaceDE/>
      <w:autoSpaceDN/>
      <w:adjustRightInd/>
    </w:pPr>
    <w:rPr>
      <w:rFonts w:eastAsia="IBM Plex Sans Regular"/>
      <w:color w:val="161616"/>
      <w:szCs w:val="20"/>
    </w:rPr>
  </w:style>
  <w:style w:type="character" w:customStyle="1" w:styleId="EndnoteTextChar">
    <w:name w:val="Endnote Text Char"/>
    <w:link w:val="EndnoteText"/>
    <w:uiPriority w:val="99"/>
    <w:rsid w:val="007A7481"/>
    <w:rPr>
      <w:rFonts w:eastAsia="IBM Plex Sans Regular"/>
      <w:color w:val="161616"/>
    </w:rPr>
  </w:style>
  <w:style w:type="paragraph" w:styleId="Caption">
    <w:name w:val="caption"/>
    <w:next w:val="Normal"/>
    <w:uiPriority w:val="35"/>
    <w:unhideWhenUsed/>
    <w:qFormat/>
    <w:rsid w:val="002D7677"/>
    <w:pPr>
      <w:spacing w:after="60"/>
    </w:pPr>
    <w:rPr>
      <w:b/>
      <w:bCs/>
      <w:sz w:val="22"/>
      <w:szCs w:val="18"/>
    </w:rPr>
  </w:style>
  <w:style w:type="character" w:styleId="FollowedHyperlink">
    <w:name w:val="FollowedHyperlink"/>
    <w:rsid w:val="008515B6"/>
    <w:rPr>
      <w:color w:val="954F72"/>
      <w:u w:val="single"/>
    </w:rPr>
  </w:style>
  <w:style w:type="paragraph" w:styleId="BodyText">
    <w:name w:val="Body Text"/>
    <w:basedOn w:val="Normal"/>
    <w:link w:val="BodyTextChar"/>
    <w:unhideWhenUsed/>
    <w:rsid w:val="00010F90"/>
    <w:pPr>
      <w:spacing w:after="120"/>
    </w:pPr>
  </w:style>
  <w:style w:type="character" w:customStyle="1" w:styleId="BodyTextChar">
    <w:name w:val="Body Text Char"/>
    <w:link w:val="BodyText"/>
    <w:rsid w:val="00010F90"/>
    <w:rPr>
      <w:szCs w:val="24"/>
    </w:rPr>
  </w:style>
  <w:style w:type="character" w:customStyle="1" w:styleId="Heading3Char">
    <w:name w:val="Heading 3 Char"/>
    <w:link w:val="Heading3"/>
    <w:semiHidden/>
    <w:rsid w:val="00F7201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E87D8E"/>
    <w:rPr>
      <w:szCs w:val="24"/>
    </w:rPr>
  </w:style>
  <w:style w:type="paragraph" w:styleId="Header">
    <w:name w:val="header"/>
    <w:basedOn w:val="Normal"/>
    <w:link w:val="HeaderChar"/>
    <w:rsid w:val="000A4D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A4D47"/>
    <w:rPr>
      <w:szCs w:val="24"/>
    </w:rPr>
  </w:style>
  <w:style w:type="paragraph" w:styleId="Footer">
    <w:name w:val="footer"/>
    <w:basedOn w:val="Normal"/>
    <w:link w:val="FooterChar"/>
    <w:rsid w:val="000A4D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A4D47"/>
    <w:rPr>
      <w:szCs w:val="24"/>
    </w:rPr>
  </w:style>
  <w:style w:type="paragraph" w:customStyle="1" w:styleId="StyleHeading2TimesNewRoman12ptAuto">
    <w:name w:val="Style Heading 2 + Times New Roman 12 pt Auto"/>
    <w:basedOn w:val="Heading2"/>
    <w:rsid w:val="000A4D47"/>
    <w:pPr>
      <w:spacing w:after="60"/>
    </w:pPr>
    <w:rPr>
      <w:rFonts w:ascii="Times New Roman" w:hAnsi="Times New Roman"/>
      <w:color w:val="auto"/>
      <w:sz w:val="24"/>
    </w:rPr>
  </w:style>
  <w:style w:type="paragraph" w:customStyle="1" w:styleId="AHeading1">
    <w:name w:val="A_Heading1"/>
    <w:basedOn w:val="Normal"/>
    <w:qFormat/>
    <w:rsid w:val="000A4D47"/>
    <w:pPr>
      <w:spacing w:after="60"/>
    </w:pPr>
    <w:rPr>
      <w:b/>
      <w:sz w:val="24"/>
    </w:rPr>
  </w:style>
  <w:style w:type="paragraph" w:customStyle="1" w:styleId="StyleCaptionLeft">
    <w:name w:val="Style Caption + Left"/>
    <w:basedOn w:val="Caption"/>
    <w:rsid w:val="00893827"/>
    <w:rPr>
      <w:szCs w:val="20"/>
    </w:rPr>
  </w:style>
  <w:style w:type="paragraph" w:customStyle="1" w:styleId="Tablebullets">
    <w:name w:val="Table bullets"/>
    <w:basedOn w:val="Normal"/>
    <w:qFormat/>
    <w:rsid w:val="00893827"/>
    <w:pPr>
      <w:widowControl/>
      <w:numPr>
        <w:numId w:val="15"/>
      </w:numPr>
      <w:autoSpaceDE/>
      <w:autoSpaceDN/>
      <w:adjustRightInd/>
    </w:pPr>
  </w:style>
  <w:style w:type="character" w:styleId="UnresolvedMention">
    <w:name w:val="Unresolved Mention"/>
    <w:uiPriority w:val="99"/>
    <w:semiHidden/>
    <w:unhideWhenUsed/>
    <w:rsid w:val="00894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ls.gov/oes/current/oes_nat.htm" TargetMode="External"/><Relationship Id="rId2" Type="http://schemas.openxmlformats.org/officeDocument/2006/relationships/hyperlink" Target="https://www.kff.org/infographic/medicaids-role-in-addressing-opioid-epidemic/" TargetMode="External"/><Relationship Id="rId1" Type="http://schemas.openxmlformats.org/officeDocument/2006/relationships/hyperlink" Target="https://store.samhsa.gov/product/Medicaid-Coverage-of-Medication-Assisted-Treatment-for-Alcohol-and-Opioid-Use-Disorders-and-of-Medication-for-the-Reversal-of-Opioid-Overdose/SMA18-5093" TargetMode="External"/><Relationship Id="rId6" Type="http://schemas.openxmlformats.org/officeDocument/2006/relationships/hyperlink" Target="https://www.opm.gov/policy-data-oversight/pay-leave/salaries-wages/salary-tables/pdf/2021/DCB_h.pdf" TargetMode="External"/><Relationship Id="rId5" Type="http://schemas.openxmlformats.org/officeDocument/2006/relationships/hyperlink" Target="https://www.opm.gov/policy-data-oversight/pay-leave/salaries-wages/salary-tables/pdf/2021/DCB.pdf" TargetMode="External"/><Relationship Id="rId4" Type="http://schemas.openxmlformats.org/officeDocument/2006/relationships/hyperlink" Target="https://aspe.hhs.gov/pdf-report/guidelines-regulatory-impact-analy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54F59B81EDC48A2BCC6D03F2DA784" ma:contentTypeVersion="136" ma:contentTypeDescription="Create a new document." ma:contentTypeScope="" ma:versionID="c9150fa58b3f3e8074358d1057bddd91">
  <xsd:schema xmlns:xsd="http://www.w3.org/2001/XMLSchema" xmlns:xs="http://www.w3.org/2001/XMLSchema" xmlns:p="http://schemas.microsoft.com/office/2006/metadata/properties" xmlns:ns1="http://schemas.microsoft.com/sharepoint/v3" xmlns:ns2="dd5fe9ef-38a6-4ae3-93ee-0b1b18c18bbb" targetNamespace="http://schemas.microsoft.com/office/2006/metadata/properties" ma:root="true" ma:fieldsID="3bf4fc30ba45769029d48502a407e42e" ns1:_="" ns2:_="">
    <xsd:import namespace="http://schemas.microsoft.com/sharepoint/v3"/>
    <xsd:import namespace="dd5fe9ef-38a6-4ae3-93ee-0b1b18c18bbb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4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5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  <xsd:element name="RatedBy" ma:index="10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2" nillable="true" ma:displayName="Number of Likes" ma:internalName="LikesCount">
      <xsd:simpleType>
        <xsd:restriction base="dms:Unknown"/>
      </xsd:simpleType>
    </xsd:element>
    <xsd:element name="LikedBy" ma:index="13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fe9ef-38a6-4ae3-93ee-0b1b18c18b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description="" ma:hidden="true" ma:list="{1a284cfe-c62e-4e95-9a75-5c7e75d0fcce}" ma:internalName="TaxCatchAll" ma:showField="CatchAllData" ma:web="dd5fe9ef-38a6-4ae3-93ee-0b1b18c18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TaxCatchAll xmlns="dd5fe9ef-38a6-4ae3-93ee-0b1b18c18bbb"/>
    <Ratings xmlns="http://schemas.microsoft.com/sharepoint/v3" xsi:nil="true"/>
    <RatingCount xmlns="http://schemas.microsoft.com/sharepoint/v3" xsi:nil="true"/>
    <LikedBy xmlns="http://schemas.microsoft.com/sharepoint/v3">
      <UserInfo>
        <DisplayName/>
        <AccountId xsi:nil="true"/>
        <AccountType/>
      </UserInfo>
    </LikedBy>
    <AverageRating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0712E-E620-4572-8104-AE8B6869E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5fe9ef-38a6-4ae3-93ee-0b1b18c18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24F82-E324-4B13-A8E3-6B452E1450E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0A427C2-728F-49E6-A2BD-4B140242B7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2707F4-88C0-448D-B0EA-4EA947B223C7}">
  <ds:schemaRefs>
    <ds:schemaRef ds:uri="http://purl.org/dc/elements/1.1/"/>
    <ds:schemaRef ds:uri="http://schemas.microsoft.com/office/2006/metadata/properties"/>
    <ds:schemaRef ds:uri="http://schemas.microsoft.com/sharepoint/v3"/>
    <ds:schemaRef ds:uri="dd5fe9ef-38a6-4ae3-93ee-0b1b18c18bbb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A4EDFE0-7768-4531-A515-D64D68D2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3261</Words>
  <Characters>18589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21807</CharactersWithSpaces>
  <SharedDoc>false</SharedDoc>
  <HLinks>
    <vt:vector size="36" baseType="variant">
      <vt:variant>
        <vt:i4>4587637</vt:i4>
      </vt:variant>
      <vt:variant>
        <vt:i4>15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https://www.opm.gov/policy-data-oversight/pay-leave/salaries-wages/salary-tables/pdf/2021/DCB_h.pdf</vt:lpwstr>
      </vt:variant>
      <vt:variant>
        <vt:lpwstr/>
      </vt:variant>
      <vt:variant>
        <vt:i4>1638429</vt:i4>
      </vt:variant>
      <vt:variant>
        <vt:i4>12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https://www.opm.gov/policy-data-oversight/pay-leave/salaries-wages/salary-tables/pdf/2021/DCB.pdf</vt:lpwstr>
      </vt:variant>
      <vt:variant>
        <vt:lpwstr/>
      </vt:variant>
      <vt:variant>
        <vt:i4>1966149</vt:i4>
      </vt:variant>
      <vt:variant>
        <vt:i4>9</vt:i4>
      </vt:variant>
      <vt:variant>
        <vt:i4>0</vt:i4>
      </vt:variant>
      <vt:variant>
        <vt:i4>5</vt:i4>
      </vt:variant>
      <vt:variant>
        <vt:lpwstr>https://aspe.hhs.gov/pdf-report/guidelines-regulatory-impact-analysis</vt:lpwstr>
      </vt:variant>
      <vt:variant>
        <vt:lpwstr/>
      </vt:variant>
      <vt:variant>
        <vt:i4>4653106</vt:i4>
      </vt:variant>
      <vt:variant>
        <vt:i4>6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/>
      </vt:variant>
      <vt:variant>
        <vt:i4>4259905</vt:i4>
      </vt:variant>
      <vt:variant>
        <vt:i4>3</vt:i4>
      </vt:variant>
      <vt:variant>
        <vt:i4>0</vt:i4>
      </vt:variant>
      <vt:variant>
        <vt:i4>5</vt:i4>
      </vt:variant>
      <vt:variant>
        <vt:lpwstr>https://www.kff.org/infographic/medicaids-role-in-addressing-opioid-epidemic/</vt:lpwstr>
      </vt:variant>
      <vt:variant>
        <vt:lpwstr/>
      </vt:variant>
      <vt:variant>
        <vt:i4>262173</vt:i4>
      </vt:variant>
      <vt:variant>
        <vt:i4>0</vt:i4>
      </vt:variant>
      <vt:variant>
        <vt:i4>0</vt:i4>
      </vt:variant>
      <vt:variant>
        <vt:i4>5</vt:i4>
      </vt:variant>
      <vt:variant>
        <vt:lpwstr>https://store.samhsa.gov/product/Medicaid-Coverage-of-Medication-Assisted-Treatment-for-Alcohol-and-Opioid-Use-Disorders-and-of-Medication-for-the-Reversal-of-Opioid-Overdose/SMA18-5093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Mitch Bryman</cp:lastModifiedBy>
  <cp:revision>2</cp:revision>
  <cp:lastPrinted>2021-05-12T18:36:00Z</cp:lastPrinted>
  <dcterms:created xsi:type="dcterms:W3CDTF">2022-02-22T18:01:00Z</dcterms:created>
  <dcterms:modified xsi:type="dcterms:W3CDTF">2022-02-22T18:01:00Z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-559376884</vt:i4>
  </property>
  <property fmtid="{D5CDD505-2E9C-101B-9397-08002B2CF9AE}" pid="3" name="_NewReviewCycle">
    <vt:lpwstr/>
  </property>
  <property fmtid="{D5CDD505-2E9C-101B-9397-08002B2CF9AE}" pid="4" name="_EmailSubject">
    <vt:lpwstr>REVISED E-MAIL - Steps for Completing PRA Package for CMS-2370-P</vt:lpwstr>
  </property>
  <property fmtid="{D5CDD505-2E9C-101B-9397-08002B2CF9AE}" pid="5" name="_AuthorEmail">
    <vt:lpwstr>Mitch.Bryman@cms.hhs.gov</vt:lpwstr>
  </property>
  <property fmtid="{D5CDD505-2E9C-101B-9397-08002B2CF9AE}" pid="6" name="_AuthorEmailDisplayName">
    <vt:lpwstr>Bryman, Mitch (CMS/OSORA)</vt:lpwstr>
  </property>
  <property fmtid="{D5CDD505-2E9C-101B-9397-08002B2CF9AE}" pid="7" name="_ReviewingToolsShownOnce">
    <vt:lpwstr/>
  </property>
  <property fmtid="{D5CDD505-2E9C-101B-9397-08002B2CF9AE}" pid="8" name="n473dc68f4db4f1884ae0ab18d551932">
    <vt:lpwstr/>
  </property>
  <property fmtid="{D5CDD505-2E9C-101B-9397-08002B2CF9AE}" pid="9" name="f44d96efa86d44769079842688e62a8c">
    <vt:lpwstr/>
  </property>
  <property fmtid="{D5CDD505-2E9C-101B-9397-08002B2CF9AE}" pid="10" name="kb94d65396fe4703875eb7b0ce70ec9f">
    <vt:lpwstr/>
  </property>
  <property fmtid="{D5CDD505-2E9C-101B-9397-08002B2CF9AE}" pid="11" name="o396f846f59c4f03832a3ef2bd1eaf18">
    <vt:lpwstr/>
  </property>
  <property fmtid="{D5CDD505-2E9C-101B-9397-08002B2CF9AE}" pid="12" name="kfe3bac5d09b4177bb731c76b528c1af">
    <vt:lpwstr/>
  </property>
  <property fmtid="{D5CDD505-2E9C-101B-9397-08002B2CF9AE}" pid="13" name="ProposalTitle">
    <vt:lpwstr>Evaluation of the SUPPORT Act Section 1003 Demonstration Project to Increase Substance Use Provider Capacity</vt:lpwstr>
  </property>
  <property fmtid="{D5CDD505-2E9C-101B-9397-08002B2CF9AE}" pid="14" name="f690736f59c84fb7b0a79f60b70dbdbd">
    <vt:lpwstr/>
  </property>
  <property fmtid="{D5CDD505-2E9C-101B-9397-08002B2CF9AE}" pid="15" name="afcf8941060341f29b5fe8c843a56e9f">
    <vt:lpwstr/>
  </property>
  <property fmtid="{D5CDD505-2E9C-101B-9397-08002B2CF9AE}" pid="16" name="m12ea18bb4aa40b3aca5c956af63f5e0">
    <vt:lpwstr/>
  </property>
  <property fmtid="{D5CDD505-2E9C-101B-9397-08002B2CF9AE}" pid="17" name="l0d1263536de40dfa46eb261d7005aa6">
    <vt:lpwstr/>
  </property>
  <property fmtid="{D5CDD505-2E9C-101B-9397-08002B2CF9AE}" pid="18" name="k33869f2622648e9a3da5991f8f52a42">
    <vt:lpwstr/>
  </property>
  <property fmtid="{D5CDD505-2E9C-101B-9397-08002B2CF9AE}" pid="19" name="cf43212e36604384a5f53b543af41f9a">
    <vt:lpwstr/>
  </property>
  <property fmtid="{D5CDD505-2E9C-101B-9397-08002B2CF9AE}" pid="20" name="Archive Date">
    <vt:lpwstr/>
  </property>
  <property fmtid="{D5CDD505-2E9C-101B-9397-08002B2CF9AE}" pid="21" name="Nav Link">
    <vt:lpwstr>, </vt:lpwstr>
  </property>
  <property fmtid="{D5CDD505-2E9C-101B-9397-08002B2CF9AE}" pid="22" name="Client Name">
    <vt:lpwstr/>
  </property>
  <property fmtid="{D5CDD505-2E9C-101B-9397-08002B2CF9AE}" pid="23" name="p2c596497a8d41688b73ba44762c43aa">
    <vt:lpwstr/>
  </property>
  <property fmtid="{D5CDD505-2E9C-101B-9397-08002B2CF9AE}" pid="24" name="feddb5b73a7647c9b908f455213834e5">
    <vt:lpwstr/>
  </property>
  <property fmtid="{D5CDD505-2E9C-101B-9397-08002B2CF9AE}" pid="25" name="ProposalDateCreated">
    <vt:lpwstr/>
  </property>
  <property fmtid="{D5CDD505-2E9C-101B-9397-08002B2CF9AE}" pid="26" name="db72ddd2e1ef45a39770b8c6aa8cfc15">
    <vt:lpwstr/>
  </property>
  <property fmtid="{D5CDD505-2E9C-101B-9397-08002B2CF9AE}" pid="27" name="d555435ff34844338d2f5c533c312e29">
    <vt:lpwstr/>
  </property>
  <property fmtid="{D5CDD505-2E9C-101B-9397-08002B2CF9AE}" pid="28" name="NORC PD Number">
    <vt:lpwstr>2020.165</vt:lpwstr>
  </property>
  <property fmtid="{D5CDD505-2E9C-101B-9397-08002B2CF9AE}" pid="29" name="l1f7780be7af4e04a394f6d30a4accf9">
    <vt:lpwstr/>
  </property>
  <property fmtid="{D5CDD505-2E9C-101B-9397-08002B2CF9AE}" pid="30" name="ProposalDateModified">
    <vt:lpwstr/>
  </property>
  <property fmtid="{D5CDD505-2E9C-101B-9397-08002B2CF9AE}" pid="31" name="Won">
    <vt:lpwstr/>
  </property>
  <property fmtid="{D5CDD505-2E9C-101B-9397-08002B2CF9AE}" pid="32" name="n2217e5f08364cd4acf84bf0a48e31c3">
    <vt:lpwstr/>
  </property>
  <property fmtid="{D5CDD505-2E9C-101B-9397-08002B2CF9AE}" pid="33" name="o83905e059d449e0aaf4a8a5c8c3fd5f">
    <vt:lpwstr/>
  </property>
  <property fmtid="{D5CDD505-2E9C-101B-9397-08002B2CF9AE}" pid="34" name="e41ca19ea9a64b00a1aeefef762496a1">
    <vt:lpwstr/>
  </property>
  <property fmtid="{D5CDD505-2E9C-101B-9397-08002B2CF9AE}" pid="35" name="mae4ce8972fa4a61b77d60ba7dae5f43">
    <vt:lpwstr/>
  </property>
  <property fmtid="{D5CDD505-2E9C-101B-9397-08002B2CF9AE}" pid="36" name="ca158c5648a04dc4808402f5a087cd98">
    <vt:lpwstr/>
  </property>
  <property fmtid="{D5CDD505-2E9C-101B-9397-08002B2CF9AE}" pid="37" name="l85ad28d6340439b98d4dca671c4c019">
    <vt:lpwstr/>
  </property>
  <property fmtid="{D5CDD505-2E9C-101B-9397-08002B2CF9AE}" pid="38" name="e5c3be9e4ca2456598d33720d36658a2">
    <vt:lpwstr/>
  </property>
  <property fmtid="{D5CDD505-2E9C-101B-9397-08002B2CF9AE}" pid="39" name="n01e2c881d86492296ce9970031a5bce">
    <vt:lpwstr/>
  </property>
  <property fmtid="{D5CDD505-2E9C-101B-9397-08002B2CF9AE}" pid="40" name="e2ff12e8a4a144c3871431fd1cce41d7">
    <vt:lpwstr/>
  </property>
  <property fmtid="{D5CDD505-2E9C-101B-9397-08002B2CF9AE}" pid="41" name="mdfb8baae0fe461080b35741c6fe77c7">
    <vt:lpwstr/>
  </property>
  <property fmtid="{D5CDD505-2E9C-101B-9397-08002B2CF9AE}" pid="42" name="o272171d23df4f6ca451ebe1526ca390">
    <vt:lpwstr/>
  </property>
  <property fmtid="{D5CDD505-2E9C-101B-9397-08002B2CF9AE}" pid="43" name="ContentTypeId">
    <vt:lpwstr>0x010100CDD54F59B81EDC48A2BCC6D03F2DA784</vt:lpwstr>
  </property>
  <property fmtid="{D5CDD505-2E9C-101B-9397-08002B2CF9AE}" pid="44" name="IT And Data Resources">
    <vt:lpwstr/>
  </property>
  <property fmtid="{D5CDD505-2E9C-101B-9397-08002B2CF9AE}" pid="45" name="Department Tags">
    <vt:lpwstr/>
  </property>
  <property fmtid="{D5CDD505-2E9C-101B-9397-08002B2CF9AE}" pid="46" name="Capability Tags">
    <vt:lpwstr/>
  </property>
  <property fmtid="{D5CDD505-2E9C-101B-9397-08002B2CF9AE}" pid="47" name="Data Software">
    <vt:lpwstr/>
  </property>
  <property fmtid="{D5CDD505-2E9C-101B-9397-08002B2CF9AE}" pid="48" name="Services and Capabilities">
    <vt:lpwstr/>
  </property>
  <property fmtid="{D5CDD505-2E9C-101B-9397-08002B2CF9AE}" pid="49" name="Relevant Populations">
    <vt:lpwstr/>
  </property>
  <property fmtid="{D5CDD505-2E9C-101B-9397-08002B2CF9AE}" pid="50" name="Component">
    <vt:lpwstr/>
  </property>
  <property fmtid="{D5CDD505-2E9C-101B-9397-08002B2CF9AE}" pid="51" name="Research Subjects">
    <vt:lpwstr/>
  </property>
  <property fmtid="{D5CDD505-2E9C-101B-9397-08002B2CF9AE}" pid="52" name="Analytic Activities">
    <vt:lpwstr/>
  </property>
  <property fmtid="{D5CDD505-2E9C-101B-9397-08002B2CF9AE}" pid="53" name="Project Tags">
    <vt:lpwstr/>
  </property>
  <property fmtid="{D5CDD505-2E9C-101B-9397-08002B2CF9AE}" pid="54" name="Survey Operations Resources">
    <vt:lpwstr/>
  </property>
  <property fmtid="{D5CDD505-2E9C-101B-9397-08002B2CF9AE}" pid="55" name="Tags">
    <vt:lpwstr/>
  </property>
  <property fmtid="{D5CDD505-2E9C-101B-9397-08002B2CF9AE}" pid="56" name="Subject Matter">
    <vt:lpwstr/>
  </property>
  <property fmtid="{D5CDD505-2E9C-101B-9397-08002B2CF9AE}" pid="57" name="Sampling And Design">
    <vt:lpwstr/>
  </property>
  <property fmtid="{D5CDD505-2E9C-101B-9397-08002B2CF9AE}" pid="58" name="Research Design">
    <vt:lpwstr/>
  </property>
  <property fmtid="{D5CDD505-2E9C-101B-9397-08002B2CF9AE}" pid="59" name="Location Tags">
    <vt:lpwstr/>
  </property>
  <property fmtid="{D5CDD505-2E9C-101B-9397-08002B2CF9AE}" pid="60" name="Country">
    <vt:lpwstr/>
  </property>
  <property fmtid="{D5CDD505-2E9C-101B-9397-08002B2CF9AE}" pid="61" name="Deliverables And Artifacts">
    <vt:lpwstr/>
  </property>
  <property fmtid="{D5CDD505-2E9C-101B-9397-08002B2CF9AE}" pid="62" name="Continent">
    <vt:lpwstr/>
  </property>
  <property fmtid="{D5CDD505-2E9C-101B-9397-08002B2CF9AE}" pid="63" name="Items Or Measures">
    <vt:lpwstr/>
  </property>
  <property fmtid="{D5CDD505-2E9C-101B-9397-08002B2CF9AE}" pid="64" name="Document Type">
    <vt:lpwstr/>
  </property>
  <property fmtid="{D5CDD505-2E9C-101B-9397-08002B2CF9AE}" pid="65" name="Project Type">
    <vt:lpwstr/>
  </property>
  <property fmtid="{D5CDD505-2E9C-101B-9397-08002B2CF9AE}" pid="66" name="Proposal Quality">
    <vt:lpwstr/>
  </property>
  <property fmtid="{D5CDD505-2E9C-101B-9397-08002B2CF9AE}" pid="67" name="Relevant Establishments">
    <vt:lpwstr/>
  </property>
  <property fmtid="{D5CDD505-2E9C-101B-9397-08002B2CF9AE}" pid="68" name="Basic Method">
    <vt:lpwstr/>
  </property>
  <property fmtid="{D5CDD505-2E9C-101B-9397-08002B2CF9AE}" pid="69" name="Topic Tags">
    <vt:lpwstr/>
  </property>
  <property fmtid="{D5CDD505-2E9C-101B-9397-08002B2CF9AE}" pid="70" name="Data Collection Activities">
    <vt:lpwstr/>
  </property>
</Properties>
</file>