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35D2D" w:rsidR="00EF486C" w:rsidP="00F35D2D" w:rsidRDefault="00FE444A" w14:paraId="7282F09D" w14:textId="32F9FE78">
      <w:pPr>
        <w:pStyle w:val="Title"/>
        <w:jc w:val="center"/>
        <w:rPr>
          <w:sz w:val="32"/>
          <w:szCs w:val="32"/>
        </w:rPr>
      </w:pPr>
      <w:r w:rsidRPr="00F35D2D">
        <w:rPr>
          <w:sz w:val="32"/>
          <w:szCs w:val="32"/>
        </w:rPr>
        <w:t>Supporting Statement – Part A</w:t>
      </w:r>
    </w:p>
    <w:p w:rsidRPr="00F35D2D" w:rsidR="00EF486C" w:rsidP="00F35D2D" w:rsidRDefault="00FE444A" w14:paraId="2455B1FF" w14:textId="3BA41896">
      <w:pPr>
        <w:pStyle w:val="Title"/>
        <w:jc w:val="center"/>
        <w:rPr>
          <w:sz w:val="32"/>
          <w:szCs w:val="32"/>
        </w:rPr>
      </w:pPr>
      <w:r w:rsidRPr="00F35D2D">
        <w:rPr>
          <w:sz w:val="32"/>
          <w:szCs w:val="32"/>
        </w:rPr>
        <w:t>Prior Authorization Process for Certain Durable Medical</w:t>
      </w:r>
    </w:p>
    <w:p w:rsidRPr="00F35D2D" w:rsidR="00EF486C" w:rsidP="00F35D2D" w:rsidRDefault="00FE444A" w14:paraId="069A39F7" w14:textId="215007EA">
      <w:pPr>
        <w:pStyle w:val="Title"/>
        <w:jc w:val="center"/>
        <w:rPr>
          <w:sz w:val="32"/>
          <w:szCs w:val="32"/>
        </w:rPr>
      </w:pPr>
      <w:r w:rsidRPr="00F35D2D">
        <w:rPr>
          <w:sz w:val="32"/>
          <w:szCs w:val="32"/>
        </w:rPr>
        <w:t>Equipment, Prosthetics, Orthotics, and Supplies (DMEPOS) Items</w:t>
      </w:r>
    </w:p>
    <w:p w:rsidRPr="00F35D2D" w:rsidR="00EF486C" w:rsidP="00F35D2D" w:rsidRDefault="00FE444A" w14:paraId="65AE604A" w14:textId="08F99511">
      <w:pPr>
        <w:pStyle w:val="Title"/>
        <w:jc w:val="center"/>
        <w:rPr>
          <w:sz w:val="32"/>
          <w:szCs w:val="32"/>
        </w:rPr>
      </w:pPr>
      <w:r w:rsidRPr="00F35D2D">
        <w:rPr>
          <w:sz w:val="32"/>
          <w:szCs w:val="32"/>
        </w:rPr>
        <w:t>(CMS-10524; OMB-0938-1293)</w:t>
      </w:r>
    </w:p>
    <w:p w:rsidRPr="007B0FD7" w:rsidR="00EF486C" w:rsidP="002F4A95" w:rsidRDefault="00FE444A" w14:paraId="3879DEDF" w14:textId="030A7841">
      <w:pPr>
        <w:pStyle w:val="Heading1"/>
        <w:ind w:left="115"/>
        <w:rPr>
          <w:u w:val="none"/>
        </w:rPr>
      </w:pPr>
      <w:r w:rsidRPr="007B0FD7">
        <w:rPr>
          <w:u w:val="none"/>
        </w:rPr>
        <w:t>General Instructions</w:t>
      </w:r>
      <w:r w:rsidRPr="007B0FD7" w:rsidR="002F4A95">
        <w:rPr>
          <w:u w:val="none"/>
        </w:rPr>
        <w:t xml:space="preserve"> </w:t>
      </w:r>
    </w:p>
    <w:p w:rsidRPr="007B0FD7" w:rsidR="002F4A95" w:rsidP="002F4A95" w:rsidRDefault="002F4A95" w14:paraId="43B3F48F" w14:textId="77777777"/>
    <w:p w:rsidRPr="007B0FD7" w:rsidR="00EF486C" w:rsidP="002F4A95" w:rsidRDefault="00FE444A" w14:paraId="4C83F50A" w14:textId="3D67D52F">
      <w:pPr>
        <w:pStyle w:val="ListParagraph"/>
        <w:numPr>
          <w:ilvl w:val="0"/>
          <w:numId w:val="2"/>
        </w:numPr>
        <w:spacing w:line="259" w:lineRule="auto"/>
        <w:rPr>
          <w:b/>
          <w:i/>
        </w:rPr>
      </w:pPr>
      <w:r w:rsidRPr="007B0FD7">
        <w:rPr>
          <w:b/>
          <w:i/>
        </w:rPr>
        <w:t>Background</w:t>
      </w:r>
      <w:r w:rsidRPr="007B0FD7" w:rsidR="002F4A95">
        <w:rPr>
          <w:b/>
          <w:i/>
        </w:rPr>
        <w:t xml:space="preserve"> </w:t>
      </w:r>
    </w:p>
    <w:p w:rsidR="002F4A95" w:rsidP="002F4A95" w:rsidRDefault="002F4A95" w14:paraId="52A274CE" w14:textId="77777777">
      <w:pPr>
        <w:spacing w:line="259" w:lineRule="auto"/>
        <w:ind w:left="101" w:firstLine="0"/>
      </w:pPr>
    </w:p>
    <w:p w:rsidR="00B50B25" w:rsidP="002F4A95" w:rsidRDefault="00FE444A" w14:paraId="6BF0A1D7" w14:textId="31CA0A21">
      <w:pPr>
        <w:ind w:left="547"/>
      </w:pPr>
      <w:r>
        <w:t xml:space="preserve">The CMS has had longstanding concerns about the improper payments related to DMEPOS items. The Department of Health and Human </w:t>
      </w:r>
      <w:r w:rsidR="00B360E4">
        <w:t xml:space="preserve">Services' </w:t>
      </w:r>
      <w:r>
        <w:t xml:space="preserve">Office of the Inspector General and the U.S. Government Accountability Office have published multiple reports indicating questionable billing practices by suppliers, inappropriate Medicare payments, and questionable utilization of DMEPOS items. The fiscal year (FY) </w:t>
      </w:r>
      <w:r w:rsidR="00550625">
        <w:t xml:space="preserve">2020 </w:t>
      </w:r>
      <w:r>
        <w:t>Medicare FFS program improper payment rate for the DMEPOS was</w:t>
      </w:r>
      <w:r w:rsidR="00685943">
        <w:t xml:space="preserve"> 31.8 %</w:t>
      </w:r>
      <w:r>
        <w:t xml:space="preserve">, accounting for over </w:t>
      </w:r>
      <w:r w:rsidR="00685943">
        <w:t>$2.8</w:t>
      </w:r>
      <w:r>
        <w:t xml:space="preserve"> billion in projected improper payments. </w:t>
      </w:r>
      <w:r w:rsidR="00B50B25">
        <w:t xml:space="preserve">As a result of these longstanding concerns, </w:t>
      </w:r>
      <w:r>
        <w:t xml:space="preserve">CMS </w:t>
      </w:r>
      <w:r w:rsidR="00B50B25">
        <w:t xml:space="preserve">has </w:t>
      </w:r>
      <w:r>
        <w:t>implemented several initiatives</w:t>
      </w:r>
      <w:r w:rsidR="00FB2184">
        <w:t xml:space="preserve"> </w:t>
      </w:r>
      <w:r w:rsidR="00606185">
        <w:t xml:space="preserve">to help combat fraud, waste, and abuse within the benefit, </w:t>
      </w:r>
      <w:r w:rsidR="00FB2184">
        <w:t>including prior authorization.</w:t>
      </w:r>
      <w:r w:rsidR="002F4A95">
        <w:t xml:space="preserve"> </w:t>
      </w:r>
    </w:p>
    <w:p w:rsidRPr="008F4C36" w:rsidR="002F4A95" w:rsidP="002F4A95" w:rsidRDefault="002F4A95" w14:paraId="2EF35028" w14:textId="77777777">
      <w:pPr>
        <w:ind w:left="547"/>
        <w:rPr>
          <w:szCs w:val="24"/>
        </w:rPr>
      </w:pPr>
    </w:p>
    <w:p w:rsidR="00EF486C" w:rsidP="002F4A95" w:rsidRDefault="00FE444A" w14:paraId="30352346" w14:textId="4A6BF072">
      <w:pPr>
        <w:ind w:left="552" w:firstLine="0"/>
      </w:pPr>
      <w:r>
        <w:t xml:space="preserve">CMS is continuing the use of prior authorization in fee for service Medicare. </w:t>
      </w:r>
      <w:bookmarkStart w:name="_Hlk78264981" w:id="0"/>
      <w:r>
        <w:t xml:space="preserve">Prior authorization is a process through which a request for provisional affirmation of coverage is submitted for review before an item is rendered to a Medicare patient and before a claim is submitted for payment. Prior authorization helps </w:t>
      </w:r>
      <w:r w:rsidR="00B360E4">
        <w:t>en</w:t>
      </w:r>
      <w:r>
        <w:t>sure that applicable Medicare coverage, payment, and coding rules are met before item(s) are rendered</w:t>
      </w:r>
      <w:r>
        <w:rPr>
          <w:sz w:val="20"/>
        </w:rPr>
        <w:t xml:space="preserve">. </w:t>
      </w:r>
      <w:r>
        <w:t>Prior to furnishing the item to the beneficiary and prior to submitting the claim for processing, a requester must submit a prior authorization request that includes evidence that the item complies with all applicable Medicare coverage, coding, and payment rules</w:t>
      </w:r>
      <w:bookmarkEnd w:id="0"/>
      <w:r>
        <w:t xml:space="preserve">. Consistent with § 414.234(d), such evidence must include the order, relevant information from the beneficiary's medical record, and relevant supplier-produced documentation. After receipt of all applicable required Medicare documentation, CMS or one of its review contractors will conduct a medical review and communicate a decision that provisionally affirms or non- affirms the request. </w:t>
      </w:r>
      <w:bookmarkStart w:name="_Hlk78265310" w:id="1"/>
      <w:r>
        <w:t xml:space="preserve">A provisional affirmative decision is a preliminary finding that a future claim submitted to Medicare for the DMEPOS item likely meets </w:t>
      </w:r>
      <w:r w:rsidR="00B360E4">
        <w:t xml:space="preserve">Medicare's </w:t>
      </w:r>
      <w:r>
        <w:t>coverage, coding, and payment requirements. Suppliers who receive a non-affirmative decision have unlimited resubmission opportunities.</w:t>
      </w:r>
      <w:bookmarkEnd w:id="1"/>
      <w:r w:rsidR="002F4A95">
        <w:t xml:space="preserve"> </w:t>
      </w:r>
    </w:p>
    <w:p w:rsidR="002F4A95" w:rsidP="002F4A95" w:rsidRDefault="002F4A95" w14:paraId="29F41EA8" w14:textId="77777777">
      <w:pPr>
        <w:ind w:left="552" w:firstLine="0"/>
      </w:pPr>
    </w:p>
    <w:p w:rsidR="002F4A95" w:rsidP="002F4A95" w:rsidRDefault="00FE444A" w14:paraId="04CE3ED1" w14:textId="77777777">
      <w:pPr>
        <w:ind w:left="547"/>
        <w:rPr>
          <w:i/>
          <w:szCs w:val="24"/>
        </w:rPr>
      </w:pPr>
      <w:r w:rsidRPr="003F6DE7">
        <w:rPr>
          <w:szCs w:val="24"/>
        </w:rPr>
        <w:t>The prior authorization demonstration for power mobility devices (PMDs) began in 2012 in 7 states with high incidences of fraudulent claims and improper payments.</w:t>
      </w:r>
      <w:r w:rsidR="00A10DAC">
        <w:rPr>
          <w:szCs w:val="24"/>
        </w:rPr>
        <w:t xml:space="preserve"> Because of significant cost savings, in</w:t>
      </w:r>
      <w:r w:rsidRPr="003F6DE7">
        <w:rPr>
          <w:szCs w:val="24"/>
        </w:rPr>
        <w:t xml:space="preserve"> 2014, the demonstration was expanded to 12 </w:t>
      </w:r>
      <w:r w:rsidRPr="003F6DE7">
        <w:rPr>
          <w:szCs w:val="24"/>
        </w:rPr>
        <w:lastRenderedPageBreak/>
        <w:t>additional states</w:t>
      </w:r>
      <w:r w:rsidR="00A10DAC">
        <w:rPr>
          <w:szCs w:val="24"/>
        </w:rPr>
        <w:t>.</w:t>
      </w:r>
      <w:r w:rsidR="00C53DE2">
        <w:rPr>
          <w:szCs w:val="24"/>
        </w:rPr>
        <w:t xml:space="preserve"> </w:t>
      </w:r>
      <w:r w:rsidR="00A10DAC">
        <w:rPr>
          <w:szCs w:val="24"/>
        </w:rPr>
        <w:t xml:space="preserve">The demonstration was </w:t>
      </w:r>
      <w:r w:rsidR="00643188">
        <w:rPr>
          <w:szCs w:val="24"/>
        </w:rPr>
        <w:t xml:space="preserve">initially </w:t>
      </w:r>
      <w:r w:rsidR="00A10DAC">
        <w:rPr>
          <w:szCs w:val="24"/>
        </w:rPr>
        <w:t>scheduled to end on August 31</w:t>
      </w:r>
      <w:r w:rsidRPr="00CF5886" w:rsidR="00A10DAC">
        <w:rPr>
          <w:szCs w:val="24"/>
          <w:vertAlign w:val="superscript"/>
        </w:rPr>
        <w:t>st</w:t>
      </w:r>
      <w:r w:rsidR="00A10DAC">
        <w:rPr>
          <w:szCs w:val="24"/>
        </w:rPr>
        <w:t>, 2015</w:t>
      </w:r>
      <w:r w:rsidR="001E1107">
        <w:rPr>
          <w:szCs w:val="24"/>
        </w:rPr>
        <w:t>,</w:t>
      </w:r>
      <w:r w:rsidR="00A10DAC">
        <w:rPr>
          <w:szCs w:val="24"/>
        </w:rPr>
        <w:t xml:space="preserve"> but was</w:t>
      </w:r>
      <w:r w:rsidR="004C46C9">
        <w:rPr>
          <w:szCs w:val="24"/>
        </w:rPr>
        <w:t xml:space="preserve"> </w:t>
      </w:r>
      <w:r w:rsidRPr="003F6DE7">
        <w:rPr>
          <w:szCs w:val="24"/>
        </w:rPr>
        <w:t xml:space="preserve">extended </w:t>
      </w:r>
      <w:r w:rsidR="00A10DAC">
        <w:rPr>
          <w:szCs w:val="24"/>
        </w:rPr>
        <w:t>to</w:t>
      </w:r>
      <w:r w:rsidRPr="003F6DE7">
        <w:rPr>
          <w:szCs w:val="24"/>
        </w:rPr>
        <w:t xml:space="preserve"> August 31, 2018</w:t>
      </w:r>
      <w:r w:rsidRPr="003F6DE7" w:rsidR="00B360E4">
        <w:rPr>
          <w:szCs w:val="24"/>
        </w:rPr>
        <w:t>,</w:t>
      </w:r>
      <w:r w:rsidRPr="003F6DE7">
        <w:rPr>
          <w:szCs w:val="24"/>
        </w:rPr>
        <w:t xml:space="preserve"> for all 19 states</w:t>
      </w:r>
      <w:r w:rsidRPr="003F6DE7">
        <w:rPr>
          <w:i/>
          <w:szCs w:val="24"/>
        </w:rPr>
        <w:t>.</w:t>
      </w:r>
      <w:r w:rsidR="002F4A95">
        <w:rPr>
          <w:i/>
          <w:szCs w:val="24"/>
        </w:rPr>
        <w:t xml:space="preserve"> </w:t>
      </w:r>
    </w:p>
    <w:p w:rsidRPr="00FB0F65" w:rsidR="007445DA" w:rsidP="002F4A95" w:rsidRDefault="00B360E4" w14:paraId="7E92F4F6" w14:textId="148D1E40">
      <w:pPr>
        <w:ind w:left="547"/>
      </w:pPr>
      <w:r w:rsidRPr="00FB0F65">
        <w:t xml:space="preserve">There were significant cost savings based on claims processed as </w:t>
      </w:r>
      <w:r w:rsidRPr="00FB0F65" w:rsidR="007445DA">
        <w:t>of August 31, 2018, monthly expenditures for the power mobility device</w:t>
      </w:r>
      <w:r w:rsidRPr="00FB0F65" w:rsidR="007445DA">
        <w:rPr>
          <w:spacing w:val="-14"/>
        </w:rPr>
        <w:t xml:space="preserve"> </w:t>
      </w:r>
      <w:r w:rsidRPr="00FB0F65" w:rsidR="007445DA">
        <w:t>codes included in the PMD demonstration decreased from:</w:t>
      </w:r>
    </w:p>
    <w:p w:rsidRPr="00FB0F65" w:rsidR="007445DA" w:rsidP="007445DA" w:rsidRDefault="007445DA" w14:paraId="66CC8983" w14:textId="77777777">
      <w:pPr>
        <w:pStyle w:val="Heading1"/>
        <w:keepNext w:val="0"/>
        <w:keepLines w:val="0"/>
        <w:widowControl w:val="0"/>
        <w:numPr>
          <w:ilvl w:val="0"/>
          <w:numId w:val="1"/>
        </w:numPr>
        <w:spacing w:before="77" w:after="0" w:line="240" w:lineRule="auto"/>
        <w:ind w:right="968"/>
        <w:rPr>
          <w:u w:val="none"/>
        </w:rPr>
      </w:pPr>
      <w:r w:rsidRPr="00FB0F65">
        <w:rPr>
          <w:u w:val="none"/>
        </w:rPr>
        <w:t>$11.5 million in September 2012 to</w:t>
      </w:r>
      <w:r w:rsidRPr="00FB0F65">
        <w:rPr>
          <w:spacing w:val="-6"/>
          <w:u w:val="none"/>
        </w:rPr>
        <w:t xml:space="preserve"> </w:t>
      </w:r>
      <w:r w:rsidRPr="00FB0F65">
        <w:rPr>
          <w:u w:val="none"/>
        </w:rPr>
        <w:t xml:space="preserve">$2.3 million by August 31, 2018 in the original 7 demonstration states, </w:t>
      </w:r>
    </w:p>
    <w:p w:rsidRPr="00FA1E81" w:rsidR="00FA1E81" w:rsidP="00FA1E81" w:rsidRDefault="007445DA" w14:paraId="4A8E9C83" w14:textId="0C89581F">
      <w:pPr>
        <w:pStyle w:val="Heading1"/>
        <w:keepNext w:val="0"/>
        <w:keepLines w:val="0"/>
        <w:widowControl w:val="0"/>
        <w:numPr>
          <w:ilvl w:val="0"/>
          <w:numId w:val="1"/>
        </w:numPr>
        <w:spacing w:before="77" w:after="0" w:line="240" w:lineRule="auto"/>
        <w:ind w:right="968"/>
      </w:pPr>
      <w:r w:rsidRPr="00FB0F65">
        <w:rPr>
          <w:u w:val="none"/>
        </w:rPr>
        <w:t>$10.4 million in September 2012</w:t>
      </w:r>
      <w:r w:rsidRPr="00FB0F65">
        <w:rPr>
          <w:spacing w:val="-13"/>
          <w:u w:val="none"/>
        </w:rPr>
        <w:t xml:space="preserve"> </w:t>
      </w:r>
      <w:r w:rsidRPr="00FB0F65">
        <w:rPr>
          <w:u w:val="none"/>
        </w:rPr>
        <w:t>to $2.2 million by August 31, 2018 in the 12 additional expansion states</w:t>
      </w:r>
      <w:r>
        <w:t>,</w:t>
      </w:r>
    </w:p>
    <w:p w:rsidRPr="008C7986" w:rsidR="007445DA" w:rsidP="007445DA" w:rsidRDefault="007445DA" w14:paraId="3727CACA" w14:textId="05620764">
      <w:pPr>
        <w:pStyle w:val="ListParagraph"/>
        <w:numPr>
          <w:ilvl w:val="0"/>
          <w:numId w:val="1"/>
        </w:numPr>
        <w:rPr>
          <w:rFonts w:ascii="Times New Roman" w:hAnsi="Times New Roman" w:eastAsia="Times New Roman"/>
          <w:sz w:val="24"/>
          <w:szCs w:val="24"/>
        </w:rPr>
      </w:pPr>
      <w:r>
        <w:t xml:space="preserve"> </w:t>
      </w:r>
      <w:r w:rsidRPr="008C7986">
        <w:rPr>
          <w:rFonts w:ascii="Times New Roman" w:hAnsi="Times New Roman" w:eastAsia="Times New Roman"/>
          <w:sz w:val="24"/>
          <w:szCs w:val="24"/>
        </w:rPr>
        <w:t>$9.7 million in September 2012 to $2.4 million by August 31, 2018 in the non-demonstration states.</w:t>
      </w:r>
    </w:p>
    <w:p w:rsidR="007445DA" w:rsidP="007445DA" w:rsidRDefault="007445DA" w14:paraId="0C9B72D7" w14:textId="77777777">
      <w:pPr>
        <w:spacing w:before="3" w:line="276" w:lineRule="exact"/>
        <w:ind w:left="480" w:right="968"/>
        <w:rPr>
          <w:position w:val="11"/>
          <w:sz w:val="16"/>
        </w:rPr>
      </w:pPr>
    </w:p>
    <w:p w:rsidR="00EF486C" w:rsidRDefault="00EF486C" w14:paraId="5C6C2541" w14:textId="40D7490D">
      <w:pPr>
        <w:ind w:left="547"/>
      </w:pPr>
    </w:p>
    <w:p w:rsidR="003F6DE7" w:rsidP="00FB0F65" w:rsidRDefault="006D2F12" w14:paraId="0F180491" w14:textId="665E64DF">
      <w:pPr>
        <w:pStyle w:val="Heading1"/>
        <w:spacing w:after="120"/>
        <w:ind w:left="540"/>
        <w:textAlignment w:val="baseline"/>
      </w:pPr>
      <w:r w:rsidRPr="00FB0F65">
        <w:rPr>
          <w:szCs w:val="24"/>
          <w:u w:val="none"/>
        </w:rPr>
        <w:t xml:space="preserve">On </w:t>
      </w:r>
      <w:r w:rsidRPr="00FB0F65" w:rsidR="003F6DE7">
        <w:rPr>
          <w:szCs w:val="24"/>
          <w:u w:val="none"/>
        </w:rPr>
        <w:t xml:space="preserve">December 30, 2015, CMS promulgated a final rule </w:t>
      </w:r>
      <w:hyperlink r:id="rId8">
        <w:r w:rsidRPr="00FB0F65" w:rsidR="003F6DE7">
          <w:rPr>
            <w:szCs w:val="24"/>
            <w:u w:val="none"/>
          </w:rPr>
          <w:t>(80 FR 81674)</w:t>
        </w:r>
      </w:hyperlink>
      <w:r w:rsidRPr="00FB0F65" w:rsidR="003F6DE7">
        <w:rPr>
          <w:szCs w:val="24"/>
          <w:u w:val="none"/>
        </w:rPr>
        <w:t xml:space="preserve"> titled,</w:t>
      </w:r>
      <w:r w:rsidRPr="00CD65AB" w:rsidR="003F6DE7">
        <w:rPr>
          <w:color w:val="auto"/>
          <w:szCs w:val="24"/>
        </w:rPr>
        <w:t xml:space="preserve"> </w:t>
      </w:r>
      <w:r w:rsidRPr="00CD65AB" w:rsidR="003F6DE7">
        <w:rPr>
          <w:color w:val="auto"/>
          <w:szCs w:val="24"/>
          <w:u w:val="none"/>
        </w:rPr>
        <w:t>"Medicare Program; Prior Authorization Process for Certain Durable Medical Equipment, Prosthetics, Orthotics, and Supplies,</w:t>
      </w:r>
      <w:r w:rsidR="003F6DE7">
        <w:rPr>
          <w:color w:val="auto"/>
          <w:szCs w:val="24"/>
          <w:u w:val="none"/>
        </w:rPr>
        <w:t xml:space="preserve"> </w:t>
      </w:r>
      <w:r w:rsidRPr="00FB0F65" w:rsidR="003F6DE7">
        <w:rPr>
          <w:u w:val="none"/>
        </w:rPr>
        <w:t>that established a national prior authorization process as a condition of payment for certain durable medical equipment, prosthetics, orthotics, and supplies and created a "Master List" CMS created a "Master List" of items that are potentially subject to prior authorization</w:t>
      </w:r>
      <w:r w:rsidRPr="00FB0F65" w:rsidR="006E06E9">
        <w:rPr>
          <w:u w:val="none"/>
        </w:rPr>
        <w:t>.</w:t>
      </w:r>
      <w:r w:rsidR="002B3BDE">
        <w:t xml:space="preserve"> </w:t>
      </w:r>
      <w:r w:rsidRPr="00FB0F65" w:rsidR="002B3BDE">
        <w:rPr>
          <w:u w:val="none"/>
        </w:rPr>
        <w:t>Under this authority</w:t>
      </w:r>
      <w:r w:rsidR="001E1107">
        <w:rPr>
          <w:u w:val="none"/>
        </w:rPr>
        <w:t xml:space="preserve">, in 2017, CMS added two types of PMDs not already subject to the prior authorization under the demonstration to the Required Prior Authorization List. </w:t>
      </w:r>
    </w:p>
    <w:p w:rsidRPr="00B000FB" w:rsidR="0025712C" w:rsidP="0025712C" w:rsidRDefault="0025712C" w14:paraId="6EEE9421" w14:textId="7B6AB70A">
      <w:pPr>
        <w:pStyle w:val="NormalWeb"/>
        <w:shd w:val="clear" w:color="auto" w:fill="FFFFFF"/>
        <w:spacing w:before="0" w:beforeAutospacing="0" w:after="288" w:afterAutospacing="0"/>
        <w:ind w:left="540"/>
      </w:pPr>
      <w:r w:rsidRPr="00B000FB">
        <w:rPr>
          <w:shd w:val="clear" w:color="auto" w:fill="FFFFFF"/>
        </w:rPr>
        <w:t xml:space="preserve">On September 1, 2018, </w:t>
      </w:r>
      <w:r w:rsidRPr="00B000FB" w:rsidR="001E1107">
        <w:rPr>
          <w:shd w:val="clear" w:color="auto" w:fill="FFFFFF"/>
        </w:rPr>
        <w:t xml:space="preserve">after the conclusion of the demonstration, </w:t>
      </w:r>
      <w:r w:rsidRPr="00B000FB">
        <w:t xml:space="preserve">CMS added </w:t>
      </w:r>
      <w:r w:rsidRPr="00B000FB">
        <w:rPr>
          <w:shd w:val="clear" w:color="auto" w:fill="FFFFFF"/>
        </w:rPr>
        <w:t xml:space="preserve">the </w:t>
      </w:r>
      <w:r w:rsidRPr="00B000FB">
        <w:rPr>
          <w:color w:val="000000"/>
          <w:shd w:val="clear" w:color="auto" w:fill="FFFFFF"/>
        </w:rPr>
        <w:t xml:space="preserve">31 </w:t>
      </w:r>
      <w:r w:rsidRPr="00B000FB">
        <w:rPr>
          <w:shd w:val="clear" w:color="auto" w:fill="FFFFFF"/>
        </w:rPr>
        <w:t>H</w:t>
      </w:r>
      <w:r w:rsidRPr="00B000FB">
        <w:t xml:space="preserve">ealthcare Common Procedure Coding System (HCPCS) codes </w:t>
      </w:r>
      <w:r w:rsidRPr="00B000FB">
        <w:rPr>
          <w:color w:val="000000"/>
          <w:shd w:val="clear" w:color="auto" w:fill="FFFFFF"/>
        </w:rPr>
        <w:t>items</w:t>
      </w:r>
      <w:r w:rsidRPr="00B000FB">
        <w:rPr>
          <w:shd w:val="clear" w:color="auto" w:fill="FFFFFF"/>
        </w:rPr>
        <w:t xml:space="preserve"> that were</w:t>
      </w:r>
      <w:r w:rsidRPr="00B000FB">
        <w:rPr>
          <w:color w:val="000000"/>
          <w:shd w:val="clear" w:color="auto" w:fill="FFFFFF"/>
        </w:rPr>
        <w:t xml:space="preserve"> </w:t>
      </w:r>
      <w:r w:rsidRPr="00B000FB">
        <w:rPr>
          <w:shd w:val="clear" w:color="auto" w:fill="FFFFFF"/>
        </w:rPr>
        <w:t xml:space="preserve">part of the demonstration </w:t>
      </w:r>
      <w:r w:rsidRPr="00B000FB">
        <w:t xml:space="preserve">to the Required Prior Authorization List nationwide. </w:t>
      </w:r>
      <w:r w:rsidRPr="00B000FB">
        <w:rPr>
          <w:color w:val="000000"/>
        </w:rPr>
        <w:t xml:space="preserve">On July </w:t>
      </w:r>
      <w:r w:rsidRPr="00B000FB" w:rsidR="00F53999">
        <w:rPr>
          <w:color w:val="000000"/>
        </w:rPr>
        <w:t>22</w:t>
      </w:r>
      <w:r w:rsidRPr="00B000FB">
        <w:rPr>
          <w:color w:val="000000"/>
        </w:rPr>
        <w:t>, 2020, Pressure Reducing Support Surfaces (PRSS) and certain additional PMDs were also ad</w:t>
      </w:r>
      <w:r w:rsidRPr="00B000FB" w:rsidR="00B000FB">
        <w:rPr>
          <w:color w:val="000000"/>
        </w:rPr>
        <w:t xml:space="preserve">ded. </w:t>
      </w:r>
      <w:r w:rsidRPr="00FB0F65" w:rsidR="00B000FB">
        <w:rPr>
          <w:color w:val="000000"/>
          <w:shd w:val="clear" w:color="auto" w:fill="FFFFFF"/>
        </w:rPr>
        <w:t xml:space="preserve">Additionally, prior authorization </w:t>
      </w:r>
      <w:r w:rsidRPr="00FB0F65" w:rsidR="008D4EFF">
        <w:rPr>
          <w:color w:val="000000"/>
          <w:shd w:val="clear" w:color="auto" w:fill="FFFFFF"/>
        </w:rPr>
        <w:t>was</w:t>
      </w:r>
      <w:r w:rsidRPr="00FB0F65" w:rsidR="00B000FB">
        <w:rPr>
          <w:color w:val="000000"/>
          <w:shd w:val="clear" w:color="auto" w:fill="FFFFFF"/>
        </w:rPr>
        <w:t xml:space="preserve"> required for certain Lower Limb Prosthetics (L5856, L5857, L5858, L5973, L5980, and L5987), with dates of service on or after September 1, 2020 in California, Michigan, Pennsylvania, and Texas. On December 1, 2020, prior authorization for these codes were required in all of the remaining states and territories.</w:t>
      </w:r>
      <w:r w:rsidRPr="00B000FB" w:rsidR="00715E9A">
        <w:t xml:space="preserve"> </w:t>
      </w:r>
    </w:p>
    <w:p w:rsidRPr="007B0FD7" w:rsidR="00EF486C" w:rsidP="002F4A95" w:rsidRDefault="003F6DE7" w14:paraId="1C85875B" w14:textId="538D55A8">
      <w:pPr>
        <w:pStyle w:val="Heading1"/>
        <w:spacing w:after="120"/>
        <w:ind w:left="630" w:firstLine="0"/>
        <w:textAlignment w:val="baseline"/>
        <w:rPr>
          <w:color w:val="auto"/>
          <w:szCs w:val="24"/>
          <w:u w:val="none"/>
        </w:rPr>
      </w:pPr>
      <w:r w:rsidRPr="00FB0F65">
        <w:rPr>
          <w:color w:val="auto"/>
          <w:szCs w:val="24"/>
          <w:u w:val="none"/>
        </w:rPr>
        <w:lastRenderedPageBreak/>
        <w:t>On January 1</w:t>
      </w:r>
      <w:r w:rsidRPr="00FB0F65">
        <w:rPr>
          <w:color w:val="auto"/>
          <w:szCs w:val="24"/>
          <w:u w:val="none"/>
          <w:vertAlign w:val="superscript"/>
        </w:rPr>
        <w:t>st</w:t>
      </w:r>
      <w:r w:rsidRPr="00FB0F65">
        <w:rPr>
          <w:color w:val="auto"/>
          <w:szCs w:val="24"/>
          <w:u w:val="none"/>
        </w:rPr>
        <w:t>, 2020 CMS promulgated rule</w:t>
      </w:r>
      <w:r w:rsidR="007B0FD7">
        <w:rPr>
          <w:color w:val="auto"/>
          <w:szCs w:val="24"/>
          <w:u w:val="none"/>
        </w:rPr>
        <w:t xml:space="preserve"> </w:t>
      </w:r>
      <w:r w:rsidRPr="00FB0F65">
        <w:rPr>
          <w:color w:val="auto"/>
          <w:szCs w:val="24"/>
          <w:u w:val="none"/>
        </w:rPr>
        <w:t>(</w:t>
      </w:r>
      <w:r w:rsidRPr="007B0FD7">
        <w:rPr>
          <w:color w:val="auto"/>
          <w:szCs w:val="24"/>
          <w:u w:val="none"/>
        </w:rPr>
        <w:t>84 FR 60648)</w:t>
      </w:r>
      <w:r w:rsidRPr="00FB0F65">
        <w:rPr>
          <w:color w:val="auto"/>
          <w:szCs w:val="24"/>
          <w:u w:val="none"/>
        </w:rPr>
        <w:t xml:space="preserve"> Medicare Program; End-Stage Renal Disease Prospective Payment System, Payment for Renal Dialysis Services Furnished to Individuals With Acute Kidney Injury, End-Stage Renal Disease Quality Incentive Program, Durable Medical Equipment, Prosthetics, Orthotics and Supplies (DMEPOS) Fee Schedule Amounts, DMEPOS Competitive Bidding Program (CBP) Amendments, Standard Elements for a DMEPOS Order, and Master List of DMEPOS Items Potentially Subject to a Face-to-Face Encounter and Written Order Prior to Delivery and/or Prior Authorization Requirements.</w:t>
      </w:r>
      <w:r w:rsidRPr="00FB0F65" w:rsidR="00F260B6">
        <w:rPr>
          <w:color w:val="auto"/>
          <w:szCs w:val="24"/>
          <w:u w:val="none"/>
        </w:rPr>
        <w:t xml:space="preserve"> </w:t>
      </w:r>
      <w:r w:rsidRPr="007B0FD7">
        <w:rPr>
          <w:color w:val="auto"/>
          <w:szCs w:val="24"/>
          <w:u w:val="none"/>
        </w:rPr>
        <w:t>This rule streamlines the requirements for ordering DMEPOS items, and develops a new list of DMEPOS items potentially subject to a face-to-face encounter, written orders prior to delivery and/or prior authorization requirements.</w:t>
      </w:r>
      <w:r w:rsidRPr="007B0FD7" w:rsidR="00140A74">
        <w:rPr>
          <w:color w:val="auto"/>
          <w:szCs w:val="24"/>
          <w:u w:val="none"/>
        </w:rPr>
        <w:t xml:space="preserve"> </w:t>
      </w:r>
      <w:r w:rsidRPr="007B0FD7" w:rsidR="00886227">
        <w:rPr>
          <w:color w:val="auto"/>
          <w:szCs w:val="24"/>
          <w:u w:val="none"/>
        </w:rPr>
        <w:t xml:space="preserve">This rule allows CMS to capture more items on the </w:t>
      </w:r>
      <w:r w:rsidRPr="007B0FD7" w:rsidR="009F1D95">
        <w:rPr>
          <w:color w:val="auto"/>
          <w:szCs w:val="24"/>
          <w:u w:val="none"/>
        </w:rPr>
        <w:t>M</w:t>
      </w:r>
      <w:r w:rsidRPr="007B0FD7" w:rsidR="00886227">
        <w:rPr>
          <w:color w:val="auto"/>
          <w:szCs w:val="24"/>
          <w:u w:val="none"/>
        </w:rPr>
        <w:t xml:space="preserve">aster </w:t>
      </w:r>
      <w:r w:rsidRPr="007B0FD7" w:rsidR="009F1D95">
        <w:rPr>
          <w:color w:val="auto"/>
          <w:szCs w:val="24"/>
          <w:u w:val="none"/>
        </w:rPr>
        <w:t xml:space="preserve">List </w:t>
      </w:r>
      <w:r w:rsidRPr="007B0FD7" w:rsidR="00886227">
        <w:rPr>
          <w:color w:val="auto"/>
          <w:szCs w:val="24"/>
          <w:u w:val="none"/>
        </w:rPr>
        <w:t>that represent Medicare vulnerabilities.</w:t>
      </w:r>
      <w:r w:rsidRPr="007B0FD7" w:rsidR="002F4A95">
        <w:rPr>
          <w:color w:val="auto"/>
          <w:szCs w:val="24"/>
          <w:u w:val="none"/>
        </w:rPr>
        <w:t xml:space="preserve"> </w:t>
      </w:r>
      <w:r w:rsidR="005C114A">
        <w:rPr>
          <w:color w:val="auto"/>
          <w:szCs w:val="24"/>
          <w:u w:val="none"/>
        </w:rPr>
        <w:t>Pursuant to this rule we plan to add certain</w:t>
      </w:r>
      <w:r w:rsidR="005C114A">
        <w:rPr>
          <w:szCs w:val="24"/>
        </w:rPr>
        <w:t xml:space="preserve"> orthoses </w:t>
      </w:r>
      <w:r w:rsidR="005C114A">
        <w:rPr>
          <w:color w:val="auto"/>
          <w:szCs w:val="24"/>
          <w:u w:val="none"/>
        </w:rPr>
        <w:t>and power operated vehicles</w:t>
      </w:r>
      <w:r w:rsidRPr="007B0FD7" w:rsidR="005C114A">
        <w:rPr>
          <w:color w:val="auto"/>
          <w:szCs w:val="24"/>
          <w:u w:val="none"/>
        </w:rPr>
        <w:t xml:space="preserve"> </w:t>
      </w:r>
      <w:r w:rsidR="005C114A">
        <w:rPr>
          <w:color w:val="auto"/>
          <w:szCs w:val="24"/>
          <w:u w:val="none"/>
        </w:rPr>
        <w:t>on April 13, 2022.</w:t>
      </w:r>
      <w:r w:rsidR="00140A74">
        <w:rPr>
          <w:rStyle w:val="FootnoteReference"/>
          <w:color w:val="auto"/>
          <w:szCs w:val="24"/>
          <w:u w:val="none"/>
        </w:rPr>
        <w:footnoteReference w:id="1"/>
      </w:r>
      <w:r w:rsidR="00140A74">
        <w:rPr>
          <w:color w:val="auto"/>
          <w:szCs w:val="24"/>
          <w:u w:val="none"/>
        </w:rPr>
        <w:t xml:space="preserve"> </w:t>
      </w:r>
      <w:r w:rsidR="00303E15">
        <w:rPr>
          <w:color w:val="auto"/>
          <w:szCs w:val="24"/>
          <w:u w:val="none"/>
        </w:rPr>
        <w:t>On January 13, 2022, CMS published a Federal Register Notice</w:t>
      </w:r>
      <w:r w:rsidR="00640F78">
        <w:rPr>
          <w:color w:val="auto"/>
          <w:szCs w:val="24"/>
          <w:u w:val="none"/>
        </w:rPr>
        <w:t xml:space="preserve"> which adds certain</w:t>
      </w:r>
      <w:r w:rsidR="00640F78">
        <w:rPr>
          <w:szCs w:val="24"/>
        </w:rPr>
        <w:t xml:space="preserve"> orthoses </w:t>
      </w:r>
      <w:r w:rsidR="00640F78">
        <w:rPr>
          <w:color w:val="auto"/>
          <w:szCs w:val="24"/>
          <w:u w:val="none"/>
        </w:rPr>
        <w:t>and power operated vehicles</w:t>
      </w:r>
      <w:r w:rsidRPr="007B0FD7" w:rsidR="00640F78">
        <w:rPr>
          <w:color w:val="auto"/>
          <w:szCs w:val="24"/>
          <w:u w:val="none"/>
        </w:rPr>
        <w:t xml:space="preserve"> </w:t>
      </w:r>
      <w:r w:rsidR="00640F78">
        <w:rPr>
          <w:color w:val="auto"/>
          <w:szCs w:val="24"/>
          <w:u w:val="none"/>
        </w:rPr>
        <w:t>to the Required Prior Authorization List, beginning April 13, 2022.</w:t>
      </w:r>
      <w:r w:rsidR="00640F78">
        <w:rPr>
          <w:rStyle w:val="FootnoteReference"/>
          <w:color w:val="auto"/>
          <w:szCs w:val="24"/>
          <w:u w:val="none"/>
        </w:rPr>
        <w:footnoteReference w:id="2"/>
      </w:r>
      <w:r w:rsidR="00640F78">
        <w:rPr>
          <w:color w:val="auto"/>
          <w:szCs w:val="24"/>
          <w:u w:val="none"/>
        </w:rPr>
        <w:t xml:space="preserve"> </w:t>
      </w:r>
    </w:p>
    <w:p w:rsidRPr="007B0FD7" w:rsidR="00EF486C" w:rsidP="002F4A95" w:rsidRDefault="00FE444A" w14:paraId="13BB5F9C" w14:textId="7914F680">
      <w:pPr>
        <w:pStyle w:val="ListParagraph"/>
        <w:numPr>
          <w:ilvl w:val="0"/>
          <w:numId w:val="2"/>
        </w:numPr>
        <w:spacing w:line="259" w:lineRule="auto"/>
        <w:rPr>
          <w:b/>
        </w:rPr>
      </w:pPr>
      <w:r w:rsidRPr="007B0FD7">
        <w:rPr>
          <w:b/>
        </w:rPr>
        <w:t>Justification</w:t>
      </w:r>
      <w:r w:rsidRPr="007B0FD7" w:rsidR="002F4A95">
        <w:rPr>
          <w:b/>
        </w:rPr>
        <w:t xml:space="preserve"> </w:t>
      </w:r>
    </w:p>
    <w:p w:rsidRPr="007B0FD7" w:rsidR="002F4A95" w:rsidP="002F4A95" w:rsidRDefault="002F4A95" w14:paraId="7AF08B17" w14:textId="77777777">
      <w:pPr>
        <w:spacing w:line="259" w:lineRule="auto"/>
        <w:ind w:left="101" w:firstLine="0"/>
      </w:pPr>
    </w:p>
    <w:p w:rsidRPr="007B0FD7" w:rsidR="00EF486C" w:rsidP="002F4A95" w:rsidRDefault="00FE444A" w14:paraId="08F00141" w14:textId="37384C32">
      <w:pPr>
        <w:pStyle w:val="Heading1"/>
        <w:numPr>
          <w:ilvl w:val="0"/>
          <w:numId w:val="3"/>
        </w:numPr>
        <w:tabs>
          <w:tab w:val="center" w:pos="1572"/>
        </w:tabs>
        <w:rPr>
          <w:sz w:val="22"/>
          <w:u w:val="none"/>
        </w:rPr>
      </w:pPr>
      <w:r w:rsidRPr="007B0FD7">
        <w:rPr>
          <w:u w:val="none"/>
        </w:rPr>
        <w:t>Need and Legal Basis</w:t>
      </w:r>
      <w:r w:rsidRPr="007B0FD7" w:rsidR="002F4A95">
        <w:rPr>
          <w:sz w:val="22"/>
          <w:u w:val="none"/>
        </w:rPr>
        <w:t xml:space="preserve"> </w:t>
      </w:r>
    </w:p>
    <w:p w:rsidRPr="002F4A95" w:rsidR="002F4A95" w:rsidP="002F4A95" w:rsidRDefault="002F4A95" w14:paraId="7084F1AC" w14:textId="77777777">
      <w:pPr>
        <w:ind w:left="360" w:firstLine="0"/>
      </w:pPr>
    </w:p>
    <w:p w:rsidR="00EF486C" w:rsidP="002F4A95" w:rsidRDefault="00FE444A" w14:paraId="3981AD2B" w14:textId="15C857DE">
      <w:pPr>
        <w:ind w:left="471"/>
      </w:pPr>
      <w:r>
        <w:t>Section 1834(a)(15) of the Social Security Act (the Act) authorizes the Secretary to develop and periodically update a list of DMEPOS that the Secretary determines, on the basis of prior payment experience, are frequently subject to unnecessary utilization and to develop a prior authorization process for these items. Pursuant to this authority, CMS published final rule</w:t>
      </w:r>
      <w:r w:rsidR="00886227">
        <w:t>s</w:t>
      </w:r>
      <w:r>
        <w:t xml:space="preserve"> </w:t>
      </w:r>
      <w:r w:rsidR="00886227">
        <w:t>CMS-</w:t>
      </w:r>
      <w:r>
        <w:t xml:space="preserve">6050-F </w:t>
      </w:r>
      <w:r w:rsidR="00886227">
        <w:t>and CMS-1713-F.</w:t>
      </w:r>
      <w:r w:rsidR="002F4A95">
        <w:tab/>
      </w:r>
    </w:p>
    <w:p w:rsidR="002F4A95" w:rsidP="002F4A95" w:rsidRDefault="002F4A95" w14:paraId="41DFA602" w14:textId="77777777">
      <w:pPr>
        <w:ind w:left="471"/>
      </w:pPr>
    </w:p>
    <w:p w:rsidR="00EF486C" w:rsidP="002F4A95" w:rsidRDefault="00FE444A" w14:paraId="442B9BC8" w14:textId="4CFB0E52">
      <w:pPr>
        <w:ind w:left="468"/>
      </w:pPr>
      <w:r>
        <w:t xml:space="preserve">The </w:t>
      </w:r>
      <w:r w:rsidR="00B360E4">
        <w:t xml:space="preserve">Secretary's </w:t>
      </w:r>
      <w:r>
        <w:t xml:space="preserve">authority to request information supporting the prior authorization request was created by Section 1833(e) which states, in part, </w:t>
      </w:r>
      <w:r w:rsidR="00B360E4">
        <w:t>"</w:t>
      </w:r>
      <w:r>
        <w:t>no payment shall be made to any provider... unless there has been furnished such information as may be necessary in order to determine the amounts due such provider."</w:t>
      </w:r>
      <w:r w:rsidR="002F4A95">
        <w:t xml:space="preserve"> </w:t>
      </w:r>
    </w:p>
    <w:p w:rsidR="002F4A95" w:rsidP="002F4A95" w:rsidRDefault="002F4A95" w14:paraId="56614CCF" w14:textId="77777777">
      <w:pPr>
        <w:ind w:left="468"/>
      </w:pPr>
    </w:p>
    <w:p w:rsidR="00EF486C" w:rsidP="002F4A95" w:rsidRDefault="00FE444A" w14:paraId="318B968D" w14:textId="531C57BA">
      <w:pPr>
        <w:ind w:left="471"/>
      </w:pPr>
      <w:r>
        <w:t xml:space="preserve">The Department of Health and Human </w:t>
      </w:r>
      <w:r w:rsidR="00B360E4">
        <w:t xml:space="preserve">Services' </w:t>
      </w:r>
      <w:r>
        <w:t xml:space="preserve">Office of the Inspector General and the U.S. Government Accountability Office have published multiple reports indicating questionable billing practices by suppliers, inappropriate Medicare payments, and questionable utilization of DMEPOS items. The fiscal year (FY) </w:t>
      </w:r>
      <w:r w:rsidR="00B12846">
        <w:t xml:space="preserve">2020 </w:t>
      </w:r>
      <w:r>
        <w:lastRenderedPageBreak/>
        <w:t xml:space="preserve">Medicare FFS program improper payment rate for the DMEPOS was </w:t>
      </w:r>
      <w:r w:rsidR="00B12846">
        <w:t>31.8%</w:t>
      </w:r>
      <w:r w:rsidR="00715E9A">
        <w:t xml:space="preserve">, </w:t>
      </w:r>
      <w:r>
        <w:t>accounting for over $</w:t>
      </w:r>
      <w:r w:rsidR="00B12846">
        <w:t>2</w:t>
      </w:r>
      <w:r>
        <w:t>.7 billion in projected improper payments.</w:t>
      </w:r>
      <w:r w:rsidR="002F4A95">
        <w:t xml:space="preserve"> </w:t>
      </w:r>
    </w:p>
    <w:p w:rsidR="002F4A95" w:rsidP="002F4A95" w:rsidRDefault="002F4A95" w14:paraId="015E607A" w14:textId="77777777">
      <w:pPr>
        <w:ind w:left="471"/>
      </w:pPr>
    </w:p>
    <w:p w:rsidR="00EF486C" w:rsidP="002F4A95" w:rsidRDefault="00FE444A" w14:paraId="5EB2BB7C" w14:textId="6ED5F0B6">
      <w:pPr>
        <w:ind w:left="471"/>
      </w:pPr>
      <w:r>
        <w:t xml:space="preserve">Payment made when the item does not meet Medicare policy is an improper payment. It is important to keep in mind that all fraud is considered to be improper payment, but not all improper payments are fraud. Prior authorization is a tool utilized by private sector health care payers to prevent unnecessary utilization. </w:t>
      </w:r>
      <w:r w:rsidR="00B360E4">
        <w:t>CMSs</w:t>
      </w:r>
      <w:r w:rsidR="00D13847">
        <w:t>’</w:t>
      </w:r>
      <w:r w:rsidR="00B360E4">
        <w:t xml:space="preserve"> </w:t>
      </w:r>
      <w:r>
        <w:t xml:space="preserve">prior authorization </w:t>
      </w:r>
      <w:r w:rsidR="00D13847">
        <w:t xml:space="preserve">efforts </w:t>
      </w:r>
      <w:r>
        <w:t>ha</w:t>
      </w:r>
      <w:r w:rsidR="00D13847">
        <w:t>ve</w:t>
      </w:r>
      <w:r>
        <w:t xml:space="preserve"> shown that prior authorization effectively prevents unnecessary utilization for Medicare as well. Consequently, we believe prior authorization for items on the Required Prior Authorization List, a subset of the Master List, prevent</w:t>
      </w:r>
      <w:r w:rsidR="00D13847">
        <w:t>s</w:t>
      </w:r>
      <w:r>
        <w:t xml:space="preserve"> </w:t>
      </w:r>
      <w:r w:rsidR="00D13847">
        <w:t xml:space="preserve">and </w:t>
      </w:r>
      <w:r>
        <w:t>reduce</w:t>
      </w:r>
      <w:r w:rsidR="00D13847">
        <w:t>s</w:t>
      </w:r>
      <w:r>
        <w:t xml:space="preserve"> improper payments for those items as well.</w:t>
      </w:r>
      <w:r w:rsidR="002F4A95">
        <w:t xml:space="preserve"> </w:t>
      </w:r>
    </w:p>
    <w:p w:rsidRPr="007B0FD7" w:rsidR="007B0FD7" w:rsidP="007B0FD7" w:rsidRDefault="007B0FD7" w14:paraId="3BB6D67C" w14:textId="77777777">
      <w:pPr>
        <w:pStyle w:val="Heading1"/>
        <w:tabs>
          <w:tab w:val="center" w:pos="1399"/>
        </w:tabs>
        <w:ind w:left="880" w:firstLine="0"/>
        <w:rPr>
          <w:sz w:val="22"/>
          <w:u w:val="none"/>
        </w:rPr>
      </w:pPr>
    </w:p>
    <w:p w:rsidRPr="007B0FD7" w:rsidR="00EF486C" w:rsidP="002F4A95" w:rsidRDefault="00FE444A" w14:paraId="75E6C164" w14:textId="0804D047">
      <w:pPr>
        <w:pStyle w:val="Heading1"/>
        <w:numPr>
          <w:ilvl w:val="0"/>
          <w:numId w:val="3"/>
        </w:numPr>
        <w:tabs>
          <w:tab w:val="center" w:pos="1399"/>
        </w:tabs>
        <w:rPr>
          <w:sz w:val="22"/>
          <w:u w:val="none"/>
        </w:rPr>
      </w:pPr>
      <w:r w:rsidRPr="007B0FD7">
        <w:rPr>
          <w:u w:val="none"/>
        </w:rPr>
        <w:t>Information Users</w:t>
      </w:r>
      <w:r w:rsidRPr="007B0FD7" w:rsidR="002F4A95">
        <w:rPr>
          <w:sz w:val="22"/>
          <w:u w:val="none"/>
        </w:rPr>
        <w:tab/>
      </w:r>
    </w:p>
    <w:p w:rsidRPr="007B0FD7" w:rsidR="002F4A95" w:rsidP="002F4A95" w:rsidRDefault="002F4A95" w14:paraId="459BDED2" w14:textId="77777777">
      <w:pPr>
        <w:ind w:left="360" w:firstLine="0"/>
      </w:pPr>
    </w:p>
    <w:p w:rsidRPr="007B0FD7" w:rsidR="00975AE2" w:rsidP="00FC7729" w:rsidRDefault="00975AE2" w14:paraId="2CEFC9EB" w14:textId="4D367470">
      <w:pPr>
        <w:pStyle w:val="BodyText"/>
        <w:tabs>
          <w:tab w:val="left" w:pos="540"/>
        </w:tabs>
        <w:spacing w:after="240"/>
        <w:ind w:left="450" w:right="518"/>
        <w:rPr>
          <w:rFonts w:eastAsia="MS Mincho" w:cs="Times New Roman"/>
        </w:rPr>
      </w:pPr>
      <w:r w:rsidRPr="007B0FD7">
        <w:rPr>
          <w:rFonts w:eastAsia="MS Mincho" w:cs="Times New Roman"/>
        </w:rPr>
        <w:t xml:space="preserve">The information required under this collection is used to determine proper payment </w:t>
      </w:r>
      <w:r w:rsidRPr="007B0FD7" w:rsidR="00D13847">
        <w:rPr>
          <w:rFonts w:eastAsia="MS Mincho" w:cs="Times New Roman"/>
        </w:rPr>
        <w:t xml:space="preserve">and coverage for DMEPOS items. </w:t>
      </w:r>
      <w:r w:rsidRPr="007B0FD7">
        <w:rPr>
          <w:rFonts w:eastAsia="MS Mincho" w:cs="Times New Roman"/>
        </w:rPr>
        <w:t xml:space="preserve"> The information requested includes all documents and information that </w:t>
      </w:r>
      <w:r w:rsidRPr="007B0FD7" w:rsidR="009E4832">
        <w:rPr>
          <w:rFonts w:eastAsia="MS Mincho" w:cs="Times New Roman"/>
        </w:rPr>
        <w:t xml:space="preserve">demonstrate </w:t>
      </w:r>
      <w:r w:rsidRPr="007B0FD7" w:rsidR="00D13847">
        <w:rPr>
          <w:rFonts w:eastAsia="MS Mincho" w:cs="Times New Roman"/>
        </w:rPr>
        <w:t>the DMEPOS item</w:t>
      </w:r>
      <w:r w:rsidRPr="007B0FD7">
        <w:rPr>
          <w:rFonts w:eastAsia="MS Mincho" w:cs="Times New Roman"/>
        </w:rPr>
        <w:t xml:space="preserve"> requested </w:t>
      </w:r>
      <w:r w:rsidRPr="007B0FD7" w:rsidR="00D13847">
        <w:rPr>
          <w:rFonts w:eastAsia="MS Mincho" w:cs="Times New Roman"/>
        </w:rPr>
        <w:t>is</w:t>
      </w:r>
      <w:r w:rsidRPr="007B0FD7">
        <w:rPr>
          <w:rFonts w:eastAsia="MS Mincho" w:cs="Times New Roman"/>
        </w:rPr>
        <w:t xml:space="preserve"> reasonable and necessary for the beneficiary</w:t>
      </w:r>
      <w:r w:rsidRPr="007B0FD7" w:rsidR="00D13847">
        <w:rPr>
          <w:rFonts w:eastAsia="MS Mincho" w:cs="Times New Roman"/>
        </w:rPr>
        <w:t xml:space="preserve"> and meets applicable Medicare requirements</w:t>
      </w:r>
      <w:r w:rsidRPr="007B0FD7">
        <w:rPr>
          <w:rFonts w:eastAsia="MS Mincho" w:cs="Times New Roman"/>
        </w:rPr>
        <w:t>. The documentation will be reviewed by trained registered nurses, therapists, or physician reviewers</w:t>
      </w:r>
      <w:r w:rsidRPr="007B0FD7" w:rsidR="009E4832">
        <w:rPr>
          <w:rFonts w:eastAsia="MS Mincho" w:cs="Times New Roman"/>
        </w:rPr>
        <w:t xml:space="preserve"> to determine </w:t>
      </w:r>
      <w:r w:rsidRPr="007B0FD7">
        <w:rPr>
          <w:rFonts w:eastAsia="MS Mincho" w:cs="Times New Roman"/>
        </w:rPr>
        <w:t xml:space="preserve">if </w:t>
      </w:r>
      <w:r w:rsidRPr="007B0FD7" w:rsidR="009E4832">
        <w:rPr>
          <w:rFonts w:eastAsia="MS Mincho" w:cs="Times New Roman"/>
        </w:rPr>
        <w:t>item(s) or service requested meets all applicable Medicare coverage, coding and payment rules</w:t>
      </w:r>
      <w:r w:rsidRPr="007B0FD7" w:rsidR="00DF5521">
        <w:rPr>
          <w:rFonts w:eastAsia="MS Mincho" w:cs="Times New Roman"/>
        </w:rPr>
        <w:t xml:space="preserve">. </w:t>
      </w:r>
    </w:p>
    <w:p w:rsidR="00EF486C" w:rsidP="002F4A95" w:rsidRDefault="00FE444A" w14:paraId="28B91A88" w14:textId="42606BC4">
      <w:pPr>
        <w:pStyle w:val="Heading1"/>
        <w:numPr>
          <w:ilvl w:val="0"/>
          <w:numId w:val="3"/>
        </w:numPr>
        <w:rPr>
          <w:u w:val="none"/>
        </w:rPr>
      </w:pPr>
      <w:r w:rsidRPr="007B0FD7">
        <w:rPr>
          <w:u w:val="none"/>
        </w:rPr>
        <w:t>Use of Information Technology</w:t>
      </w:r>
      <w:r w:rsidR="002F4A95">
        <w:rPr>
          <w:u w:val="none"/>
        </w:rPr>
        <w:t xml:space="preserve"> </w:t>
      </w:r>
    </w:p>
    <w:p w:rsidRPr="002F4A95" w:rsidR="002F4A95" w:rsidP="002F4A95" w:rsidRDefault="002F4A95" w14:paraId="1F9F6E8A" w14:textId="77777777">
      <w:pPr>
        <w:ind w:left="360" w:firstLine="0"/>
      </w:pPr>
    </w:p>
    <w:p w:rsidRPr="00E23601" w:rsidR="00DF5521" w:rsidP="00FC7729" w:rsidRDefault="00DF5521" w14:paraId="6D4479DE" w14:textId="2BE79AF2">
      <w:pPr>
        <w:pStyle w:val="BodyText"/>
        <w:spacing w:before="69" w:after="240"/>
        <w:ind w:left="540" w:right="447"/>
        <w:rPr>
          <w:rFonts w:cs="Times New Roman"/>
        </w:rPr>
      </w:pPr>
      <w:r w:rsidRPr="00132D2B">
        <w:rPr>
          <w:rFonts w:cs="Times New Roman"/>
          <w:spacing w:val="-7"/>
        </w:rPr>
        <w:t>Some</w:t>
      </w:r>
      <w:r w:rsidRPr="00132D2B">
        <w:rPr>
          <w:rFonts w:cs="Times New Roman"/>
          <w:spacing w:val="26"/>
        </w:rPr>
        <w:t xml:space="preserve"> </w:t>
      </w:r>
      <w:r w:rsidRPr="00132D2B">
        <w:rPr>
          <w:rFonts w:cs="Times New Roman"/>
          <w:spacing w:val="-4"/>
        </w:rPr>
        <w:t>of</w:t>
      </w:r>
      <w:r w:rsidRPr="00132D2B">
        <w:rPr>
          <w:rFonts w:cs="Times New Roman"/>
          <w:spacing w:val="5"/>
        </w:rPr>
        <w:t xml:space="preserve"> </w:t>
      </w:r>
      <w:r w:rsidRPr="00132D2B">
        <w:rPr>
          <w:rFonts w:cs="Times New Roman"/>
          <w:spacing w:val="-8"/>
        </w:rPr>
        <w:t>this</w:t>
      </w:r>
      <w:r w:rsidRPr="00132D2B">
        <w:rPr>
          <w:rFonts w:cs="Times New Roman"/>
          <w:spacing w:val="39"/>
        </w:rPr>
        <w:t xml:space="preserve"> </w:t>
      </w:r>
      <w:r w:rsidRPr="00132D2B">
        <w:rPr>
          <w:rFonts w:cs="Times New Roman"/>
          <w:spacing w:val="-7"/>
        </w:rPr>
        <w:t>collection</w:t>
      </w:r>
      <w:r>
        <w:rPr>
          <w:rFonts w:cs="Times New Roman"/>
          <w:spacing w:val="46"/>
        </w:rPr>
        <w:t xml:space="preserve"> </w:t>
      </w:r>
      <w:r w:rsidRPr="00132D2B">
        <w:rPr>
          <w:rFonts w:cs="Times New Roman"/>
          <w:spacing w:val="-4"/>
        </w:rPr>
        <w:t>of</w:t>
      </w:r>
      <w:r w:rsidRPr="00132D2B">
        <w:rPr>
          <w:rFonts w:cs="Times New Roman"/>
          <w:spacing w:val="20"/>
        </w:rPr>
        <w:t xml:space="preserve"> </w:t>
      </w:r>
      <w:r w:rsidRPr="00132D2B">
        <w:rPr>
          <w:rFonts w:cs="Times New Roman"/>
          <w:spacing w:val="-7"/>
        </w:rPr>
        <w:t>information</w:t>
      </w:r>
      <w:r w:rsidRPr="00132D2B">
        <w:rPr>
          <w:rFonts w:cs="Times New Roman"/>
          <w:spacing w:val="8"/>
        </w:rPr>
        <w:t xml:space="preserve"> </w:t>
      </w:r>
      <w:r w:rsidRPr="00132D2B">
        <w:rPr>
          <w:rFonts w:cs="Times New Roman"/>
          <w:spacing w:val="-6"/>
        </w:rPr>
        <w:t>could</w:t>
      </w:r>
      <w:r w:rsidRPr="00132D2B">
        <w:rPr>
          <w:rFonts w:cs="Times New Roman"/>
          <w:spacing w:val="29"/>
        </w:rPr>
        <w:t xml:space="preserve"> </w:t>
      </w:r>
      <w:r w:rsidRPr="00132D2B">
        <w:rPr>
          <w:rFonts w:cs="Times New Roman"/>
          <w:spacing w:val="-11"/>
        </w:rPr>
        <w:t>involve</w:t>
      </w:r>
      <w:r w:rsidRPr="00132D2B">
        <w:rPr>
          <w:rFonts w:cs="Times New Roman"/>
          <w:spacing w:val="26"/>
        </w:rPr>
        <w:t xml:space="preserve"> </w:t>
      </w:r>
      <w:r w:rsidRPr="00132D2B">
        <w:rPr>
          <w:rFonts w:cs="Times New Roman"/>
          <w:spacing w:val="-4"/>
        </w:rPr>
        <w:t>the</w:t>
      </w:r>
      <w:r w:rsidRPr="00132D2B">
        <w:rPr>
          <w:rFonts w:cs="Times New Roman"/>
          <w:spacing w:val="10"/>
        </w:rPr>
        <w:t xml:space="preserve"> </w:t>
      </w:r>
      <w:r w:rsidRPr="00132D2B">
        <w:rPr>
          <w:rFonts w:cs="Times New Roman"/>
          <w:spacing w:val="-2"/>
        </w:rPr>
        <w:t>use</w:t>
      </w:r>
      <w:r w:rsidRPr="00132D2B">
        <w:rPr>
          <w:rFonts w:cs="Times New Roman"/>
          <w:spacing w:val="10"/>
        </w:rPr>
        <w:t xml:space="preserve"> </w:t>
      </w:r>
      <w:r w:rsidRPr="00132D2B">
        <w:rPr>
          <w:rFonts w:cs="Times New Roman"/>
          <w:spacing w:val="-4"/>
        </w:rPr>
        <w:t>of</w:t>
      </w:r>
      <w:r w:rsidRPr="00132D2B">
        <w:rPr>
          <w:rFonts w:cs="Times New Roman"/>
          <w:spacing w:val="5"/>
        </w:rPr>
        <w:t xml:space="preserve"> </w:t>
      </w:r>
      <w:r w:rsidRPr="00132D2B">
        <w:rPr>
          <w:rFonts w:cs="Times New Roman"/>
          <w:spacing w:val="-5"/>
        </w:rPr>
        <w:t>electronic</w:t>
      </w:r>
      <w:r w:rsidRPr="00580406">
        <w:rPr>
          <w:spacing w:val="-5"/>
        </w:rPr>
        <w:t xml:space="preserve"> </w:t>
      </w:r>
      <w:r>
        <w:rPr>
          <w:rFonts w:cs="Times New Roman"/>
          <w:spacing w:val="-5"/>
        </w:rPr>
        <w:t>data</w:t>
      </w:r>
      <w:r>
        <w:rPr>
          <w:rFonts w:cs="Times New Roman"/>
          <w:spacing w:val="42"/>
        </w:rPr>
        <w:t xml:space="preserve"> </w:t>
      </w:r>
      <w:r w:rsidRPr="00132D2B">
        <w:rPr>
          <w:rFonts w:cs="Times New Roman"/>
          <w:spacing w:val="-4"/>
        </w:rPr>
        <w:t>or</w:t>
      </w:r>
      <w:r w:rsidRPr="00132D2B">
        <w:rPr>
          <w:rFonts w:cs="Times New Roman"/>
          <w:spacing w:val="5"/>
        </w:rPr>
        <w:t xml:space="preserve"> </w:t>
      </w:r>
      <w:r w:rsidRPr="00132D2B">
        <w:rPr>
          <w:rFonts w:cs="Times New Roman"/>
          <w:spacing w:val="-3"/>
        </w:rPr>
        <w:t>other</w:t>
      </w:r>
      <w:r w:rsidRPr="00132D2B">
        <w:rPr>
          <w:rFonts w:cs="Times New Roman"/>
          <w:spacing w:val="20"/>
        </w:rPr>
        <w:t xml:space="preserve"> </w:t>
      </w:r>
      <w:r w:rsidRPr="00132D2B">
        <w:rPr>
          <w:rFonts w:cs="Times New Roman"/>
          <w:spacing w:val="-4"/>
        </w:rPr>
        <w:t>forms</w:t>
      </w:r>
      <w:r w:rsidRPr="00132D2B">
        <w:rPr>
          <w:rFonts w:cs="Times New Roman"/>
          <w:spacing w:val="7"/>
        </w:rPr>
        <w:t xml:space="preserve"> </w:t>
      </w:r>
      <w:r w:rsidRPr="00132D2B" w:rsidR="00DA3396">
        <w:rPr>
          <w:rFonts w:cs="Times New Roman"/>
          <w:spacing w:val="-4"/>
        </w:rPr>
        <w:t>of</w:t>
      </w:r>
      <w:r w:rsidR="00DA3396">
        <w:rPr>
          <w:rFonts w:cs="Times New Roman"/>
          <w:spacing w:val="-4"/>
        </w:rPr>
        <w:t xml:space="preserve"> </w:t>
      </w:r>
      <w:r w:rsidRPr="00132D2B" w:rsidR="00DA3396">
        <w:rPr>
          <w:rFonts w:cs="Times New Roman"/>
          <w:spacing w:val="-48"/>
        </w:rPr>
        <w:t>information</w:t>
      </w:r>
      <w:r w:rsidRPr="00EC48BC">
        <w:rPr>
          <w:rFonts w:cs="Times New Roman"/>
          <w:spacing w:val="-7"/>
        </w:rPr>
        <w:t xml:space="preserve"> </w:t>
      </w:r>
      <w:r w:rsidRPr="00EC48BC">
        <w:rPr>
          <w:rFonts w:cs="Times New Roman"/>
          <w:spacing w:val="-6"/>
        </w:rPr>
        <w:t xml:space="preserve">technology </w:t>
      </w:r>
      <w:r w:rsidRPr="00EC48BC">
        <w:rPr>
          <w:rFonts w:cs="Times New Roman"/>
          <w:spacing w:val="2"/>
        </w:rPr>
        <w:t xml:space="preserve">at </w:t>
      </w:r>
      <w:r w:rsidRPr="00EC48BC">
        <w:rPr>
          <w:rFonts w:cs="Times New Roman"/>
          <w:spacing w:val="-4"/>
        </w:rPr>
        <w:t xml:space="preserve">the </w:t>
      </w:r>
      <w:r w:rsidRPr="0034588F">
        <w:rPr>
          <w:rFonts w:cs="Times New Roman"/>
          <w:spacing w:val="-5"/>
        </w:rPr>
        <w:t xml:space="preserve">discretion </w:t>
      </w:r>
      <w:r w:rsidRPr="00B07064">
        <w:rPr>
          <w:rFonts w:cs="Times New Roman"/>
          <w:spacing w:val="-4"/>
        </w:rPr>
        <w:t xml:space="preserve">of the </w:t>
      </w:r>
      <w:r w:rsidRPr="00B07064">
        <w:rPr>
          <w:rFonts w:cs="Times New Roman"/>
          <w:spacing w:val="-5"/>
        </w:rPr>
        <w:t xml:space="preserve">submitter. </w:t>
      </w:r>
      <w:r>
        <w:rPr>
          <w:rFonts w:cs="Times New Roman"/>
          <w:spacing w:val="3"/>
        </w:rPr>
        <w:t>Where available, p</w:t>
      </w:r>
      <w:r>
        <w:rPr>
          <w:rFonts w:cs="Times New Roman"/>
          <w:spacing w:val="-4"/>
        </w:rPr>
        <w:t xml:space="preserve">roviders may submit their </w:t>
      </w:r>
      <w:r w:rsidR="00B673C0">
        <w:rPr>
          <w:rFonts w:cs="Times New Roman"/>
          <w:spacing w:val="-4"/>
        </w:rPr>
        <w:t xml:space="preserve">prior authorization </w:t>
      </w:r>
      <w:r>
        <w:rPr>
          <w:rFonts w:cs="Times New Roman"/>
          <w:spacing w:val="-4"/>
        </w:rPr>
        <w:t xml:space="preserve">requests and/or other documentation </w:t>
      </w:r>
      <w:r w:rsidRPr="00F14031">
        <w:rPr>
          <w:rFonts w:cs="Times New Roman"/>
          <w:spacing w:val="-6"/>
        </w:rPr>
        <w:t>through</w:t>
      </w:r>
      <w:r w:rsidRPr="00F14031">
        <w:rPr>
          <w:rFonts w:cs="Times New Roman"/>
          <w:spacing w:val="44"/>
        </w:rPr>
        <w:t xml:space="preserve"> </w:t>
      </w:r>
      <w:r w:rsidRPr="00524071">
        <w:rPr>
          <w:rFonts w:cs="Times New Roman"/>
          <w:spacing w:val="-5"/>
        </w:rPr>
        <w:t>electronic</w:t>
      </w:r>
      <w:r w:rsidRPr="00524071">
        <w:rPr>
          <w:rFonts w:cs="Times New Roman"/>
          <w:spacing w:val="25"/>
        </w:rPr>
        <w:t xml:space="preserve"> </w:t>
      </w:r>
      <w:r w:rsidRPr="00524071">
        <w:rPr>
          <w:rFonts w:cs="Times New Roman"/>
        </w:rPr>
        <w:t xml:space="preserve">means. </w:t>
      </w:r>
      <w:r w:rsidRPr="00665377">
        <w:rPr>
          <w:rFonts w:cs="Times New Roman"/>
        </w:rPr>
        <w:t>CMS</w:t>
      </w:r>
      <w:r w:rsidRPr="00665377">
        <w:rPr>
          <w:rFonts w:cs="Times New Roman"/>
          <w:spacing w:val="14"/>
        </w:rPr>
        <w:t xml:space="preserve"> </w:t>
      </w:r>
      <w:r w:rsidRPr="008C1DB5">
        <w:rPr>
          <w:rFonts w:cs="Times New Roman"/>
          <w:spacing w:val="-4"/>
        </w:rPr>
        <w:t>offers electronic submission</w:t>
      </w:r>
      <w:r w:rsidRPr="00665377">
        <w:rPr>
          <w:rFonts w:cs="Times New Roman"/>
          <w:spacing w:val="9"/>
        </w:rPr>
        <w:t xml:space="preserve"> </w:t>
      </w:r>
      <w:r w:rsidRPr="00665377">
        <w:rPr>
          <w:rFonts w:cs="Times New Roman"/>
          <w:spacing w:val="-4"/>
        </w:rPr>
        <w:t>of</w:t>
      </w:r>
      <w:r w:rsidRPr="00665377">
        <w:rPr>
          <w:rFonts w:cs="Times New Roman"/>
          <w:spacing w:val="5"/>
        </w:rPr>
        <w:t xml:space="preserve"> </w:t>
      </w:r>
      <w:r w:rsidRPr="00665377">
        <w:rPr>
          <w:rFonts w:cs="Times New Roman"/>
          <w:spacing w:val="-4"/>
        </w:rPr>
        <w:t>medical</w:t>
      </w:r>
      <w:r w:rsidRPr="00665377">
        <w:rPr>
          <w:rFonts w:cs="Times New Roman"/>
          <w:spacing w:val="18"/>
        </w:rPr>
        <w:t xml:space="preserve"> </w:t>
      </w:r>
      <w:r w:rsidRPr="00665377">
        <w:rPr>
          <w:rFonts w:cs="Times New Roman"/>
          <w:spacing w:val="-5"/>
        </w:rPr>
        <w:t>documentation</w:t>
      </w:r>
      <w:r w:rsidRPr="00665377">
        <w:rPr>
          <w:rFonts w:cs="Times New Roman"/>
          <w:spacing w:val="6"/>
        </w:rPr>
        <w:t xml:space="preserve"> </w:t>
      </w:r>
      <w:r w:rsidRPr="00665377">
        <w:rPr>
          <w:rFonts w:cs="Times New Roman"/>
        </w:rPr>
        <w:t>(esMD)</w:t>
      </w:r>
      <w:r>
        <w:rPr>
          <w:rStyle w:val="FootnoteReference"/>
          <w:rFonts w:cs="Times New Roman"/>
        </w:rPr>
        <w:footnoteReference w:id="3"/>
      </w:r>
      <w:r>
        <w:rPr>
          <w:rFonts w:cs="Times New Roman"/>
          <w:spacing w:val="5"/>
        </w:rPr>
        <w:t xml:space="preserve"> and </w:t>
      </w:r>
      <w:r>
        <w:rPr>
          <w:rFonts w:cs="Times New Roman"/>
          <w:spacing w:val="-4"/>
        </w:rPr>
        <w:t>t</w:t>
      </w:r>
      <w:r w:rsidRPr="009413A1">
        <w:rPr>
          <w:rFonts w:cs="Times New Roman"/>
          <w:spacing w:val="-4"/>
        </w:rPr>
        <w:t>he</w:t>
      </w:r>
      <w:r w:rsidR="00B673C0">
        <w:rPr>
          <w:rFonts w:cs="Times New Roman"/>
          <w:spacing w:val="-4"/>
        </w:rPr>
        <w:t xml:space="preserve"> Medicare Administrative Contractors (MACs) </w:t>
      </w:r>
      <w:r w:rsidRPr="009413A1">
        <w:rPr>
          <w:rFonts w:cs="Times New Roman"/>
          <w:spacing w:val="-4"/>
        </w:rPr>
        <w:t>provide an electronic portal for providers to submit their documentatio</w:t>
      </w:r>
      <w:r>
        <w:rPr>
          <w:rFonts w:cs="Times New Roman"/>
          <w:spacing w:val="-4"/>
        </w:rPr>
        <w:t>n. Oth</w:t>
      </w:r>
      <w:r w:rsidR="00B673C0">
        <w:rPr>
          <w:rFonts w:cs="Times New Roman"/>
          <w:spacing w:val="-4"/>
        </w:rPr>
        <w:t>e</w:t>
      </w:r>
      <w:r>
        <w:rPr>
          <w:rFonts w:cs="Times New Roman"/>
          <w:spacing w:val="-4"/>
        </w:rPr>
        <w:t xml:space="preserve">r electronic means may include </w:t>
      </w:r>
      <w:r w:rsidR="00DA3396">
        <w:rPr>
          <w:rFonts w:cs="Times New Roman"/>
        </w:rPr>
        <w:t>standards-based</w:t>
      </w:r>
      <w:r>
        <w:rPr>
          <w:rFonts w:cs="Times New Roman"/>
        </w:rPr>
        <w:t xml:space="preserve"> application programming interfaces (APIs) such as Fast Healthcare Interoperability Resources (FHIR), or other interoperable technologies.  </w:t>
      </w:r>
    </w:p>
    <w:p w:rsidRPr="007B0FD7" w:rsidR="002F4A95" w:rsidP="002F4A95" w:rsidRDefault="00FE444A" w14:paraId="6656C7F6" w14:textId="77777777">
      <w:pPr>
        <w:pStyle w:val="Heading1"/>
        <w:ind w:left="115"/>
        <w:rPr>
          <w:u w:val="none"/>
        </w:rPr>
      </w:pPr>
      <w:r>
        <w:rPr>
          <w:u w:val="none"/>
        </w:rPr>
        <w:lastRenderedPageBreak/>
        <w:t>4</w:t>
      </w:r>
      <w:r w:rsidRPr="007B0FD7">
        <w:rPr>
          <w:u w:val="none"/>
        </w:rPr>
        <w:t>.</w:t>
      </w:r>
      <w:r w:rsidRPr="007B0FD7">
        <w:rPr>
          <w:rFonts w:ascii="Arial" w:hAnsi="Arial" w:eastAsia="Arial" w:cs="Arial"/>
          <w:u w:val="none"/>
        </w:rPr>
        <w:t xml:space="preserve"> </w:t>
      </w:r>
      <w:r w:rsidRPr="007B0FD7">
        <w:rPr>
          <w:u w:val="none"/>
        </w:rPr>
        <w:t>Duplication and Similar Information</w:t>
      </w:r>
      <w:r w:rsidRPr="007B0FD7" w:rsidR="002F4A95">
        <w:rPr>
          <w:u w:val="none"/>
        </w:rPr>
        <w:t xml:space="preserve"> </w:t>
      </w:r>
    </w:p>
    <w:p w:rsidRPr="007B0FD7" w:rsidR="002F4A95" w:rsidP="002F4A95" w:rsidRDefault="002F4A95" w14:paraId="688D9158" w14:textId="77777777">
      <w:pPr>
        <w:pStyle w:val="Heading1"/>
        <w:ind w:left="115"/>
        <w:rPr>
          <w:u w:val="none"/>
        </w:rPr>
      </w:pPr>
    </w:p>
    <w:p w:rsidRPr="007B0FD7" w:rsidR="00EF486C" w:rsidP="002F4A95" w:rsidRDefault="00FE444A" w14:paraId="6236C5D5" w14:textId="315D6F8F">
      <w:pPr>
        <w:pStyle w:val="Heading1"/>
        <w:ind w:left="115"/>
        <w:rPr>
          <w:u w:val="none"/>
        </w:rPr>
      </w:pPr>
      <w:r w:rsidRPr="007B0FD7">
        <w:rPr>
          <w:u w:val="none"/>
        </w:rPr>
        <w:t>CMS published final rule</w:t>
      </w:r>
      <w:r w:rsidRPr="007B0FD7" w:rsidR="00886227">
        <w:rPr>
          <w:u w:val="none"/>
        </w:rPr>
        <w:t>s CMS-6050-F and CMS-</w:t>
      </w:r>
      <w:r w:rsidRPr="007B0FD7" w:rsidR="00705F79">
        <w:rPr>
          <w:u w:val="none"/>
        </w:rPr>
        <w:t>1717</w:t>
      </w:r>
      <w:r w:rsidRPr="007B0FD7" w:rsidR="00886227">
        <w:rPr>
          <w:u w:val="none"/>
        </w:rPr>
        <w:t>-</w:t>
      </w:r>
      <w:r w:rsidRPr="007B0FD7" w:rsidR="00705F79">
        <w:rPr>
          <w:u w:val="none"/>
        </w:rPr>
        <w:t xml:space="preserve"> </w:t>
      </w:r>
      <w:r w:rsidRPr="007B0FD7">
        <w:rPr>
          <w:u w:val="none"/>
        </w:rPr>
        <w:t xml:space="preserve">F that requires prior authorization under the Medicare fee-for- service program for the list of items on the Required Prior Authorization List, a subset of the Master List. </w:t>
      </w:r>
      <w:r w:rsidRPr="007B0FD7" w:rsidR="00BF5B6C">
        <w:rPr>
          <w:u w:val="none"/>
        </w:rPr>
        <w:t xml:space="preserve">Prior authorization does not require any </w:t>
      </w:r>
      <w:r w:rsidRPr="007B0FD7" w:rsidR="00B360E4">
        <w:rPr>
          <w:u w:val="none"/>
        </w:rPr>
        <w:t xml:space="preserve">new or duplicative documentation </w:t>
      </w:r>
      <w:r w:rsidRPr="007B0FD7" w:rsidR="009F1D95">
        <w:rPr>
          <w:u w:val="none"/>
        </w:rPr>
        <w:t>than what the provider or supplier are already required to maintain for purposes of Medicare payment</w:t>
      </w:r>
      <w:r w:rsidRPr="007B0FD7">
        <w:rPr>
          <w:u w:val="none"/>
        </w:rPr>
        <w:t xml:space="preserve">. </w:t>
      </w:r>
      <w:r w:rsidRPr="007B0FD7" w:rsidR="00B673C0">
        <w:rPr>
          <w:spacing w:val="-4"/>
          <w:u w:val="none"/>
        </w:rPr>
        <w:t>CMS as a whole does not collect all of the information in any existing format.</w:t>
      </w:r>
    </w:p>
    <w:p w:rsidRPr="007B0FD7" w:rsidR="00EF486C" w:rsidRDefault="00FE444A" w14:paraId="6A5075FC" w14:textId="77777777">
      <w:pPr>
        <w:spacing w:after="0" w:line="259" w:lineRule="auto"/>
        <w:ind w:left="0" w:firstLine="0"/>
      </w:pPr>
      <w:r w:rsidRPr="007B0FD7">
        <w:rPr>
          <w:sz w:val="23"/>
        </w:rPr>
        <w:t xml:space="preserve"> </w:t>
      </w:r>
    </w:p>
    <w:p w:rsidRPr="007B0FD7" w:rsidR="00EF486C" w:rsidP="002F4A95" w:rsidRDefault="00FE444A" w14:paraId="2EF6F87C" w14:textId="6ECD97FF">
      <w:pPr>
        <w:pStyle w:val="Heading1"/>
        <w:ind w:left="115"/>
        <w:rPr>
          <w:u w:val="none"/>
        </w:rPr>
      </w:pPr>
      <w:r w:rsidRPr="007B0FD7">
        <w:rPr>
          <w:u w:val="none"/>
        </w:rPr>
        <w:t>5.</w:t>
      </w:r>
      <w:r w:rsidRPr="007B0FD7">
        <w:rPr>
          <w:rFonts w:ascii="Arial" w:hAnsi="Arial" w:eastAsia="Arial" w:cs="Arial"/>
          <w:u w:val="none"/>
        </w:rPr>
        <w:t xml:space="preserve"> </w:t>
      </w:r>
      <w:r w:rsidRPr="007B0FD7">
        <w:rPr>
          <w:u w:val="none"/>
        </w:rPr>
        <w:t>Small Businesses</w:t>
      </w:r>
      <w:r w:rsidRPr="007B0FD7" w:rsidR="002F4A95">
        <w:rPr>
          <w:u w:val="none"/>
        </w:rPr>
        <w:t xml:space="preserve"> </w:t>
      </w:r>
    </w:p>
    <w:p w:rsidRPr="002F4A95" w:rsidR="002F4A95" w:rsidP="002F4A95" w:rsidRDefault="002F4A95" w14:paraId="604CF31E" w14:textId="77777777"/>
    <w:p w:rsidR="00EF486C" w:rsidP="002F4A95" w:rsidRDefault="00FE444A" w14:paraId="5BFFEEDF" w14:textId="72AD39CB">
      <w:pPr>
        <w:spacing w:after="1" w:line="238" w:lineRule="auto"/>
        <w:ind w:left="547" w:right="182"/>
        <w:jc w:val="both"/>
      </w:pPr>
      <w:r>
        <w:t>This collection will impact small businesses or other entities to the extent that those small businesses order and bill Medicare for DMEPOS items on the Required Prior Authorization List. The retention and submission of required information by suppliers and physicians are routine business practices. We do not have the number of small business that will be impacted. This collection will only impact small business and all respondents in that they must work with providers to obtain the necessary medical documentation to support their claims.</w:t>
      </w:r>
      <w:r w:rsidR="002F4A95">
        <w:t xml:space="preserve"> </w:t>
      </w:r>
    </w:p>
    <w:p w:rsidR="002F4A95" w:rsidP="002F4A95" w:rsidRDefault="002F4A95" w14:paraId="7A8F05F9" w14:textId="77777777">
      <w:pPr>
        <w:spacing w:after="1" w:line="238" w:lineRule="auto"/>
        <w:ind w:left="547" w:right="182"/>
        <w:jc w:val="both"/>
      </w:pPr>
    </w:p>
    <w:p w:rsidRPr="007B0FD7" w:rsidR="00EF486C" w:rsidP="002F4A95" w:rsidRDefault="00FE444A" w14:paraId="192F3535" w14:textId="63F8391C">
      <w:pPr>
        <w:pStyle w:val="Heading1"/>
        <w:ind w:left="115"/>
        <w:rPr>
          <w:u w:val="none"/>
        </w:rPr>
      </w:pPr>
      <w:r>
        <w:rPr>
          <w:u w:val="none"/>
        </w:rPr>
        <w:t>6.</w:t>
      </w:r>
      <w:r>
        <w:rPr>
          <w:rFonts w:ascii="Arial" w:hAnsi="Arial" w:eastAsia="Arial" w:cs="Arial"/>
          <w:u w:val="none"/>
        </w:rPr>
        <w:t xml:space="preserve"> </w:t>
      </w:r>
      <w:r w:rsidRPr="007B0FD7">
        <w:rPr>
          <w:u w:val="none"/>
        </w:rPr>
        <w:t>Less Frequent Collection</w:t>
      </w:r>
      <w:r w:rsidRPr="007B0FD7" w:rsidR="002F4A95">
        <w:rPr>
          <w:u w:val="none"/>
        </w:rPr>
        <w:t xml:space="preserve"> </w:t>
      </w:r>
    </w:p>
    <w:p w:rsidRPr="007B0FD7" w:rsidR="002F4A95" w:rsidP="002F4A95" w:rsidRDefault="002F4A95" w14:paraId="44B3D77D" w14:textId="77777777"/>
    <w:p w:rsidRPr="007B0FD7" w:rsidR="00EF486C" w:rsidP="002F4A95" w:rsidRDefault="00FE444A" w14:paraId="2EA4D7EC" w14:textId="3361557D">
      <w:pPr>
        <w:ind w:left="547"/>
      </w:pPr>
      <w:r w:rsidRPr="007B0FD7">
        <w:t>Since this information is only collected when potential program vulnerability exists, less frequent collections of this information would be imprudent. CMS and its agents continue to refine their tools for identifying improper billing practices.</w:t>
      </w:r>
      <w:r w:rsidRPr="007B0FD7" w:rsidR="002F4A95">
        <w:t xml:space="preserve"> </w:t>
      </w:r>
    </w:p>
    <w:p w:rsidRPr="007B0FD7" w:rsidR="002F4A95" w:rsidP="002F4A95" w:rsidRDefault="002F4A95" w14:paraId="381979D9" w14:textId="77777777">
      <w:pPr>
        <w:ind w:left="547"/>
      </w:pPr>
    </w:p>
    <w:p w:rsidRPr="007B0FD7" w:rsidR="00EF486C" w:rsidRDefault="00FE444A" w14:paraId="04FC5799" w14:textId="77777777">
      <w:pPr>
        <w:pStyle w:val="Heading1"/>
        <w:ind w:left="115"/>
        <w:rPr>
          <w:u w:val="none"/>
        </w:rPr>
      </w:pPr>
      <w:r w:rsidRPr="007B0FD7">
        <w:rPr>
          <w:u w:val="none"/>
        </w:rPr>
        <w:t>7.</w:t>
      </w:r>
      <w:r w:rsidRPr="007B0FD7">
        <w:rPr>
          <w:rFonts w:ascii="Arial" w:hAnsi="Arial" w:eastAsia="Arial" w:cs="Arial"/>
          <w:u w:val="none"/>
        </w:rPr>
        <w:t xml:space="preserve"> </w:t>
      </w:r>
      <w:r w:rsidRPr="007B0FD7">
        <w:rPr>
          <w:u w:val="none"/>
        </w:rPr>
        <w:t xml:space="preserve">Special Circumstances </w:t>
      </w:r>
    </w:p>
    <w:p w:rsidRPr="007B0FD7" w:rsidR="003B777B" w:rsidP="00FC7729" w:rsidRDefault="003B777B" w14:paraId="5FB93A68" w14:textId="77777777"/>
    <w:p w:rsidRPr="007B0FD7" w:rsidR="00EF486C" w:rsidP="002F4A95" w:rsidRDefault="00FE444A" w14:paraId="57853B6E" w14:textId="681D9495">
      <w:pPr>
        <w:ind w:left="547"/>
      </w:pPr>
      <w:r w:rsidRPr="007B0FD7">
        <w:rPr>
          <w:b/>
        </w:rPr>
        <w:t xml:space="preserve">More often than quarterly </w:t>
      </w:r>
      <w:r w:rsidRPr="007B0FD7">
        <w:t>- This information is collected on an as-needed basis. That is, information is requested only when an entity submits a request for prior authorization for an eligible item</w:t>
      </w:r>
      <w:r w:rsidRPr="007B0FD7" w:rsidR="009A6EED">
        <w:t xml:space="preserve">, as required in CMS Final Rule </w:t>
      </w:r>
      <w:r w:rsidRPr="007B0FD7" w:rsidR="00DF5521">
        <w:t>1717</w:t>
      </w:r>
      <w:r w:rsidRPr="007B0FD7" w:rsidR="009A6EED">
        <w:t>-FC.</w:t>
      </w:r>
      <w:r w:rsidRPr="007B0FD7">
        <w:t xml:space="preserve"> Improper Medicare payments caused by overutilization may increase if not mitigated by the requirement for prior authorization.</w:t>
      </w:r>
      <w:r w:rsidRPr="007B0FD7" w:rsidR="002F4A95">
        <w:t xml:space="preserve"> </w:t>
      </w:r>
    </w:p>
    <w:p w:rsidRPr="007B0FD7" w:rsidR="002F4A95" w:rsidP="002F4A95" w:rsidRDefault="002F4A95" w14:paraId="51D9FAA9" w14:textId="77777777">
      <w:pPr>
        <w:ind w:left="547"/>
      </w:pPr>
    </w:p>
    <w:p w:rsidRPr="007B0FD7" w:rsidR="00EF486C" w:rsidP="002F4A95" w:rsidRDefault="00FE444A" w14:paraId="6C5BD2F3" w14:textId="42750CF7">
      <w:pPr>
        <w:ind w:left="547"/>
      </w:pPr>
      <w:r w:rsidRPr="007B0FD7">
        <w:rPr>
          <w:b/>
        </w:rPr>
        <w:t xml:space="preserve">More than original and two copies </w:t>
      </w:r>
      <w:r w:rsidRPr="007B0FD7">
        <w:t>- There is no requirement to submit more than 1 copy of the requested documentation.</w:t>
      </w:r>
      <w:r w:rsidRPr="007B0FD7" w:rsidR="002F4A95">
        <w:t xml:space="preserve"> </w:t>
      </w:r>
    </w:p>
    <w:p w:rsidRPr="007B0FD7" w:rsidR="002F4A95" w:rsidP="002F4A95" w:rsidRDefault="002F4A95" w14:paraId="1F7F38F9" w14:textId="77777777">
      <w:pPr>
        <w:ind w:left="547"/>
      </w:pPr>
    </w:p>
    <w:p w:rsidRPr="007B0FD7" w:rsidR="00EF486C" w:rsidP="002F4A95" w:rsidRDefault="00FE444A" w14:paraId="58D1DF67" w14:textId="0996E9E8">
      <w:pPr>
        <w:ind w:left="547"/>
      </w:pPr>
      <w:r w:rsidRPr="007B0FD7">
        <w:rPr>
          <w:b/>
        </w:rPr>
        <w:t xml:space="preserve">Retain records more than three years </w:t>
      </w:r>
      <w:r w:rsidRPr="007B0FD7">
        <w:t>- This estimate does not impose any new or additional record retention requirements beyond those requirements currently in place. Providers and suppliers are reminded that Medicare claims can be reopened for review at any time where fraud or improper payment is suspected, or within 4 years of an initial determination for good cause or within 1 year for any reason.</w:t>
      </w:r>
      <w:r w:rsidRPr="007B0FD7" w:rsidR="002F4A95">
        <w:t xml:space="preserve"> </w:t>
      </w:r>
    </w:p>
    <w:p w:rsidRPr="007B0FD7" w:rsidR="002F4A95" w:rsidP="002F4A95" w:rsidRDefault="002F4A95" w14:paraId="7D9831CF" w14:textId="77777777">
      <w:pPr>
        <w:ind w:left="547"/>
      </w:pPr>
    </w:p>
    <w:p w:rsidRPr="007B0FD7" w:rsidR="00EF486C" w:rsidP="002F4A95" w:rsidRDefault="00FE444A" w14:paraId="3781676F" w14:textId="0B4A443E">
      <w:pPr>
        <w:ind w:left="547"/>
      </w:pPr>
      <w:r w:rsidRPr="007B0FD7">
        <w:rPr>
          <w:b/>
        </w:rPr>
        <w:t xml:space="preserve">Conjunction with a statistical survey </w:t>
      </w:r>
      <w:r w:rsidRPr="007B0FD7">
        <w:t>- This information collection is not associated with a statistical survey.</w:t>
      </w:r>
      <w:r w:rsidRPr="007B0FD7" w:rsidR="002F4A95">
        <w:t xml:space="preserve"> </w:t>
      </w:r>
    </w:p>
    <w:p w:rsidRPr="007B0FD7" w:rsidR="002F4A95" w:rsidP="002F4A95" w:rsidRDefault="002F4A95" w14:paraId="3B28A7A9" w14:textId="77777777">
      <w:pPr>
        <w:ind w:left="547"/>
      </w:pPr>
    </w:p>
    <w:p w:rsidRPr="007B0FD7" w:rsidR="00EF486C" w:rsidP="002F4A95" w:rsidRDefault="00FE444A" w14:paraId="48F908E8" w14:textId="37E5799F">
      <w:pPr>
        <w:ind w:left="547" w:right="224"/>
      </w:pPr>
      <w:r w:rsidRPr="007B0FD7">
        <w:rPr>
          <w:b/>
        </w:rPr>
        <w:t xml:space="preserve">Use of statistical data classification </w:t>
      </w:r>
      <w:r w:rsidRPr="007B0FD7">
        <w:t>- This collection does not require a statistical data classification.</w:t>
      </w:r>
      <w:r w:rsidRPr="007B0FD7" w:rsidR="002F4A95">
        <w:t xml:space="preserve"> </w:t>
      </w:r>
    </w:p>
    <w:p w:rsidR="002F4A95" w:rsidP="002F4A95" w:rsidRDefault="002F4A95" w14:paraId="797787C6" w14:textId="77777777">
      <w:pPr>
        <w:ind w:left="547" w:right="224"/>
      </w:pPr>
    </w:p>
    <w:p w:rsidRPr="007B0FD7" w:rsidR="00EF486C" w:rsidP="002F4A95" w:rsidRDefault="00FE444A" w14:paraId="2D748B96" w14:textId="4CC19018">
      <w:pPr>
        <w:ind w:left="547"/>
      </w:pPr>
      <w:r w:rsidRPr="007B0FD7">
        <w:rPr>
          <w:b/>
        </w:rPr>
        <w:t xml:space="preserve">Pledge of confidentiality </w:t>
      </w:r>
      <w:r w:rsidRPr="007B0FD7">
        <w:t>- This collection does not require a pledge of confidentiality.</w:t>
      </w:r>
      <w:r w:rsidRPr="007B0FD7" w:rsidR="002F4A95">
        <w:t xml:space="preserve"> </w:t>
      </w:r>
    </w:p>
    <w:p w:rsidRPr="007B0FD7" w:rsidR="002F4A95" w:rsidP="002F4A95" w:rsidRDefault="002F4A95" w14:paraId="38C1B632" w14:textId="77777777">
      <w:pPr>
        <w:ind w:left="547"/>
      </w:pPr>
    </w:p>
    <w:p w:rsidRPr="007B0FD7" w:rsidR="00EF486C" w:rsidP="002F4A95" w:rsidRDefault="00FE444A" w14:paraId="252579F3" w14:textId="41A30EF0">
      <w:pPr>
        <w:ind w:left="547"/>
      </w:pPr>
      <w:r w:rsidRPr="007B0FD7">
        <w:rPr>
          <w:b/>
        </w:rPr>
        <w:t xml:space="preserve">Confidential Information </w:t>
      </w:r>
      <w:r w:rsidRPr="007B0FD7">
        <w:t>- The Health Insurance Portability and Accountability Act (HIPAA) Privacy Rule allows for the disclosure of health records for payment purposes. Medicare contractors are required to have procedures in place to ensure the protection of the health information provided.</w:t>
      </w:r>
      <w:r w:rsidRPr="007B0FD7" w:rsidR="002F4A95">
        <w:t xml:space="preserve"> </w:t>
      </w:r>
    </w:p>
    <w:p w:rsidRPr="007B0FD7" w:rsidR="002F4A95" w:rsidP="002F4A95" w:rsidRDefault="002F4A95" w14:paraId="2780DE90" w14:textId="77777777">
      <w:pPr>
        <w:ind w:left="547"/>
      </w:pPr>
    </w:p>
    <w:p w:rsidRPr="007B0FD7" w:rsidR="00EF486C" w:rsidP="002F4A95" w:rsidRDefault="00FE444A" w14:paraId="65BF1D5D" w14:textId="1A44CFD4">
      <w:pPr>
        <w:pStyle w:val="Heading1"/>
        <w:ind w:left="115"/>
        <w:rPr>
          <w:u w:val="none"/>
        </w:rPr>
      </w:pPr>
      <w:r w:rsidRPr="007B0FD7">
        <w:rPr>
          <w:u w:val="none"/>
        </w:rPr>
        <w:t>8.</w:t>
      </w:r>
      <w:r w:rsidRPr="007B0FD7">
        <w:rPr>
          <w:rFonts w:ascii="Arial" w:hAnsi="Arial" w:eastAsia="Arial" w:cs="Arial"/>
          <w:u w:val="none"/>
        </w:rPr>
        <w:t xml:space="preserve"> </w:t>
      </w:r>
      <w:r w:rsidRPr="007B0FD7">
        <w:rPr>
          <w:u w:val="none"/>
        </w:rPr>
        <w:t>Federal Register/Outside Consultation</w:t>
      </w:r>
      <w:r w:rsidRPr="007B0FD7" w:rsidR="002F4A95">
        <w:rPr>
          <w:u w:val="none"/>
        </w:rPr>
        <w:t xml:space="preserve"> </w:t>
      </w:r>
    </w:p>
    <w:p w:rsidRPr="007B0FD7" w:rsidR="002F4A95" w:rsidP="002F4A95" w:rsidRDefault="002F4A95" w14:paraId="5CE5ABB7" w14:textId="77777777"/>
    <w:p w:rsidR="005B7B6B" w:rsidP="005B7B6B" w:rsidRDefault="00FE444A" w14:paraId="2C6887C2" w14:textId="0EA8857A">
      <w:pPr>
        <w:pStyle w:val="NoSpacing"/>
      </w:pPr>
      <w:r w:rsidRPr="007B0FD7">
        <w:t xml:space="preserve">The 60-day Federal Notice was published in the Federal Register </w:t>
      </w:r>
      <w:r w:rsidR="005B7B6B">
        <w:t>(</w:t>
      </w:r>
      <w:r w:rsidRPr="005B7B6B" w:rsidR="005B7B6B">
        <w:t>86 FR 71502</w:t>
      </w:r>
      <w:r w:rsidR="005B7B6B">
        <w:t xml:space="preserve">) </w:t>
      </w:r>
      <w:r w:rsidRPr="007B0FD7">
        <w:t xml:space="preserve">on </w:t>
      </w:r>
      <w:r w:rsidR="005B7B6B">
        <w:t>12/16/2022.</w:t>
      </w:r>
    </w:p>
    <w:p w:rsidR="005B7B6B" w:rsidP="005B7B6B" w:rsidRDefault="005B7B6B" w14:paraId="7215460D" w14:textId="2F38C936">
      <w:pPr>
        <w:pStyle w:val="NoSpacing"/>
      </w:pPr>
      <w:r>
        <w:t xml:space="preserve">No comments were received. </w:t>
      </w:r>
    </w:p>
    <w:p w:rsidR="005B7B6B" w:rsidP="005B7B6B" w:rsidRDefault="005B7B6B" w14:paraId="308BDE08" w14:textId="00D1A257">
      <w:pPr>
        <w:pStyle w:val="NoSpacing"/>
      </w:pPr>
    </w:p>
    <w:p w:rsidR="005B7B6B" w:rsidP="005B7B6B" w:rsidRDefault="005B7B6B" w14:paraId="0CB551CA" w14:textId="7C592256">
      <w:pPr>
        <w:pStyle w:val="NoSpacing"/>
      </w:pPr>
      <w:r w:rsidRPr="007B0FD7">
        <w:t xml:space="preserve">The </w:t>
      </w:r>
      <w:r>
        <w:t>3</w:t>
      </w:r>
      <w:r w:rsidRPr="007B0FD7">
        <w:t xml:space="preserve">0-day Federal Notice was published in the Federal Register </w:t>
      </w:r>
      <w:r>
        <w:t>(</w:t>
      </w:r>
      <w:r w:rsidRPr="00C92C51" w:rsidR="00C92C51">
        <w:t>87 FR 12456</w:t>
      </w:r>
      <w:r>
        <w:t xml:space="preserve">) </w:t>
      </w:r>
      <w:r w:rsidRPr="007B0FD7">
        <w:t xml:space="preserve">on </w:t>
      </w:r>
      <w:r w:rsidR="00C92C51">
        <w:t>03/04/2022</w:t>
      </w:r>
      <w:r>
        <w:t>.</w:t>
      </w:r>
    </w:p>
    <w:p w:rsidRPr="007B0FD7" w:rsidR="00EF486C" w:rsidP="00FC7729" w:rsidRDefault="00FE444A" w14:paraId="6BA7364B" w14:textId="77777777">
      <w:pPr>
        <w:pStyle w:val="NoSpacing"/>
        <w:rPr>
          <w:color w:val="FF0000"/>
        </w:rPr>
      </w:pPr>
      <w:r w:rsidRPr="007B0FD7">
        <w:rPr>
          <w:color w:val="FF0000"/>
        </w:rPr>
        <w:t xml:space="preserve"> </w:t>
      </w:r>
    </w:p>
    <w:p w:rsidRPr="007B0FD7" w:rsidR="00EF486C" w:rsidP="00FC7729" w:rsidRDefault="00FE444A" w14:paraId="3E6A94C2" w14:textId="77777777">
      <w:pPr>
        <w:pStyle w:val="NoSpacing"/>
      </w:pPr>
      <w:r w:rsidRPr="007B0FD7">
        <w:t xml:space="preserve">No additional outside consultation was sought. </w:t>
      </w:r>
    </w:p>
    <w:p w:rsidRPr="007B0FD7" w:rsidR="00FE444A" w:rsidP="00FC7729" w:rsidRDefault="00FE444A" w14:paraId="19D9A946" w14:textId="77777777">
      <w:pPr>
        <w:pStyle w:val="NoSpacing"/>
      </w:pPr>
    </w:p>
    <w:p w:rsidRPr="007B0FD7" w:rsidR="00EF486C" w:rsidP="002F4A95" w:rsidRDefault="00FE444A" w14:paraId="7C7FE7BF" w14:textId="5F62F5AB">
      <w:pPr>
        <w:pStyle w:val="Heading1"/>
        <w:ind w:left="115"/>
        <w:rPr>
          <w:u w:val="none"/>
        </w:rPr>
      </w:pPr>
      <w:r w:rsidRPr="007B0FD7">
        <w:rPr>
          <w:u w:val="none"/>
        </w:rPr>
        <w:t>9.</w:t>
      </w:r>
      <w:r w:rsidRPr="007B0FD7">
        <w:rPr>
          <w:rFonts w:ascii="Arial" w:hAnsi="Arial" w:eastAsia="Arial" w:cs="Arial"/>
          <w:u w:val="none"/>
        </w:rPr>
        <w:t xml:space="preserve"> </w:t>
      </w:r>
      <w:r w:rsidRPr="007B0FD7">
        <w:rPr>
          <w:u w:val="none"/>
        </w:rPr>
        <w:t>Payments/Gifts to Respondents</w:t>
      </w:r>
      <w:r w:rsidRPr="007B0FD7" w:rsidR="002F4A95">
        <w:rPr>
          <w:u w:val="none"/>
        </w:rPr>
        <w:t xml:space="preserve"> </w:t>
      </w:r>
    </w:p>
    <w:p w:rsidRPr="007B0FD7" w:rsidR="002F4A95" w:rsidP="002F4A95" w:rsidRDefault="002F4A95" w14:paraId="727788AB" w14:textId="77777777"/>
    <w:p w:rsidRPr="007B0FD7" w:rsidR="00EF486C" w:rsidP="002F4A95" w:rsidRDefault="00FE444A" w14:paraId="2C8EC34B" w14:textId="26E50775">
      <w:pPr>
        <w:ind w:left="547"/>
      </w:pPr>
      <w:r w:rsidRPr="007B0FD7">
        <w:t>No payments or gifts will be given to respondents to encourage their response to any request for information under this control number.</w:t>
      </w:r>
      <w:r w:rsidRPr="007B0FD7" w:rsidR="002F4A95">
        <w:t xml:space="preserve"> </w:t>
      </w:r>
    </w:p>
    <w:p w:rsidRPr="007B0FD7" w:rsidR="002F4A95" w:rsidP="002F4A95" w:rsidRDefault="002F4A95" w14:paraId="3B5BE9D2" w14:textId="77777777">
      <w:pPr>
        <w:ind w:left="547"/>
      </w:pPr>
    </w:p>
    <w:p w:rsidRPr="007B0FD7" w:rsidR="00EF486C" w:rsidP="002F4A95" w:rsidRDefault="00FE444A" w14:paraId="625A556B" w14:textId="74EAE4C9">
      <w:pPr>
        <w:pStyle w:val="Heading1"/>
        <w:ind w:left="115"/>
        <w:rPr>
          <w:u w:val="none"/>
        </w:rPr>
      </w:pPr>
      <w:r w:rsidRPr="007B0FD7">
        <w:rPr>
          <w:u w:val="none"/>
        </w:rPr>
        <w:t>10.</w:t>
      </w:r>
      <w:r w:rsidRPr="007B0FD7">
        <w:rPr>
          <w:rFonts w:ascii="Arial" w:hAnsi="Arial" w:eastAsia="Arial" w:cs="Arial"/>
          <w:u w:val="none"/>
        </w:rPr>
        <w:t xml:space="preserve"> </w:t>
      </w:r>
      <w:r w:rsidRPr="007B0FD7">
        <w:rPr>
          <w:u w:val="none"/>
        </w:rPr>
        <w:t>Confidentiality</w:t>
      </w:r>
      <w:r w:rsidRPr="007B0FD7" w:rsidR="002F4A95">
        <w:rPr>
          <w:u w:val="none"/>
        </w:rPr>
        <w:t xml:space="preserve"> </w:t>
      </w:r>
    </w:p>
    <w:p w:rsidRPr="007B0FD7" w:rsidR="002F4A95" w:rsidP="002F4A95" w:rsidRDefault="002F4A95" w14:paraId="7257F132" w14:textId="77777777"/>
    <w:p w:rsidRPr="007B0FD7" w:rsidR="00EF486C" w:rsidP="002F4A95" w:rsidRDefault="00FE444A" w14:paraId="3BB25F3E" w14:textId="12DAEE1D">
      <w:pPr>
        <w:spacing w:after="55"/>
        <w:ind w:left="547"/>
      </w:pPr>
      <w:r w:rsidRPr="007B0FD7">
        <w:t>Medicare contractors will safeguard all protected health information collected in accordance with HIPAA and Privacy Act standards as applicable. Medicare contractors have procedures in place to ensure the protection of the health information provided. The Health Insurance Portability and Accountability Act (HIPAA) Privacy Rule allows for the disclosure of health records for payment purposes.</w:t>
      </w:r>
      <w:r w:rsidRPr="007B0FD7" w:rsidR="002F4A95">
        <w:t xml:space="preserve"> </w:t>
      </w:r>
    </w:p>
    <w:p w:rsidR="002F4A95" w:rsidP="002F4A95" w:rsidRDefault="002F4A95" w14:paraId="73ED824F" w14:textId="5D49E4A9">
      <w:pPr>
        <w:spacing w:after="55"/>
        <w:ind w:left="547"/>
        <w:rPr>
          <w:sz w:val="23"/>
        </w:rPr>
      </w:pPr>
    </w:p>
    <w:p w:rsidRPr="007B0FD7" w:rsidR="005B7B6B" w:rsidP="002F4A95" w:rsidRDefault="005B7B6B" w14:paraId="76D5FE4F" w14:textId="77777777">
      <w:pPr>
        <w:spacing w:after="55"/>
        <w:ind w:left="547"/>
        <w:rPr>
          <w:sz w:val="23"/>
        </w:rPr>
      </w:pPr>
    </w:p>
    <w:p w:rsidRPr="007B0FD7" w:rsidR="00EF486C" w:rsidP="002F4A95" w:rsidRDefault="00FE444A" w14:paraId="19C57531" w14:textId="01131E4A">
      <w:pPr>
        <w:pStyle w:val="Heading1"/>
        <w:ind w:left="115"/>
        <w:rPr>
          <w:u w:val="none"/>
        </w:rPr>
      </w:pPr>
      <w:r w:rsidRPr="007B0FD7">
        <w:rPr>
          <w:u w:val="none"/>
        </w:rPr>
        <w:lastRenderedPageBreak/>
        <w:t>11.</w:t>
      </w:r>
      <w:r w:rsidRPr="007B0FD7">
        <w:rPr>
          <w:rFonts w:ascii="Arial" w:hAnsi="Arial" w:eastAsia="Arial" w:cs="Arial"/>
          <w:u w:val="none"/>
        </w:rPr>
        <w:t xml:space="preserve"> </w:t>
      </w:r>
      <w:r w:rsidRPr="007B0FD7">
        <w:rPr>
          <w:u w:val="none"/>
        </w:rPr>
        <w:t>Sensitive Questions</w:t>
      </w:r>
      <w:r w:rsidRPr="007B0FD7" w:rsidR="002F4A95">
        <w:rPr>
          <w:u w:val="none"/>
        </w:rPr>
        <w:t xml:space="preserve"> </w:t>
      </w:r>
    </w:p>
    <w:p w:rsidRPr="007B0FD7" w:rsidR="002F4A95" w:rsidP="002F4A95" w:rsidRDefault="002F4A95" w14:paraId="557DB959" w14:textId="77777777"/>
    <w:p w:rsidRPr="007B0FD7" w:rsidR="00EF486C" w:rsidP="003A65AD" w:rsidRDefault="00FE444A" w14:paraId="38A7DA42" w14:textId="1742CB1B">
      <w:pPr>
        <w:ind w:left="547"/>
      </w:pPr>
      <w:r w:rsidRPr="007B0FD7">
        <w:t>There are no questions of a sensitive nature associated with this information collection.</w:t>
      </w:r>
      <w:r w:rsidRPr="007B0FD7" w:rsidR="003A65AD">
        <w:t xml:space="preserve"> </w:t>
      </w:r>
    </w:p>
    <w:p w:rsidRPr="007B0FD7" w:rsidR="003A65AD" w:rsidP="003A65AD" w:rsidRDefault="003A65AD" w14:paraId="787696C8" w14:textId="77777777">
      <w:pPr>
        <w:ind w:left="547"/>
      </w:pPr>
    </w:p>
    <w:p w:rsidRPr="007B0FD7" w:rsidR="00EF486C" w:rsidP="003A65AD" w:rsidRDefault="00FE444A" w14:paraId="61E82332" w14:textId="7BCF0D46">
      <w:pPr>
        <w:pStyle w:val="Heading1"/>
        <w:ind w:left="115"/>
        <w:rPr>
          <w:u w:val="none"/>
        </w:rPr>
      </w:pPr>
      <w:r w:rsidRPr="007B0FD7">
        <w:rPr>
          <w:u w:val="none"/>
        </w:rPr>
        <w:t>12.</w:t>
      </w:r>
      <w:r w:rsidRPr="007B0FD7">
        <w:rPr>
          <w:rFonts w:ascii="Arial" w:hAnsi="Arial" w:eastAsia="Arial" w:cs="Arial"/>
          <w:u w:val="none"/>
        </w:rPr>
        <w:t xml:space="preserve"> </w:t>
      </w:r>
      <w:r w:rsidRPr="007B0FD7">
        <w:rPr>
          <w:u w:val="none"/>
        </w:rPr>
        <w:t>Burden Estimates (Hours &amp; Wages)</w:t>
      </w:r>
      <w:r w:rsidRPr="007B0FD7" w:rsidR="003A65AD">
        <w:rPr>
          <w:u w:val="none"/>
        </w:rPr>
        <w:t xml:space="preserve"> </w:t>
      </w:r>
    </w:p>
    <w:p w:rsidRPr="003A65AD" w:rsidR="003A65AD" w:rsidP="003A65AD" w:rsidRDefault="003A65AD" w14:paraId="513D2AB8" w14:textId="77777777"/>
    <w:p w:rsidR="00EF486C" w:rsidP="003A65AD" w:rsidRDefault="00FE444A" w14:paraId="59A33119" w14:textId="522E0C86">
      <w:pPr>
        <w:ind w:left="547"/>
        <w:rPr>
          <w:i/>
        </w:rPr>
      </w:pPr>
      <w:r>
        <w:t>The burden associated with this demonstration is the time and effort necessary for the submitter to locate and obtain the supporting documentation for prior authorization request and to forward the materials to the MAC for review. CMS expects that this information will generally be maintained by providers as a normal course of business and that this information will be readily available. The documentation submitted must support medical necessity for the diagnosis or treatment of illness or injury or to improve the functioning of a malformed body member, Medicare benefit eligibility, and meet all other applicable Medicare statutory and regulatory requirements</w:t>
      </w:r>
      <w:r>
        <w:rPr>
          <w:i/>
        </w:rPr>
        <w:t>.</w:t>
      </w:r>
      <w:r w:rsidR="003A65AD">
        <w:rPr>
          <w:i/>
        </w:rPr>
        <w:t xml:space="preserve"> </w:t>
      </w:r>
    </w:p>
    <w:p w:rsidR="003A65AD" w:rsidP="003A65AD" w:rsidRDefault="003A65AD" w14:paraId="4BA35349" w14:textId="77777777">
      <w:pPr>
        <w:ind w:left="547"/>
      </w:pPr>
    </w:p>
    <w:p w:rsidRPr="003222EE" w:rsidR="00AD0951" w:rsidP="00AD0951" w:rsidRDefault="00AD0951" w14:paraId="1A22129A" w14:textId="77777777">
      <w:pPr>
        <w:pStyle w:val="BodyText"/>
        <w:spacing w:before="69"/>
        <w:ind w:left="540" w:right="321"/>
        <w:rPr>
          <w:rFonts w:cs="Times New Roman"/>
          <w:spacing w:val="-4"/>
        </w:rPr>
      </w:pPr>
      <w:r>
        <w:rPr>
          <w:rFonts w:cs="Times New Roman"/>
          <w:spacing w:val="-4"/>
        </w:rPr>
        <w:t>Wage Estimates:</w:t>
      </w:r>
    </w:p>
    <w:p w:rsidRPr="003222EE" w:rsidR="00AD0951" w:rsidP="00AD0951" w:rsidRDefault="00AD0951" w14:paraId="2830626E" w14:textId="461BB549">
      <w:pPr>
        <w:pStyle w:val="BodyText"/>
        <w:spacing w:before="69"/>
        <w:ind w:left="540" w:right="321"/>
        <w:rPr>
          <w:rFonts w:cs="Times New Roman"/>
          <w:spacing w:val="-4"/>
        </w:rPr>
      </w:pPr>
      <w:r w:rsidRPr="003222EE">
        <w:rPr>
          <w:rFonts w:cs="Times New Roman"/>
          <w:spacing w:val="-4"/>
        </w:rPr>
        <w:t>To derive average costs, we used data from the U.S. Bureau of Labor Statistics</w:t>
      </w:r>
      <w:r w:rsidR="00B360E4">
        <w:rPr>
          <w:rFonts w:cs="Times New Roman"/>
          <w:spacing w:val="-4"/>
        </w:rPr>
        <w:t>'</w:t>
      </w:r>
      <w:r w:rsidRPr="003222EE">
        <w:rPr>
          <w:rFonts w:cs="Times New Roman"/>
          <w:spacing w:val="-4"/>
        </w:rPr>
        <w:t xml:space="preserve"> (</w:t>
      </w:r>
      <w:hyperlink w:history="1" r:id="rId9">
        <w:r w:rsidRPr="00FC0F73">
          <w:rPr>
            <w:rStyle w:val="Hyperlink"/>
            <w:rFonts w:cs="Times New Roman"/>
            <w:spacing w:val="-4"/>
          </w:rPr>
          <w:t>May 20</w:t>
        </w:r>
        <w:r w:rsidR="003A5FA7">
          <w:rPr>
            <w:rStyle w:val="Hyperlink"/>
            <w:rFonts w:cs="Times New Roman"/>
            <w:spacing w:val="-4"/>
          </w:rPr>
          <w:t>20</w:t>
        </w:r>
        <w:r w:rsidRPr="00FC0F73">
          <w:rPr>
            <w:rStyle w:val="Hyperlink"/>
            <w:rFonts w:cs="Times New Roman"/>
            <w:spacing w:val="-4"/>
          </w:rPr>
          <w:t xml:space="preserve"> Occupational Employment Statistics report</w:t>
        </w:r>
      </w:hyperlink>
      <w:r>
        <w:rPr>
          <w:rFonts w:cs="Times New Roman"/>
          <w:spacing w:val="-4"/>
        </w:rPr>
        <w:t>)</w:t>
      </w:r>
      <w:r w:rsidRPr="003222EE">
        <w:rPr>
          <w:rFonts w:cs="Times New Roman"/>
          <w:spacing w:val="-4"/>
        </w:rPr>
        <w:t>. In this regard, the following table presents the mean hourly wage, the cost of fringe benefits and overhead (calculated at 100 percent of salary), and the adjusted hourly wage. Based on Bureau of Labor Statistics report (Miscellaneous Health care support occupations), we estimate an average hourly rate of $17.</w:t>
      </w:r>
      <w:r w:rsidR="003A5FA7">
        <w:rPr>
          <w:rFonts w:cs="Times New Roman"/>
          <w:spacing w:val="-4"/>
        </w:rPr>
        <w:t>60</w:t>
      </w:r>
      <w:r w:rsidRPr="003222EE">
        <w:rPr>
          <w:rFonts w:cs="Times New Roman"/>
          <w:spacing w:val="-4"/>
        </w:rPr>
        <w:t xml:space="preserve"> with a loaded rate of $3</w:t>
      </w:r>
      <w:r w:rsidR="003A5FA7">
        <w:rPr>
          <w:rFonts w:cs="Times New Roman"/>
          <w:spacing w:val="-4"/>
        </w:rPr>
        <w:t>5</w:t>
      </w:r>
      <w:r w:rsidRPr="003222EE">
        <w:rPr>
          <w:rFonts w:cs="Times New Roman"/>
          <w:spacing w:val="-4"/>
        </w:rPr>
        <w:t>.2</w:t>
      </w:r>
      <w:r w:rsidR="003A5FA7">
        <w:rPr>
          <w:rFonts w:cs="Times New Roman"/>
          <w:spacing w:val="-4"/>
        </w:rPr>
        <w:t>0</w:t>
      </w:r>
      <w:r>
        <w:rPr>
          <w:rFonts w:cs="Times New Roman"/>
          <w:spacing w:val="-4"/>
        </w:rPr>
        <w:t>.</w:t>
      </w:r>
    </w:p>
    <w:tbl>
      <w:tblPr>
        <w:tblStyle w:val="TableGrid0"/>
        <w:tblpPr w:leftFromText="180" w:rightFromText="180" w:vertAnchor="text" w:horzAnchor="margin" w:tblpY="607"/>
        <w:tblW w:w="10159" w:type="dxa"/>
        <w:tblLook w:val="04A0" w:firstRow="1" w:lastRow="0" w:firstColumn="1" w:lastColumn="0" w:noHBand="0" w:noVBand="1"/>
      </w:tblPr>
      <w:tblGrid>
        <w:gridCol w:w="2196"/>
        <w:gridCol w:w="2196"/>
        <w:gridCol w:w="1779"/>
        <w:gridCol w:w="2032"/>
        <w:gridCol w:w="1956"/>
      </w:tblGrid>
      <w:tr w:rsidR="00AD0951" w:rsidTr="00FC7729" w14:paraId="1FEC91D3" w14:textId="77777777">
        <w:tc>
          <w:tcPr>
            <w:tcW w:w="2196" w:type="dxa"/>
          </w:tcPr>
          <w:p w:rsidR="00AD0951" w:rsidP="00AD0951" w:rsidRDefault="00AD0951" w14:paraId="1375F1E9" w14:textId="77777777">
            <w:pPr>
              <w:tabs>
                <w:tab w:val="left" w:pos="0"/>
              </w:tabs>
              <w:ind w:right="321"/>
              <w:rPr>
                <w:szCs w:val="24"/>
              </w:rPr>
            </w:pPr>
            <w:r>
              <w:rPr>
                <w:szCs w:val="24"/>
              </w:rPr>
              <w:t>Occupation Title</w:t>
            </w:r>
          </w:p>
        </w:tc>
        <w:tc>
          <w:tcPr>
            <w:tcW w:w="2196" w:type="dxa"/>
          </w:tcPr>
          <w:p w:rsidR="00AD0951" w:rsidP="00AD0951" w:rsidRDefault="00AD0951" w14:paraId="2ECE20EE" w14:textId="77777777">
            <w:pPr>
              <w:tabs>
                <w:tab w:val="left" w:pos="0"/>
              </w:tabs>
              <w:ind w:right="321"/>
              <w:rPr>
                <w:szCs w:val="24"/>
              </w:rPr>
            </w:pPr>
            <w:r>
              <w:rPr>
                <w:szCs w:val="24"/>
              </w:rPr>
              <w:t>Occupation Code</w:t>
            </w:r>
          </w:p>
        </w:tc>
        <w:tc>
          <w:tcPr>
            <w:tcW w:w="1779" w:type="dxa"/>
          </w:tcPr>
          <w:p w:rsidR="00AD0951" w:rsidP="00AD0951" w:rsidRDefault="00AD0951" w14:paraId="34D22786" w14:textId="17E12C76">
            <w:pPr>
              <w:tabs>
                <w:tab w:val="left" w:pos="0"/>
              </w:tabs>
              <w:ind w:right="321"/>
              <w:rPr>
                <w:szCs w:val="24"/>
              </w:rPr>
            </w:pPr>
            <w:r>
              <w:rPr>
                <w:szCs w:val="24"/>
              </w:rPr>
              <w:t>Mean Hourly Wage (</w:t>
            </w:r>
            <w:r w:rsidR="00B01C6B">
              <w:rPr>
                <w:szCs w:val="24"/>
              </w:rPr>
              <w:t>$</w:t>
            </w:r>
            <w:r>
              <w:rPr>
                <w:szCs w:val="24"/>
              </w:rPr>
              <w:t>/hr)</w:t>
            </w:r>
          </w:p>
        </w:tc>
        <w:tc>
          <w:tcPr>
            <w:tcW w:w="2032" w:type="dxa"/>
          </w:tcPr>
          <w:p w:rsidR="00AD0951" w:rsidP="00AD0951" w:rsidRDefault="00AD0951" w14:paraId="7D430A14" w14:textId="77777777">
            <w:pPr>
              <w:tabs>
                <w:tab w:val="left" w:pos="0"/>
              </w:tabs>
              <w:ind w:right="321"/>
              <w:rPr>
                <w:szCs w:val="24"/>
              </w:rPr>
            </w:pPr>
            <w:r w:rsidRPr="00E13346">
              <w:rPr>
                <w:szCs w:val="24"/>
              </w:rPr>
              <w:t>Fringe Benefits and Overhead ($/hr)</w:t>
            </w:r>
          </w:p>
        </w:tc>
        <w:tc>
          <w:tcPr>
            <w:tcW w:w="1956" w:type="dxa"/>
          </w:tcPr>
          <w:p w:rsidR="00AD0951" w:rsidP="00AD0951" w:rsidRDefault="00AD0951" w14:paraId="0FE6AFA2" w14:textId="77777777">
            <w:pPr>
              <w:tabs>
                <w:tab w:val="left" w:pos="0"/>
              </w:tabs>
              <w:ind w:right="321"/>
              <w:rPr>
                <w:szCs w:val="24"/>
              </w:rPr>
            </w:pPr>
            <w:r w:rsidRPr="00E13346">
              <w:rPr>
                <w:szCs w:val="24"/>
              </w:rPr>
              <w:t>Adjusted Hourly Wage ($/hr)</w:t>
            </w:r>
          </w:p>
        </w:tc>
      </w:tr>
      <w:tr w:rsidR="00AD0951" w:rsidTr="00FC7729" w14:paraId="3244FE97" w14:textId="77777777">
        <w:tc>
          <w:tcPr>
            <w:tcW w:w="2196" w:type="dxa"/>
          </w:tcPr>
          <w:p w:rsidRPr="00D71C84" w:rsidR="00AD0951" w:rsidP="00B01C6B" w:rsidRDefault="008F28F8" w14:paraId="51A3196D" w14:textId="5BBED1B3">
            <w:pPr>
              <w:pStyle w:val="Heading2"/>
              <w:shd w:val="clear" w:color="auto" w:fill="FFFFFF"/>
              <w:spacing w:before="90" w:after="105" w:line="293" w:lineRule="atLeast"/>
              <w:outlineLvl w:val="1"/>
              <w:rPr>
                <w:szCs w:val="24"/>
              </w:rPr>
            </w:pPr>
            <w:r w:rsidRPr="00B01C6B">
              <w:rPr>
                <w:rFonts w:ascii="Times New Roman" w:hAnsi="Times New Roman" w:cs="Times New Roman"/>
                <w:bCs/>
                <w:color w:val="000000"/>
                <w:sz w:val="24"/>
                <w:szCs w:val="24"/>
              </w:rPr>
              <w:t>Healthcare Support Occupations</w:t>
            </w:r>
          </w:p>
        </w:tc>
        <w:tc>
          <w:tcPr>
            <w:tcW w:w="2196" w:type="dxa"/>
          </w:tcPr>
          <w:p w:rsidRPr="00FA1E81" w:rsidR="00AD0951" w:rsidP="00AD0951" w:rsidRDefault="008F28F8" w14:paraId="79135943" w14:textId="3BCA7499">
            <w:pPr>
              <w:tabs>
                <w:tab w:val="left" w:pos="0"/>
              </w:tabs>
              <w:ind w:right="321"/>
              <w:rPr>
                <w:szCs w:val="24"/>
              </w:rPr>
            </w:pPr>
            <w:r w:rsidRPr="00B01C6B">
              <w:rPr>
                <w:bCs/>
                <w:color w:val="202124"/>
                <w:szCs w:val="24"/>
                <w:shd w:val="clear" w:color="auto" w:fill="FFFFFF"/>
              </w:rPr>
              <w:t>31-0000</w:t>
            </w:r>
          </w:p>
        </w:tc>
        <w:tc>
          <w:tcPr>
            <w:tcW w:w="1779" w:type="dxa"/>
          </w:tcPr>
          <w:p w:rsidR="00AD0951" w:rsidP="00AD0951" w:rsidRDefault="00AD0951" w14:paraId="76546A67" w14:textId="036393F8">
            <w:pPr>
              <w:tabs>
                <w:tab w:val="left" w:pos="0"/>
              </w:tabs>
              <w:ind w:right="321"/>
              <w:rPr>
                <w:szCs w:val="24"/>
              </w:rPr>
            </w:pPr>
            <w:r>
              <w:rPr>
                <w:szCs w:val="24"/>
              </w:rPr>
              <w:t>$17.</w:t>
            </w:r>
            <w:r w:rsidR="00613FFD">
              <w:rPr>
                <w:szCs w:val="24"/>
              </w:rPr>
              <w:t>60</w:t>
            </w:r>
          </w:p>
        </w:tc>
        <w:tc>
          <w:tcPr>
            <w:tcW w:w="2032" w:type="dxa"/>
          </w:tcPr>
          <w:p w:rsidR="00AD0951" w:rsidP="00AD0951" w:rsidRDefault="00AD0951" w14:paraId="1F82F66B" w14:textId="5227F2EA">
            <w:pPr>
              <w:tabs>
                <w:tab w:val="left" w:pos="0"/>
              </w:tabs>
              <w:ind w:right="321"/>
              <w:rPr>
                <w:szCs w:val="24"/>
              </w:rPr>
            </w:pPr>
            <w:r>
              <w:rPr>
                <w:szCs w:val="24"/>
              </w:rPr>
              <w:t>$17.</w:t>
            </w:r>
            <w:r w:rsidR="003A5FA7">
              <w:rPr>
                <w:szCs w:val="24"/>
              </w:rPr>
              <w:t>60</w:t>
            </w:r>
          </w:p>
        </w:tc>
        <w:tc>
          <w:tcPr>
            <w:tcW w:w="1956" w:type="dxa"/>
          </w:tcPr>
          <w:p w:rsidR="00AD0951" w:rsidP="00AD0951" w:rsidRDefault="00AD0951" w14:paraId="7E342A3A" w14:textId="20A72E62">
            <w:pPr>
              <w:tabs>
                <w:tab w:val="left" w:pos="0"/>
              </w:tabs>
              <w:ind w:right="321"/>
              <w:rPr>
                <w:szCs w:val="24"/>
              </w:rPr>
            </w:pPr>
            <w:r>
              <w:rPr>
                <w:szCs w:val="24"/>
              </w:rPr>
              <w:t>$3</w:t>
            </w:r>
            <w:r w:rsidR="003A5FA7">
              <w:rPr>
                <w:szCs w:val="24"/>
              </w:rPr>
              <w:t>5</w:t>
            </w:r>
            <w:r>
              <w:rPr>
                <w:szCs w:val="24"/>
              </w:rPr>
              <w:t>.2</w:t>
            </w:r>
            <w:r w:rsidR="003A5FA7">
              <w:rPr>
                <w:szCs w:val="24"/>
              </w:rPr>
              <w:t>0</w:t>
            </w:r>
          </w:p>
        </w:tc>
      </w:tr>
    </w:tbl>
    <w:p w:rsidR="00AD0951" w:rsidP="00AD0951" w:rsidRDefault="00AD0951" w14:paraId="633CF08C" w14:textId="77777777">
      <w:pPr>
        <w:tabs>
          <w:tab w:val="left" w:pos="0"/>
        </w:tabs>
        <w:ind w:right="321"/>
      </w:pPr>
    </w:p>
    <w:p w:rsidR="00AD0951" w:rsidP="00AD0951" w:rsidRDefault="00AD0951" w14:paraId="60A6DA36" w14:textId="77777777">
      <w:pPr>
        <w:pStyle w:val="ListParagraph"/>
        <w:spacing w:before="29"/>
        <w:ind w:right="414"/>
        <w:rPr>
          <w:rFonts w:ascii="Times New Roman" w:hAnsi="Times New Roman" w:eastAsia="Times New Roman" w:cs="Times New Roman"/>
          <w:spacing w:val="-4"/>
          <w:sz w:val="24"/>
          <w:szCs w:val="24"/>
        </w:rPr>
      </w:pPr>
    </w:p>
    <w:p w:rsidR="00AD0951" w:rsidP="00AD0951" w:rsidRDefault="00AD0951" w14:paraId="205A7212" w14:textId="77777777">
      <w:pPr>
        <w:pStyle w:val="ListParagraph"/>
        <w:spacing w:before="29" w:after="240"/>
        <w:ind w:left="540" w:right="414"/>
        <w:rPr>
          <w:rFonts w:ascii="Times New Roman" w:hAnsi="Times New Roman" w:eastAsia="Times New Roman" w:cs="Times New Roman"/>
          <w:spacing w:val="-4"/>
          <w:sz w:val="24"/>
          <w:szCs w:val="24"/>
        </w:rPr>
      </w:pPr>
    </w:p>
    <w:p w:rsidR="00EF486C" w:rsidRDefault="00FE444A" w14:paraId="649F60AD" w14:textId="2F2F4AF5">
      <w:pPr>
        <w:ind w:left="547"/>
      </w:pPr>
      <w:r>
        <w:t>The process of submitting a prior authorization request for an expedited review is the same as for a standard review. The unit cost for CMS performing an expedited review is the same as for a standard review</w:t>
      </w:r>
      <w:r w:rsidR="00EF3054">
        <w:t>. If the volume of expedited claims increase</w:t>
      </w:r>
      <w:r w:rsidR="00B01C6B">
        <w:t>s</w:t>
      </w:r>
      <w:r w:rsidR="00EF3054">
        <w:t xml:space="preserve"> steeply, </w:t>
      </w:r>
      <w:r>
        <w:t xml:space="preserve">a larger workforce </w:t>
      </w:r>
      <w:r w:rsidR="00EF3054">
        <w:t xml:space="preserve">may be </w:t>
      </w:r>
      <w:r>
        <w:t>require</w:t>
      </w:r>
      <w:r w:rsidR="00EF3054">
        <w:t xml:space="preserve">d to ensure that those claims are </w:t>
      </w:r>
      <w:r w:rsidR="00EF3054">
        <w:lastRenderedPageBreak/>
        <w:t xml:space="preserve">processed </w:t>
      </w:r>
      <w:r>
        <w:t xml:space="preserve">within established timeframes. </w:t>
      </w:r>
      <w:r w:rsidR="00EF3054">
        <w:t xml:space="preserve"> I</w:t>
      </w:r>
      <w:r>
        <w:t xml:space="preserve">tems on the Master List are </w:t>
      </w:r>
      <w:r w:rsidR="00EF3054">
        <w:t xml:space="preserve">rarely </w:t>
      </w:r>
      <w:r>
        <w:t>used in emergent situations</w:t>
      </w:r>
      <w:r w:rsidR="00EF3054">
        <w:t>,</w:t>
      </w:r>
      <w:r>
        <w:t xml:space="preserve"> </w:t>
      </w:r>
      <w:r w:rsidR="00EF3054">
        <w:t xml:space="preserve">consequently, we expect the request for </w:t>
      </w:r>
      <w:r>
        <w:t xml:space="preserve">expedited reviews to be </w:t>
      </w:r>
      <w:r w:rsidR="00EF3054">
        <w:t>few.</w:t>
      </w:r>
    </w:p>
    <w:p w:rsidR="00EF486C" w:rsidRDefault="00FE444A" w14:paraId="514CA975" w14:textId="77777777">
      <w:pPr>
        <w:spacing w:after="0" w:line="259" w:lineRule="auto"/>
        <w:ind w:left="0" w:firstLine="0"/>
      </w:pPr>
      <w:r>
        <w:rPr>
          <w:sz w:val="25"/>
        </w:rPr>
        <w:t xml:space="preserve"> </w:t>
      </w:r>
    </w:p>
    <w:p w:rsidR="00EF486C" w:rsidP="003A65AD" w:rsidRDefault="00334DF5" w14:paraId="7F90AB03" w14:textId="0C153FED">
      <w:pPr>
        <w:ind w:left="547"/>
      </w:pPr>
      <w:r>
        <w:t>In addition to mail, p</w:t>
      </w:r>
      <w:r w:rsidR="00FE444A">
        <w:t>roviders have a number of methods to submit documentation quickly including fax, electronic portals, and esMD, so provider burden should not be affected by the method of submission. CMS anticipates clerical staff will collect the information from the medical record and prepare it to be submitted for review. CMS estimates that the average time for office clerical activities associated with this task to be 30 minutes. Average labor costs (including 100 percent fringe benefits) used to estimate the costs are calculated using data available from the Bureau of Labor Statistics.</w:t>
      </w:r>
      <w:r w:rsidR="003A65AD">
        <w:t xml:space="preserve"> </w:t>
      </w:r>
    </w:p>
    <w:p w:rsidR="003A65AD" w:rsidP="003A65AD" w:rsidRDefault="003A65AD" w14:paraId="26421674" w14:textId="77777777">
      <w:pPr>
        <w:ind w:left="547"/>
      </w:pPr>
    </w:p>
    <w:p w:rsidR="00E80E7C" w:rsidP="00E80E7C" w:rsidRDefault="00FE444A" w14:paraId="38FBFDAA" w14:textId="1E96CBE5">
      <w:pPr>
        <w:ind w:left="547"/>
        <w:rPr>
          <w:color w:val="auto"/>
        </w:rPr>
      </w:pPr>
      <w:r>
        <w:t xml:space="preserve">We based the estimated number of responses for Year One on the number of beneficiaries who were billed for one of the </w:t>
      </w:r>
      <w:r w:rsidR="00220DDF">
        <w:t xml:space="preserve">DMEPOS </w:t>
      </w:r>
      <w:r>
        <w:t xml:space="preserve">items </w:t>
      </w:r>
      <w:r w:rsidR="00341885">
        <w:t xml:space="preserve">currently </w:t>
      </w:r>
      <w:r>
        <w:t xml:space="preserve">on the </w:t>
      </w:r>
      <w:r w:rsidR="00341885">
        <w:t>R</w:t>
      </w:r>
      <w:r w:rsidR="00FA2547">
        <w:t xml:space="preserve">equired </w:t>
      </w:r>
      <w:r w:rsidR="00341885">
        <w:t>P</w:t>
      </w:r>
      <w:r w:rsidR="00FA2547">
        <w:t xml:space="preserve">rior </w:t>
      </w:r>
      <w:r w:rsidR="00341885">
        <w:t>A</w:t>
      </w:r>
      <w:r w:rsidR="00FA2547">
        <w:t xml:space="preserve">uthorization </w:t>
      </w:r>
      <w:r w:rsidR="00341885">
        <w:t>L</w:t>
      </w:r>
      <w:r w:rsidR="00FA2547">
        <w:t>ist</w:t>
      </w:r>
      <w:r w:rsidR="00602942">
        <w:t xml:space="preserve"> for C</w:t>
      </w:r>
      <w:r w:rsidR="00F5026D">
        <w:t xml:space="preserve">alendar </w:t>
      </w:r>
      <w:r w:rsidR="00602942">
        <w:t>Y</w:t>
      </w:r>
      <w:r w:rsidR="00F5026D">
        <w:t>ear</w:t>
      </w:r>
      <w:r w:rsidR="00602942">
        <w:t xml:space="preserve"> 2020</w:t>
      </w:r>
      <w:r w:rsidR="00FE1565">
        <w:t xml:space="preserve"> </w:t>
      </w:r>
      <w:r w:rsidR="00341885">
        <w:t>(</w:t>
      </w:r>
      <w:r w:rsidR="00FA2547">
        <w:rPr>
          <w:color w:val="auto"/>
        </w:rPr>
        <w:t>85,994</w:t>
      </w:r>
      <w:r w:rsidR="00341885">
        <w:rPr>
          <w:color w:val="auto"/>
        </w:rPr>
        <w:t>)</w:t>
      </w:r>
      <w:r w:rsidR="002C7FEC">
        <w:rPr>
          <w:color w:val="auto"/>
        </w:rPr>
        <w:t xml:space="preserve"> and estimated an additional 177,449 </w:t>
      </w:r>
      <w:r w:rsidR="00A21E07">
        <w:rPr>
          <w:color w:val="auto"/>
        </w:rPr>
        <w:t xml:space="preserve">for the number of </w:t>
      </w:r>
      <w:r w:rsidR="00491B15">
        <w:rPr>
          <w:color w:val="auto"/>
        </w:rPr>
        <w:t>beneficiaries</w:t>
      </w:r>
      <w:r w:rsidR="00A21E07">
        <w:rPr>
          <w:color w:val="auto"/>
        </w:rPr>
        <w:t xml:space="preserve"> that may bill </w:t>
      </w:r>
      <w:r w:rsidR="009B6577">
        <w:rPr>
          <w:color w:val="auto"/>
        </w:rPr>
        <w:t xml:space="preserve">for </w:t>
      </w:r>
      <w:r w:rsidR="00220DDF">
        <w:rPr>
          <w:color w:val="auto"/>
        </w:rPr>
        <w:t xml:space="preserve">a DMEPOS </w:t>
      </w:r>
      <w:r w:rsidR="00672D8A">
        <w:rPr>
          <w:color w:val="auto"/>
        </w:rPr>
        <w:t xml:space="preserve">item that </w:t>
      </w:r>
      <w:r w:rsidR="00220DDF">
        <w:rPr>
          <w:color w:val="auto"/>
        </w:rPr>
        <w:t>could</w:t>
      </w:r>
      <w:r w:rsidR="002C7FEC">
        <w:rPr>
          <w:color w:val="auto"/>
        </w:rPr>
        <w:t xml:space="preserve"> </w:t>
      </w:r>
      <w:r w:rsidR="009B6577">
        <w:rPr>
          <w:color w:val="auto"/>
        </w:rPr>
        <w:t xml:space="preserve">potentially </w:t>
      </w:r>
      <w:r w:rsidR="00672D8A">
        <w:rPr>
          <w:color w:val="auto"/>
        </w:rPr>
        <w:t xml:space="preserve">be added to the </w:t>
      </w:r>
      <w:r w:rsidR="00220DDF">
        <w:rPr>
          <w:color w:val="auto"/>
        </w:rPr>
        <w:t>R</w:t>
      </w:r>
      <w:r w:rsidR="00672D8A">
        <w:rPr>
          <w:color w:val="auto"/>
        </w:rPr>
        <w:t xml:space="preserve">equired </w:t>
      </w:r>
      <w:r w:rsidR="00220DDF">
        <w:rPr>
          <w:color w:val="auto"/>
        </w:rPr>
        <w:t>P</w:t>
      </w:r>
      <w:r w:rsidR="00672D8A">
        <w:rPr>
          <w:color w:val="auto"/>
        </w:rPr>
        <w:t>rio</w:t>
      </w:r>
      <w:r w:rsidR="009B6577">
        <w:rPr>
          <w:color w:val="auto"/>
        </w:rPr>
        <w:t xml:space="preserve">r </w:t>
      </w:r>
      <w:r w:rsidR="00220DDF">
        <w:rPr>
          <w:color w:val="auto"/>
        </w:rPr>
        <w:t>A</w:t>
      </w:r>
      <w:r w:rsidR="009B6577">
        <w:rPr>
          <w:color w:val="auto"/>
        </w:rPr>
        <w:t xml:space="preserve">uthorization </w:t>
      </w:r>
      <w:r w:rsidR="00220DDF">
        <w:rPr>
          <w:color w:val="auto"/>
        </w:rPr>
        <w:t>L</w:t>
      </w:r>
      <w:r w:rsidR="00672D8A">
        <w:rPr>
          <w:color w:val="auto"/>
        </w:rPr>
        <w:t>ist</w:t>
      </w:r>
      <w:r w:rsidR="00220DDF">
        <w:rPr>
          <w:color w:val="auto"/>
        </w:rPr>
        <w:t xml:space="preserve"> in the future</w:t>
      </w:r>
      <w:r w:rsidR="00672D8A">
        <w:rPr>
          <w:color w:val="auto"/>
        </w:rPr>
        <w:t>,</w:t>
      </w:r>
      <w:r w:rsidR="002C7FEC">
        <w:rPr>
          <w:color w:val="auto"/>
        </w:rPr>
        <w:t xml:space="preserve"> </w:t>
      </w:r>
      <w:r w:rsidR="00FA2547">
        <w:rPr>
          <w:color w:val="auto"/>
        </w:rPr>
        <w:t xml:space="preserve">for a total </w:t>
      </w:r>
      <w:r w:rsidR="00A21E07">
        <w:rPr>
          <w:color w:val="auto"/>
        </w:rPr>
        <w:t>of</w:t>
      </w:r>
      <w:r w:rsidR="00FA2547">
        <w:rPr>
          <w:color w:val="auto"/>
        </w:rPr>
        <w:t xml:space="preserve"> 263,443 </w:t>
      </w:r>
      <w:r w:rsidR="00672D8A">
        <w:rPr>
          <w:color w:val="auto"/>
        </w:rPr>
        <w:t>beneficiaries</w:t>
      </w:r>
      <w:r w:rsidR="00FA2547">
        <w:rPr>
          <w:color w:val="auto"/>
        </w:rPr>
        <w:t>.</w:t>
      </w:r>
    </w:p>
    <w:p w:rsidR="002C7FEC" w:rsidRDefault="002C7FEC" w14:paraId="2B49010C" w14:textId="77777777">
      <w:pPr>
        <w:ind w:left="547"/>
      </w:pPr>
    </w:p>
    <w:p w:rsidR="002C7FEC" w:rsidRDefault="009B6577" w14:paraId="7AF7250D" w14:textId="2633452C">
      <w:pPr>
        <w:ind w:left="547"/>
      </w:pPr>
      <w:r>
        <w:t xml:space="preserve">For items already on our </w:t>
      </w:r>
      <w:r w:rsidR="00220DDF">
        <w:t>Required P</w:t>
      </w:r>
      <w:r>
        <w:t xml:space="preserve">rior </w:t>
      </w:r>
      <w:r w:rsidR="00220DDF">
        <w:t>A</w:t>
      </w:r>
      <w:r>
        <w:t xml:space="preserve">uthorization </w:t>
      </w:r>
      <w:r w:rsidR="00220DDF">
        <w:t>L</w:t>
      </w:r>
      <w:r>
        <w:t xml:space="preserve">ist (85,994) </w:t>
      </w:r>
      <w:r w:rsidR="000C2360">
        <w:t xml:space="preserve">where suppliers are accustomed to prior authorization submissions, </w:t>
      </w:r>
      <w:r>
        <w:t>w</w:t>
      </w:r>
      <w:r w:rsidR="00FE444A">
        <w:t>e assume that 95% of suppliers will submit an initial prior authorization request for these items (</w:t>
      </w:r>
      <w:r w:rsidR="00FA2547">
        <w:t>81,694</w:t>
      </w:r>
      <w:r w:rsidR="00FE444A">
        <w:t>)</w:t>
      </w:r>
      <w:r w:rsidR="00220DDF">
        <w:t>. F</w:t>
      </w:r>
      <w:r w:rsidR="002C7FEC">
        <w:t>or items potentially add</w:t>
      </w:r>
      <w:r w:rsidR="00672D8A">
        <w:t>ed</w:t>
      </w:r>
      <w:r w:rsidR="002C7FEC">
        <w:t xml:space="preserve"> </w:t>
      </w:r>
      <w:r w:rsidR="00672D8A">
        <w:t xml:space="preserve">to the list </w:t>
      </w:r>
      <w:r w:rsidR="00220DDF">
        <w:t xml:space="preserve">in the future </w:t>
      </w:r>
      <w:r w:rsidR="002C7FEC">
        <w:t xml:space="preserve">we assume that fewer suppliers will </w:t>
      </w:r>
      <w:r w:rsidR="00220DDF">
        <w:t xml:space="preserve">initially </w:t>
      </w:r>
      <w:r w:rsidR="00672D8A">
        <w:t>submit requests</w:t>
      </w:r>
      <w:r w:rsidR="00220DDF">
        <w:t xml:space="preserve">, as </w:t>
      </w:r>
      <w:r w:rsidR="00672D8A">
        <w:t xml:space="preserve">they will potentially be less </w:t>
      </w:r>
      <w:r w:rsidR="002C7FEC">
        <w:t>accustomed to our prior authorization process</w:t>
      </w:r>
      <w:r w:rsidR="00220DDF">
        <w:t>. T</w:t>
      </w:r>
      <w:r w:rsidR="00672D8A">
        <w:t>hus</w:t>
      </w:r>
      <w:r w:rsidR="00220DDF">
        <w:t>,</w:t>
      </w:r>
      <w:r w:rsidR="00672D8A">
        <w:t xml:space="preserve"> we</w:t>
      </w:r>
      <w:r w:rsidR="002C7FEC">
        <w:t xml:space="preserve"> estimate only 80% of suppliers will submit an initial prior authorization request</w:t>
      </w:r>
      <w:r w:rsidR="00220DDF">
        <w:t>,</w:t>
      </w:r>
      <w:r w:rsidR="002C7FEC">
        <w:t xml:space="preserve"> </w:t>
      </w:r>
      <w:r w:rsidR="00672D8A">
        <w:t xml:space="preserve">resulting in </w:t>
      </w:r>
      <w:r w:rsidR="002C7FEC">
        <w:t>141,959</w:t>
      </w:r>
      <w:r w:rsidR="00672D8A">
        <w:t xml:space="preserve"> additional requests</w:t>
      </w:r>
      <w:r w:rsidR="00220DDF">
        <w:t>,</w:t>
      </w:r>
      <w:r w:rsidR="00A21E07">
        <w:t xml:space="preserve"> for a total of 223,653</w:t>
      </w:r>
      <w:r w:rsidR="00672D8A">
        <w:t xml:space="preserve"> </w:t>
      </w:r>
      <w:r w:rsidR="00220DDF">
        <w:t xml:space="preserve">initial </w:t>
      </w:r>
      <w:r w:rsidR="00672D8A">
        <w:t xml:space="preserve">requests </w:t>
      </w:r>
      <w:r w:rsidR="00220DDF">
        <w:t>i</w:t>
      </w:r>
      <w:r w:rsidR="00672D8A">
        <w:t>n Year One</w:t>
      </w:r>
      <w:r w:rsidR="00A21E07">
        <w:t>.</w:t>
      </w:r>
    </w:p>
    <w:p w:rsidR="002C7FEC" w:rsidRDefault="002C7FEC" w14:paraId="6445F1DE" w14:textId="77777777">
      <w:pPr>
        <w:ind w:left="547"/>
      </w:pPr>
    </w:p>
    <w:p w:rsidR="00EF486C" w:rsidRDefault="00FE444A" w14:paraId="6BFD948A" w14:textId="741394F6">
      <w:pPr>
        <w:ind w:left="547"/>
      </w:pPr>
      <w:r>
        <w:t xml:space="preserve">We assume that 20% of this subset </w:t>
      </w:r>
      <w:r w:rsidR="00DF3DC4">
        <w:t>(</w:t>
      </w:r>
      <w:r w:rsidR="00A21E07">
        <w:t>44,731</w:t>
      </w:r>
      <w:r>
        <w:t xml:space="preserve">) will receive a </w:t>
      </w:r>
      <w:r w:rsidR="00491B15">
        <w:t>non-affirmative</w:t>
      </w:r>
      <w:r>
        <w:t xml:space="preserve"> decision and </w:t>
      </w:r>
      <w:r w:rsidR="00220DDF">
        <w:t xml:space="preserve">will </w:t>
      </w:r>
      <w:r>
        <w:t>resubmit</w:t>
      </w:r>
      <w:r w:rsidR="00573AC1">
        <w:t xml:space="preserve"> their</w:t>
      </w:r>
      <w:r>
        <w:t xml:space="preserve"> request</w:t>
      </w:r>
      <w:r w:rsidR="00220DDF">
        <w:t xml:space="preserve">. An additional </w:t>
      </w:r>
      <w:r>
        <w:t>10% of this subset (</w:t>
      </w:r>
      <w:r w:rsidR="00A21E07">
        <w:t>4</w:t>
      </w:r>
      <w:r w:rsidR="00220DDF">
        <w:t>,</w:t>
      </w:r>
      <w:r w:rsidR="00A21E07">
        <w:t>473</w:t>
      </w:r>
      <w:r>
        <w:t xml:space="preserve">) will receive a non-affirmative decision and resubmit </w:t>
      </w:r>
      <w:r w:rsidR="00220DDF">
        <w:t xml:space="preserve">their request </w:t>
      </w:r>
      <w:r w:rsidR="00573AC1">
        <w:t>a second time</w:t>
      </w:r>
      <w:r>
        <w:t>, and another 10% of this subset (</w:t>
      </w:r>
      <w:r w:rsidR="00A21E07">
        <w:t>447</w:t>
      </w:r>
      <w:r>
        <w:t>) will receive a non-affirmative decision</w:t>
      </w:r>
      <w:r w:rsidR="00573AC1">
        <w:t xml:space="preserve"> again</w:t>
      </w:r>
      <w:r>
        <w:t xml:space="preserve"> and resubmit </w:t>
      </w:r>
      <w:r w:rsidR="00220DDF">
        <w:t xml:space="preserve">their request </w:t>
      </w:r>
      <w:r w:rsidR="00573AC1">
        <w:t>a third time</w:t>
      </w:r>
      <w:r>
        <w:t xml:space="preserve">. </w:t>
      </w:r>
      <w:r w:rsidR="0066732F">
        <w:t>In sum, we estimate t</w:t>
      </w:r>
      <w:r>
        <w:t>he total number of submissions for year one is</w:t>
      </w:r>
      <w:r w:rsidR="0072098F">
        <w:t xml:space="preserve"> 223,653</w:t>
      </w:r>
      <w:r w:rsidR="0066732F">
        <w:t xml:space="preserve"> initial submissions plus 49,651 resubmissions (as described above) for a total of </w:t>
      </w:r>
      <w:r w:rsidR="004121C7">
        <w:t>273,30</w:t>
      </w:r>
      <w:r w:rsidR="00573AC1">
        <w:t>5</w:t>
      </w:r>
      <w:r w:rsidR="00587B7F">
        <w:t xml:space="preserve"> submissions.</w:t>
      </w:r>
    </w:p>
    <w:p w:rsidR="00EF486C" w:rsidRDefault="00FE444A" w14:paraId="7A38551C" w14:textId="77777777">
      <w:pPr>
        <w:spacing w:after="0" w:line="259" w:lineRule="auto"/>
        <w:ind w:left="0" w:firstLine="0"/>
      </w:pPr>
      <w:r>
        <w:rPr>
          <w:sz w:val="23"/>
        </w:rPr>
        <w:t xml:space="preserve"> </w:t>
      </w:r>
    </w:p>
    <w:p w:rsidR="00EF486C" w:rsidP="003A65AD" w:rsidRDefault="00FE444A" w14:paraId="75775EFB" w14:textId="4FFE5D52">
      <w:pPr>
        <w:ind w:left="547" w:right="446"/>
        <w:rPr>
          <w:i/>
        </w:rPr>
      </w:pPr>
      <w:r>
        <w:t xml:space="preserve">Suppliers may use electronic submission of medical documentation (esMD) as an alternative to mail or fax for sending in medical documents. Additional information on esMD can be found </w:t>
      </w:r>
      <w:hyperlink r:id="rId10">
        <w:r>
          <w:rPr>
            <w:color w:val="0000FF"/>
            <w:u w:val="single" w:color="0000FF"/>
          </w:rPr>
          <w:t>here</w:t>
        </w:r>
      </w:hyperlink>
      <w:hyperlink r:id="rId11">
        <w:r>
          <w:t>.</w:t>
        </w:r>
      </w:hyperlink>
      <w:hyperlink r:id="rId12">
        <w:r>
          <w:t xml:space="preserve"> </w:t>
        </w:r>
      </w:hyperlink>
      <w:r w:rsidR="00A50597">
        <w:t>Additionally, t</w:t>
      </w:r>
      <w:r>
        <w:t xml:space="preserve">he MACs offer electronic portals for suppliers to submit documentation. </w:t>
      </w:r>
      <w:r w:rsidR="002A0BE5">
        <w:t xml:space="preserve">For the </w:t>
      </w:r>
      <w:r w:rsidR="004121C7">
        <w:t xml:space="preserve">last </w:t>
      </w:r>
      <w:r w:rsidR="002A0BE5">
        <w:t xml:space="preserve">two years, </w:t>
      </w:r>
      <w:r w:rsidR="00A50597">
        <w:t>t</w:t>
      </w:r>
      <w:r>
        <w:t xml:space="preserve">he </w:t>
      </w:r>
      <w:r w:rsidR="00A27825">
        <w:t xml:space="preserve">rate of </w:t>
      </w:r>
      <w:r w:rsidR="004121C7">
        <w:t>electronic submission</w:t>
      </w:r>
      <w:r w:rsidR="00A27825">
        <w:t>s using</w:t>
      </w:r>
      <w:r w:rsidR="004121C7">
        <w:t xml:space="preserve"> </w:t>
      </w:r>
      <w:r w:rsidR="00220DDF">
        <w:t>e</w:t>
      </w:r>
      <w:r w:rsidR="00573AC1">
        <w:t>sMD</w:t>
      </w:r>
      <w:r w:rsidR="004121C7">
        <w:t>, portal</w:t>
      </w:r>
      <w:r w:rsidR="00A27825">
        <w:t>s</w:t>
      </w:r>
      <w:r w:rsidR="004121C7">
        <w:t xml:space="preserve">, </w:t>
      </w:r>
      <w:r w:rsidR="002D7876">
        <w:t xml:space="preserve">and fax </w:t>
      </w:r>
      <w:r>
        <w:t xml:space="preserve">was </w:t>
      </w:r>
      <w:r w:rsidR="002D7876">
        <w:t>99.6</w:t>
      </w:r>
      <w:r>
        <w:t>%</w:t>
      </w:r>
      <w:r w:rsidR="00A27825">
        <w:t xml:space="preserve"> and </w:t>
      </w:r>
      <w:r w:rsidR="00A27825">
        <w:lastRenderedPageBreak/>
        <w:t xml:space="preserve">the mail submission rate was </w:t>
      </w:r>
      <w:r w:rsidR="002D7876">
        <w:t>0.4</w:t>
      </w:r>
      <w:r>
        <w:t xml:space="preserve">%. We estimate the cost of mailing medical records to be $5 per </w:t>
      </w:r>
      <w:r w:rsidR="00A27825">
        <w:t xml:space="preserve">prior authorization </w:t>
      </w:r>
      <w:r>
        <w:t>request</w:t>
      </w:r>
      <w:r w:rsidR="00A27825">
        <w:t xml:space="preserve">, </w:t>
      </w:r>
      <w:r w:rsidR="00220DDF">
        <w:t>with</w:t>
      </w:r>
      <w:r w:rsidR="00A27825">
        <w:t xml:space="preserve"> t</w:t>
      </w:r>
      <w:r>
        <w:t>he total mailing cost for year one estimated to be $</w:t>
      </w:r>
      <w:r w:rsidR="002D7876">
        <w:t>5,878</w:t>
      </w:r>
      <w:r w:rsidR="00E734B3">
        <w:t>.</w:t>
      </w:r>
      <w:r w:rsidR="00A27825">
        <w:t xml:space="preserve"> </w:t>
      </w:r>
      <w:r>
        <w:t xml:space="preserve">The total estimated burden for year one </w:t>
      </w:r>
      <w:r w:rsidR="00220DDF">
        <w:t>is</w:t>
      </w:r>
      <w:r>
        <w:t xml:space="preserve"> $</w:t>
      </w:r>
      <w:r w:rsidR="002D7876">
        <w:t>4,816,039</w:t>
      </w:r>
      <w:r w:rsidR="00220DDF">
        <w:t>,</w:t>
      </w:r>
      <w:r w:rsidR="00E11AA7">
        <w:t xml:space="preserve"> </w:t>
      </w:r>
      <w:r>
        <w:t>which includes the time associated with submitting prior authorization requests</w:t>
      </w:r>
      <w:r w:rsidR="00A27825">
        <w:t xml:space="preserve"> multiplied by the loaded rate of $35.20 an hour,</w:t>
      </w:r>
      <w:r>
        <w:t xml:space="preserve"> plus the cost of mailing</w:t>
      </w:r>
      <w:r w:rsidR="00A27825">
        <w:t xml:space="preserve"> records and documents</w:t>
      </w:r>
      <w:r>
        <w:rPr>
          <w:i/>
        </w:rPr>
        <w:t>.</w:t>
      </w:r>
      <w:r w:rsidR="003A65AD">
        <w:rPr>
          <w:i/>
        </w:rPr>
        <w:t xml:space="preserve"> </w:t>
      </w:r>
    </w:p>
    <w:p w:rsidR="003A65AD" w:rsidP="003A65AD" w:rsidRDefault="003A65AD" w14:paraId="6C4EE06A" w14:textId="77777777">
      <w:pPr>
        <w:ind w:left="547" w:right="446"/>
      </w:pPr>
    </w:p>
    <w:p w:rsidRPr="007B0FD7" w:rsidR="00EF486C" w:rsidRDefault="00FE444A" w14:paraId="7F83C1F5" w14:textId="77777777">
      <w:pPr>
        <w:spacing w:after="0" w:line="259" w:lineRule="auto"/>
        <w:ind w:left="175" w:right="731"/>
      </w:pPr>
      <w:r w:rsidRPr="007B0FD7">
        <w:rPr>
          <w:sz w:val="28"/>
        </w:rPr>
        <w:t xml:space="preserve">Prior Authorization Process for Certain Durable Medical Equipment, </w:t>
      </w:r>
    </w:p>
    <w:p w:rsidRPr="007B0FD7" w:rsidR="00EF486C" w:rsidRDefault="00FE444A" w14:paraId="7CB4E117" w14:textId="77777777">
      <w:pPr>
        <w:spacing w:after="0" w:line="259" w:lineRule="auto"/>
        <w:ind w:left="175" w:right="731"/>
      </w:pPr>
      <w:r w:rsidRPr="007B0FD7">
        <w:rPr>
          <w:sz w:val="28"/>
        </w:rPr>
        <w:t xml:space="preserve">Prosthetics, Orthotics, and Supplies (DMEPOS) Items – Year One </w:t>
      </w:r>
    </w:p>
    <w:tbl>
      <w:tblPr>
        <w:tblStyle w:val="TableGrid"/>
        <w:tblW w:w="9360" w:type="dxa"/>
        <w:tblInd w:w="158" w:type="dxa"/>
        <w:tblCellMar>
          <w:left w:w="10" w:type="dxa"/>
          <w:right w:w="43" w:type="dxa"/>
        </w:tblCellMar>
        <w:tblLook w:val="04A0" w:firstRow="1" w:lastRow="0" w:firstColumn="1" w:lastColumn="0" w:noHBand="0" w:noVBand="1"/>
      </w:tblPr>
      <w:tblGrid>
        <w:gridCol w:w="1265"/>
        <w:gridCol w:w="2155"/>
        <w:gridCol w:w="2071"/>
        <w:gridCol w:w="2242"/>
        <w:gridCol w:w="1627"/>
      </w:tblGrid>
      <w:tr w:rsidR="00EF486C" w14:paraId="6891DFCC" w14:textId="77777777">
        <w:trPr>
          <w:trHeight w:val="1690"/>
        </w:trPr>
        <w:tc>
          <w:tcPr>
            <w:tcW w:w="1265" w:type="dxa"/>
            <w:tcBorders>
              <w:top w:val="single" w:color="000000" w:sz="8" w:space="0"/>
              <w:left w:val="single" w:color="000000" w:sz="8" w:space="0"/>
              <w:bottom w:val="single" w:color="000000" w:sz="8" w:space="0"/>
              <w:right w:val="single" w:color="000000" w:sz="8" w:space="0"/>
            </w:tcBorders>
          </w:tcPr>
          <w:p w:rsidR="00EF486C" w:rsidRDefault="00FE444A" w14:paraId="422C30C2" w14:textId="77777777">
            <w:pPr>
              <w:spacing w:after="0" w:line="225" w:lineRule="auto"/>
              <w:ind w:left="0" w:right="1124" w:firstLine="0"/>
            </w:pPr>
            <w:r>
              <w:rPr>
                <w:sz w:val="26"/>
              </w:rPr>
              <w:t xml:space="preserve"> </w:t>
            </w:r>
            <w:r>
              <w:rPr>
                <w:sz w:val="34"/>
              </w:rPr>
              <w:t xml:space="preserve"> </w:t>
            </w:r>
          </w:p>
          <w:p w:rsidR="00EF486C" w:rsidRDefault="00FE444A" w14:paraId="345750A1" w14:textId="77777777">
            <w:pPr>
              <w:spacing w:after="0" w:line="259" w:lineRule="auto"/>
              <w:ind w:left="36" w:firstLine="0"/>
              <w:jc w:val="center"/>
            </w:pPr>
            <w:r>
              <w:t xml:space="preserve">Activity </w:t>
            </w:r>
          </w:p>
        </w:tc>
        <w:tc>
          <w:tcPr>
            <w:tcW w:w="2155" w:type="dxa"/>
            <w:tcBorders>
              <w:top w:val="single" w:color="000000" w:sz="8" w:space="0"/>
              <w:left w:val="single" w:color="000000" w:sz="8" w:space="0"/>
              <w:bottom w:val="single" w:color="000000" w:sz="8" w:space="0"/>
              <w:right w:val="single" w:color="000000" w:sz="8" w:space="0"/>
            </w:tcBorders>
          </w:tcPr>
          <w:p w:rsidR="00EF486C" w:rsidP="00CF5886" w:rsidRDefault="00EF486C" w14:paraId="14BCF547" w14:textId="650E0085">
            <w:pPr>
              <w:spacing w:after="0" w:line="259" w:lineRule="auto"/>
              <w:ind w:left="0" w:firstLine="0"/>
              <w:jc w:val="center"/>
            </w:pPr>
          </w:p>
          <w:p w:rsidR="00EF486C" w:rsidP="00CF5886" w:rsidRDefault="00FE444A" w14:paraId="301A4E88" w14:textId="6536EB25">
            <w:pPr>
              <w:spacing w:after="0" w:line="259" w:lineRule="auto"/>
              <w:ind w:left="108" w:firstLine="0"/>
              <w:jc w:val="center"/>
            </w:pPr>
            <w:r>
              <w:t>Responses Per Year</w:t>
            </w:r>
          </w:p>
          <w:p w:rsidR="00EF486C" w:rsidP="00EA4794" w:rsidRDefault="00FE444A" w14:paraId="7C43718C" w14:textId="06E7DBD0">
            <w:pPr>
              <w:spacing w:after="0" w:line="259" w:lineRule="auto"/>
              <w:ind w:left="42" w:firstLine="0"/>
              <w:jc w:val="center"/>
            </w:pPr>
            <w:r>
              <w:t>(number of prior authorization requests submitted)</w:t>
            </w:r>
          </w:p>
        </w:tc>
        <w:tc>
          <w:tcPr>
            <w:tcW w:w="2071" w:type="dxa"/>
            <w:tcBorders>
              <w:top w:val="single" w:color="000000" w:sz="8" w:space="0"/>
              <w:left w:val="single" w:color="000000" w:sz="8" w:space="0"/>
              <w:bottom w:val="single" w:color="000000" w:sz="8" w:space="0"/>
              <w:right w:val="single" w:color="000000" w:sz="8" w:space="0"/>
            </w:tcBorders>
          </w:tcPr>
          <w:p w:rsidR="00EF486C" w:rsidP="00CF5886" w:rsidRDefault="00EF486C" w14:paraId="42680643" w14:textId="07E86739">
            <w:pPr>
              <w:spacing w:after="0" w:line="259" w:lineRule="auto"/>
              <w:ind w:left="0" w:firstLine="0"/>
              <w:jc w:val="center"/>
            </w:pPr>
          </w:p>
          <w:p w:rsidR="00EF486C" w:rsidP="00EA4794" w:rsidRDefault="00FE444A" w14:paraId="2BC522AA" w14:textId="79CCB312">
            <w:pPr>
              <w:spacing w:after="0" w:line="259" w:lineRule="auto"/>
              <w:ind w:left="37" w:firstLine="0"/>
              <w:jc w:val="center"/>
            </w:pPr>
            <w:r>
              <w:t>Time Per</w:t>
            </w:r>
          </w:p>
          <w:p w:rsidR="00EF486C" w:rsidP="002F4F5F" w:rsidRDefault="00FE444A" w14:paraId="44CFA3EE" w14:textId="3CFEB0AD">
            <w:pPr>
              <w:spacing w:after="0" w:line="259" w:lineRule="auto"/>
              <w:ind w:left="42" w:firstLine="0"/>
              <w:jc w:val="center"/>
            </w:pPr>
            <w:r>
              <w:t>Response</w:t>
            </w:r>
          </w:p>
          <w:p w:rsidR="00EF486C" w:rsidRDefault="00FE444A" w14:paraId="6CD0C8EF" w14:textId="11CCAF7F">
            <w:pPr>
              <w:spacing w:after="0" w:line="259" w:lineRule="auto"/>
              <w:ind w:left="0" w:firstLine="0"/>
              <w:jc w:val="center"/>
            </w:pPr>
            <w:r>
              <w:t>(hours) or Dollar Cost</w:t>
            </w:r>
          </w:p>
        </w:tc>
        <w:tc>
          <w:tcPr>
            <w:tcW w:w="2242" w:type="dxa"/>
            <w:tcBorders>
              <w:top w:val="single" w:color="000000" w:sz="8" w:space="0"/>
              <w:left w:val="single" w:color="000000" w:sz="8" w:space="0"/>
              <w:bottom w:val="single" w:color="000000" w:sz="8" w:space="0"/>
              <w:right w:val="single" w:color="000000" w:sz="8" w:space="0"/>
            </w:tcBorders>
          </w:tcPr>
          <w:p w:rsidR="00EF486C" w:rsidP="00CF5886" w:rsidRDefault="00EF486C" w14:paraId="20B9731C" w14:textId="74755C06">
            <w:pPr>
              <w:spacing w:after="0" w:line="259" w:lineRule="auto"/>
              <w:ind w:left="0" w:firstLine="0"/>
              <w:jc w:val="center"/>
            </w:pPr>
          </w:p>
          <w:p w:rsidR="00EF486C" w:rsidP="00CF5886" w:rsidRDefault="00EF486C" w14:paraId="0581BD6F" w14:textId="5558378F">
            <w:pPr>
              <w:spacing w:line="259" w:lineRule="auto"/>
              <w:ind w:left="0" w:firstLine="0"/>
              <w:jc w:val="center"/>
            </w:pPr>
          </w:p>
          <w:p w:rsidR="00EF486C" w:rsidP="00EA4794" w:rsidRDefault="00FE444A" w14:paraId="5D4D1102" w14:textId="345839A6">
            <w:pPr>
              <w:spacing w:after="0" w:line="259" w:lineRule="auto"/>
              <w:ind w:left="54" w:firstLine="0"/>
              <w:jc w:val="center"/>
            </w:pPr>
            <w:r>
              <w:t>Total Burden Per Year (hours)</w:t>
            </w:r>
          </w:p>
        </w:tc>
        <w:tc>
          <w:tcPr>
            <w:tcW w:w="1627" w:type="dxa"/>
            <w:tcBorders>
              <w:top w:val="single" w:color="000000" w:sz="8" w:space="0"/>
              <w:left w:val="single" w:color="000000" w:sz="8" w:space="0"/>
              <w:bottom w:val="single" w:color="000000" w:sz="8" w:space="0"/>
              <w:right w:val="single" w:color="000000" w:sz="8" w:space="0"/>
            </w:tcBorders>
          </w:tcPr>
          <w:p w:rsidR="00EF486C" w:rsidP="00CF5886" w:rsidRDefault="00EF486C" w14:paraId="709250B7" w14:textId="37A860D5">
            <w:pPr>
              <w:spacing w:after="0" w:line="259" w:lineRule="auto"/>
              <w:ind w:left="0" w:firstLine="0"/>
              <w:jc w:val="center"/>
            </w:pPr>
          </w:p>
          <w:p w:rsidR="00EF486C" w:rsidP="00CF5886" w:rsidRDefault="00FE444A" w14:paraId="382F7843" w14:textId="5197A8D0">
            <w:pPr>
              <w:spacing w:after="0" w:line="259" w:lineRule="auto"/>
              <w:ind w:left="168" w:firstLine="0"/>
              <w:jc w:val="center"/>
            </w:pPr>
            <w:r>
              <w:t>Total Burden</w:t>
            </w:r>
          </w:p>
          <w:p w:rsidR="00EF486C" w:rsidP="00EA4794" w:rsidRDefault="00FE444A" w14:paraId="10257EE1" w14:textId="423420CF">
            <w:pPr>
              <w:spacing w:after="0" w:line="259" w:lineRule="auto"/>
              <w:ind w:left="34" w:firstLine="0"/>
              <w:jc w:val="center"/>
            </w:pPr>
            <w:r>
              <w:t>Costs Per</w:t>
            </w:r>
          </w:p>
          <w:p w:rsidR="00EF486C" w:rsidP="002F4F5F" w:rsidRDefault="00FE444A" w14:paraId="09813DBB" w14:textId="64DB7898">
            <w:pPr>
              <w:spacing w:after="0" w:line="259" w:lineRule="auto"/>
              <w:ind w:left="36" w:firstLine="0"/>
              <w:jc w:val="center"/>
            </w:pPr>
            <w:r>
              <w:t>Year Using</w:t>
            </w:r>
          </w:p>
          <w:p w:rsidR="00EF486C" w:rsidP="00CF5886" w:rsidRDefault="00FE444A" w14:paraId="3E29E70E" w14:textId="52AE3F6D">
            <w:pPr>
              <w:spacing w:after="0" w:line="259" w:lineRule="auto"/>
              <w:ind w:left="192" w:firstLine="0"/>
              <w:jc w:val="center"/>
            </w:pPr>
            <w:r>
              <w:t>Loaded Rate</w:t>
            </w:r>
          </w:p>
        </w:tc>
      </w:tr>
      <w:tr w:rsidR="00EF486C" w14:paraId="7A20C390" w14:textId="77777777">
        <w:trPr>
          <w:trHeight w:val="1630"/>
        </w:trPr>
        <w:tc>
          <w:tcPr>
            <w:tcW w:w="1265" w:type="dxa"/>
            <w:tcBorders>
              <w:top w:val="single" w:color="000000" w:sz="8" w:space="0"/>
              <w:left w:val="single" w:color="000000" w:sz="8" w:space="0"/>
              <w:bottom w:val="single" w:color="000000" w:sz="8" w:space="0"/>
              <w:right w:val="single" w:color="000000" w:sz="8" w:space="0"/>
            </w:tcBorders>
          </w:tcPr>
          <w:p w:rsidR="00EF486C" w:rsidRDefault="00FE444A" w14:paraId="3F437B89" w14:textId="77777777">
            <w:pPr>
              <w:spacing w:after="0" w:line="259" w:lineRule="auto"/>
              <w:ind w:left="134" w:firstLine="0"/>
              <w:jc w:val="both"/>
            </w:pPr>
            <w:r>
              <w:t xml:space="preserve">DMEPOS </w:t>
            </w:r>
          </w:p>
          <w:p w:rsidR="00EF486C" w:rsidRDefault="00FE444A" w14:paraId="1AE71C3A" w14:textId="77777777">
            <w:pPr>
              <w:spacing w:after="0" w:line="259" w:lineRule="auto"/>
              <w:ind w:left="170" w:firstLine="0"/>
            </w:pPr>
            <w:r>
              <w:t xml:space="preserve">- Fax and </w:t>
            </w:r>
          </w:p>
          <w:p w:rsidR="00EF486C" w:rsidRDefault="00FE444A" w14:paraId="2F328E4D" w14:textId="77777777">
            <w:pPr>
              <w:spacing w:after="0" w:line="259" w:lineRule="auto"/>
              <w:ind w:left="127" w:firstLine="0"/>
            </w:pPr>
            <w:r>
              <w:t xml:space="preserve">Electronic </w:t>
            </w:r>
          </w:p>
          <w:p w:rsidR="00EF486C" w:rsidRDefault="00FE444A" w14:paraId="4189E069" w14:textId="77777777">
            <w:pPr>
              <w:spacing w:after="0" w:line="259" w:lineRule="auto"/>
              <w:ind w:left="127" w:firstLine="0"/>
            </w:pPr>
            <w:r>
              <w:t xml:space="preserve">Submitted </w:t>
            </w:r>
          </w:p>
          <w:p w:rsidR="00EF486C" w:rsidRDefault="00FE444A" w14:paraId="6172FE13" w14:textId="77777777">
            <w:pPr>
              <w:spacing w:after="0" w:line="259" w:lineRule="auto"/>
              <w:ind w:left="127" w:firstLine="0"/>
            </w:pPr>
            <w:r>
              <w:t xml:space="preserve">Requests </w:t>
            </w:r>
          </w:p>
        </w:tc>
        <w:tc>
          <w:tcPr>
            <w:tcW w:w="2155" w:type="dxa"/>
            <w:tcBorders>
              <w:top w:val="single" w:color="000000" w:sz="8" w:space="0"/>
              <w:left w:val="single" w:color="000000" w:sz="8" w:space="0"/>
              <w:bottom w:val="single" w:color="000000" w:sz="8" w:space="0"/>
              <w:right w:val="single" w:color="000000" w:sz="8" w:space="0"/>
            </w:tcBorders>
            <w:vAlign w:val="bottom"/>
          </w:tcPr>
          <w:p w:rsidR="00EF486C" w:rsidRDefault="00FE444A" w14:paraId="138A0841" w14:textId="2FF99DF7">
            <w:pPr>
              <w:spacing w:after="276" w:line="236" w:lineRule="auto"/>
              <w:ind w:left="98" w:right="14" w:firstLine="0"/>
              <w:jc w:val="both"/>
            </w:pPr>
            <w:r>
              <w:t>Initial Submissions 2</w:t>
            </w:r>
            <w:r w:rsidR="005E0025">
              <w:t>22,691</w:t>
            </w:r>
          </w:p>
          <w:p w:rsidR="00EF486C" w:rsidRDefault="00FE444A" w14:paraId="316B67ED" w14:textId="77777777">
            <w:pPr>
              <w:spacing w:after="0" w:line="259" w:lineRule="auto"/>
              <w:ind w:left="98" w:firstLine="0"/>
            </w:pPr>
            <w:r>
              <w:t xml:space="preserve">Resubmissions - </w:t>
            </w:r>
          </w:p>
          <w:p w:rsidR="00EF486C" w:rsidRDefault="005E0025" w14:paraId="007EBF6D" w14:textId="162DE2AD">
            <w:pPr>
              <w:spacing w:after="0" w:line="259" w:lineRule="auto"/>
              <w:ind w:left="98" w:firstLine="0"/>
            </w:pPr>
            <w:r>
              <w:t>49,437</w:t>
            </w:r>
          </w:p>
        </w:tc>
        <w:tc>
          <w:tcPr>
            <w:tcW w:w="2071" w:type="dxa"/>
            <w:tcBorders>
              <w:top w:val="single" w:color="000000" w:sz="8" w:space="0"/>
              <w:left w:val="single" w:color="000000" w:sz="8" w:space="0"/>
              <w:bottom w:val="single" w:color="000000" w:sz="8" w:space="0"/>
              <w:right w:val="single" w:color="000000" w:sz="8" w:space="0"/>
            </w:tcBorders>
          </w:tcPr>
          <w:p w:rsidR="00EF486C" w:rsidRDefault="00FE444A" w14:paraId="19826149" w14:textId="77777777">
            <w:pPr>
              <w:spacing w:after="0" w:line="259" w:lineRule="auto"/>
              <w:ind w:left="0" w:firstLine="0"/>
            </w:pPr>
            <w:r>
              <w:rPr>
                <w:sz w:val="28"/>
              </w:rPr>
              <w:t xml:space="preserve"> </w:t>
            </w:r>
          </w:p>
          <w:p w:rsidR="00EF486C" w:rsidP="003A65AD" w:rsidRDefault="00FE444A" w14:paraId="2096EA0A" w14:textId="17B47191">
            <w:pPr>
              <w:spacing w:after="254" w:line="259" w:lineRule="auto"/>
              <w:ind w:left="0" w:right="60" w:firstLine="0"/>
              <w:jc w:val="right"/>
            </w:pPr>
            <w:r>
              <w:t>0.5</w:t>
            </w:r>
            <w:r w:rsidR="003A65AD">
              <w:t xml:space="preserve"> </w:t>
            </w:r>
          </w:p>
          <w:p w:rsidR="003A65AD" w:rsidP="003A65AD" w:rsidRDefault="003A65AD" w14:paraId="00758DE3" w14:textId="77777777">
            <w:pPr>
              <w:spacing w:after="254" w:line="259" w:lineRule="auto"/>
              <w:ind w:left="0" w:right="60" w:firstLine="0"/>
              <w:jc w:val="right"/>
            </w:pPr>
          </w:p>
          <w:p w:rsidR="00EF486C" w:rsidRDefault="00FE444A" w14:paraId="589D4EF5" w14:textId="77777777">
            <w:pPr>
              <w:spacing w:after="0" w:line="259" w:lineRule="auto"/>
              <w:ind w:left="0" w:right="60" w:firstLine="0"/>
              <w:jc w:val="right"/>
            </w:pPr>
            <w:r>
              <w:t xml:space="preserve">0.5 </w:t>
            </w:r>
          </w:p>
        </w:tc>
        <w:tc>
          <w:tcPr>
            <w:tcW w:w="2242" w:type="dxa"/>
            <w:tcBorders>
              <w:top w:val="single" w:color="000000" w:sz="8" w:space="0"/>
              <w:left w:val="single" w:color="000000" w:sz="8" w:space="0"/>
              <w:bottom w:val="single" w:color="000000" w:sz="8" w:space="0"/>
              <w:right w:val="single" w:color="000000" w:sz="8" w:space="0"/>
            </w:tcBorders>
          </w:tcPr>
          <w:p w:rsidR="00EF486C" w:rsidRDefault="00FE444A" w14:paraId="25EAF83A" w14:textId="77777777">
            <w:pPr>
              <w:spacing w:after="0" w:line="259" w:lineRule="auto"/>
              <w:ind w:left="0" w:firstLine="0"/>
            </w:pPr>
            <w:r>
              <w:rPr>
                <w:sz w:val="28"/>
              </w:rPr>
              <w:t xml:space="preserve"> </w:t>
            </w:r>
          </w:p>
          <w:p w:rsidR="00EF486C" w:rsidP="003A65AD" w:rsidRDefault="005E0025" w14:paraId="6AA93B19" w14:textId="2E5A7985">
            <w:pPr>
              <w:spacing w:after="254" w:line="259" w:lineRule="auto"/>
              <w:ind w:left="0" w:right="60" w:firstLine="0"/>
              <w:jc w:val="right"/>
            </w:pPr>
            <w:r>
              <w:t>111, 346</w:t>
            </w:r>
            <w:r w:rsidR="003A65AD">
              <w:t xml:space="preserve"> </w:t>
            </w:r>
          </w:p>
          <w:p w:rsidR="003A65AD" w:rsidP="003A65AD" w:rsidRDefault="003A65AD" w14:paraId="5FF4A900" w14:textId="77777777">
            <w:pPr>
              <w:spacing w:after="254" w:line="259" w:lineRule="auto"/>
              <w:ind w:left="0" w:right="60" w:firstLine="0"/>
              <w:jc w:val="right"/>
            </w:pPr>
          </w:p>
          <w:p w:rsidR="00EF486C" w:rsidRDefault="00FE444A" w14:paraId="794D2CDC" w14:textId="1FE0C45D">
            <w:pPr>
              <w:spacing w:after="0" w:line="259" w:lineRule="auto"/>
              <w:ind w:left="0" w:right="60" w:firstLine="0"/>
              <w:jc w:val="right"/>
            </w:pPr>
            <w:r>
              <w:t>2</w:t>
            </w:r>
            <w:r w:rsidR="005E0025">
              <w:t>4,719</w:t>
            </w:r>
            <w:r>
              <w:t xml:space="preserve"> </w:t>
            </w:r>
          </w:p>
        </w:tc>
        <w:tc>
          <w:tcPr>
            <w:tcW w:w="1627" w:type="dxa"/>
            <w:tcBorders>
              <w:top w:val="single" w:color="000000" w:sz="8" w:space="0"/>
              <w:left w:val="single" w:color="000000" w:sz="8" w:space="0"/>
              <w:bottom w:val="single" w:color="000000" w:sz="8" w:space="0"/>
              <w:right w:val="single" w:color="000000" w:sz="8" w:space="0"/>
            </w:tcBorders>
          </w:tcPr>
          <w:p w:rsidR="00EF486C" w:rsidRDefault="00FE444A" w14:paraId="20BEDAA7" w14:textId="77777777">
            <w:pPr>
              <w:spacing w:after="0" w:line="259" w:lineRule="auto"/>
              <w:ind w:left="0" w:firstLine="0"/>
            </w:pPr>
            <w:r>
              <w:rPr>
                <w:sz w:val="28"/>
              </w:rPr>
              <w:t xml:space="preserve"> </w:t>
            </w:r>
          </w:p>
          <w:p w:rsidR="00EF486C" w:rsidP="003A65AD" w:rsidRDefault="00FE444A" w14:paraId="545C170B" w14:textId="3A83E6D6">
            <w:pPr>
              <w:spacing w:after="254" w:line="259" w:lineRule="auto"/>
              <w:ind w:left="0" w:right="60" w:firstLine="0"/>
              <w:jc w:val="right"/>
            </w:pPr>
            <w:r>
              <w:t>$</w:t>
            </w:r>
            <w:r w:rsidR="005E0025">
              <w:t>3,919</w:t>
            </w:r>
            <w:r w:rsidR="00140982">
              <w:t>,</w:t>
            </w:r>
            <w:r w:rsidR="005E0025">
              <w:t>369</w:t>
            </w:r>
            <w:r w:rsidR="003A65AD">
              <w:t xml:space="preserve"> </w:t>
            </w:r>
          </w:p>
          <w:p w:rsidR="003A65AD" w:rsidP="003A65AD" w:rsidRDefault="003A65AD" w14:paraId="713B8617" w14:textId="77777777">
            <w:pPr>
              <w:spacing w:after="254" w:line="259" w:lineRule="auto"/>
              <w:ind w:left="0" w:right="60" w:firstLine="0"/>
              <w:jc w:val="right"/>
            </w:pPr>
          </w:p>
          <w:p w:rsidR="00EF486C" w:rsidRDefault="00FE444A" w14:paraId="6BECE52C" w14:textId="1F659182">
            <w:pPr>
              <w:spacing w:after="0" w:line="259" w:lineRule="auto"/>
              <w:ind w:left="0" w:right="60" w:firstLine="0"/>
              <w:jc w:val="right"/>
            </w:pPr>
            <w:r>
              <w:t>$</w:t>
            </w:r>
            <w:r w:rsidR="005E0025">
              <w:t>870,100</w:t>
            </w:r>
            <w:r>
              <w:t xml:space="preserve"> </w:t>
            </w:r>
          </w:p>
        </w:tc>
      </w:tr>
      <w:tr w:rsidR="00EF486C" w14:paraId="31323DE1" w14:textId="77777777">
        <w:trPr>
          <w:trHeight w:val="1678"/>
        </w:trPr>
        <w:tc>
          <w:tcPr>
            <w:tcW w:w="1265" w:type="dxa"/>
            <w:tcBorders>
              <w:top w:val="single" w:color="000000" w:sz="8" w:space="0"/>
              <w:left w:val="single" w:color="000000" w:sz="8" w:space="0"/>
              <w:bottom w:val="nil"/>
              <w:right w:val="single" w:color="000000" w:sz="8" w:space="0"/>
            </w:tcBorders>
          </w:tcPr>
          <w:p w:rsidR="00EF486C" w:rsidRDefault="00FE444A" w14:paraId="55FB71CF" w14:textId="77777777">
            <w:pPr>
              <w:spacing w:after="0" w:line="259" w:lineRule="auto"/>
              <w:ind w:left="0" w:firstLine="0"/>
            </w:pPr>
            <w:r>
              <w:rPr>
                <w:sz w:val="30"/>
              </w:rPr>
              <w:t xml:space="preserve"> </w:t>
            </w:r>
          </w:p>
          <w:p w:rsidR="00EF486C" w:rsidRDefault="00FE444A" w14:paraId="2A49EDD7" w14:textId="77777777">
            <w:pPr>
              <w:spacing w:after="0" w:line="259" w:lineRule="auto"/>
              <w:ind w:left="134" w:firstLine="0"/>
              <w:jc w:val="both"/>
            </w:pPr>
            <w:r>
              <w:t xml:space="preserve">DMEPOS </w:t>
            </w:r>
          </w:p>
          <w:p w:rsidR="00EF486C" w:rsidRDefault="00FE444A" w14:paraId="71360A33" w14:textId="77777777">
            <w:pPr>
              <w:spacing w:after="0" w:line="259" w:lineRule="auto"/>
              <w:ind w:left="33" w:firstLine="0"/>
              <w:jc w:val="center"/>
            </w:pPr>
            <w:r>
              <w:t xml:space="preserve">- Mail </w:t>
            </w:r>
          </w:p>
          <w:p w:rsidR="00EF486C" w:rsidRDefault="00FE444A" w14:paraId="4132301A" w14:textId="77777777">
            <w:pPr>
              <w:spacing w:after="0" w:line="259" w:lineRule="auto"/>
              <w:ind w:left="190" w:firstLine="0"/>
            </w:pPr>
            <w:r>
              <w:t xml:space="preserve">Requests </w:t>
            </w:r>
          </w:p>
        </w:tc>
        <w:tc>
          <w:tcPr>
            <w:tcW w:w="2155" w:type="dxa"/>
            <w:tcBorders>
              <w:top w:val="single" w:color="000000" w:sz="8" w:space="0"/>
              <w:left w:val="single" w:color="000000" w:sz="8" w:space="0"/>
              <w:bottom w:val="nil"/>
              <w:right w:val="single" w:color="000000" w:sz="8" w:space="0"/>
            </w:tcBorders>
          </w:tcPr>
          <w:p w:rsidR="00140982" w:rsidP="00140982" w:rsidRDefault="00FE444A" w14:paraId="343296AA" w14:textId="1346A2B7">
            <w:pPr>
              <w:spacing w:after="461" w:line="234" w:lineRule="auto"/>
              <w:ind w:left="98" w:firstLine="0"/>
            </w:pPr>
            <w:r>
              <w:t xml:space="preserve">Initial Submissions </w:t>
            </w:r>
            <w:r w:rsidR="00140982">
              <w:t>-</w:t>
            </w:r>
            <w:r w:rsidR="005E0025">
              <w:t>962</w:t>
            </w:r>
          </w:p>
          <w:p w:rsidR="00EF486C" w:rsidP="00CF5886" w:rsidRDefault="00FE444A" w14:paraId="7DCB81E7" w14:textId="13502A96">
            <w:pPr>
              <w:spacing w:after="461" w:line="234" w:lineRule="auto"/>
              <w:ind w:left="98" w:firstLine="0"/>
            </w:pPr>
            <w:r>
              <w:t>Resubmissions -</w:t>
            </w:r>
            <w:r w:rsidR="005E0025">
              <w:t>214</w:t>
            </w:r>
          </w:p>
        </w:tc>
        <w:tc>
          <w:tcPr>
            <w:tcW w:w="2071" w:type="dxa"/>
            <w:tcBorders>
              <w:top w:val="single" w:color="000000" w:sz="8" w:space="0"/>
              <w:left w:val="single" w:color="000000" w:sz="8" w:space="0"/>
              <w:bottom w:val="nil"/>
              <w:right w:val="single" w:color="000000" w:sz="8" w:space="0"/>
            </w:tcBorders>
          </w:tcPr>
          <w:p w:rsidR="003A65AD" w:rsidP="003A65AD" w:rsidRDefault="00FE444A" w14:paraId="36206CDB" w14:textId="77777777">
            <w:pPr>
              <w:spacing w:after="487" w:line="259" w:lineRule="auto"/>
              <w:ind w:left="0" w:right="62" w:firstLine="0"/>
              <w:jc w:val="right"/>
            </w:pPr>
            <w:r>
              <w:t>0.5</w:t>
            </w:r>
            <w:r w:rsidR="003A65AD">
              <w:t xml:space="preserve"> </w:t>
            </w:r>
          </w:p>
          <w:p w:rsidR="00EF486C" w:rsidP="003A65AD" w:rsidRDefault="00FE444A" w14:paraId="50F38DB2" w14:textId="5BED353E">
            <w:pPr>
              <w:spacing w:after="487" w:line="259" w:lineRule="auto"/>
              <w:ind w:left="0" w:right="62" w:firstLine="0"/>
              <w:jc w:val="right"/>
            </w:pPr>
            <w:r>
              <w:t xml:space="preserve">0.5 </w:t>
            </w:r>
          </w:p>
        </w:tc>
        <w:tc>
          <w:tcPr>
            <w:tcW w:w="2242" w:type="dxa"/>
            <w:tcBorders>
              <w:top w:val="single" w:color="000000" w:sz="8" w:space="0"/>
              <w:left w:val="single" w:color="000000" w:sz="8" w:space="0"/>
              <w:bottom w:val="nil"/>
              <w:right w:val="single" w:color="000000" w:sz="8" w:space="0"/>
            </w:tcBorders>
          </w:tcPr>
          <w:p w:rsidR="003A65AD" w:rsidRDefault="003A65AD" w14:paraId="02839B87" w14:textId="77777777">
            <w:pPr>
              <w:spacing w:after="0" w:line="259" w:lineRule="auto"/>
              <w:ind w:left="1667" w:hanging="480"/>
            </w:pPr>
            <w:r>
              <w:t xml:space="preserve"> </w:t>
            </w:r>
          </w:p>
          <w:p w:rsidR="003A65AD" w:rsidP="003A65AD" w:rsidRDefault="00981D01" w14:paraId="560237FE" w14:textId="77777777">
            <w:pPr>
              <w:spacing w:after="0" w:line="259" w:lineRule="auto"/>
              <w:ind w:left="1667" w:hanging="480"/>
            </w:pPr>
            <w:r>
              <w:t>481</w:t>
            </w:r>
            <w:r w:rsidR="003A65AD">
              <w:t xml:space="preserve"> </w:t>
            </w:r>
          </w:p>
          <w:p w:rsidR="003A65AD" w:rsidP="003A65AD" w:rsidRDefault="003A65AD" w14:paraId="3EEF17D8" w14:textId="77777777">
            <w:pPr>
              <w:spacing w:after="0" w:line="259" w:lineRule="auto"/>
              <w:ind w:left="1667" w:hanging="480"/>
            </w:pPr>
          </w:p>
          <w:p w:rsidR="00981D01" w:rsidP="003A65AD" w:rsidRDefault="00981D01" w14:paraId="2A8FBE88" w14:textId="2E2AE710">
            <w:pPr>
              <w:spacing w:after="0" w:line="259" w:lineRule="auto"/>
              <w:ind w:left="1667" w:hanging="480"/>
            </w:pPr>
            <w:r>
              <w:t>107</w:t>
            </w:r>
          </w:p>
        </w:tc>
        <w:tc>
          <w:tcPr>
            <w:tcW w:w="1627" w:type="dxa"/>
            <w:tcBorders>
              <w:top w:val="single" w:color="000000" w:sz="8" w:space="0"/>
              <w:left w:val="single" w:color="000000" w:sz="8" w:space="0"/>
              <w:bottom w:val="nil"/>
              <w:right w:val="single" w:color="000000" w:sz="8" w:space="0"/>
            </w:tcBorders>
          </w:tcPr>
          <w:p w:rsidR="002531D2" w:rsidP="002531D2" w:rsidRDefault="002531D2" w14:paraId="18F8C56F" w14:textId="76D31449">
            <w:r>
              <w:t xml:space="preserve">   </w:t>
            </w:r>
            <w:r w:rsidR="00FE444A">
              <w:t>$</w:t>
            </w:r>
            <w:r w:rsidR="00981D01">
              <w:t>16</w:t>
            </w:r>
            <w:r w:rsidR="00FE444A">
              <w:t>,</w:t>
            </w:r>
            <w:r w:rsidR="00981D01">
              <w:t>933</w:t>
            </w:r>
          </w:p>
          <w:p w:rsidR="002531D2" w:rsidP="002531D2" w:rsidRDefault="002531D2" w14:paraId="1ABE2BBC" w14:textId="0CA07E7A"/>
          <w:p w:rsidR="002531D2" w:rsidP="002531D2" w:rsidRDefault="002531D2" w14:paraId="0420C41F" w14:textId="77777777"/>
          <w:p w:rsidR="00981D01" w:rsidRDefault="00981D01" w14:paraId="678D4238" w14:textId="7720B16A">
            <w:pPr>
              <w:spacing w:after="0" w:line="259" w:lineRule="auto"/>
              <w:ind w:left="0" w:right="62" w:firstLine="0"/>
              <w:jc w:val="right"/>
            </w:pPr>
            <w:r>
              <w:t>$3</w:t>
            </w:r>
            <w:r w:rsidR="00140982">
              <w:t>,</w:t>
            </w:r>
            <w:r>
              <w:t>759</w:t>
            </w:r>
          </w:p>
        </w:tc>
      </w:tr>
      <w:tr w:rsidR="00EF486C" w14:paraId="794110D9" w14:textId="77777777">
        <w:trPr>
          <w:trHeight w:val="717"/>
        </w:trPr>
        <w:tc>
          <w:tcPr>
            <w:tcW w:w="1265" w:type="dxa"/>
            <w:tcBorders>
              <w:top w:val="nil"/>
              <w:left w:val="single" w:color="000000" w:sz="8" w:space="0"/>
              <w:bottom w:val="single" w:color="000000" w:sz="8" w:space="0"/>
              <w:right w:val="single" w:color="000000" w:sz="8" w:space="0"/>
            </w:tcBorders>
          </w:tcPr>
          <w:p w:rsidR="00EF486C" w:rsidRDefault="00FE444A" w14:paraId="6F7CAAEA" w14:textId="77777777">
            <w:pPr>
              <w:spacing w:after="0" w:line="259" w:lineRule="auto"/>
              <w:ind w:left="98" w:firstLine="0"/>
            </w:pPr>
            <w:r>
              <w:t xml:space="preserve">Mail Costs </w:t>
            </w:r>
          </w:p>
        </w:tc>
        <w:tc>
          <w:tcPr>
            <w:tcW w:w="2155" w:type="dxa"/>
            <w:tcBorders>
              <w:top w:val="nil"/>
              <w:left w:val="single" w:color="000000" w:sz="8" w:space="0"/>
              <w:bottom w:val="single" w:color="000000" w:sz="8" w:space="0"/>
              <w:right w:val="single" w:color="000000" w:sz="8" w:space="0"/>
            </w:tcBorders>
          </w:tcPr>
          <w:p w:rsidR="00EF486C" w:rsidRDefault="00FE444A" w14:paraId="1CB5CC78" w14:textId="2D281868">
            <w:pPr>
              <w:spacing w:after="0" w:line="259" w:lineRule="auto"/>
              <w:ind w:left="98" w:firstLine="0"/>
            </w:pPr>
            <w:r>
              <w:t>Total Submissions</w:t>
            </w:r>
            <w:r w:rsidR="00140982">
              <w:t xml:space="preserve"> –</w:t>
            </w:r>
            <w:r w:rsidR="00981D01">
              <w:t xml:space="preserve"> 1</w:t>
            </w:r>
            <w:r w:rsidR="00140982">
              <w:t>,</w:t>
            </w:r>
            <w:r w:rsidR="005E0025">
              <w:t>176</w:t>
            </w:r>
            <w:r>
              <w:t xml:space="preserve"> </w:t>
            </w:r>
          </w:p>
        </w:tc>
        <w:tc>
          <w:tcPr>
            <w:tcW w:w="2071" w:type="dxa"/>
            <w:tcBorders>
              <w:top w:val="nil"/>
              <w:left w:val="single" w:color="000000" w:sz="8" w:space="0"/>
              <w:bottom w:val="single" w:color="000000" w:sz="8" w:space="0"/>
              <w:right w:val="single" w:color="000000" w:sz="8" w:space="0"/>
            </w:tcBorders>
          </w:tcPr>
          <w:p w:rsidR="00981D01" w:rsidRDefault="00981D01" w14:paraId="1E791F77" w14:textId="77777777">
            <w:pPr>
              <w:spacing w:after="0" w:line="259" w:lineRule="auto"/>
              <w:ind w:left="0" w:right="62" w:firstLine="0"/>
              <w:jc w:val="right"/>
            </w:pPr>
          </w:p>
          <w:p w:rsidR="00EF486C" w:rsidRDefault="00FE444A" w14:paraId="0571DC02" w14:textId="1F4468E7">
            <w:pPr>
              <w:spacing w:after="0" w:line="259" w:lineRule="auto"/>
              <w:ind w:left="0" w:right="62" w:firstLine="0"/>
              <w:jc w:val="right"/>
            </w:pPr>
            <w:r>
              <w:t xml:space="preserve">$5 </w:t>
            </w:r>
          </w:p>
        </w:tc>
        <w:tc>
          <w:tcPr>
            <w:tcW w:w="2242" w:type="dxa"/>
            <w:tcBorders>
              <w:top w:val="nil"/>
              <w:left w:val="single" w:color="000000" w:sz="8" w:space="0"/>
              <w:bottom w:val="single" w:color="000000" w:sz="8" w:space="0"/>
              <w:right w:val="single" w:color="000000" w:sz="8" w:space="0"/>
            </w:tcBorders>
          </w:tcPr>
          <w:p w:rsidR="00981D01" w:rsidRDefault="00981D01" w14:paraId="746D3EA4" w14:textId="77777777">
            <w:pPr>
              <w:spacing w:after="0" w:line="259" w:lineRule="auto"/>
              <w:ind w:left="0" w:right="59" w:firstLine="0"/>
              <w:jc w:val="right"/>
            </w:pPr>
          </w:p>
          <w:p w:rsidR="00EF486C" w:rsidRDefault="00FE444A" w14:paraId="7C11E5FB" w14:textId="626C6BB7">
            <w:pPr>
              <w:spacing w:after="0" w:line="259" w:lineRule="auto"/>
              <w:ind w:left="0" w:right="59" w:firstLine="0"/>
              <w:jc w:val="right"/>
            </w:pPr>
            <w:r>
              <w:t xml:space="preserve">n/a </w:t>
            </w:r>
          </w:p>
        </w:tc>
        <w:tc>
          <w:tcPr>
            <w:tcW w:w="1627" w:type="dxa"/>
            <w:tcBorders>
              <w:top w:val="nil"/>
              <w:left w:val="single" w:color="000000" w:sz="8" w:space="0"/>
              <w:bottom w:val="single" w:color="000000" w:sz="8" w:space="0"/>
              <w:right w:val="single" w:color="000000" w:sz="8" w:space="0"/>
            </w:tcBorders>
          </w:tcPr>
          <w:p w:rsidR="000C734B" w:rsidRDefault="000C734B" w14:paraId="125CEAB4" w14:textId="77777777">
            <w:pPr>
              <w:spacing w:after="0" w:line="259" w:lineRule="auto"/>
              <w:ind w:left="0" w:right="62" w:firstLine="0"/>
              <w:jc w:val="right"/>
            </w:pPr>
          </w:p>
          <w:p w:rsidR="00EF486C" w:rsidRDefault="000C734B" w14:paraId="55B0C34C" w14:textId="5CD029E4">
            <w:pPr>
              <w:spacing w:after="0" w:line="259" w:lineRule="auto"/>
              <w:ind w:left="0" w:right="62" w:firstLine="0"/>
              <w:jc w:val="right"/>
            </w:pPr>
            <w:r>
              <w:t>$5</w:t>
            </w:r>
            <w:r w:rsidR="00140982">
              <w:t>,</w:t>
            </w:r>
            <w:r>
              <w:t>878</w:t>
            </w:r>
            <w:r w:rsidR="00FE444A">
              <w:t xml:space="preserve"> </w:t>
            </w:r>
          </w:p>
        </w:tc>
      </w:tr>
      <w:tr w:rsidR="00EF486C" w14:paraId="03F2716C" w14:textId="77777777">
        <w:trPr>
          <w:trHeight w:val="746"/>
        </w:trPr>
        <w:tc>
          <w:tcPr>
            <w:tcW w:w="1265" w:type="dxa"/>
            <w:tcBorders>
              <w:top w:val="single" w:color="000000" w:sz="8" w:space="0"/>
              <w:left w:val="single" w:color="000000" w:sz="8" w:space="0"/>
              <w:bottom w:val="single" w:color="000000" w:sz="8" w:space="0"/>
              <w:right w:val="single" w:color="000000" w:sz="8" w:space="0"/>
            </w:tcBorders>
          </w:tcPr>
          <w:p w:rsidR="00EF486C" w:rsidRDefault="00FE444A" w14:paraId="503057A8" w14:textId="77777777">
            <w:pPr>
              <w:spacing w:after="0" w:line="259" w:lineRule="auto"/>
              <w:ind w:left="134" w:firstLine="0"/>
              <w:jc w:val="both"/>
            </w:pPr>
            <w:r>
              <w:t xml:space="preserve">DMEPOS </w:t>
            </w:r>
          </w:p>
          <w:p w:rsidR="00EF486C" w:rsidRDefault="00FE444A" w14:paraId="699FA790" w14:textId="77777777">
            <w:pPr>
              <w:spacing w:after="0" w:line="259" w:lineRule="auto"/>
              <w:ind w:left="28" w:firstLine="0"/>
              <w:jc w:val="center"/>
            </w:pPr>
            <w:r>
              <w:t xml:space="preserve">Total </w:t>
            </w:r>
          </w:p>
        </w:tc>
        <w:tc>
          <w:tcPr>
            <w:tcW w:w="2155" w:type="dxa"/>
            <w:tcBorders>
              <w:top w:val="single" w:color="000000" w:sz="8" w:space="0"/>
              <w:left w:val="single" w:color="000000" w:sz="8" w:space="0"/>
              <w:bottom w:val="single" w:color="000000" w:sz="8" w:space="0"/>
              <w:right w:val="single" w:color="000000" w:sz="8" w:space="0"/>
            </w:tcBorders>
            <w:vAlign w:val="center"/>
          </w:tcPr>
          <w:p w:rsidR="00EF486C" w:rsidP="00CF5886" w:rsidRDefault="000C734B" w14:paraId="2CEC2FDB" w14:textId="09F6B334">
            <w:pPr>
              <w:spacing w:after="0" w:line="259" w:lineRule="auto"/>
              <w:ind w:left="0" w:right="65" w:firstLine="0"/>
            </w:pPr>
            <w:r>
              <w:t>273,305</w:t>
            </w:r>
          </w:p>
        </w:tc>
        <w:tc>
          <w:tcPr>
            <w:tcW w:w="2071" w:type="dxa"/>
            <w:tcBorders>
              <w:top w:val="single" w:color="000000" w:sz="8" w:space="0"/>
              <w:left w:val="single" w:color="000000" w:sz="8" w:space="0"/>
              <w:bottom w:val="single" w:color="000000" w:sz="8" w:space="0"/>
              <w:right w:val="single" w:color="000000" w:sz="8" w:space="0"/>
            </w:tcBorders>
          </w:tcPr>
          <w:p w:rsidR="00EF486C" w:rsidRDefault="00FE444A" w14:paraId="7BF4B7A7" w14:textId="77777777">
            <w:pPr>
              <w:spacing w:after="0" w:line="259" w:lineRule="auto"/>
              <w:ind w:left="0" w:right="60" w:firstLine="0"/>
              <w:jc w:val="right"/>
            </w:pPr>
            <w:r>
              <w:rPr>
                <w:sz w:val="19"/>
              </w:rPr>
              <w:t xml:space="preserve"> </w:t>
            </w:r>
            <w:r>
              <w:rPr>
                <w:sz w:val="22"/>
              </w:rPr>
              <w:t xml:space="preserve">n/a </w:t>
            </w:r>
          </w:p>
        </w:tc>
        <w:tc>
          <w:tcPr>
            <w:tcW w:w="2242" w:type="dxa"/>
            <w:tcBorders>
              <w:top w:val="single" w:color="000000" w:sz="8" w:space="0"/>
              <w:left w:val="single" w:color="000000" w:sz="8" w:space="0"/>
              <w:bottom w:val="single" w:color="000000" w:sz="8" w:space="0"/>
              <w:right w:val="single" w:color="000000" w:sz="8" w:space="0"/>
            </w:tcBorders>
            <w:vAlign w:val="center"/>
          </w:tcPr>
          <w:p w:rsidR="00EF486C" w:rsidRDefault="000C734B" w14:paraId="76366C5D" w14:textId="663DD63F">
            <w:pPr>
              <w:spacing w:after="0" w:line="259" w:lineRule="auto"/>
              <w:ind w:left="0" w:right="62" w:firstLine="0"/>
              <w:jc w:val="right"/>
            </w:pPr>
            <w:r>
              <w:t>136,652</w:t>
            </w:r>
          </w:p>
        </w:tc>
        <w:tc>
          <w:tcPr>
            <w:tcW w:w="1627" w:type="dxa"/>
            <w:tcBorders>
              <w:top w:val="single" w:color="000000" w:sz="8" w:space="0"/>
              <w:left w:val="single" w:color="000000" w:sz="8" w:space="0"/>
              <w:bottom w:val="single" w:color="000000" w:sz="8" w:space="0"/>
              <w:right w:val="single" w:color="000000" w:sz="8" w:space="0"/>
            </w:tcBorders>
            <w:vAlign w:val="center"/>
          </w:tcPr>
          <w:p w:rsidR="00EF486C" w:rsidP="00CF5886" w:rsidRDefault="003A65AD" w14:paraId="20E81ECD" w14:textId="31CF508E">
            <w:pPr>
              <w:spacing w:after="0" w:line="259" w:lineRule="auto"/>
              <w:ind w:left="132" w:firstLine="0"/>
              <w:jc w:val="center"/>
            </w:pPr>
            <w:r>
              <w:t xml:space="preserve"> </w:t>
            </w:r>
            <w:r w:rsidR="000C734B">
              <w:t>$4,816,039</w:t>
            </w:r>
          </w:p>
        </w:tc>
      </w:tr>
    </w:tbl>
    <w:p w:rsidR="00A21E07" w:rsidRDefault="00A21E07" w14:paraId="7A8431A5" w14:textId="77777777">
      <w:pPr>
        <w:spacing w:after="1" w:line="238" w:lineRule="auto"/>
        <w:ind w:left="180" w:right="541"/>
        <w:jc w:val="both"/>
      </w:pPr>
    </w:p>
    <w:p w:rsidRPr="00CF5886" w:rsidR="005A197F" w:rsidP="00CF5886" w:rsidRDefault="00F124B4" w14:paraId="13CD57B6" w14:textId="7C99FF15">
      <w:pPr>
        <w:ind w:left="547"/>
      </w:pPr>
      <w:bookmarkStart w:name="_Hlk84594823" w:id="2"/>
      <w:r>
        <w:rPr>
          <w:szCs w:val="24"/>
        </w:rPr>
        <w:t xml:space="preserve">We assume the </w:t>
      </w:r>
      <w:r w:rsidR="002B5F67">
        <w:rPr>
          <w:szCs w:val="24"/>
        </w:rPr>
        <w:t>same rates</w:t>
      </w:r>
      <w:r>
        <w:rPr>
          <w:szCs w:val="24"/>
        </w:rPr>
        <w:t xml:space="preserve"> of submission</w:t>
      </w:r>
      <w:r w:rsidR="002B5F67">
        <w:rPr>
          <w:szCs w:val="24"/>
        </w:rPr>
        <w:t xml:space="preserve"> </w:t>
      </w:r>
      <w:r>
        <w:rPr>
          <w:szCs w:val="24"/>
        </w:rPr>
        <w:t>for</w:t>
      </w:r>
      <w:r w:rsidR="00BD4058">
        <w:rPr>
          <w:szCs w:val="24"/>
        </w:rPr>
        <w:t xml:space="preserve"> </w:t>
      </w:r>
      <w:r>
        <w:rPr>
          <w:szCs w:val="24"/>
        </w:rPr>
        <w:t>initial prior authorization requests</w:t>
      </w:r>
      <w:r w:rsidR="002B5F67">
        <w:rPr>
          <w:szCs w:val="24"/>
        </w:rPr>
        <w:t xml:space="preserve"> and resubmissions to calculate the annual burden for </w:t>
      </w:r>
      <w:r w:rsidR="00E83C2F">
        <w:rPr>
          <w:szCs w:val="24"/>
        </w:rPr>
        <w:t>Year Two</w:t>
      </w:r>
      <w:r w:rsidR="002B5F67">
        <w:rPr>
          <w:szCs w:val="24"/>
        </w:rPr>
        <w:t xml:space="preserve"> and Year Three. Accordingly, in </w:t>
      </w:r>
      <w:r w:rsidR="002B6ECF">
        <w:t>Y</w:t>
      </w:r>
      <w:r w:rsidR="002B2148">
        <w:t xml:space="preserve">ear </w:t>
      </w:r>
      <w:r w:rsidR="002B6ECF">
        <w:t>T</w:t>
      </w:r>
      <w:r w:rsidR="002B2148">
        <w:t>wo</w:t>
      </w:r>
      <w:r w:rsidR="002B2148">
        <w:rPr>
          <w:szCs w:val="24"/>
        </w:rPr>
        <w:t xml:space="preserve"> </w:t>
      </w:r>
      <w:r w:rsidR="002B5F67">
        <w:rPr>
          <w:szCs w:val="24"/>
        </w:rPr>
        <w:t xml:space="preserve">we estimate that </w:t>
      </w:r>
      <w:r w:rsidR="002B2148">
        <w:rPr>
          <w:szCs w:val="24"/>
        </w:rPr>
        <w:t>there will be 250,271</w:t>
      </w:r>
      <w:r w:rsidRPr="005A197F" w:rsidR="002B2148">
        <w:rPr>
          <w:szCs w:val="24"/>
        </w:rPr>
        <w:t xml:space="preserve"> </w:t>
      </w:r>
      <w:r w:rsidR="002B2148">
        <w:rPr>
          <w:szCs w:val="24"/>
        </w:rPr>
        <w:t>initial prior authorization r</w:t>
      </w:r>
      <w:r w:rsidR="002B6ECF">
        <w:rPr>
          <w:szCs w:val="24"/>
        </w:rPr>
        <w:t>equests</w:t>
      </w:r>
      <w:r w:rsidR="00E83C2F">
        <w:rPr>
          <w:szCs w:val="24"/>
        </w:rPr>
        <w:t xml:space="preserve"> from year one</w:t>
      </w:r>
      <w:r w:rsidR="002B2148">
        <w:rPr>
          <w:szCs w:val="24"/>
        </w:rPr>
        <w:t xml:space="preserve"> plus and an additional 141,959 initial requests from codes that will potentially be added to the Required Prior Authorization List in year two for a total of 392,230</w:t>
      </w:r>
      <w:r w:rsidR="002B6ECF">
        <w:rPr>
          <w:szCs w:val="24"/>
        </w:rPr>
        <w:t xml:space="preserve"> initial request</w:t>
      </w:r>
      <w:r w:rsidR="00FE1565">
        <w:rPr>
          <w:szCs w:val="24"/>
        </w:rPr>
        <w:t>s</w:t>
      </w:r>
      <w:r w:rsidR="00EE6255">
        <w:rPr>
          <w:szCs w:val="24"/>
        </w:rPr>
        <w:t xml:space="preserve">. </w:t>
      </w:r>
      <w:r w:rsidR="002B6ECF">
        <w:rPr>
          <w:szCs w:val="24"/>
        </w:rPr>
        <w:t xml:space="preserve">We estimate </w:t>
      </w:r>
      <w:r w:rsidR="00FE1565">
        <w:rPr>
          <w:szCs w:val="24"/>
        </w:rPr>
        <w:t xml:space="preserve">an additional 87,075 </w:t>
      </w:r>
      <w:r w:rsidR="002B6ECF">
        <w:rPr>
          <w:szCs w:val="24"/>
        </w:rPr>
        <w:t xml:space="preserve">resubmission requests </w:t>
      </w:r>
      <w:r w:rsidR="00E72B9B">
        <w:rPr>
          <w:szCs w:val="24"/>
        </w:rPr>
        <w:t xml:space="preserve">for the total number of submissions in Year Two of 479,305. </w:t>
      </w:r>
      <w:r w:rsidR="00E72B9B">
        <w:rPr>
          <w:szCs w:val="24"/>
        </w:rPr>
        <w:lastRenderedPageBreak/>
        <w:t>Of those,</w:t>
      </w:r>
      <w:r w:rsidR="002A7A65">
        <w:rPr>
          <w:szCs w:val="24"/>
        </w:rPr>
        <w:t xml:space="preserve"> </w:t>
      </w:r>
      <w:r w:rsidR="00E72B9B">
        <w:rPr>
          <w:szCs w:val="24"/>
        </w:rPr>
        <w:t>w</w:t>
      </w:r>
      <w:r w:rsidR="002A7A65">
        <w:rPr>
          <w:szCs w:val="24"/>
        </w:rPr>
        <w:t>e expect</w:t>
      </w:r>
      <w:r w:rsidRPr="005A197F" w:rsidR="005A197F">
        <w:rPr>
          <w:szCs w:val="24"/>
        </w:rPr>
        <w:t xml:space="preserve"> 477,243</w:t>
      </w:r>
      <w:r w:rsidR="00426630">
        <w:rPr>
          <w:szCs w:val="24"/>
        </w:rPr>
        <w:t xml:space="preserve"> </w:t>
      </w:r>
      <w:r w:rsidR="006E6A55">
        <w:rPr>
          <w:szCs w:val="24"/>
        </w:rPr>
        <w:t xml:space="preserve">electronic submissions and 2,062 </w:t>
      </w:r>
      <w:r w:rsidR="00426630">
        <w:rPr>
          <w:szCs w:val="24"/>
        </w:rPr>
        <w:t>m</w:t>
      </w:r>
      <w:r w:rsidRPr="005A197F" w:rsidR="005A197F">
        <w:rPr>
          <w:szCs w:val="24"/>
        </w:rPr>
        <w:t>ail submissions</w:t>
      </w:r>
      <w:r w:rsidRPr="005A197F" w:rsidR="00FB1D42">
        <w:rPr>
          <w:szCs w:val="24"/>
        </w:rPr>
        <w:t>.</w:t>
      </w:r>
      <w:r w:rsidRPr="005A197F" w:rsidR="00BF0A61">
        <w:rPr>
          <w:szCs w:val="24"/>
        </w:rPr>
        <w:t xml:space="preserve"> </w:t>
      </w:r>
      <w:r w:rsidR="006E6A55">
        <w:rPr>
          <w:szCs w:val="24"/>
        </w:rPr>
        <w:t xml:space="preserve">Accordingly, </w:t>
      </w:r>
      <w:r w:rsidR="00EE6255">
        <w:rPr>
          <w:szCs w:val="24"/>
        </w:rPr>
        <w:t>w</w:t>
      </w:r>
      <w:r w:rsidRPr="005A197F" w:rsidR="00BF0A61">
        <w:rPr>
          <w:szCs w:val="24"/>
        </w:rPr>
        <w:t xml:space="preserve">e estimate </w:t>
      </w:r>
      <w:r w:rsidR="002A7A65">
        <w:rPr>
          <w:szCs w:val="24"/>
        </w:rPr>
        <w:t>a</w:t>
      </w:r>
      <w:r w:rsidRPr="005A197F" w:rsidR="00BF0A61">
        <w:rPr>
          <w:szCs w:val="24"/>
        </w:rPr>
        <w:t xml:space="preserve"> total burden</w:t>
      </w:r>
      <w:r w:rsidR="002A7A65">
        <w:rPr>
          <w:szCs w:val="24"/>
        </w:rPr>
        <w:t xml:space="preserve"> of</w:t>
      </w:r>
      <w:r w:rsidRPr="005A197F" w:rsidR="00BF0A61">
        <w:rPr>
          <w:szCs w:val="24"/>
        </w:rPr>
        <w:t xml:space="preserve"> </w:t>
      </w:r>
      <w:r w:rsidRPr="00CF5886" w:rsidR="005A197F">
        <w:rPr>
          <w:szCs w:val="24"/>
        </w:rPr>
        <w:t xml:space="preserve">$8,446,079 </w:t>
      </w:r>
      <w:r w:rsidR="002A7A65">
        <w:rPr>
          <w:szCs w:val="24"/>
        </w:rPr>
        <w:t>for Year Two.</w:t>
      </w:r>
      <w:bookmarkEnd w:id="2"/>
    </w:p>
    <w:p w:rsidR="00AB1912" w:rsidP="00CF5886" w:rsidRDefault="00AB1912" w14:paraId="10EC4B50" w14:textId="37AABBF5">
      <w:pPr>
        <w:spacing w:after="1" w:line="238" w:lineRule="auto"/>
        <w:ind w:left="540" w:right="541"/>
        <w:jc w:val="both"/>
      </w:pPr>
    </w:p>
    <w:p w:rsidR="00EF486C" w:rsidP="003A65AD" w:rsidRDefault="006E6A55" w14:paraId="246A05BF" w14:textId="09F40F85">
      <w:pPr>
        <w:spacing w:after="0" w:line="240" w:lineRule="auto"/>
        <w:ind w:left="540" w:firstLine="0"/>
        <w:rPr>
          <w:szCs w:val="24"/>
        </w:rPr>
      </w:pPr>
      <w:r>
        <w:t xml:space="preserve">In Year Three, </w:t>
      </w:r>
      <w:r>
        <w:rPr>
          <w:szCs w:val="24"/>
        </w:rPr>
        <w:t>w</w:t>
      </w:r>
      <w:r w:rsidRPr="00E77B09" w:rsidR="00E77B09">
        <w:rPr>
          <w:szCs w:val="24"/>
        </w:rPr>
        <w:t xml:space="preserve">e assume that </w:t>
      </w:r>
      <w:r>
        <w:rPr>
          <w:szCs w:val="24"/>
        </w:rPr>
        <w:t>t</w:t>
      </w:r>
      <w:r w:rsidRPr="00E77B09" w:rsidR="00E77B09">
        <w:rPr>
          <w:szCs w:val="24"/>
        </w:rPr>
        <w:t xml:space="preserve">here will be </w:t>
      </w:r>
      <w:r w:rsidR="00037C86">
        <w:rPr>
          <w:szCs w:val="24"/>
        </w:rPr>
        <w:t>418,847</w:t>
      </w:r>
      <w:r w:rsidRPr="00E77B09" w:rsidR="00E77B09">
        <w:rPr>
          <w:szCs w:val="24"/>
        </w:rPr>
        <w:t xml:space="preserve"> initial prior authorization requests based on codes subject to prior authorization requirements</w:t>
      </w:r>
      <w:r>
        <w:rPr>
          <w:szCs w:val="24"/>
        </w:rPr>
        <w:t xml:space="preserve"> (</w:t>
      </w:r>
      <w:r w:rsidR="00684F86">
        <w:rPr>
          <w:szCs w:val="24"/>
        </w:rPr>
        <w:t>b</w:t>
      </w:r>
      <w:r>
        <w:rPr>
          <w:szCs w:val="24"/>
        </w:rPr>
        <w:t xml:space="preserve">ased </w:t>
      </w:r>
      <w:r w:rsidR="00A20362">
        <w:rPr>
          <w:szCs w:val="24"/>
        </w:rPr>
        <w:t xml:space="preserve">on </w:t>
      </w:r>
      <w:r w:rsidR="00684F86">
        <w:rPr>
          <w:szCs w:val="24"/>
        </w:rPr>
        <w:t>year two</w:t>
      </w:r>
      <w:r>
        <w:rPr>
          <w:szCs w:val="24"/>
        </w:rPr>
        <w:t xml:space="preserve">) </w:t>
      </w:r>
      <w:r w:rsidRPr="00E77B09" w:rsidR="00E77B09">
        <w:rPr>
          <w:szCs w:val="24"/>
        </w:rPr>
        <w:t xml:space="preserve">and an additional </w:t>
      </w:r>
      <w:r w:rsidR="00037C86">
        <w:rPr>
          <w:szCs w:val="24"/>
        </w:rPr>
        <w:t>60,000</w:t>
      </w:r>
      <w:r w:rsidRPr="00E77B09" w:rsidR="00E77B09">
        <w:rPr>
          <w:szCs w:val="24"/>
        </w:rPr>
        <w:t xml:space="preserve"> initial requests from codes that will potentially be added to the required prior authorization list </w:t>
      </w:r>
      <w:r>
        <w:rPr>
          <w:szCs w:val="24"/>
        </w:rPr>
        <w:t xml:space="preserve">in Year </w:t>
      </w:r>
      <w:r w:rsidR="00A20362">
        <w:rPr>
          <w:szCs w:val="24"/>
        </w:rPr>
        <w:t>T</w:t>
      </w:r>
      <w:r>
        <w:rPr>
          <w:szCs w:val="24"/>
        </w:rPr>
        <w:t>hree</w:t>
      </w:r>
      <w:r w:rsidR="00FE1565">
        <w:rPr>
          <w:szCs w:val="24"/>
        </w:rPr>
        <w:t>,</w:t>
      </w:r>
      <w:r w:rsidR="00684F86">
        <w:rPr>
          <w:szCs w:val="24"/>
        </w:rPr>
        <w:t xml:space="preserve"> </w:t>
      </w:r>
      <w:r w:rsidRPr="00E77B09" w:rsidR="00E77B09">
        <w:rPr>
          <w:szCs w:val="24"/>
        </w:rPr>
        <w:t xml:space="preserve">for a total of </w:t>
      </w:r>
      <w:r w:rsidR="00037C86">
        <w:rPr>
          <w:szCs w:val="24"/>
        </w:rPr>
        <w:t>478,847</w:t>
      </w:r>
      <w:r w:rsidRPr="00E77B09" w:rsidR="00E77B09">
        <w:rPr>
          <w:szCs w:val="24"/>
        </w:rPr>
        <w:t xml:space="preserve"> initial requests. </w:t>
      </w:r>
      <w:r w:rsidR="00FE1565">
        <w:rPr>
          <w:szCs w:val="24"/>
        </w:rPr>
        <w:t>Using the same rates of resubmissions described in year one, w</w:t>
      </w:r>
      <w:r w:rsidRPr="00E77B09" w:rsidR="00E77B09">
        <w:rPr>
          <w:szCs w:val="24"/>
        </w:rPr>
        <w:t xml:space="preserve">e estimate that there will be </w:t>
      </w:r>
      <w:r w:rsidR="00037C86">
        <w:rPr>
          <w:szCs w:val="24"/>
        </w:rPr>
        <w:t>106</w:t>
      </w:r>
      <w:r w:rsidRPr="00E77B09" w:rsidR="00E77B09">
        <w:rPr>
          <w:szCs w:val="24"/>
        </w:rPr>
        <w:t>,</w:t>
      </w:r>
      <w:r w:rsidR="00037C86">
        <w:rPr>
          <w:szCs w:val="24"/>
        </w:rPr>
        <w:t>304</w:t>
      </w:r>
      <w:r w:rsidRPr="00E77B09" w:rsidR="00E77B09">
        <w:rPr>
          <w:szCs w:val="24"/>
        </w:rPr>
        <w:t xml:space="preserve"> resubmissions for a total of </w:t>
      </w:r>
      <w:r w:rsidR="00037C86">
        <w:rPr>
          <w:szCs w:val="24"/>
        </w:rPr>
        <w:t>585,152</w:t>
      </w:r>
      <w:r w:rsidRPr="00E77B09" w:rsidR="00E77B09">
        <w:rPr>
          <w:szCs w:val="24"/>
        </w:rPr>
        <w:t xml:space="preserve"> submissions in Year</w:t>
      </w:r>
      <w:r w:rsidR="00E77B09">
        <w:rPr>
          <w:szCs w:val="24"/>
        </w:rPr>
        <w:t xml:space="preserve"> Three</w:t>
      </w:r>
      <w:r w:rsidRPr="00E77B09" w:rsidR="00E77B09">
        <w:rPr>
          <w:szCs w:val="24"/>
        </w:rPr>
        <w:t xml:space="preserve">. We expect electronic submissions will be </w:t>
      </w:r>
      <w:r w:rsidR="00E77B09">
        <w:rPr>
          <w:szCs w:val="24"/>
        </w:rPr>
        <w:t>582</w:t>
      </w:r>
      <w:r w:rsidRPr="00E77B09" w:rsidR="00E77B09">
        <w:rPr>
          <w:szCs w:val="24"/>
        </w:rPr>
        <w:t>,</w:t>
      </w:r>
      <w:r w:rsidR="00E77B09">
        <w:rPr>
          <w:szCs w:val="24"/>
        </w:rPr>
        <w:t>634</w:t>
      </w:r>
      <w:r w:rsidRPr="00E77B09" w:rsidR="00E77B09">
        <w:rPr>
          <w:szCs w:val="24"/>
        </w:rPr>
        <w:t xml:space="preserve"> and mail submissions will be 2</w:t>
      </w:r>
      <w:r w:rsidR="00E77B09">
        <w:rPr>
          <w:szCs w:val="24"/>
        </w:rPr>
        <w:t>,517</w:t>
      </w:r>
      <w:r w:rsidRPr="00E77B09" w:rsidR="00E77B09">
        <w:rPr>
          <w:szCs w:val="24"/>
        </w:rPr>
        <w:t>. Using</w:t>
      </w:r>
      <w:r>
        <w:rPr>
          <w:szCs w:val="24"/>
        </w:rPr>
        <w:t xml:space="preserve"> </w:t>
      </w:r>
      <w:r w:rsidR="00FE1565">
        <w:rPr>
          <w:szCs w:val="24"/>
        </w:rPr>
        <w:t xml:space="preserve">the </w:t>
      </w:r>
      <w:r w:rsidRPr="00E77B09" w:rsidR="00E77B09">
        <w:rPr>
          <w:szCs w:val="24"/>
        </w:rPr>
        <w:t>assumptions above</w:t>
      </w:r>
      <w:r w:rsidR="00FE1565">
        <w:rPr>
          <w:szCs w:val="24"/>
        </w:rPr>
        <w:t xml:space="preserve">, </w:t>
      </w:r>
      <w:r w:rsidRPr="00E77B09" w:rsidR="00E77B09">
        <w:rPr>
          <w:szCs w:val="24"/>
        </w:rPr>
        <w:t>we estimate a total burden of $</w:t>
      </w:r>
      <w:r w:rsidR="00E77B09">
        <w:rPr>
          <w:szCs w:val="24"/>
        </w:rPr>
        <w:t>10</w:t>
      </w:r>
      <w:r w:rsidRPr="00E77B09" w:rsidR="00E77B09">
        <w:rPr>
          <w:szCs w:val="24"/>
        </w:rPr>
        <w:t>,</w:t>
      </w:r>
      <w:r w:rsidR="00E77B09">
        <w:rPr>
          <w:szCs w:val="24"/>
        </w:rPr>
        <w:t>311</w:t>
      </w:r>
      <w:r w:rsidRPr="00E77B09" w:rsidR="00E77B09">
        <w:rPr>
          <w:szCs w:val="24"/>
        </w:rPr>
        <w:t>,</w:t>
      </w:r>
      <w:r w:rsidR="00E77B09">
        <w:rPr>
          <w:szCs w:val="24"/>
        </w:rPr>
        <w:t>253</w:t>
      </w:r>
      <w:r w:rsidRPr="00E77B09" w:rsidR="00E77B09">
        <w:rPr>
          <w:szCs w:val="24"/>
        </w:rPr>
        <w:t xml:space="preserve"> for Year T</w:t>
      </w:r>
      <w:r w:rsidR="00E77B09">
        <w:rPr>
          <w:szCs w:val="24"/>
        </w:rPr>
        <w:t>hree</w:t>
      </w:r>
      <w:r w:rsidRPr="00E77B09" w:rsidR="00E77B09">
        <w:rPr>
          <w:szCs w:val="24"/>
        </w:rPr>
        <w:t>.</w:t>
      </w:r>
      <w:r w:rsidR="003A65AD">
        <w:rPr>
          <w:szCs w:val="24"/>
        </w:rPr>
        <w:t xml:space="preserve"> </w:t>
      </w:r>
    </w:p>
    <w:p w:rsidR="003A65AD" w:rsidP="003A65AD" w:rsidRDefault="003A65AD" w14:paraId="730409B3" w14:textId="77777777">
      <w:pPr>
        <w:spacing w:after="0" w:line="240" w:lineRule="auto"/>
        <w:ind w:left="540" w:firstLine="0"/>
      </w:pPr>
    </w:p>
    <w:p w:rsidRPr="007B0FD7" w:rsidR="003A65AD" w:rsidP="007B0FD7" w:rsidRDefault="00FE444A" w14:paraId="1E6A286E" w14:textId="62CE527D">
      <w:pPr>
        <w:spacing w:after="0" w:line="259" w:lineRule="auto"/>
        <w:ind w:left="0" w:firstLine="0"/>
      </w:pPr>
      <w:r w:rsidRPr="007B0FD7">
        <w:rPr>
          <w:sz w:val="28"/>
        </w:rPr>
        <w:t>Total</w:t>
      </w:r>
      <w:r w:rsidRPr="007B0FD7" w:rsidR="003B777B">
        <w:rPr>
          <w:sz w:val="28"/>
        </w:rPr>
        <w:t xml:space="preserve"> </w:t>
      </w:r>
      <w:r w:rsidRPr="007B0FD7" w:rsidR="00FE1565">
        <w:rPr>
          <w:sz w:val="28"/>
        </w:rPr>
        <w:t xml:space="preserve">Annual </w:t>
      </w:r>
      <w:r w:rsidRPr="007B0FD7">
        <w:rPr>
          <w:sz w:val="28"/>
        </w:rPr>
        <w:t>Burden</w:t>
      </w:r>
      <w:r w:rsidRPr="007B0FD7" w:rsidR="00D87899">
        <w:t xml:space="preserve"> </w:t>
      </w:r>
    </w:p>
    <w:p w:rsidRPr="007B0FD7" w:rsidR="00D87899" w:rsidP="003A65AD" w:rsidRDefault="00D87899" w14:paraId="5ECB849D" w14:textId="77777777">
      <w:pPr>
        <w:spacing w:after="0" w:line="259" w:lineRule="auto"/>
        <w:ind w:left="0" w:firstLine="0"/>
        <w:jc w:val="center"/>
      </w:pPr>
    </w:p>
    <w:tbl>
      <w:tblPr>
        <w:tblStyle w:val="TableGrid"/>
        <w:tblW w:w="9715" w:type="dxa"/>
        <w:tblInd w:w="85" w:type="dxa"/>
        <w:tblCellMar>
          <w:left w:w="115" w:type="dxa"/>
          <w:right w:w="115" w:type="dxa"/>
        </w:tblCellMar>
        <w:tblLook w:val="04A0" w:firstRow="1" w:lastRow="0" w:firstColumn="1" w:lastColumn="0" w:noHBand="0" w:noVBand="1"/>
      </w:tblPr>
      <w:tblGrid>
        <w:gridCol w:w="2294"/>
        <w:gridCol w:w="2825"/>
        <w:gridCol w:w="2822"/>
        <w:gridCol w:w="1774"/>
      </w:tblGrid>
      <w:tr w:rsidR="0089105B" w:rsidTr="00CF5886" w14:paraId="238C25B2" w14:textId="77777777">
        <w:trPr>
          <w:trHeight w:val="343"/>
        </w:trPr>
        <w:tc>
          <w:tcPr>
            <w:tcW w:w="2294" w:type="dxa"/>
            <w:tcBorders>
              <w:top w:val="single" w:color="000000" w:sz="4" w:space="0"/>
              <w:left w:val="single" w:color="000000" w:sz="4" w:space="0"/>
              <w:bottom w:val="single" w:color="000000" w:sz="4" w:space="0"/>
              <w:right w:val="single" w:color="000000" w:sz="4" w:space="0"/>
            </w:tcBorders>
          </w:tcPr>
          <w:p w:rsidR="0089105B" w:rsidP="00587B7F" w:rsidRDefault="0089105B" w14:paraId="7A1393EF" w14:textId="77777777">
            <w:pPr>
              <w:spacing w:after="0" w:line="259" w:lineRule="auto"/>
              <w:ind w:left="0" w:right="4" w:firstLine="0"/>
              <w:jc w:val="center"/>
            </w:pPr>
            <w:r>
              <w:t xml:space="preserve">Year One </w:t>
            </w:r>
          </w:p>
        </w:tc>
        <w:tc>
          <w:tcPr>
            <w:tcW w:w="2825" w:type="dxa"/>
            <w:tcBorders>
              <w:top w:val="single" w:color="000000" w:sz="4" w:space="0"/>
              <w:left w:val="single" w:color="000000" w:sz="4" w:space="0"/>
              <w:bottom w:val="single" w:color="000000" w:sz="4" w:space="0"/>
              <w:right w:val="single" w:color="000000" w:sz="4" w:space="0"/>
            </w:tcBorders>
          </w:tcPr>
          <w:p w:rsidR="0089105B" w:rsidP="00587B7F" w:rsidRDefault="0089105B" w14:paraId="5C1F2BD0" w14:textId="77777777">
            <w:pPr>
              <w:spacing w:after="0" w:line="259" w:lineRule="auto"/>
              <w:ind w:left="0" w:right="12" w:firstLine="0"/>
              <w:jc w:val="center"/>
            </w:pPr>
            <w:r>
              <w:t xml:space="preserve">Year Two </w:t>
            </w:r>
          </w:p>
        </w:tc>
        <w:tc>
          <w:tcPr>
            <w:tcW w:w="2822" w:type="dxa"/>
            <w:tcBorders>
              <w:top w:val="single" w:color="000000" w:sz="4" w:space="0"/>
              <w:left w:val="single" w:color="000000" w:sz="4" w:space="0"/>
              <w:bottom w:val="single" w:color="000000" w:sz="4" w:space="0"/>
              <w:right w:val="single" w:color="000000" w:sz="4" w:space="0"/>
            </w:tcBorders>
          </w:tcPr>
          <w:p w:rsidR="0089105B" w:rsidP="00587B7F" w:rsidRDefault="0089105B" w14:paraId="32E0B9AF" w14:textId="77777777">
            <w:pPr>
              <w:spacing w:after="0" w:line="259" w:lineRule="auto"/>
              <w:ind w:left="0" w:right="11" w:firstLine="0"/>
              <w:jc w:val="center"/>
            </w:pPr>
            <w:r>
              <w:t xml:space="preserve">Year Three </w:t>
            </w:r>
          </w:p>
        </w:tc>
        <w:tc>
          <w:tcPr>
            <w:tcW w:w="1774" w:type="dxa"/>
            <w:tcBorders>
              <w:top w:val="single" w:color="000000" w:sz="4" w:space="0"/>
              <w:left w:val="single" w:color="000000" w:sz="4" w:space="0"/>
              <w:bottom w:val="single" w:color="000000" w:sz="4" w:space="0"/>
              <w:right w:val="single" w:color="000000" w:sz="4" w:space="0"/>
            </w:tcBorders>
          </w:tcPr>
          <w:p w:rsidR="0089105B" w:rsidP="00587B7F" w:rsidRDefault="0089105B" w14:paraId="7240305C" w14:textId="33791B67">
            <w:pPr>
              <w:spacing w:after="0" w:line="259" w:lineRule="auto"/>
              <w:ind w:left="0" w:right="11" w:firstLine="0"/>
              <w:jc w:val="center"/>
            </w:pPr>
            <w:r>
              <w:t xml:space="preserve">Average </w:t>
            </w:r>
            <w:r w:rsidR="00FE1565">
              <w:t xml:space="preserve">Annual </w:t>
            </w:r>
            <w:r>
              <w:t>Burden</w:t>
            </w:r>
          </w:p>
        </w:tc>
      </w:tr>
      <w:tr w:rsidR="0089105B" w:rsidTr="00CF5886" w14:paraId="579E2062" w14:textId="77777777">
        <w:trPr>
          <w:trHeight w:val="347"/>
        </w:trPr>
        <w:tc>
          <w:tcPr>
            <w:tcW w:w="2294" w:type="dxa"/>
            <w:tcBorders>
              <w:top w:val="single" w:color="000000" w:sz="4" w:space="0"/>
              <w:left w:val="single" w:color="000000" w:sz="4" w:space="0"/>
              <w:bottom w:val="single" w:color="000000" w:sz="4" w:space="0"/>
              <w:right w:val="single" w:color="000000" w:sz="4" w:space="0"/>
            </w:tcBorders>
          </w:tcPr>
          <w:p w:rsidR="0089105B" w:rsidP="00587B7F" w:rsidRDefault="0089105B" w14:paraId="528EE346" w14:textId="77777777">
            <w:pPr>
              <w:spacing w:after="0" w:line="259" w:lineRule="auto"/>
              <w:ind w:left="0" w:right="5" w:firstLine="0"/>
              <w:jc w:val="center"/>
            </w:pPr>
            <w:r>
              <w:t>$4,816,039</w:t>
            </w:r>
          </w:p>
        </w:tc>
        <w:tc>
          <w:tcPr>
            <w:tcW w:w="2825" w:type="dxa"/>
            <w:tcBorders>
              <w:top w:val="single" w:color="000000" w:sz="4" w:space="0"/>
              <w:left w:val="single" w:color="000000" w:sz="4" w:space="0"/>
              <w:bottom w:val="single" w:color="000000" w:sz="4" w:space="0"/>
              <w:right w:val="single" w:color="000000" w:sz="4" w:space="0"/>
            </w:tcBorders>
          </w:tcPr>
          <w:p w:rsidR="0089105B" w:rsidP="00587B7F" w:rsidRDefault="0089105B" w14:paraId="4EB1C474" w14:textId="77777777">
            <w:pPr>
              <w:spacing w:after="0" w:line="259" w:lineRule="auto"/>
              <w:ind w:left="0" w:right="12" w:firstLine="0"/>
              <w:jc w:val="center"/>
            </w:pPr>
            <w:r w:rsidRPr="00295779">
              <w:rPr>
                <w:szCs w:val="24"/>
              </w:rPr>
              <w:t xml:space="preserve">$8,446,079 </w:t>
            </w:r>
          </w:p>
        </w:tc>
        <w:tc>
          <w:tcPr>
            <w:tcW w:w="2822" w:type="dxa"/>
            <w:tcBorders>
              <w:top w:val="single" w:color="000000" w:sz="4" w:space="0"/>
              <w:left w:val="single" w:color="000000" w:sz="4" w:space="0"/>
              <w:bottom w:val="single" w:color="000000" w:sz="4" w:space="0"/>
              <w:right w:val="single" w:color="000000" w:sz="4" w:space="0"/>
            </w:tcBorders>
          </w:tcPr>
          <w:p w:rsidR="0089105B" w:rsidP="00587B7F" w:rsidRDefault="0089105B" w14:paraId="14CA6FAF" w14:textId="77777777">
            <w:pPr>
              <w:spacing w:after="0" w:line="259" w:lineRule="auto"/>
              <w:ind w:left="0" w:right="5" w:firstLine="0"/>
              <w:jc w:val="center"/>
            </w:pPr>
            <w:r w:rsidRPr="00E77B09">
              <w:rPr>
                <w:szCs w:val="24"/>
              </w:rPr>
              <w:t>$</w:t>
            </w:r>
            <w:r>
              <w:rPr>
                <w:szCs w:val="24"/>
              </w:rPr>
              <w:t>10</w:t>
            </w:r>
            <w:r w:rsidRPr="00E77B09">
              <w:rPr>
                <w:szCs w:val="24"/>
              </w:rPr>
              <w:t>,</w:t>
            </w:r>
            <w:r>
              <w:rPr>
                <w:szCs w:val="24"/>
              </w:rPr>
              <w:t>311</w:t>
            </w:r>
            <w:r w:rsidRPr="00E77B09">
              <w:rPr>
                <w:szCs w:val="24"/>
              </w:rPr>
              <w:t>,</w:t>
            </w:r>
            <w:r>
              <w:rPr>
                <w:szCs w:val="24"/>
              </w:rPr>
              <w:t>253</w:t>
            </w:r>
            <w:r w:rsidRPr="00E77B09">
              <w:rPr>
                <w:szCs w:val="24"/>
              </w:rPr>
              <w:t xml:space="preserve"> </w:t>
            </w:r>
          </w:p>
        </w:tc>
        <w:tc>
          <w:tcPr>
            <w:tcW w:w="1774" w:type="dxa"/>
            <w:tcBorders>
              <w:top w:val="single" w:color="000000" w:sz="4" w:space="0"/>
              <w:left w:val="single" w:color="000000" w:sz="4" w:space="0"/>
              <w:bottom w:val="single" w:color="000000" w:sz="4" w:space="0"/>
              <w:right w:val="single" w:color="000000" w:sz="4" w:space="0"/>
            </w:tcBorders>
          </w:tcPr>
          <w:p w:rsidRPr="00E77B09" w:rsidR="0089105B" w:rsidP="00587B7F" w:rsidRDefault="0089105B" w14:paraId="352B4260" w14:textId="77777777">
            <w:pPr>
              <w:spacing w:after="0" w:line="259" w:lineRule="auto"/>
              <w:ind w:left="0" w:right="5" w:firstLine="0"/>
              <w:jc w:val="center"/>
              <w:rPr>
                <w:szCs w:val="24"/>
              </w:rPr>
            </w:pPr>
            <w:r>
              <w:rPr>
                <w:szCs w:val="24"/>
              </w:rPr>
              <w:t>$7,857,790</w:t>
            </w:r>
          </w:p>
        </w:tc>
      </w:tr>
    </w:tbl>
    <w:p w:rsidR="00361571" w:rsidP="00FC7729" w:rsidRDefault="00361571" w14:paraId="476FE21F" w14:textId="5DC8E283"/>
    <w:p w:rsidR="0089105B" w:rsidP="00FC7729" w:rsidRDefault="0089105B" w14:paraId="7EA6B2DF" w14:textId="6DB4532F">
      <w:r>
        <w:t>The annual burden for Year One is $4,816,039</w:t>
      </w:r>
      <w:r w:rsidR="00613467">
        <w:t xml:space="preserve">, the annual burden for Year Two is </w:t>
      </w:r>
      <w:r w:rsidRPr="00295779" w:rsidR="00613467">
        <w:rPr>
          <w:szCs w:val="24"/>
        </w:rPr>
        <w:t>$8,446,079</w:t>
      </w:r>
      <w:r w:rsidR="00613467">
        <w:rPr>
          <w:szCs w:val="24"/>
        </w:rPr>
        <w:t xml:space="preserve">, and the annual burden for Year Three is </w:t>
      </w:r>
      <w:r w:rsidRPr="00E77B09" w:rsidR="00613467">
        <w:rPr>
          <w:szCs w:val="24"/>
        </w:rPr>
        <w:t>$</w:t>
      </w:r>
      <w:r w:rsidR="00613467">
        <w:rPr>
          <w:szCs w:val="24"/>
        </w:rPr>
        <w:t>10</w:t>
      </w:r>
      <w:r w:rsidRPr="00E77B09" w:rsidR="00613467">
        <w:rPr>
          <w:szCs w:val="24"/>
        </w:rPr>
        <w:t>,</w:t>
      </w:r>
      <w:r w:rsidR="00613467">
        <w:rPr>
          <w:szCs w:val="24"/>
        </w:rPr>
        <w:t>311</w:t>
      </w:r>
      <w:r w:rsidRPr="00E77B09" w:rsidR="00613467">
        <w:rPr>
          <w:szCs w:val="24"/>
        </w:rPr>
        <w:t>,</w:t>
      </w:r>
      <w:r w:rsidR="00613467">
        <w:rPr>
          <w:szCs w:val="24"/>
        </w:rPr>
        <w:t>253 for an average annual burden of 7,857,790.</w:t>
      </w:r>
    </w:p>
    <w:p w:rsidRPr="00234793" w:rsidR="00361571" w:rsidP="00FC7729" w:rsidRDefault="00361571" w14:paraId="558B680D" w14:textId="77777777"/>
    <w:p w:rsidRPr="007B0FD7" w:rsidR="00EF486C" w:rsidP="003A65AD" w:rsidRDefault="00FE444A" w14:paraId="5F3F8C9C" w14:textId="7B031CAB">
      <w:pPr>
        <w:pStyle w:val="Heading1"/>
        <w:ind w:left="115"/>
        <w:rPr>
          <w:u w:val="none"/>
        </w:rPr>
      </w:pPr>
      <w:r>
        <w:rPr>
          <w:u w:val="none"/>
        </w:rPr>
        <w:t>13.</w:t>
      </w:r>
      <w:r>
        <w:rPr>
          <w:rFonts w:ascii="Arial" w:hAnsi="Arial" w:eastAsia="Arial" w:cs="Arial"/>
          <w:u w:val="none"/>
        </w:rPr>
        <w:t xml:space="preserve"> </w:t>
      </w:r>
      <w:r w:rsidRPr="007B0FD7">
        <w:rPr>
          <w:u w:val="none"/>
        </w:rPr>
        <w:t>Capital Costs</w:t>
      </w:r>
      <w:r w:rsidRPr="007B0FD7" w:rsidR="003A65AD">
        <w:rPr>
          <w:u w:val="none"/>
        </w:rPr>
        <w:t xml:space="preserve"> </w:t>
      </w:r>
    </w:p>
    <w:p w:rsidRPr="007B0FD7" w:rsidR="003A65AD" w:rsidP="003A65AD" w:rsidRDefault="003A65AD" w14:paraId="416FCD99" w14:textId="77777777"/>
    <w:p w:rsidRPr="007B0FD7" w:rsidR="00EF486C" w:rsidP="003A65AD" w:rsidRDefault="00FE444A" w14:paraId="01347999" w14:textId="4723B6F6">
      <w:pPr>
        <w:ind w:left="547"/>
      </w:pPr>
      <w:r w:rsidRPr="007B0FD7">
        <w:t>There are no capital costs associated with this collection. Providers and suppliers maintain these medical records and routinely submit them to various healthcare entities.</w:t>
      </w:r>
      <w:r w:rsidRPr="007B0FD7" w:rsidR="003A65AD">
        <w:t xml:space="preserve"> </w:t>
      </w:r>
    </w:p>
    <w:p w:rsidR="003A65AD" w:rsidP="003A65AD" w:rsidRDefault="003A65AD" w14:paraId="402ECB2B" w14:textId="20BD942D">
      <w:pPr>
        <w:ind w:left="547"/>
      </w:pPr>
    </w:p>
    <w:p w:rsidRPr="007B0FD7" w:rsidR="00D87899" w:rsidP="00D87899" w:rsidRDefault="00FE444A" w14:paraId="51C2FB18" w14:textId="77777777">
      <w:pPr>
        <w:pStyle w:val="Heading1"/>
        <w:ind w:left="115"/>
        <w:rPr>
          <w:u w:val="none"/>
        </w:rPr>
      </w:pPr>
      <w:bookmarkStart w:name="_GoBack" w:id="3"/>
      <w:bookmarkEnd w:id="3"/>
      <w:r w:rsidRPr="007B0FD7">
        <w:rPr>
          <w:u w:val="none"/>
        </w:rPr>
        <w:lastRenderedPageBreak/>
        <w:t>14.</w:t>
      </w:r>
      <w:r w:rsidRPr="007B0FD7">
        <w:rPr>
          <w:rFonts w:ascii="Arial" w:hAnsi="Arial" w:eastAsia="Arial" w:cs="Arial"/>
          <w:u w:val="none"/>
        </w:rPr>
        <w:t xml:space="preserve"> </w:t>
      </w:r>
      <w:r w:rsidRPr="007B0FD7">
        <w:rPr>
          <w:u w:val="none"/>
        </w:rPr>
        <w:t>Cost to Federal Government</w:t>
      </w:r>
      <w:r w:rsidRPr="007B0FD7" w:rsidR="00D87899">
        <w:rPr>
          <w:u w:val="none"/>
        </w:rPr>
        <w:t xml:space="preserve"> </w:t>
      </w:r>
    </w:p>
    <w:p w:rsidR="00D87899" w:rsidP="00D87899" w:rsidRDefault="00D87899" w14:paraId="4F1F7212" w14:textId="77777777">
      <w:pPr>
        <w:pStyle w:val="Heading1"/>
        <w:ind w:left="115"/>
      </w:pPr>
    </w:p>
    <w:p w:rsidR="00EF486C" w:rsidP="007B0FD7" w:rsidRDefault="00FE444A" w14:paraId="5C4B50B9" w14:textId="36D9F953">
      <w:pPr>
        <w:pStyle w:val="Heading1"/>
        <w:ind w:left="537" w:firstLine="0"/>
        <w:rPr>
          <w:u w:val="none"/>
        </w:rPr>
      </w:pPr>
      <w:r w:rsidRPr="00D87899">
        <w:rPr>
          <w:u w:val="none"/>
        </w:rPr>
        <w:t>Consistent with Sections 1833(e), 1842(a)(2)(B), and 1862(a)(1) of the Social Security Act, the Centers for Medicare &amp; Medicaid Services (CMS) is required to protect the Medicare Trust Fund against inappropriate payments and take corrective actions. To meet this requirement CMS contracts with Part A and Part B Medicare Administrative Contractors (A/B MACs), Durable Medical Equipment Medicare Administrative Contractors (DME MACs) and others to perform analysis of fee-for</w:t>
      </w:r>
      <w:r w:rsidRPr="00D87899" w:rsidR="00B360E4">
        <w:rPr>
          <w:u w:val="none"/>
        </w:rPr>
        <w:t>-</w:t>
      </w:r>
      <w:r w:rsidRPr="00D87899">
        <w:rPr>
          <w:u w:val="none"/>
        </w:rPr>
        <w:t>service (FFS) claim data to identify atypical billing patterns and perform medical review. These entities are referred to Medicare Contractors. Medical review is the collection of information and clinical review of medical records by Medicare Contractors to ensure that payment is made only for services that meet all Medicare coverage, coding, and medical necessity requirements. MACs also review the prior authorization requests when making prior authorization determinations.</w:t>
      </w:r>
      <w:r w:rsidR="00D87899">
        <w:rPr>
          <w:u w:val="none"/>
        </w:rPr>
        <w:t xml:space="preserve"> </w:t>
      </w:r>
    </w:p>
    <w:p w:rsidRPr="00D87899" w:rsidR="00D87899" w:rsidP="00D87899" w:rsidRDefault="00D87899" w14:paraId="633EC941" w14:textId="77777777"/>
    <w:p w:rsidR="00EF486C" w:rsidP="00D87899" w:rsidRDefault="00FE444A" w14:paraId="43FA450D" w14:textId="0DFD65A1">
      <w:pPr>
        <w:ind w:left="547"/>
      </w:pPr>
      <w:r>
        <w:t xml:space="preserve">The cost for </w:t>
      </w:r>
      <w:r w:rsidR="00FE1565">
        <w:t xml:space="preserve">the </w:t>
      </w:r>
      <w:r>
        <w:t>DME MAC</w:t>
      </w:r>
      <w:r w:rsidR="00FE1565">
        <w:t>s</w:t>
      </w:r>
      <w:r>
        <w:t xml:space="preserve"> to review the number of prior authorization requests as described above, as well as CMS program oversight is</w:t>
      </w:r>
      <w:r w:rsidR="00613467">
        <w:t xml:space="preserve"> $13,665,229 f</w:t>
      </w:r>
      <w:r>
        <w:t xml:space="preserve">or </w:t>
      </w:r>
      <w:r w:rsidR="00A20362">
        <w:t>Y</w:t>
      </w:r>
      <w:r>
        <w:t xml:space="preserve">ear </w:t>
      </w:r>
      <w:r w:rsidR="00A20362">
        <w:t>O</w:t>
      </w:r>
      <w:r>
        <w:t>ne</w:t>
      </w:r>
      <w:r w:rsidR="00A20362">
        <w:t>,</w:t>
      </w:r>
      <w:r>
        <w:t xml:space="preserve"> $</w:t>
      </w:r>
      <w:r w:rsidR="00613467">
        <w:t>23,965,256</w:t>
      </w:r>
      <w:r>
        <w:t xml:space="preserve"> </w:t>
      </w:r>
      <w:r w:rsidR="00EE6255">
        <w:t xml:space="preserve">for </w:t>
      </w:r>
      <w:r w:rsidR="00A20362">
        <w:t>Y</w:t>
      </w:r>
      <w:r>
        <w:t>ear</w:t>
      </w:r>
      <w:r w:rsidR="00A20362">
        <w:t xml:space="preserve"> T</w:t>
      </w:r>
      <w:r>
        <w:t>wo</w:t>
      </w:r>
      <w:r w:rsidR="00A20362">
        <w:t>,</w:t>
      </w:r>
      <w:r>
        <w:t xml:space="preserve"> and </w:t>
      </w:r>
      <w:r w:rsidR="003E342C">
        <w:t>$</w:t>
      </w:r>
      <w:r w:rsidR="00613467">
        <w:t xml:space="preserve">29,757,756 </w:t>
      </w:r>
      <w:r w:rsidR="00EE6255">
        <w:t xml:space="preserve">for </w:t>
      </w:r>
      <w:r w:rsidR="00A20362">
        <w:t>Y</w:t>
      </w:r>
      <w:r w:rsidR="00613467">
        <w:t xml:space="preserve">ear </w:t>
      </w:r>
      <w:r w:rsidR="00A20362">
        <w:t>T</w:t>
      </w:r>
      <w:r>
        <w:t xml:space="preserve">hree. CMS estimates that the costs associated with </w:t>
      </w:r>
      <w:r w:rsidR="006C2AC5">
        <w:t xml:space="preserve">this package </w:t>
      </w:r>
      <w:r>
        <w:t>would be $</w:t>
      </w:r>
      <w:r w:rsidR="00613467">
        <w:t xml:space="preserve">67,388,241 </w:t>
      </w:r>
      <w:r>
        <w:t>over the 3-year</w:t>
      </w:r>
      <w:r w:rsidR="00CF25E4">
        <w:t xml:space="preserve"> p</w:t>
      </w:r>
      <w:r>
        <w:t>eriod.</w:t>
      </w:r>
      <w:r w:rsidR="00D87899">
        <w:t xml:space="preserve"> </w:t>
      </w:r>
    </w:p>
    <w:p w:rsidR="00D87899" w:rsidP="00D87899" w:rsidRDefault="00D87899" w14:paraId="4D307DFF" w14:textId="77777777">
      <w:pPr>
        <w:ind w:left="547"/>
      </w:pPr>
    </w:p>
    <w:p w:rsidRPr="007B0FD7" w:rsidR="00EF486C" w:rsidRDefault="00FE444A" w14:paraId="7337E2BB" w14:textId="77777777">
      <w:pPr>
        <w:pStyle w:val="Heading1"/>
        <w:ind w:left="115"/>
        <w:rPr>
          <w:u w:val="none"/>
        </w:rPr>
      </w:pPr>
      <w:r>
        <w:rPr>
          <w:u w:val="none"/>
        </w:rPr>
        <w:t>15.</w:t>
      </w:r>
      <w:r>
        <w:rPr>
          <w:rFonts w:ascii="Arial" w:hAnsi="Arial" w:eastAsia="Arial" w:cs="Arial"/>
          <w:u w:val="none"/>
        </w:rPr>
        <w:t xml:space="preserve"> </w:t>
      </w:r>
      <w:r w:rsidRPr="007B0FD7">
        <w:rPr>
          <w:u w:val="none"/>
        </w:rPr>
        <w:t xml:space="preserve">Changes to Burden </w:t>
      </w:r>
    </w:p>
    <w:p w:rsidRPr="007B0FD7" w:rsidR="00EF486C" w:rsidRDefault="00EF486C" w14:paraId="42020610" w14:textId="3D92C39C">
      <w:pPr>
        <w:spacing w:after="137" w:line="259" w:lineRule="auto"/>
        <w:ind w:left="0" w:firstLine="0"/>
      </w:pPr>
    </w:p>
    <w:p w:rsidR="00F5026D" w:rsidP="00F440F6" w:rsidRDefault="00FE444A" w14:paraId="017FF4AD" w14:textId="58ED4C45">
      <w:pPr>
        <w:ind w:left="547"/>
        <w:rPr>
          <w:szCs w:val="24"/>
        </w:rPr>
      </w:pPr>
      <w:r w:rsidRPr="00A71746">
        <w:rPr>
          <w:szCs w:val="24"/>
        </w:rPr>
        <w:t xml:space="preserve">This is a revised collection. The overall average burden has increased </w:t>
      </w:r>
      <w:r w:rsidRPr="00A71746" w:rsidR="00C5080A">
        <w:rPr>
          <w:szCs w:val="24"/>
        </w:rPr>
        <w:t>because we estimate more prior authorization requests</w:t>
      </w:r>
      <w:r w:rsidRPr="00A71746">
        <w:rPr>
          <w:szCs w:val="24"/>
        </w:rPr>
        <w:t xml:space="preserve"> </w:t>
      </w:r>
      <w:r w:rsidRPr="00A71746" w:rsidR="00F60468">
        <w:rPr>
          <w:szCs w:val="24"/>
        </w:rPr>
        <w:t xml:space="preserve">submitted </w:t>
      </w:r>
      <w:r w:rsidR="008D4EFF">
        <w:rPr>
          <w:szCs w:val="24"/>
        </w:rPr>
        <w:t xml:space="preserve">over the next three years. </w:t>
      </w:r>
      <w:r w:rsidRPr="00A71746" w:rsidR="00C5080A">
        <w:rPr>
          <w:szCs w:val="24"/>
        </w:rPr>
        <w:t xml:space="preserve">  </w:t>
      </w:r>
      <w:r w:rsidRPr="00A71746" w:rsidR="00A71746">
        <w:rPr>
          <w:szCs w:val="24"/>
        </w:rPr>
        <w:t xml:space="preserve">In our previous collection, </w:t>
      </w:r>
      <w:r w:rsidRPr="00DF7562" w:rsidR="00A71746">
        <w:rPr>
          <w:szCs w:val="24"/>
        </w:rPr>
        <w:t xml:space="preserve">the average burden estimate was 330,210 cases per year in years one through three with a projected </w:t>
      </w:r>
      <w:r w:rsidR="00F5026D">
        <w:rPr>
          <w:szCs w:val="24"/>
        </w:rPr>
        <w:t xml:space="preserve">annual </w:t>
      </w:r>
      <w:r w:rsidRPr="00DF7562" w:rsidR="00A71746">
        <w:rPr>
          <w:szCs w:val="24"/>
        </w:rPr>
        <w:t xml:space="preserve">average </w:t>
      </w:r>
      <w:r w:rsidR="008D4EFF">
        <w:rPr>
          <w:szCs w:val="24"/>
        </w:rPr>
        <w:t xml:space="preserve">burden </w:t>
      </w:r>
      <w:r w:rsidRPr="00DF7562" w:rsidR="00A71746">
        <w:rPr>
          <w:szCs w:val="24"/>
        </w:rPr>
        <w:t xml:space="preserve">cost of $5,300,000. </w:t>
      </w:r>
    </w:p>
    <w:p w:rsidR="00F5026D" w:rsidP="00CF25E4" w:rsidRDefault="00F5026D" w14:paraId="38370C2C" w14:textId="30B40051">
      <w:pPr>
        <w:pStyle w:val="CommentText"/>
        <w:rPr>
          <w:sz w:val="24"/>
          <w:szCs w:val="24"/>
        </w:rPr>
      </w:pPr>
    </w:p>
    <w:p w:rsidR="008D4EFF" w:rsidP="00CF25E4" w:rsidRDefault="00FE444A" w14:paraId="7FC384D4" w14:textId="40B95D36">
      <w:pPr>
        <w:pStyle w:val="CommentText"/>
        <w:rPr>
          <w:sz w:val="24"/>
          <w:szCs w:val="24"/>
        </w:rPr>
      </w:pPr>
      <w:r w:rsidRPr="00A71746">
        <w:rPr>
          <w:sz w:val="24"/>
          <w:szCs w:val="24"/>
        </w:rPr>
        <w:t xml:space="preserve">The previous </w:t>
      </w:r>
      <w:r w:rsidR="00F5026D">
        <w:rPr>
          <w:sz w:val="24"/>
          <w:szCs w:val="24"/>
        </w:rPr>
        <w:t>burden</w:t>
      </w:r>
      <w:r w:rsidRPr="00A71746">
        <w:rPr>
          <w:sz w:val="24"/>
          <w:szCs w:val="24"/>
        </w:rPr>
        <w:t xml:space="preserve"> estimate</w:t>
      </w:r>
      <w:r w:rsidRPr="00A71746" w:rsidR="00CF25E4">
        <w:rPr>
          <w:sz w:val="24"/>
          <w:szCs w:val="24"/>
        </w:rPr>
        <w:t xml:space="preserve"> was based on the </w:t>
      </w:r>
      <w:r w:rsidRPr="00A71746" w:rsidR="007A1AA1">
        <w:rPr>
          <w:sz w:val="24"/>
          <w:szCs w:val="24"/>
        </w:rPr>
        <w:t xml:space="preserve">potential </w:t>
      </w:r>
      <w:r w:rsidR="00F5026D">
        <w:rPr>
          <w:sz w:val="24"/>
          <w:szCs w:val="24"/>
        </w:rPr>
        <w:t xml:space="preserve">number of </w:t>
      </w:r>
      <w:r w:rsidRPr="00A71746" w:rsidR="007A1AA1">
        <w:rPr>
          <w:sz w:val="24"/>
          <w:szCs w:val="24"/>
        </w:rPr>
        <w:t xml:space="preserve">prior authorization requests </w:t>
      </w:r>
      <w:r w:rsidR="00F5026D">
        <w:rPr>
          <w:sz w:val="24"/>
          <w:szCs w:val="24"/>
        </w:rPr>
        <w:t>from</w:t>
      </w:r>
      <w:r w:rsidRPr="00A71746" w:rsidR="007A1AA1">
        <w:rPr>
          <w:sz w:val="24"/>
          <w:szCs w:val="24"/>
        </w:rPr>
        <w:t xml:space="preserve"> the </w:t>
      </w:r>
      <w:r w:rsidRPr="00A71746" w:rsidR="00CF25E4">
        <w:rPr>
          <w:sz w:val="24"/>
          <w:szCs w:val="24"/>
        </w:rPr>
        <w:t>Master</w:t>
      </w:r>
      <w:r w:rsidRPr="00A71746" w:rsidR="007A1AA1">
        <w:rPr>
          <w:sz w:val="24"/>
          <w:szCs w:val="24"/>
        </w:rPr>
        <w:t xml:space="preserve"> </w:t>
      </w:r>
      <w:r w:rsidRPr="00A71746" w:rsidR="00CF25E4">
        <w:rPr>
          <w:sz w:val="24"/>
          <w:szCs w:val="24"/>
        </w:rPr>
        <w:t xml:space="preserve">List as finalized in </w:t>
      </w:r>
      <w:r w:rsidRPr="00A71746" w:rsidR="007A1AA1">
        <w:rPr>
          <w:sz w:val="24"/>
          <w:szCs w:val="24"/>
        </w:rPr>
        <w:t xml:space="preserve">CMS </w:t>
      </w:r>
      <w:r w:rsidRPr="00A71746" w:rsidR="00CF25E4">
        <w:rPr>
          <w:sz w:val="24"/>
          <w:szCs w:val="24"/>
        </w:rPr>
        <w:t>6050</w:t>
      </w:r>
      <w:r w:rsidRPr="00A71746" w:rsidR="007A1AA1">
        <w:rPr>
          <w:sz w:val="24"/>
          <w:szCs w:val="24"/>
        </w:rPr>
        <w:t>-F</w:t>
      </w:r>
      <w:r w:rsidRPr="00A71746" w:rsidR="00CF25E4">
        <w:rPr>
          <w:sz w:val="24"/>
          <w:szCs w:val="24"/>
        </w:rPr>
        <w:t>. Since then we have broadened the criteria for the Master</w:t>
      </w:r>
      <w:r w:rsidRPr="00A71746" w:rsidR="007A1AA1">
        <w:rPr>
          <w:sz w:val="24"/>
          <w:szCs w:val="24"/>
        </w:rPr>
        <w:t xml:space="preserve"> </w:t>
      </w:r>
      <w:r w:rsidRPr="00A71746" w:rsidR="00CF25E4">
        <w:rPr>
          <w:sz w:val="24"/>
          <w:szCs w:val="24"/>
        </w:rPr>
        <w:t xml:space="preserve">List through </w:t>
      </w:r>
      <w:r w:rsidRPr="00A71746" w:rsidR="007A1AA1">
        <w:rPr>
          <w:sz w:val="24"/>
          <w:szCs w:val="24"/>
        </w:rPr>
        <w:t xml:space="preserve">CMS </w:t>
      </w:r>
      <w:r w:rsidRPr="00A71746" w:rsidR="00CF25E4">
        <w:rPr>
          <w:sz w:val="24"/>
          <w:szCs w:val="24"/>
        </w:rPr>
        <w:t>1713</w:t>
      </w:r>
      <w:r w:rsidRPr="00A71746" w:rsidR="007A1AA1">
        <w:rPr>
          <w:sz w:val="24"/>
          <w:szCs w:val="24"/>
        </w:rPr>
        <w:t>-F</w:t>
      </w:r>
      <w:r w:rsidRPr="00A71746" w:rsidR="00CF25E4">
        <w:rPr>
          <w:sz w:val="24"/>
          <w:szCs w:val="24"/>
        </w:rPr>
        <w:t>, which significantly increases the number of items on the Master</w:t>
      </w:r>
      <w:r w:rsidRPr="00A71746" w:rsidR="007A1AA1">
        <w:rPr>
          <w:sz w:val="24"/>
          <w:szCs w:val="24"/>
        </w:rPr>
        <w:t xml:space="preserve"> </w:t>
      </w:r>
      <w:r w:rsidRPr="00A71746" w:rsidR="00CF25E4">
        <w:rPr>
          <w:sz w:val="24"/>
          <w:szCs w:val="24"/>
        </w:rPr>
        <w:t xml:space="preserve">List from which we can choose for required prior authorization. </w:t>
      </w:r>
      <w:r w:rsidRPr="00A71746" w:rsidR="007A1AA1">
        <w:rPr>
          <w:sz w:val="24"/>
          <w:szCs w:val="24"/>
        </w:rPr>
        <w:t xml:space="preserve">While we do not intend to require prior authorization for every item on the Master List, we do anticipate adding additional items to the Required Prior Authorization List. </w:t>
      </w:r>
    </w:p>
    <w:p w:rsidR="008D4EFF" w:rsidP="00CF25E4" w:rsidRDefault="008D4EFF" w14:paraId="4245E545" w14:textId="77777777">
      <w:pPr>
        <w:pStyle w:val="CommentText"/>
        <w:rPr>
          <w:sz w:val="24"/>
          <w:szCs w:val="24"/>
        </w:rPr>
      </w:pPr>
    </w:p>
    <w:p w:rsidR="008D4EFF" w:rsidP="008D4EFF" w:rsidRDefault="00CF25E4" w14:paraId="2960879C" w14:textId="7CC33938">
      <w:pPr>
        <w:ind w:left="547"/>
      </w:pPr>
      <w:r w:rsidRPr="00A71746">
        <w:rPr>
          <w:szCs w:val="24"/>
        </w:rPr>
        <w:t>Th</w:t>
      </w:r>
      <w:r w:rsidR="008D4EFF">
        <w:rPr>
          <w:szCs w:val="24"/>
        </w:rPr>
        <w:t xml:space="preserve">e </w:t>
      </w:r>
      <w:r w:rsidRPr="00A71746">
        <w:rPr>
          <w:szCs w:val="24"/>
        </w:rPr>
        <w:t xml:space="preserve">updated </w:t>
      </w:r>
      <w:r w:rsidRPr="00A71746" w:rsidR="008D4EFF">
        <w:rPr>
          <w:szCs w:val="24"/>
        </w:rPr>
        <w:t xml:space="preserve">average burden estimate </w:t>
      </w:r>
      <w:r w:rsidRPr="00DF7562" w:rsidR="008D4EFF">
        <w:rPr>
          <w:szCs w:val="24"/>
        </w:rPr>
        <w:t xml:space="preserve">is </w:t>
      </w:r>
      <w:r w:rsidRPr="00A71746" w:rsidR="008D4EFF">
        <w:rPr>
          <w:szCs w:val="24"/>
        </w:rPr>
        <w:t xml:space="preserve">445,920 cases per year </w:t>
      </w:r>
      <w:r w:rsidRPr="00DF7562" w:rsidR="008D4EFF">
        <w:rPr>
          <w:szCs w:val="24"/>
        </w:rPr>
        <w:t>in</w:t>
      </w:r>
      <w:r w:rsidRPr="00A71746" w:rsidR="008D4EFF">
        <w:rPr>
          <w:szCs w:val="24"/>
        </w:rPr>
        <w:t xml:space="preserve"> years one through three</w:t>
      </w:r>
      <w:r w:rsidRPr="00DF7562" w:rsidR="008D4EFF">
        <w:rPr>
          <w:szCs w:val="24"/>
        </w:rPr>
        <w:t xml:space="preserve"> with a projected </w:t>
      </w:r>
      <w:r w:rsidR="008D4EFF">
        <w:rPr>
          <w:szCs w:val="24"/>
        </w:rPr>
        <w:t>annual</w:t>
      </w:r>
      <w:r w:rsidRPr="00A71746" w:rsidR="008D4EFF">
        <w:rPr>
          <w:szCs w:val="24"/>
        </w:rPr>
        <w:t xml:space="preserve"> average </w:t>
      </w:r>
      <w:r w:rsidR="008D4EFF">
        <w:rPr>
          <w:szCs w:val="24"/>
        </w:rPr>
        <w:t xml:space="preserve">burden </w:t>
      </w:r>
      <w:r w:rsidRPr="00A71746" w:rsidR="008D4EFF">
        <w:rPr>
          <w:szCs w:val="24"/>
        </w:rPr>
        <w:t xml:space="preserve">cost </w:t>
      </w:r>
      <w:r w:rsidR="008D4EFF">
        <w:rPr>
          <w:szCs w:val="24"/>
        </w:rPr>
        <w:t xml:space="preserve">of </w:t>
      </w:r>
      <w:r w:rsidRPr="00A71746" w:rsidR="008D4EFF">
        <w:rPr>
          <w:szCs w:val="24"/>
        </w:rPr>
        <w:t>$7,860,000</w:t>
      </w:r>
      <w:r w:rsidR="008D4EFF">
        <w:rPr>
          <w:szCs w:val="24"/>
        </w:rPr>
        <w:t>.</w:t>
      </w:r>
    </w:p>
    <w:p w:rsidR="00EF486C" w:rsidP="00D87899" w:rsidRDefault="008D4EFF" w14:paraId="5F582D34" w14:textId="4C4C2894">
      <w:pPr>
        <w:pStyle w:val="CommentText"/>
        <w:rPr>
          <w:sz w:val="24"/>
          <w:szCs w:val="24"/>
        </w:rPr>
      </w:pPr>
      <w:r>
        <w:rPr>
          <w:sz w:val="24"/>
          <w:szCs w:val="24"/>
        </w:rPr>
        <w:t xml:space="preserve">This is </w:t>
      </w:r>
      <w:r w:rsidRPr="00A71746" w:rsidR="00CF25E4">
        <w:rPr>
          <w:sz w:val="24"/>
          <w:szCs w:val="24"/>
        </w:rPr>
        <w:t xml:space="preserve">based on </w:t>
      </w:r>
      <w:r w:rsidRPr="00A71746" w:rsidR="00F5026D">
        <w:rPr>
          <w:sz w:val="24"/>
          <w:szCs w:val="24"/>
        </w:rPr>
        <w:t xml:space="preserve">the number of beneficiaries who were billed for items on the </w:t>
      </w:r>
      <w:r w:rsidR="00F5026D">
        <w:rPr>
          <w:sz w:val="24"/>
          <w:szCs w:val="24"/>
        </w:rPr>
        <w:t xml:space="preserve">Required Prior Authorization </w:t>
      </w:r>
      <w:r w:rsidRPr="00A71746" w:rsidR="00F5026D">
        <w:rPr>
          <w:sz w:val="24"/>
          <w:szCs w:val="24"/>
        </w:rPr>
        <w:t xml:space="preserve">List in </w:t>
      </w:r>
      <w:r w:rsidR="00F5026D">
        <w:rPr>
          <w:sz w:val="24"/>
          <w:szCs w:val="24"/>
        </w:rPr>
        <w:t xml:space="preserve">Calendar Year </w:t>
      </w:r>
      <w:r w:rsidRPr="00A71746" w:rsidR="00F5026D">
        <w:rPr>
          <w:sz w:val="24"/>
          <w:szCs w:val="24"/>
        </w:rPr>
        <w:t>202</w:t>
      </w:r>
      <w:r w:rsidR="00F5026D">
        <w:rPr>
          <w:sz w:val="24"/>
          <w:szCs w:val="24"/>
        </w:rPr>
        <w:t xml:space="preserve">0, as well as </w:t>
      </w:r>
      <w:r w:rsidR="00DA3396">
        <w:rPr>
          <w:sz w:val="24"/>
          <w:szCs w:val="24"/>
        </w:rPr>
        <w:t xml:space="preserve">additional </w:t>
      </w:r>
      <w:r w:rsidRPr="00A71746" w:rsidR="00DA3396">
        <w:rPr>
          <w:sz w:val="24"/>
          <w:szCs w:val="24"/>
        </w:rPr>
        <w:t>items</w:t>
      </w:r>
      <w:r w:rsidRPr="00A71746" w:rsidR="00CF25E4">
        <w:rPr>
          <w:sz w:val="24"/>
          <w:szCs w:val="24"/>
        </w:rPr>
        <w:t xml:space="preserve"> that could be added to the Required</w:t>
      </w:r>
      <w:r w:rsidRPr="00A71746" w:rsidR="007A1AA1">
        <w:rPr>
          <w:sz w:val="24"/>
          <w:szCs w:val="24"/>
        </w:rPr>
        <w:t xml:space="preserve"> Prior </w:t>
      </w:r>
      <w:r w:rsidRPr="00A71746" w:rsidR="00BF53AD">
        <w:rPr>
          <w:sz w:val="24"/>
          <w:szCs w:val="24"/>
        </w:rPr>
        <w:t>Authorization</w:t>
      </w:r>
      <w:r w:rsidRPr="00A71746" w:rsidR="00CF25E4">
        <w:rPr>
          <w:sz w:val="24"/>
          <w:szCs w:val="24"/>
        </w:rPr>
        <w:t xml:space="preserve"> L</w:t>
      </w:r>
      <w:r w:rsidRPr="00FB0F65" w:rsidR="00CF25E4">
        <w:rPr>
          <w:sz w:val="24"/>
          <w:szCs w:val="24"/>
        </w:rPr>
        <w:t>ist over the next 3 years.</w:t>
      </w:r>
      <w:r w:rsidR="00D87899">
        <w:rPr>
          <w:sz w:val="24"/>
          <w:szCs w:val="24"/>
        </w:rPr>
        <w:t xml:space="preserve"> </w:t>
      </w:r>
    </w:p>
    <w:p w:rsidR="00D87899" w:rsidP="00D87899" w:rsidRDefault="00D87899" w14:paraId="32DE5091" w14:textId="77777777">
      <w:pPr>
        <w:pStyle w:val="CommentText"/>
      </w:pPr>
    </w:p>
    <w:p w:rsidRPr="007B0FD7" w:rsidR="00EF486C" w:rsidRDefault="00FE444A" w14:paraId="54CB12B5" w14:textId="77777777">
      <w:pPr>
        <w:spacing w:after="3" w:line="259" w:lineRule="auto"/>
        <w:ind w:left="115"/>
      </w:pPr>
      <w:r>
        <w:t>16.</w:t>
      </w:r>
      <w:r>
        <w:rPr>
          <w:rFonts w:ascii="Arial" w:hAnsi="Arial" w:eastAsia="Arial" w:cs="Arial"/>
        </w:rPr>
        <w:t xml:space="preserve"> </w:t>
      </w:r>
      <w:r w:rsidRPr="007B0FD7">
        <w:t xml:space="preserve">Publication/Tabulation Dates </w:t>
      </w:r>
    </w:p>
    <w:p w:rsidRPr="007B0FD7" w:rsidR="00EF486C" w:rsidRDefault="00EF486C" w14:paraId="0D999C66" w14:textId="1437F323">
      <w:pPr>
        <w:spacing w:after="0" w:line="259" w:lineRule="auto"/>
        <w:ind w:left="0" w:firstLine="0"/>
      </w:pPr>
    </w:p>
    <w:p w:rsidRPr="007B0FD7" w:rsidR="00EF486C" w:rsidP="00D87899" w:rsidRDefault="00FE444A" w14:paraId="14F70108" w14:textId="38DCA991">
      <w:pPr>
        <w:ind w:left="547"/>
      </w:pPr>
      <w:r w:rsidRPr="007B0FD7">
        <w:t>There are no plans to publish or tabulate the information collected.</w:t>
      </w:r>
      <w:r w:rsidRPr="007B0FD7" w:rsidR="00D87899">
        <w:t xml:space="preserve"> </w:t>
      </w:r>
    </w:p>
    <w:p w:rsidRPr="007B0FD7" w:rsidR="00D87899" w:rsidP="00D87899" w:rsidRDefault="00D87899" w14:paraId="0462000A" w14:textId="77777777">
      <w:pPr>
        <w:ind w:left="547"/>
      </w:pPr>
    </w:p>
    <w:p w:rsidRPr="007B0FD7" w:rsidR="00EF486C" w:rsidP="00D87899" w:rsidRDefault="00FE444A" w14:paraId="0F915CEF" w14:textId="2D93F8F4">
      <w:pPr>
        <w:pStyle w:val="Heading1"/>
        <w:ind w:left="115"/>
        <w:rPr>
          <w:u w:val="none"/>
        </w:rPr>
      </w:pPr>
      <w:r w:rsidRPr="007B0FD7">
        <w:rPr>
          <w:u w:val="none"/>
        </w:rPr>
        <w:t>17.</w:t>
      </w:r>
      <w:r w:rsidRPr="007B0FD7">
        <w:rPr>
          <w:rFonts w:ascii="Arial" w:hAnsi="Arial" w:eastAsia="Arial" w:cs="Arial"/>
          <w:u w:val="none"/>
        </w:rPr>
        <w:t xml:space="preserve"> </w:t>
      </w:r>
      <w:r w:rsidRPr="007B0FD7">
        <w:rPr>
          <w:u w:val="none"/>
        </w:rPr>
        <w:t>Expiration Date</w:t>
      </w:r>
      <w:r w:rsidRPr="007B0FD7" w:rsidR="00D87899">
        <w:rPr>
          <w:u w:val="none"/>
        </w:rPr>
        <w:t xml:space="preserve"> </w:t>
      </w:r>
    </w:p>
    <w:p w:rsidRPr="007B0FD7" w:rsidR="00D87899" w:rsidP="00D87899" w:rsidRDefault="00D87899" w14:paraId="20C272D2" w14:textId="77777777"/>
    <w:p w:rsidRPr="007B0FD7" w:rsidR="00EF486C" w:rsidP="00D87899" w:rsidRDefault="00FE444A" w14:paraId="5C88D537" w14:textId="02625AD9">
      <w:pPr>
        <w:ind w:left="547"/>
      </w:pPr>
      <w:r w:rsidRPr="007B0FD7">
        <w:t>There is no collection data instrument used in the collection of this information. However, upon receiving OMB approval, CMS will publish a notice in the Federal Register to inform the public of both the approval as well as the expiration date.</w:t>
      </w:r>
      <w:r w:rsidRPr="007B0FD7" w:rsidR="00D87899">
        <w:t xml:space="preserve"> </w:t>
      </w:r>
    </w:p>
    <w:p w:rsidRPr="007B0FD7" w:rsidR="00D87899" w:rsidP="00D87899" w:rsidRDefault="00D87899" w14:paraId="1243E7EA" w14:textId="77777777">
      <w:pPr>
        <w:ind w:left="547"/>
      </w:pPr>
    </w:p>
    <w:p w:rsidRPr="007B0FD7" w:rsidR="00EF486C" w:rsidRDefault="00FE444A" w14:paraId="0868766D" w14:textId="77777777">
      <w:pPr>
        <w:pStyle w:val="Heading1"/>
        <w:ind w:left="115"/>
        <w:rPr>
          <w:u w:val="none"/>
        </w:rPr>
      </w:pPr>
      <w:r w:rsidRPr="007B0FD7">
        <w:rPr>
          <w:u w:val="none"/>
        </w:rPr>
        <w:t>18.</w:t>
      </w:r>
      <w:r w:rsidRPr="007B0FD7">
        <w:rPr>
          <w:rFonts w:ascii="Arial" w:hAnsi="Arial" w:eastAsia="Arial" w:cs="Arial"/>
          <w:u w:val="none"/>
        </w:rPr>
        <w:t xml:space="preserve"> </w:t>
      </w:r>
      <w:r w:rsidRPr="007B0FD7">
        <w:rPr>
          <w:u w:val="none"/>
        </w:rPr>
        <w:t xml:space="preserve">Certification Statement </w:t>
      </w:r>
    </w:p>
    <w:p w:rsidR="007B0FD7" w:rsidP="00D87899" w:rsidRDefault="007B0FD7" w14:paraId="42389ABB" w14:textId="77777777">
      <w:pPr>
        <w:ind w:left="547"/>
      </w:pPr>
    </w:p>
    <w:p w:rsidR="00EF486C" w:rsidP="00D87899" w:rsidRDefault="00FE444A" w14:paraId="06EF3742" w14:textId="2E1A4E3F">
      <w:pPr>
        <w:ind w:left="547"/>
      </w:pPr>
      <w:r>
        <w:t>There are no exceptions to the certification statements.</w:t>
      </w:r>
      <w:r w:rsidR="00D87899">
        <w:t xml:space="preserve"> </w:t>
      </w:r>
    </w:p>
    <w:p w:rsidR="00D87899" w:rsidP="00D87899" w:rsidRDefault="00D87899" w14:paraId="064F869D" w14:textId="77777777">
      <w:pPr>
        <w:ind w:left="547"/>
      </w:pPr>
    </w:p>
    <w:sectPr w:rsidR="00D87899">
      <w:footerReference w:type="even" r:id="rId13"/>
      <w:footerReference w:type="default" r:id="rId14"/>
      <w:footerReference w:type="first" r:id="rId15"/>
      <w:pgSz w:w="12240" w:h="15840"/>
      <w:pgMar w:top="1466" w:right="1836" w:bottom="2053" w:left="1721" w:header="720" w:footer="17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F1230B" w14:textId="77777777" w:rsidR="00113A9F" w:rsidRDefault="00113A9F">
      <w:pPr>
        <w:spacing w:after="0" w:line="240" w:lineRule="auto"/>
      </w:pPr>
      <w:r>
        <w:separator/>
      </w:r>
    </w:p>
  </w:endnote>
  <w:endnote w:type="continuationSeparator" w:id="0">
    <w:p w14:paraId="7F53ABF1" w14:textId="77777777" w:rsidR="00113A9F" w:rsidRDefault="00113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C6EA1" w14:textId="77777777" w:rsidR="00CF5886" w:rsidRDefault="00CF5886">
    <w:pPr>
      <w:tabs>
        <w:tab w:val="center" w:pos="4358"/>
      </w:tabs>
      <w:spacing w:after="0" w:line="259" w:lineRule="auto"/>
      <w:ind w:left="0" w:firstLine="0"/>
    </w:pPr>
    <w:r>
      <w:rPr>
        <w:sz w:val="20"/>
      </w:rPr>
      <w:t xml:space="preserve"> </w:t>
    </w:r>
    <w:r>
      <w:rPr>
        <w:sz w:val="20"/>
      </w:rPr>
      <w:tab/>
    </w:r>
    <w:r>
      <w:rPr>
        <w:sz w:val="22"/>
      </w:rPr>
      <w:t xml:space="preserve">10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4702566"/>
      <w:docPartObj>
        <w:docPartGallery w:val="Page Numbers (Bottom of Page)"/>
        <w:docPartUnique/>
      </w:docPartObj>
    </w:sdtPr>
    <w:sdtEndPr>
      <w:rPr>
        <w:noProof/>
      </w:rPr>
    </w:sdtEndPr>
    <w:sdtContent>
      <w:p w14:paraId="72654A33" w14:textId="4CEAF691" w:rsidR="00CF5886" w:rsidRDefault="00CF588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F60F73" w14:textId="664EA6E3" w:rsidR="00CF5886" w:rsidRDefault="00CF5886">
    <w:pPr>
      <w:tabs>
        <w:tab w:val="center" w:pos="4358"/>
      </w:tabs>
      <w:spacing w:after="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23D1C" w14:textId="77777777" w:rsidR="00CF5886" w:rsidRDefault="00CF5886">
    <w:pPr>
      <w:tabs>
        <w:tab w:val="center" w:pos="4358"/>
      </w:tabs>
      <w:spacing w:after="0" w:line="259" w:lineRule="auto"/>
      <w:ind w:left="0" w:firstLine="0"/>
    </w:pPr>
    <w:r>
      <w:rPr>
        <w:sz w:val="20"/>
      </w:rPr>
      <w:t xml:space="preserve"> </w:t>
    </w:r>
    <w:r>
      <w:rPr>
        <w:sz w:val="20"/>
      </w:rPr>
      <w:tab/>
    </w:r>
    <w:r>
      <w:rPr>
        <w:sz w:val="22"/>
      </w:rPr>
      <w:t xml:space="preserve">10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6E4301" w14:textId="77777777" w:rsidR="00113A9F" w:rsidRDefault="00113A9F">
      <w:pPr>
        <w:spacing w:after="0" w:line="240" w:lineRule="auto"/>
      </w:pPr>
      <w:r>
        <w:separator/>
      </w:r>
    </w:p>
  </w:footnote>
  <w:footnote w:type="continuationSeparator" w:id="0">
    <w:p w14:paraId="2324FF95" w14:textId="77777777" w:rsidR="00113A9F" w:rsidRDefault="00113A9F">
      <w:pPr>
        <w:spacing w:after="0" w:line="240" w:lineRule="auto"/>
      </w:pPr>
      <w:r>
        <w:continuationSeparator/>
      </w:r>
    </w:p>
  </w:footnote>
  <w:footnote w:id="1">
    <w:p w14:paraId="4D6D70D1" w14:textId="77777777" w:rsidR="00140A74" w:rsidRDefault="00140A74" w:rsidP="00140A74">
      <w:pPr>
        <w:pStyle w:val="FootnoteText"/>
      </w:pPr>
      <w:r>
        <w:rPr>
          <w:rStyle w:val="FootnoteReference"/>
        </w:rPr>
        <w:footnoteRef/>
      </w:r>
      <w:r>
        <w:t xml:space="preserve"> </w:t>
      </w:r>
      <w:r w:rsidRPr="007D76F6">
        <w:t>https://www.federalregister.gov/documents/2022/01/13/2022-00572/medicare-program-updates-to-lists-related-to-durable-medical-equipment-prosthetics-orthotics-and</w:t>
      </w:r>
    </w:p>
    <w:p w14:paraId="701BF5E1" w14:textId="5DBD9797" w:rsidR="00140A74" w:rsidRDefault="00140A74">
      <w:pPr>
        <w:pStyle w:val="FootnoteText"/>
      </w:pPr>
    </w:p>
  </w:footnote>
  <w:footnote w:id="2">
    <w:p w14:paraId="264F1743" w14:textId="77777777" w:rsidR="00640F78" w:rsidRDefault="00640F78" w:rsidP="00640F78">
      <w:pPr>
        <w:pStyle w:val="FootnoteText"/>
      </w:pPr>
      <w:r>
        <w:rPr>
          <w:rStyle w:val="FootnoteReference"/>
        </w:rPr>
        <w:footnoteRef/>
      </w:r>
      <w:r>
        <w:t xml:space="preserve"> </w:t>
      </w:r>
      <w:r w:rsidRPr="007D76F6">
        <w:t>https://www.federalregister.gov/documents/2022/01/13/2022-00572/medicare-program-updates-to-lists-related-to-durable-medical-equipment-prosthetics-orthotics-and</w:t>
      </w:r>
    </w:p>
  </w:footnote>
  <w:footnote w:id="3">
    <w:p w14:paraId="770432E1" w14:textId="77777777" w:rsidR="00CF5886" w:rsidRDefault="00CF5886" w:rsidP="00DF5521">
      <w:pPr>
        <w:pStyle w:val="EndnoteText"/>
      </w:pPr>
      <w:r>
        <w:rPr>
          <w:rStyle w:val="FootnoteReference"/>
        </w:rPr>
        <w:footnoteRef/>
      </w:r>
      <w:r>
        <w:t xml:space="preserve"> </w:t>
      </w:r>
      <w:r w:rsidRPr="005C5164">
        <w:t>www.cms.gov/esMD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F13A8"/>
    <w:multiLevelType w:val="hybridMultilevel"/>
    <w:tmpl w:val="E8ACBC12"/>
    <w:lvl w:ilvl="0" w:tplc="548A8618">
      <w:start w:val="1"/>
      <w:numFmt w:val="decimal"/>
      <w:lvlText w:val="%1."/>
      <w:lvlJc w:val="left"/>
      <w:pPr>
        <w:ind w:left="880" w:hanging="5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472B2C"/>
    <w:multiLevelType w:val="hybridMultilevel"/>
    <w:tmpl w:val="D0583E92"/>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 w15:restartNumberingAfterBreak="0">
    <w:nsid w:val="53692CDD"/>
    <w:multiLevelType w:val="hybridMultilevel"/>
    <w:tmpl w:val="3E969352"/>
    <w:lvl w:ilvl="0" w:tplc="591AC368">
      <w:start w:val="1"/>
      <w:numFmt w:val="upperLetter"/>
      <w:lvlText w:val="%1."/>
      <w:lvlJc w:val="left"/>
      <w:pPr>
        <w:ind w:left="461" w:hanging="360"/>
      </w:pPr>
      <w:rPr>
        <w:rFonts w:hint="default"/>
        <w:u w:val="none"/>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yMzQ3NLG0sLQ0szRX0lEKTi0uzszPAykwMq0FAJvlqB0tAAAA"/>
  </w:docVars>
  <w:rsids>
    <w:rsidRoot w:val="00EF486C"/>
    <w:rsid w:val="00006194"/>
    <w:rsid w:val="00023F5E"/>
    <w:rsid w:val="00035534"/>
    <w:rsid w:val="00037C86"/>
    <w:rsid w:val="0005237F"/>
    <w:rsid w:val="00052E11"/>
    <w:rsid w:val="00055666"/>
    <w:rsid w:val="00062DF7"/>
    <w:rsid w:val="00075863"/>
    <w:rsid w:val="0007620C"/>
    <w:rsid w:val="00090EE0"/>
    <w:rsid w:val="00096394"/>
    <w:rsid w:val="000A1C1E"/>
    <w:rsid w:val="000B56FA"/>
    <w:rsid w:val="000C2360"/>
    <w:rsid w:val="000C734B"/>
    <w:rsid w:val="000D3008"/>
    <w:rsid w:val="000D369E"/>
    <w:rsid w:val="000D73F2"/>
    <w:rsid w:val="000E47D3"/>
    <w:rsid w:val="00113A9F"/>
    <w:rsid w:val="00140982"/>
    <w:rsid w:val="00140A74"/>
    <w:rsid w:val="0014166B"/>
    <w:rsid w:val="00154EB8"/>
    <w:rsid w:val="001643E7"/>
    <w:rsid w:val="00173E1E"/>
    <w:rsid w:val="001827FC"/>
    <w:rsid w:val="001B6925"/>
    <w:rsid w:val="001E1107"/>
    <w:rsid w:val="0021082C"/>
    <w:rsid w:val="00220DDF"/>
    <w:rsid w:val="0023441E"/>
    <w:rsid w:val="00234793"/>
    <w:rsid w:val="0024318D"/>
    <w:rsid w:val="002531D2"/>
    <w:rsid w:val="0025712C"/>
    <w:rsid w:val="00260022"/>
    <w:rsid w:val="002644D8"/>
    <w:rsid w:val="00276E5F"/>
    <w:rsid w:val="002972EA"/>
    <w:rsid w:val="002A0BE5"/>
    <w:rsid w:val="002A7A65"/>
    <w:rsid w:val="002B2148"/>
    <w:rsid w:val="002B3BDE"/>
    <w:rsid w:val="002B5F67"/>
    <w:rsid w:val="002B6ECF"/>
    <w:rsid w:val="002C7FEC"/>
    <w:rsid w:val="002D2D92"/>
    <w:rsid w:val="002D7876"/>
    <w:rsid w:val="002F4A0B"/>
    <w:rsid w:val="002F4A95"/>
    <w:rsid w:val="002F4F5F"/>
    <w:rsid w:val="002F7655"/>
    <w:rsid w:val="00300271"/>
    <w:rsid w:val="00303E15"/>
    <w:rsid w:val="0031047F"/>
    <w:rsid w:val="00334DF5"/>
    <w:rsid w:val="0033544A"/>
    <w:rsid w:val="00341885"/>
    <w:rsid w:val="003432AF"/>
    <w:rsid w:val="00361571"/>
    <w:rsid w:val="00361BDD"/>
    <w:rsid w:val="003636E0"/>
    <w:rsid w:val="00387A18"/>
    <w:rsid w:val="0039465F"/>
    <w:rsid w:val="003A5FA7"/>
    <w:rsid w:val="003A65AD"/>
    <w:rsid w:val="003B777B"/>
    <w:rsid w:val="003C160C"/>
    <w:rsid w:val="003D2624"/>
    <w:rsid w:val="003E342C"/>
    <w:rsid w:val="003F69F7"/>
    <w:rsid w:val="003F6DE7"/>
    <w:rsid w:val="004121C7"/>
    <w:rsid w:val="00422DE5"/>
    <w:rsid w:val="00424C61"/>
    <w:rsid w:val="00426630"/>
    <w:rsid w:val="00437FCA"/>
    <w:rsid w:val="004501AF"/>
    <w:rsid w:val="00454A19"/>
    <w:rsid w:val="00457BAC"/>
    <w:rsid w:val="00475623"/>
    <w:rsid w:val="00482E3A"/>
    <w:rsid w:val="00482F17"/>
    <w:rsid w:val="00491B15"/>
    <w:rsid w:val="00492981"/>
    <w:rsid w:val="0049422E"/>
    <w:rsid w:val="004C46C9"/>
    <w:rsid w:val="004D0EA5"/>
    <w:rsid w:val="004D15AB"/>
    <w:rsid w:val="004E37C1"/>
    <w:rsid w:val="004F0943"/>
    <w:rsid w:val="00517C38"/>
    <w:rsid w:val="00526F65"/>
    <w:rsid w:val="00550625"/>
    <w:rsid w:val="00562956"/>
    <w:rsid w:val="00573AC1"/>
    <w:rsid w:val="005744DE"/>
    <w:rsid w:val="00577743"/>
    <w:rsid w:val="00587B7F"/>
    <w:rsid w:val="005957D9"/>
    <w:rsid w:val="005A197F"/>
    <w:rsid w:val="005B2ECE"/>
    <w:rsid w:val="005B7B6B"/>
    <w:rsid w:val="005C114A"/>
    <w:rsid w:val="005E0025"/>
    <w:rsid w:val="005E3BCF"/>
    <w:rsid w:val="00602942"/>
    <w:rsid w:val="00606185"/>
    <w:rsid w:val="00607AA1"/>
    <w:rsid w:val="00611D17"/>
    <w:rsid w:val="00613467"/>
    <w:rsid w:val="00613FFD"/>
    <w:rsid w:val="00620FD6"/>
    <w:rsid w:val="00626514"/>
    <w:rsid w:val="00626A97"/>
    <w:rsid w:val="00630211"/>
    <w:rsid w:val="006346D6"/>
    <w:rsid w:val="00640F78"/>
    <w:rsid w:val="00643188"/>
    <w:rsid w:val="0065696A"/>
    <w:rsid w:val="00660DBF"/>
    <w:rsid w:val="006658C9"/>
    <w:rsid w:val="0066732F"/>
    <w:rsid w:val="00671BC5"/>
    <w:rsid w:val="00672D8A"/>
    <w:rsid w:val="00684F86"/>
    <w:rsid w:val="00685943"/>
    <w:rsid w:val="00691B97"/>
    <w:rsid w:val="00695F08"/>
    <w:rsid w:val="006B602C"/>
    <w:rsid w:val="006C248A"/>
    <w:rsid w:val="006C252E"/>
    <w:rsid w:val="006C2AC5"/>
    <w:rsid w:val="006D2F12"/>
    <w:rsid w:val="006E06E9"/>
    <w:rsid w:val="006E6A55"/>
    <w:rsid w:val="00705F79"/>
    <w:rsid w:val="00715E9A"/>
    <w:rsid w:val="00720610"/>
    <w:rsid w:val="0072098F"/>
    <w:rsid w:val="007302FF"/>
    <w:rsid w:val="00741F58"/>
    <w:rsid w:val="007445DA"/>
    <w:rsid w:val="00752C5B"/>
    <w:rsid w:val="00764060"/>
    <w:rsid w:val="007A1AA1"/>
    <w:rsid w:val="007B0FD7"/>
    <w:rsid w:val="007C0EE2"/>
    <w:rsid w:val="007C2377"/>
    <w:rsid w:val="007D76F6"/>
    <w:rsid w:val="0082191E"/>
    <w:rsid w:val="00835A05"/>
    <w:rsid w:val="00863903"/>
    <w:rsid w:val="00866CAE"/>
    <w:rsid w:val="00876AE2"/>
    <w:rsid w:val="00877966"/>
    <w:rsid w:val="00883021"/>
    <w:rsid w:val="00883591"/>
    <w:rsid w:val="00886227"/>
    <w:rsid w:val="0089105B"/>
    <w:rsid w:val="008A2BBB"/>
    <w:rsid w:val="008B6DB2"/>
    <w:rsid w:val="008D4275"/>
    <w:rsid w:val="008D4EFF"/>
    <w:rsid w:val="008D5BAD"/>
    <w:rsid w:val="008E1342"/>
    <w:rsid w:val="008F10BB"/>
    <w:rsid w:val="008F28F8"/>
    <w:rsid w:val="008F4C36"/>
    <w:rsid w:val="008F656B"/>
    <w:rsid w:val="00910055"/>
    <w:rsid w:val="00912B91"/>
    <w:rsid w:val="00912D9F"/>
    <w:rsid w:val="0091359F"/>
    <w:rsid w:val="00921C8F"/>
    <w:rsid w:val="00925C29"/>
    <w:rsid w:val="009277F7"/>
    <w:rsid w:val="00937AE3"/>
    <w:rsid w:val="00963E8B"/>
    <w:rsid w:val="00975AE2"/>
    <w:rsid w:val="00981D01"/>
    <w:rsid w:val="009836B6"/>
    <w:rsid w:val="00991A48"/>
    <w:rsid w:val="009A6EED"/>
    <w:rsid w:val="009B63C7"/>
    <w:rsid w:val="009B6577"/>
    <w:rsid w:val="009E4832"/>
    <w:rsid w:val="009F1D95"/>
    <w:rsid w:val="00A10DAC"/>
    <w:rsid w:val="00A20362"/>
    <w:rsid w:val="00A21E07"/>
    <w:rsid w:val="00A238AF"/>
    <w:rsid w:val="00A27825"/>
    <w:rsid w:val="00A32CCE"/>
    <w:rsid w:val="00A50597"/>
    <w:rsid w:val="00A71746"/>
    <w:rsid w:val="00A71CA1"/>
    <w:rsid w:val="00A75D2F"/>
    <w:rsid w:val="00AA674B"/>
    <w:rsid w:val="00AB1912"/>
    <w:rsid w:val="00AD0951"/>
    <w:rsid w:val="00AE2EF2"/>
    <w:rsid w:val="00B000FB"/>
    <w:rsid w:val="00B01C6B"/>
    <w:rsid w:val="00B12846"/>
    <w:rsid w:val="00B301AC"/>
    <w:rsid w:val="00B360E4"/>
    <w:rsid w:val="00B40BB6"/>
    <w:rsid w:val="00B43D2E"/>
    <w:rsid w:val="00B444E8"/>
    <w:rsid w:val="00B50B25"/>
    <w:rsid w:val="00B65419"/>
    <w:rsid w:val="00B673C0"/>
    <w:rsid w:val="00B72354"/>
    <w:rsid w:val="00B743AD"/>
    <w:rsid w:val="00BD2A75"/>
    <w:rsid w:val="00BD4058"/>
    <w:rsid w:val="00BF0A61"/>
    <w:rsid w:val="00BF53AD"/>
    <w:rsid w:val="00BF5B6C"/>
    <w:rsid w:val="00BF6EA6"/>
    <w:rsid w:val="00C35422"/>
    <w:rsid w:val="00C443C2"/>
    <w:rsid w:val="00C46DCE"/>
    <w:rsid w:val="00C5080A"/>
    <w:rsid w:val="00C523CB"/>
    <w:rsid w:val="00C53DE2"/>
    <w:rsid w:val="00C92C51"/>
    <w:rsid w:val="00CC4582"/>
    <w:rsid w:val="00CF25E4"/>
    <w:rsid w:val="00CF5886"/>
    <w:rsid w:val="00CF5C46"/>
    <w:rsid w:val="00CF6898"/>
    <w:rsid w:val="00D00D11"/>
    <w:rsid w:val="00D05D1D"/>
    <w:rsid w:val="00D13847"/>
    <w:rsid w:val="00D160F2"/>
    <w:rsid w:val="00D17C4D"/>
    <w:rsid w:val="00D36000"/>
    <w:rsid w:val="00D534E4"/>
    <w:rsid w:val="00D71C84"/>
    <w:rsid w:val="00D87899"/>
    <w:rsid w:val="00D91D1B"/>
    <w:rsid w:val="00DA3396"/>
    <w:rsid w:val="00DC1EEE"/>
    <w:rsid w:val="00DE6D88"/>
    <w:rsid w:val="00DF3DC4"/>
    <w:rsid w:val="00DF5521"/>
    <w:rsid w:val="00DF7562"/>
    <w:rsid w:val="00E057E7"/>
    <w:rsid w:val="00E11AA7"/>
    <w:rsid w:val="00E21F51"/>
    <w:rsid w:val="00E27E4E"/>
    <w:rsid w:val="00E32891"/>
    <w:rsid w:val="00E61F49"/>
    <w:rsid w:val="00E72B9B"/>
    <w:rsid w:val="00E734B3"/>
    <w:rsid w:val="00E77B09"/>
    <w:rsid w:val="00E80E7C"/>
    <w:rsid w:val="00E83C2F"/>
    <w:rsid w:val="00E84BCF"/>
    <w:rsid w:val="00E96ACA"/>
    <w:rsid w:val="00EA179E"/>
    <w:rsid w:val="00EA23C2"/>
    <w:rsid w:val="00EA4794"/>
    <w:rsid w:val="00EA556E"/>
    <w:rsid w:val="00EB6208"/>
    <w:rsid w:val="00ED4452"/>
    <w:rsid w:val="00EE41DC"/>
    <w:rsid w:val="00EE6255"/>
    <w:rsid w:val="00EF3054"/>
    <w:rsid w:val="00EF486C"/>
    <w:rsid w:val="00F0682E"/>
    <w:rsid w:val="00F124B4"/>
    <w:rsid w:val="00F260B6"/>
    <w:rsid w:val="00F27200"/>
    <w:rsid w:val="00F35D2D"/>
    <w:rsid w:val="00F440F6"/>
    <w:rsid w:val="00F5026D"/>
    <w:rsid w:val="00F53999"/>
    <w:rsid w:val="00F56B00"/>
    <w:rsid w:val="00F60468"/>
    <w:rsid w:val="00F74D6A"/>
    <w:rsid w:val="00F8291D"/>
    <w:rsid w:val="00F8314B"/>
    <w:rsid w:val="00F841DE"/>
    <w:rsid w:val="00F843F5"/>
    <w:rsid w:val="00F976AF"/>
    <w:rsid w:val="00FA1E81"/>
    <w:rsid w:val="00FA2547"/>
    <w:rsid w:val="00FA6DD1"/>
    <w:rsid w:val="00FB0F65"/>
    <w:rsid w:val="00FB1D42"/>
    <w:rsid w:val="00FB2184"/>
    <w:rsid w:val="00FC720A"/>
    <w:rsid w:val="00FC7729"/>
    <w:rsid w:val="00FE1565"/>
    <w:rsid w:val="00FE4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FF021"/>
  <w15:docId w15:val="{9560ED27-5020-4330-AA78-04F4BCB31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48" w:lineRule="auto"/>
      <w:ind w:left="562"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3"/>
      <w:ind w:left="111" w:hanging="10"/>
      <w:outlineLvl w:val="0"/>
    </w:pPr>
    <w:rPr>
      <w:rFonts w:ascii="Times New Roman" w:eastAsia="Times New Roman" w:hAnsi="Times New Roman" w:cs="Times New Roman"/>
      <w:color w:val="000000"/>
      <w:sz w:val="24"/>
      <w:u w:val="single" w:color="000000"/>
    </w:rPr>
  </w:style>
  <w:style w:type="paragraph" w:styleId="Heading2">
    <w:name w:val="heading 2"/>
    <w:basedOn w:val="Normal"/>
    <w:next w:val="Normal"/>
    <w:link w:val="Heading2Char"/>
    <w:uiPriority w:val="9"/>
    <w:unhideWhenUsed/>
    <w:qFormat/>
    <w:rsid w:val="00620FD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3B777B"/>
    <w:rPr>
      <w:sz w:val="16"/>
      <w:szCs w:val="16"/>
    </w:rPr>
  </w:style>
  <w:style w:type="paragraph" w:styleId="CommentText">
    <w:name w:val="annotation text"/>
    <w:basedOn w:val="Normal"/>
    <w:link w:val="CommentTextChar"/>
    <w:unhideWhenUsed/>
    <w:rsid w:val="003B777B"/>
    <w:pPr>
      <w:spacing w:line="240" w:lineRule="auto"/>
    </w:pPr>
    <w:rPr>
      <w:sz w:val="20"/>
      <w:szCs w:val="20"/>
    </w:rPr>
  </w:style>
  <w:style w:type="character" w:customStyle="1" w:styleId="CommentTextChar">
    <w:name w:val="Comment Text Char"/>
    <w:basedOn w:val="DefaultParagraphFont"/>
    <w:link w:val="CommentText"/>
    <w:rsid w:val="003B777B"/>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3B777B"/>
    <w:rPr>
      <w:b/>
      <w:bCs/>
    </w:rPr>
  </w:style>
  <w:style w:type="character" w:customStyle="1" w:styleId="CommentSubjectChar">
    <w:name w:val="Comment Subject Char"/>
    <w:basedOn w:val="CommentTextChar"/>
    <w:link w:val="CommentSubject"/>
    <w:uiPriority w:val="99"/>
    <w:semiHidden/>
    <w:rsid w:val="003B777B"/>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3B77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777B"/>
    <w:rPr>
      <w:rFonts w:ascii="Segoe UI" w:eastAsia="Times New Roman" w:hAnsi="Segoe UI" w:cs="Segoe UI"/>
      <w:color w:val="000000"/>
      <w:sz w:val="18"/>
      <w:szCs w:val="18"/>
    </w:rPr>
  </w:style>
  <w:style w:type="paragraph" w:styleId="NoSpacing">
    <w:name w:val="No Spacing"/>
    <w:uiPriority w:val="1"/>
    <w:qFormat/>
    <w:rsid w:val="00FE444A"/>
    <w:pPr>
      <w:spacing w:after="0" w:line="240" w:lineRule="auto"/>
      <w:ind w:left="562" w:hanging="10"/>
    </w:pPr>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361571"/>
    <w:pPr>
      <w:widowControl w:val="0"/>
      <w:tabs>
        <w:tab w:val="center" w:pos="4680"/>
        <w:tab w:val="right" w:pos="9360"/>
      </w:tabs>
      <w:spacing w:after="0" w:line="240" w:lineRule="auto"/>
      <w:ind w:left="0" w:firstLine="0"/>
    </w:pPr>
    <w:rPr>
      <w:rFonts w:asciiTheme="minorHAnsi" w:eastAsiaTheme="minorHAnsi" w:hAnsiTheme="minorHAnsi" w:cstheme="minorBidi"/>
      <w:color w:val="auto"/>
      <w:sz w:val="22"/>
    </w:rPr>
  </w:style>
  <w:style w:type="character" w:customStyle="1" w:styleId="FooterChar">
    <w:name w:val="Footer Char"/>
    <w:basedOn w:val="DefaultParagraphFont"/>
    <w:link w:val="Footer"/>
    <w:uiPriority w:val="99"/>
    <w:rsid w:val="00361571"/>
    <w:rPr>
      <w:rFonts w:eastAsiaTheme="minorHAnsi"/>
    </w:rPr>
  </w:style>
  <w:style w:type="paragraph" w:styleId="BodyText">
    <w:name w:val="Body Text"/>
    <w:basedOn w:val="Normal"/>
    <w:link w:val="BodyTextChar"/>
    <w:uiPriority w:val="1"/>
    <w:qFormat/>
    <w:rsid w:val="00975AE2"/>
    <w:pPr>
      <w:widowControl w:val="0"/>
      <w:spacing w:after="0" w:line="240" w:lineRule="auto"/>
      <w:ind w:left="120" w:firstLine="0"/>
    </w:pPr>
    <w:rPr>
      <w:rFonts w:cstheme="minorBidi"/>
      <w:color w:val="auto"/>
      <w:szCs w:val="24"/>
    </w:rPr>
  </w:style>
  <w:style w:type="character" w:customStyle="1" w:styleId="BodyTextChar">
    <w:name w:val="Body Text Char"/>
    <w:basedOn w:val="DefaultParagraphFont"/>
    <w:link w:val="BodyText"/>
    <w:uiPriority w:val="1"/>
    <w:rsid w:val="00975AE2"/>
    <w:rPr>
      <w:rFonts w:ascii="Times New Roman" w:eastAsia="Times New Roman" w:hAnsi="Times New Roman"/>
      <w:sz w:val="24"/>
      <w:szCs w:val="24"/>
    </w:rPr>
  </w:style>
  <w:style w:type="character" w:styleId="FootnoteReference">
    <w:name w:val="footnote reference"/>
    <w:basedOn w:val="DefaultParagraphFont"/>
    <w:uiPriority w:val="99"/>
    <w:unhideWhenUsed/>
    <w:rsid w:val="00DF5521"/>
    <w:rPr>
      <w:vertAlign w:val="superscript"/>
    </w:rPr>
  </w:style>
  <w:style w:type="paragraph" w:styleId="EndnoteText">
    <w:name w:val="endnote text"/>
    <w:basedOn w:val="Normal"/>
    <w:link w:val="EndnoteTextChar"/>
    <w:uiPriority w:val="99"/>
    <w:unhideWhenUsed/>
    <w:rsid w:val="00DF5521"/>
    <w:pPr>
      <w:widowControl w:val="0"/>
      <w:spacing w:after="0" w:line="240" w:lineRule="auto"/>
      <w:ind w:left="0" w:firstLine="0"/>
    </w:pPr>
    <w:rPr>
      <w:rFonts w:asciiTheme="minorHAnsi" w:eastAsiaTheme="minorHAnsi" w:hAnsiTheme="minorHAnsi" w:cstheme="minorBidi"/>
      <w:color w:val="auto"/>
      <w:sz w:val="20"/>
      <w:szCs w:val="20"/>
    </w:rPr>
  </w:style>
  <w:style w:type="character" w:customStyle="1" w:styleId="EndnoteTextChar">
    <w:name w:val="Endnote Text Char"/>
    <w:basedOn w:val="DefaultParagraphFont"/>
    <w:link w:val="EndnoteText"/>
    <w:uiPriority w:val="99"/>
    <w:rsid w:val="00DF5521"/>
    <w:rPr>
      <w:rFonts w:eastAsiaTheme="minorHAnsi"/>
      <w:sz w:val="20"/>
      <w:szCs w:val="20"/>
    </w:rPr>
  </w:style>
  <w:style w:type="paragraph" w:styleId="ListParagraph">
    <w:name w:val="List Paragraph"/>
    <w:basedOn w:val="Normal"/>
    <w:uiPriority w:val="34"/>
    <w:qFormat/>
    <w:rsid w:val="00AD0951"/>
    <w:pPr>
      <w:widowControl w:val="0"/>
      <w:spacing w:after="0" w:line="240" w:lineRule="auto"/>
      <w:ind w:left="0" w:firstLine="0"/>
    </w:pPr>
    <w:rPr>
      <w:rFonts w:asciiTheme="minorHAnsi" w:eastAsiaTheme="minorHAnsi" w:hAnsiTheme="minorHAnsi" w:cstheme="minorBidi"/>
      <w:color w:val="auto"/>
      <w:sz w:val="22"/>
    </w:rPr>
  </w:style>
  <w:style w:type="table" w:styleId="TableGrid0">
    <w:name w:val="Table Grid"/>
    <w:basedOn w:val="TableNormal"/>
    <w:uiPriority w:val="39"/>
    <w:rsid w:val="00AD0951"/>
    <w:pPr>
      <w:widowControl w:val="0"/>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D0951"/>
    <w:rPr>
      <w:color w:val="0563C1" w:themeColor="hyperlink"/>
      <w:u w:val="single"/>
    </w:rPr>
  </w:style>
  <w:style w:type="paragraph" w:styleId="NormalWeb">
    <w:name w:val="Normal (Web)"/>
    <w:basedOn w:val="Normal"/>
    <w:uiPriority w:val="99"/>
    <w:unhideWhenUsed/>
    <w:rsid w:val="00EF3054"/>
    <w:pPr>
      <w:spacing w:before="100" w:beforeAutospacing="1" w:after="100" w:afterAutospacing="1" w:line="240" w:lineRule="auto"/>
      <w:ind w:left="0" w:firstLine="0"/>
    </w:pPr>
    <w:rPr>
      <w:color w:val="auto"/>
      <w:szCs w:val="24"/>
    </w:rPr>
  </w:style>
  <w:style w:type="character" w:styleId="Strong">
    <w:name w:val="Strong"/>
    <w:basedOn w:val="DefaultParagraphFont"/>
    <w:uiPriority w:val="22"/>
    <w:qFormat/>
    <w:rsid w:val="00062DF7"/>
    <w:rPr>
      <w:b/>
      <w:bCs/>
    </w:rPr>
  </w:style>
  <w:style w:type="paragraph" w:styleId="HTMLPreformatted">
    <w:name w:val="HTML Preformatted"/>
    <w:basedOn w:val="Normal"/>
    <w:link w:val="HTMLPreformattedChar"/>
    <w:uiPriority w:val="99"/>
    <w:unhideWhenUsed/>
    <w:rsid w:val="00062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pPr>
    <w:rPr>
      <w:rFonts w:ascii="Courier New" w:hAnsi="Courier New" w:cs="Courier New"/>
      <w:color w:val="auto"/>
      <w:sz w:val="20"/>
      <w:szCs w:val="20"/>
    </w:rPr>
  </w:style>
  <w:style w:type="character" w:customStyle="1" w:styleId="HTMLPreformattedChar">
    <w:name w:val="HTML Preformatted Char"/>
    <w:basedOn w:val="DefaultParagraphFont"/>
    <w:link w:val="HTMLPreformatted"/>
    <w:uiPriority w:val="99"/>
    <w:rsid w:val="00062DF7"/>
    <w:rPr>
      <w:rFonts w:ascii="Courier New" w:eastAsia="Times New Roman" w:hAnsi="Courier New" w:cs="Courier New"/>
      <w:sz w:val="20"/>
      <w:szCs w:val="20"/>
    </w:rPr>
  </w:style>
  <w:style w:type="paragraph" w:styleId="Revision">
    <w:name w:val="Revision"/>
    <w:hidden/>
    <w:uiPriority w:val="99"/>
    <w:semiHidden/>
    <w:rsid w:val="00AA674B"/>
    <w:pPr>
      <w:spacing w:after="0" w:line="240" w:lineRule="auto"/>
    </w:pPr>
    <w:rPr>
      <w:rFonts w:ascii="Times New Roman" w:eastAsia="Times New Roman" w:hAnsi="Times New Roman" w:cs="Times New Roman"/>
      <w:color w:val="000000"/>
      <w:sz w:val="24"/>
    </w:rPr>
  </w:style>
  <w:style w:type="character" w:customStyle="1" w:styleId="field">
    <w:name w:val="field"/>
    <w:basedOn w:val="DefaultParagraphFont"/>
    <w:rsid w:val="008F4C36"/>
  </w:style>
  <w:style w:type="character" w:customStyle="1" w:styleId="Heading2Char">
    <w:name w:val="Heading 2 Char"/>
    <w:basedOn w:val="DefaultParagraphFont"/>
    <w:link w:val="Heading2"/>
    <w:uiPriority w:val="9"/>
    <w:rsid w:val="00620FD6"/>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B000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00FB"/>
    <w:rPr>
      <w:rFonts w:ascii="Times New Roman" w:eastAsia="Times New Roman" w:hAnsi="Times New Roman" w:cs="Times New Roman"/>
      <w:color w:val="000000"/>
      <w:sz w:val="24"/>
    </w:rPr>
  </w:style>
  <w:style w:type="character" w:styleId="FollowedHyperlink">
    <w:name w:val="FollowedHyperlink"/>
    <w:basedOn w:val="DefaultParagraphFont"/>
    <w:uiPriority w:val="99"/>
    <w:semiHidden/>
    <w:unhideWhenUsed/>
    <w:rsid w:val="00341885"/>
    <w:rPr>
      <w:color w:val="954F72" w:themeColor="followedHyperlink"/>
      <w:u w:val="single"/>
    </w:rPr>
  </w:style>
  <w:style w:type="paragraph" w:styleId="FootnoteText">
    <w:name w:val="footnote text"/>
    <w:basedOn w:val="Normal"/>
    <w:link w:val="FootnoteTextChar"/>
    <w:uiPriority w:val="99"/>
    <w:semiHidden/>
    <w:unhideWhenUsed/>
    <w:rsid w:val="00E61F49"/>
    <w:pPr>
      <w:spacing w:after="0" w:line="240" w:lineRule="auto"/>
      <w:ind w:left="0" w:firstLine="0"/>
    </w:pPr>
    <w:rPr>
      <w:rFonts w:ascii="Calibri" w:eastAsia="Calibri" w:hAnsi="Calibri"/>
      <w:color w:val="auto"/>
      <w:sz w:val="20"/>
      <w:szCs w:val="20"/>
    </w:rPr>
  </w:style>
  <w:style w:type="character" w:customStyle="1" w:styleId="FootnoteTextChar">
    <w:name w:val="Footnote Text Char"/>
    <w:basedOn w:val="DefaultParagraphFont"/>
    <w:link w:val="FootnoteText"/>
    <w:uiPriority w:val="99"/>
    <w:semiHidden/>
    <w:rsid w:val="00E61F49"/>
    <w:rPr>
      <w:rFonts w:ascii="Calibri" w:eastAsia="Calibri" w:hAnsi="Calibri" w:cs="Times New Roman"/>
      <w:sz w:val="20"/>
      <w:szCs w:val="20"/>
    </w:rPr>
  </w:style>
  <w:style w:type="paragraph" w:styleId="Title">
    <w:name w:val="Title"/>
    <w:basedOn w:val="Normal"/>
    <w:next w:val="Normal"/>
    <w:link w:val="TitleChar"/>
    <w:uiPriority w:val="10"/>
    <w:qFormat/>
    <w:rsid w:val="007B0FD7"/>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7B0FD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114379">
      <w:bodyDiv w:val="1"/>
      <w:marLeft w:val="0"/>
      <w:marRight w:val="0"/>
      <w:marTop w:val="0"/>
      <w:marBottom w:val="0"/>
      <w:divBdr>
        <w:top w:val="none" w:sz="0" w:space="0" w:color="auto"/>
        <w:left w:val="none" w:sz="0" w:space="0" w:color="auto"/>
        <w:bottom w:val="none" w:sz="0" w:space="0" w:color="auto"/>
        <w:right w:val="none" w:sz="0" w:space="0" w:color="auto"/>
      </w:divBdr>
    </w:div>
    <w:div w:id="83459262">
      <w:bodyDiv w:val="1"/>
      <w:marLeft w:val="0"/>
      <w:marRight w:val="0"/>
      <w:marTop w:val="0"/>
      <w:marBottom w:val="0"/>
      <w:divBdr>
        <w:top w:val="none" w:sz="0" w:space="0" w:color="auto"/>
        <w:left w:val="none" w:sz="0" w:space="0" w:color="auto"/>
        <w:bottom w:val="none" w:sz="0" w:space="0" w:color="auto"/>
        <w:right w:val="none" w:sz="0" w:space="0" w:color="auto"/>
      </w:divBdr>
    </w:div>
    <w:div w:id="262614195">
      <w:bodyDiv w:val="1"/>
      <w:marLeft w:val="0"/>
      <w:marRight w:val="0"/>
      <w:marTop w:val="0"/>
      <w:marBottom w:val="0"/>
      <w:divBdr>
        <w:top w:val="none" w:sz="0" w:space="0" w:color="auto"/>
        <w:left w:val="none" w:sz="0" w:space="0" w:color="auto"/>
        <w:bottom w:val="none" w:sz="0" w:space="0" w:color="auto"/>
        <w:right w:val="none" w:sz="0" w:space="0" w:color="auto"/>
      </w:divBdr>
    </w:div>
    <w:div w:id="1010066572">
      <w:bodyDiv w:val="1"/>
      <w:marLeft w:val="0"/>
      <w:marRight w:val="0"/>
      <w:marTop w:val="0"/>
      <w:marBottom w:val="0"/>
      <w:divBdr>
        <w:top w:val="none" w:sz="0" w:space="0" w:color="auto"/>
        <w:left w:val="none" w:sz="0" w:space="0" w:color="auto"/>
        <w:bottom w:val="none" w:sz="0" w:space="0" w:color="auto"/>
        <w:right w:val="none" w:sz="0" w:space="0" w:color="auto"/>
      </w:divBdr>
    </w:div>
    <w:div w:id="1190145523">
      <w:bodyDiv w:val="1"/>
      <w:marLeft w:val="0"/>
      <w:marRight w:val="0"/>
      <w:marTop w:val="0"/>
      <w:marBottom w:val="0"/>
      <w:divBdr>
        <w:top w:val="none" w:sz="0" w:space="0" w:color="auto"/>
        <w:left w:val="none" w:sz="0" w:space="0" w:color="auto"/>
        <w:bottom w:val="none" w:sz="0" w:space="0" w:color="auto"/>
        <w:right w:val="none" w:sz="0" w:space="0" w:color="auto"/>
      </w:divBdr>
    </w:div>
    <w:div w:id="1215973023">
      <w:bodyDiv w:val="1"/>
      <w:marLeft w:val="0"/>
      <w:marRight w:val="0"/>
      <w:marTop w:val="0"/>
      <w:marBottom w:val="0"/>
      <w:divBdr>
        <w:top w:val="none" w:sz="0" w:space="0" w:color="auto"/>
        <w:left w:val="none" w:sz="0" w:space="0" w:color="auto"/>
        <w:bottom w:val="none" w:sz="0" w:space="0" w:color="auto"/>
        <w:right w:val="none" w:sz="0" w:space="0" w:color="auto"/>
      </w:divBdr>
    </w:div>
    <w:div w:id="1781023458">
      <w:bodyDiv w:val="1"/>
      <w:marLeft w:val="0"/>
      <w:marRight w:val="0"/>
      <w:marTop w:val="0"/>
      <w:marBottom w:val="0"/>
      <w:divBdr>
        <w:top w:val="none" w:sz="0" w:space="0" w:color="auto"/>
        <w:left w:val="none" w:sz="0" w:space="0" w:color="auto"/>
        <w:bottom w:val="none" w:sz="0" w:space="0" w:color="auto"/>
        <w:right w:val="none" w:sz="0" w:space="0" w:color="auto"/>
      </w:divBdr>
    </w:div>
    <w:div w:id="1831678351">
      <w:bodyDiv w:val="1"/>
      <w:marLeft w:val="0"/>
      <w:marRight w:val="0"/>
      <w:marTop w:val="0"/>
      <w:marBottom w:val="0"/>
      <w:divBdr>
        <w:top w:val="none" w:sz="0" w:space="0" w:color="auto"/>
        <w:left w:val="none" w:sz="0" w:space="0" w:color="auto"/>
        <w:bottom w:val="none" w:sz="0" w:space="0" w:color="auto"/>
        <w:right w:val="none" w:sz="0" w:space="0" w:color="auto"/>
      </w:divBdr>
    </w:div>
    <w:div w:id="20102140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deralregister.gov/citation/80-FR-81674"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ms.gov/esM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ms.gov/esMD"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cms.gov/esMD" TargetMode="External"/><Relationship Id="rId4" Type="http://schemas.openxmlformats.org/officeDocument/2006/relationships/settings" Target="settings.xml"/><Relationship Id="rId9" Type="http://schemas.openxmlformats.org/officeDocument/2006/relationships/hyperlink" Target="https://www.bls.gov/oes/current/oes_nat.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C64447-3B8A-4704-94B5-711039372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12</Pages>
  <Words>3531</Words>
  <Characters>20130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Regulation 6050-P: Prior Authorization Process for Certain Durable Medical Equipment, Prosthetics, Orthotics, and Supplies (DMEPOS) Items</vt:lpstr>
    </vt:vector>
  </TitlesOfParts>
  <Company>CMS</Company>
  <LinksUpToDate>false</LinksUpToDate>
  <CharactersWithSpaces>23614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Regulation 6050-P: Prior Authorization Process for Certain Durable Medical Equipment, Prosthetics, Orthotics, and Supplies (DMEPOS) Items</dc:title>
  <dc:subject/>
  <dc:creator>CMS</dc:creator>
  <cp:keywords/>
  <cp:lastModifiedBy>Stephan McKenzie</cp:lastModifiedBy>
  <cp:revision>8</cp:revision>
  <dcterms:created xsi:type="dcterms:W3CDTF">2022-02-17T20:43:00Z</dcterms:created>
  <dcterms:modified xsi:type="dcterms:W3CDTF">2022-03-04T19:18:00Z</dcterms:modified>
</cp:coreProperties>
</file>