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29E0" w:rsidP="008F1608" w:rsidRDefault="008F1608" w14:paraId="14BBAA31" w14:textId="50AA5782">
      <w:pPr>
        <w:jc w:val="center"/>
        <w:rPr>
          <w:b/>
          <w:bCs/>
        </w:rPr>
      </w:pPr>
      <w:r>
        <w:rPr>
          <w:b/>
          <w:bCs/>
        </w:rPr>
        <w:t>Addendum to the Supporting Statement</w:t>
      </w:r>
      <w:r w:rsidR="009F03C7">
        <w:rPr>
          <w:b/>
          <w:bCs/>
        </w:rPr>
        <w:t xml:space="preserve"> for the</w:t>
      </w:r>
    </w:p>
    <w:p w:rsidR="00F10741" w:rsidP="008F1608" w:rsidRDefault="008F1608" w14:paraId="67562554" w14:textId="77777777">
      <w:pPr>
        <w:jc w:val="center"/>
        <w:rPr>
          <w:b/>
          <w:bCs/>
        </w:rPr>
      </w:pPr>
      <w:r>
        <w:rPr>
          <w:b/>
          <w:bCs/>
        </w:rPr>
        <w:t xml:space="preserve">Emergency OMB Paperwork Reduction Approval </w:t>
      </w:r>
    </w:p>
    <w:p w:rsidR="008F1608" w:rsidP="008F1608" w:rsidRDefault="00F10741" w14:paraId="158AA563" w14:textId="2BC99538">
      <w:pPr>
        <w:jc w:val="center"/>
        <w:rPr>
          <w:b/>
          <w:bCs/>
        </w:rPr>
      </w:pPr>
      <w:r>
        <w:rPr>
          <w:b/>
          <w:bCs/>
        </w:rPr>
        <w:t>for the Electronic Protective Filing Tool</w:t>
      </w:r>
    </w:p>
    <w:p w:rsidR="008F1608" w:rsidP="008F1608" w:rsidRDefault="009F03C7" w14:paraId="5D48062B" w14:textId="68DB1FE6">
      <w:pPr>
        <w:jc w:val="center"/>
        <w:rPr>
          <w:b/>
          <w:bCs/>
        </w:rPr>
      </w:pPr>
      <w:r w:rsidRPr="00033E31">
        <w:rPr>
          <w:b/>
          <w:szCs w:val="20"/>
        </w:rPr>
        <w:t>20 CFR 404.6</w:t>
      </w:r>
      <w:r>
        <w:rPr>
          <w:b/>
          <w:szCs w:val="20"/>
        </w:rPr>
        <w:t xml:space="preserve">30, and </w:t>
      </w:r>
      <w:r w:rsidRPr="00033E31">
        <w:rPr>
          <w:b/>
          <w:szCs w:val="20"/>
        </w:rPr>
        <w:t>20 CFR 4</w:t>
      </w:r>
      <w:r>
        <w:rPr>
          <w:b/>
          <w:szCs w:val="20"/>
        </w:rPr>
        <w:t>16</w:t>
      </w:r>
      <w:r w:rsidRPr="00033E31">
        <w:rPr>
          <w:b/>
          <w:szCs w:val="20"/>
        </w:rPr>
        <w:t>.3</w:t>
      </w:r>
      <w:r>
        <w:rPr>
          <w:b/>
          <w:szCs w:val="20"/>
        </w:rPr>
        <w:t>40 - 416.345</w:t>
      </w:r>
    </w:p>
    <w:p w:rsidR="008F1608" w:rsidP="008F1608" w:rsidRDefault="008F1608" w14:paraId="3628A868" w14:textId="4050A42A">
      <w:pPr>
        <w:jc w:val="center"/>
        <w:rPr>
          <w:b/>
          <w:bCs/>
        </w:rPr>
      </w:pPr>
      <w:r>
        <w:rPr>
          <w:b/>
          <w:bCs/>
        </w:rPr>
        <w:t>OMB No. 0960-NEW</w:t>
      </w:r>
    </w:p>
    <w:p w:rsidR="008F1608" w:rsidP="008F1608" w:rsidRDefault="008F1608" w14:paraId="40836939" w14:textId="0C688893">
      <w:pPr>
        <w:jc w:val="center"/>
        <w:rPr>
          <w:b/>
          <w:bCs/>
        </w:rPr>
      </w:pPr>
    </w:p>
    <w:p w:rsidR="008F1608" w:rsidP="008F1608" w:rsidRDefault="008F1608" w14:paraId="214C3337" w14:textId="1E57295F">
      <w:pPr>
        <w:rPr>
          <w:i/>
          <w:iCs/>
        </w:rPr>
      </w:pPr>
      <w:r>
        <w:rPr>
          <w:b/>
          <w:bCs/>
          <w:u w:val="single"/>
        </w:rPr>
        <w:t xml:space="preserve">Summary of Discussions with the Public on </w:t>
      </w:r>
      <w:r w:rsidR="00A6698B">
        <w:rPr>
          <w:b/>
          <w:bCs/>
          <w:u w:val="single"/>
        </w:rPr>
        <w:t xml:space="preserve">the Electronic </w:t>
      </w:r>
      <w:r>
        <w:rPr>
          <w:b/>
          <w:bCs/>
          <w:u w:val="single"/>
        </w:rPr>
        <w:t>P</w:t>
      </w:r>
      <w:r w:rsidR="00AA7C7D">
        <w:rPr>
          <w:b/>
          <w:bCs/>
          <w:u w:val="single"/>
        </w:rPr>
        <w:t xml:space="preserve">rotective </w:t>
      </w:r>
      <w:r>
        <w:rPr>
          <w:b/>
          <w:bCs/>
          <w:u w:val="single"/>
        </w:rPr>
        <w:t>F</w:t>
      </w:r>
      <w:r w:rsidR="00AA7C7D">
        <w:rPr>
          <w:b/>
          <w:bCs/>
          <w:u w:val="single"/>
        </w:rPr>
        <w:t>iling Tool</w:t>
      </w:r>
    </w:p>
    <w:p w:rsidR="00EC16A2" w:rsidP="00D95245" w:rsidRDefault="00EC16A2" w14:paraId="69B5049A" w14:textId="26FEBDAF"/>
    <w:p w:rsidRPr="00EC16A2" w:rsidR="00EC16A2" w:rsidP="00D95245" w:rsidRDefault="00EC16A2" w14:paraId="15BF9884" w14:textId="24F89A68">
      <w:pPr>
        <w:rPr>
          <w:b/>
          <w:bCs/>
        </w:rPr>
      </w:pPr>
      <w:r w:rsidRPr="00EC16A2">
        <w:rPr>
          <w:b/>
          <w:bCs/>
        </w:rPr>
        <w:t>Background</w:t>
      </w:r>
    </w:p>
    <w:p w:rsidR="00AE36A2" w:rsidP="00D95245" w:rsidRDefault="00EC16A2" w14:paraId="536654B5" w14:textId="5D084F40">
      <w:r>
        <w:t>The Social Security Administration (SSA) held p</w:t>
      </w:r>
      <w:r w:rsidR="001115D9">
        <w:t>reliminary discussions</w:t>
      </w:r>
      <w:r>
        <w:t xml:space="preserve"> and usability testing with the pub</w:t>
      </w:r>
      <w:r w:rsidR="004A3165">
        <w:t>l</w:t>
      </w:r>
      <w:r>
        <w:t>ic</w:t>
      </w:r>
      <w:r w:rsidR="004A3165">
        <w:t xml:space="preserve"> regarding the </w:t>
      </w:r>
      <w:r w:rsidRPr="003A2CBF" w:rsidR="004A3165">
        <w:rPr>
          <w:bCs/>
          <w:iCs/>
          <w:color w:val="000000"/>
        </w:rPr>
        <w:t xml:space="preserve">new online </w:t>
      </w:r>
      <w:r w:rsidR="004A3165">
        <w:rPr>
          <w:bCs/>
        </w:rPr>
        <w:t xml:space="preserve">electronic protective filing </w:t>
      </w:r>
      <w:r w:rsidRPr="00E21ED0" w:rsidR="004A3165">
        <w:rPr>
          <w:bCs/>
        </w:rPr>
        <w:t>tool</w:t>
      </w:r>
      <w:r>
        <w:t xml:space="preserve"> which</w:t>
      </w:r>
      <w:r w:rsidR="001115D9">
        <w:t xml:space="preserve"> included </w:t>
      </w:r>
      <w:r w:rsidR="004A3165">
        <w:t>both</w:t>
      </w:r>
      <w:r>
        <w:t xml:space="preserve"> </w:t>
      </w:r>
      <w:r w:rsidR="001115D9">
        <w:t xml:space="preserve">participants answering the questions </w:t>
      </w:r>
      <w:r w:rsidR="00D754D3">
        <w:t>on</w:t>
      </w:r>
      <w:r w:rsidR="001115D9">
        <w:t xml:space="preserve"> their own </w:t>
      </w:r>
      <w:r w:rsidR="00D754D3">
        <w:t>behalf</w:t>
      </w:r>
      <w:r w:rsidR="001115D9">
        <w:t xml:space="preserve"> (i.e., first part</w:t>
      </w:r>
      <w:r w:rsidR="00962C6A">
        <w:t>ies</w:t>
      </w:r>
      <w:r w:rsidR="001115D9">
        <w:t xml:space="preserve">) and </w:t>
      </w:r>
      <w:r w:rsidR="00667F6B">
        <w:t>third-party</w:t>
      </w:r>
      <w:r w:rsidR="001115D9">
        <w:t xml:space="preserve"> advocate groups</w:t>
      </w:r>
      <w:r w:rsidR="00D754D3">
        <w:t xml:space="preserve"> who answer</w:t>
      </w:r>
      <w:r w:rsidR="00962C6A">
        <w:t>ed</w:t>
      </w:r>
      <w:r w:rsidR="00D754D3">
        <w:t xml:space="preserve"> questions on behalf of potential claimants</w:t>
      </w:r>
      <w:r>
        <w:t xml:space="preserve"> </w:t>
      </w:r>
      <w:r w:rsidR="004A3165">
        <w:t>wh</w:t>
      </w:r>
      <w:r>
        <w:t>o volunteer</w:t>
      </w:r>
      <w:r w:rsidR="004A3165">
        <w:t>ed</w:t>
      </w:r>
      <w:r>
        <w:t xml:space="preserve"> fo</w:t>
      </w:r>
      <w:r w:rsidR="004A3165">
        <w:t>r the</w:t>
      </w:r>
      <w:r>
        <w:t xml:space="preserve"> usability testing</w:t>
      </w:r>
      <w:r w:rsidR="001115D9">
        <w:t>.</w:t>
      </w:r>
      <w:r>
        <w:t xml:space="preserve"> </w:t>
      </w:r>
      <w:r w:rsidR="001115D9">
        <w:t xml:space="preserve"> SSA </w:t>
      </w:r>
      <w:r w:rsidR="00D754D3">
        <w:t xml:space="preserve">utilized services from </w:t>
      </w:r>
      <w:r w:rsidR="00205DA7">
        <w:t>the</w:t>
      </w:r>
      <w:r w:rsidR="00D754D3">
        <w:t xml:space="preserve"> “Observation-Baltimore” </w:t>
      </w:r>
      <w:r w:rsidR="00205DA7">
        <w:t>organization</w:t>
      </w:r>
      <w:r w:rsidR="002E6968">
        <w:t>,</w:t>
      </w:r>
      <w:r w:rsidR="00205DA7">
        <w:t xml:space="preserve"> which </w:t>
      </w:r>
      <w:r w:rsidR="00D754D3">
        <w:t>recruited first party participants</w:t>
      </w:r>
      <w:r>
        <w:t xml:space="preserve"> for the usability testing.  To find </w:t>
      </w:r>
      <w:r w:rsidR="00EC5390">
        <w:t>t</w:t>
      </w:r>
      <w:r w:rsidR="00AE36A2">
        <w:t>hird</w:t>
      </w:r>
      <w:r w:rsidR="00F24E45">
        <w:t xml:space="preserve"> </w:t>
      </w:r>
      <w:r w:rsidR="00AE36A2">
        <w:t>party</w:t>
      </w:r>
      <w:r>
        <w:t xml:space="preserve"> volunteers, SSA </w:t>
      </w:r>
      <w:r w:rsidR="00AE36A2">
        <w:t>reached out to</w:t>
      </w:r>
      <w:r w:rsidR="00AC66B5">
        <w:t xml:space="preserve"> known external </w:t>
      </w:r>
      <w:r w:rsidR="00AE36A2">
        <w:t xml:space="preserve">community-based advocates and organizations </w:t>
      </w:r>
      <w:r w:rsidR="00AC66B5">
        <w:t>who</w:t>
      </w:r>
      <w:r w:rsidR="00AE36A2">
        <w:t xml:space="preserve"> have been </w:t>
      </w:r>
      <w:r w:rsidR="00AC66B5">
        <w:t>assisting vulnerable populations.</w:t>
      </w:r>
    </w:p>
    <w:p w:rsidR="00EC16A2" w:rsidP="00D95245" w:rsidRDefault="00EC16A2" w14:paraId="0FAAD97C" w14:textId="77777777"/>
    <w:p w:rsidRPr="00D95245" w:rsidR="00D95245" w:rsidP="00D95245" w:rsidRDefault="00D754D3" w14:paraId="209EA92E" w14:textId="4BD54E4E">
      <w:r w:rsidRPr="00AC66B5">
        <w:t xml:space="preserve">SSA </w:t>
      </w:r>
      <w:r w:rsidRPr="00AC66B5" w:rsidR="001115D9">
        <w:t>conducted two rounds of usability testing</w:t>
      </w:r>
      <w:r w:rsidR="00EC16A2">
        <w:t>:</w:t>
      </w:r>
    </w:p>
    <w:p w:rsidR="00157BF5" w:rsidP="00D95245" w:rsidRDefault="00157BF5" w14:paraId="04F75C33" w14:textId="77777777"/>
    <w:p w:rsidRPr="00205DA7" w:rsidR="00157BF5" w:rsidP="00D95245" w:rsidRDefault="00D95245" w14:paraId="22B632C1" w14:textId="242E2B73">
      <w:pPr>
        <w:rPr>
          <w:b/>
          <w:bCs/>
        </w:rPr>
      </w:pPr>
      <w:r w:rsidRPr="00205DA7">
        <w:rPr>
          <w:b/>
          <w:bCs/>
        </w:rPr>
        <w:t xml:space="preserve">Usability </w:t>
      </w:r>
      <w:r w:rsidR="00962C6A">
        <w:rPr>
          <w:b/>
          <w:bCs/>
        </w:rPr>
        <w:t xml:space="preserve">Testing </w:t>
      </w:r>
      <w:r w:rsidRPr="00205DA7">
        <w:rPr>
          <w:b/>
          <w:bCs/>
        </w:rPr>
        <w:t>Sessions</w:t>
      </w:r>
    </w:p>
    <w:p w:rsidR="00EC16A2" w:rsidP="00D95245" w:rsidRDefault="00EC16A2" w14:paraId="109E455E" w14:textId="77777777">
      <w:r>
        <w:t>Round 1:</w:t>
      </w:r>
    </w:p>
    <w:p w:rsidR="00EC16A2" w:rsidP="00EC16A2" w:rsidRDefault="00EC16A2" w14:paraId="79E0B237" w14:textId="77777777">
      <w:pPr>
        <w:pStyle w:val="ListParagraph"/>
        <w:numPr>
          <w:ilvl w:val="0"/>
          <w:numId w:val="7"/>
        </w:numPr>
      </w:pPr>
      <w:r>
        <w:t>SSA scheduled e</w:t>
      </w:r>
      <w:r w:rsidRPr="00157BF5" w:rsidR="00D95245">
        <w:t xml:space="preserve">ach </w:t>
      </w:r>
      <w:r>
        <w:t xml:space="preserve">usability testing </w:t>
      </w:r>
      <w:r w:rsidRPr="00157BF5" w:rsidR="00D95245">
        <w:t xml:space="preserve">session for one hour. </w:t>
      </w:r>
    </w:p>
    <w:p w:rsidR="00D95245" w:rsidP="00EC16A2" w:rsidRDefault="00EC16A2" w14:paraId="6547BA39" w14:textId="0488FA35">
      <w:pPr>
        <w:pStyle w:val="ListParagraph"/>
        <w:numPr>
          <w:ilvl w:val="0"/>
          <w:numId w:val="7"/>
        </w:numPr>
      </w:pPr>
      <w:r>
        <w:t>We conducted f</w:t>
      </w:r>
      <w:r w:rsidRPr="00157BF5" w:rsidR="00D95245">
        <w:t xml:space="preserve">ourteen (14) </w:t>
      </w:r>
      <w:r w:rsidR="00157BF5">
        <w:t>usability testing</w:t>
      </w:r>
      <w:r w:rsidRPr="00157BF5" w:rsidR="00D95245">
        <w:t xml:space="preserve"> sessions with five</w:t>
      </w:r>
      <w:r w:rsidR="00157BF5">
        <w:t xml:space="preserve"> (5)</w:t>
      </w:r>
      <w:r w:rsidRPr="00157BF5" w:rsidR="00D95245">
        <w:t xml:space="preserve"> </w:t>
      </w:r>
      <w:r w:rsidR="00157BF5">
        <w:t>first</w:t>
      </w:r>
      <w:r w:rsidRPr="00157BF5" w:rsidR="00D95245">
        <w:t xml:space="preserve"> party participants and nine</w:t>
      </w:r>
      <w:r w:rsidR="00157BF5">
        <w:t xml:space="preserve"> (9)</w:t>
      </w:r>
      <w:r w:rsidRPr="00157BF5" w:rsidR="00D95245">
        <w:t xml:space="preserve"> </w:t>
      </w:r>
      <w:r w:rsidR="00157BF5">
        <w:t>third</w:t>
      </w:r>
      <w:r w:rsidR="00A6698B">
        <w:t xml:space="preserve"> </w:t>
      </w:r>
      <w:r w:rsidRPr="00157BF5" w:rsidR="00D95245">
        <w:t>party advocates</w:t>
      </w:r>
    </w:p>
    <w:p w:rsidR="00EC16A2" w:rsidP="00EC16A2" w:rsidRDefault="00EC16A2" w14:paraId="15F38618" w14:textId="63D6702B"/>
    <w:p w:rsidRPr="00157BF5" w:rsidR="00EC16A2" w:rsidP="00EC16A2" w:rsidRDefault="00EC16A2" w14:paraId="349A18FC" w14:textId="0DDE8860">
      <w:r>
        <w:t>Round 2:</w:t>
      </w:r>
    </w:p>
    <w:p w:rsidR="00D95245" w:rsidP="00EC16A2" w:rsidRDefault="00D95245" w14:paraId="0BC007A2" w14:textId="1666B31E">
      <w:pPr>
        <w:pStyle w:val="ListParagraph"/>
        <w:numPr>
          <w:ilvl w:val="0"/>
          <w:numId w:val="8"/>
        </w:numPr>
      </w:pPr>
      <w:r w:rsidRPr="00157BF5">
        <w:t>Due to budgeting</w:t>
      </w:r>
      <w:r w:rsidR="003D66BE">
        <w:t xml:space="preserve"> constrain</w:t>
      </w:r>
      <w:r w:rsidR="00EC5390">
        <w:t>t</w:t>
      </w:r>
      <w:r w:rsidR="003D66BE">
        <w:t>s</w:t>
      </w:r>
      <w:r w:rsidRPr="00157BF5">
        <w:t xml:space="preserve">, </w:t>
      </w:r>
      <w:r w:rsidR="00EC16A2">
        <w:t>we split the R</w:t>
      </w:r>
      <w:r w:rsidRPr="00157BF5">
        <w:t xml:space="preserve">ound 2 </w:t>
      </w:r>
      <w:r w:rsidR="00157BF5">
        <w:t xml:space="preserve">usability testing </w:t>
      </w:r>
      <w:r w:rsidRPr="00157BF5">
        <w:t>into two sessions</w:t>
      </w:r>
      <w:r w:rsidR="00EC16A2">
        <w:t>:</w:t>
      </w:r>
    </w:p>
    <w:p w:rsidR="00D95245" w:rsidP="00EC16A2" w:rsidRDefault="00EC16A2" w14:paraId="60F18D0B" w14:textId="04180A0D">
      <w:pPr>
        <w:pStyle w:val="ListParagraph"/>
        <w:numPr>
          <w:ilvl w:val="1"/>
          <w:numId w:val="8"/>
        </w:numPr>
      </w:pPr>
      <w:r>
        <w:t xml:space="preserve">For </w:t>
      </w:r>
      <w:r w:rsidRPr="00157BF5" w:rsidR="00D95245">
        <w:t>Round 2 Part A</w:t>
      </w:r>
      <w:r>
        <w:t>, we recruited s</w:t>
      </w:r>
      <w:r w:rsidRPr="00157BF5" w:rsidR="00D95245">
        <w:t>ix</w:t>
      </w:r>
      <w:r w:rsidR="00157BF5">
        <w:t xml:space="preserve"> (6)</w:t>
      </w:r>
      <w:r w:rsidRPr="00157BF5" w:rsidR="00D95245">
        <w:t xml:space="preserve"> </w:t>
      </w:r>
      <w:r w:rsidR="00157BF5">
        <w:t>first</w:t>
      </w:r>
      <w:r w:rsidRPr="00157BF5" w:rsidR="00D95245">
        <w:t xml:space="preserve"> party </w:t>
      </w:r>
      <w:r w:rsidR="00157BF5">
        <w:t>p</w:t>
      </w:r>
      <w:r w:rsidRPr="00157BF5" w:rsidR="00D95245">
        <w:t>articipants</w:t>
      </w:r>
    </w:p>
    <w:p w:rsidRPr="00157BF5" w:rsidR="00D95245" w:rsidP="00EC16A2" w:rsidRDefault="00EC16A2" w14:paraId="2DBCCBDE" w14:textId="31A7593C">
      <w:pPr>
        <w:pStyle w:val="ListParagraph"/>
        <w:numPr>
          <w:ilvl w:val="1"/>
          <w:numId w:val="8"/>
        </w:numPr>
      </w:pPr>
      <w:r>
        <w:t>For Round 2 Part b, we recruited s</w:t>
      </w:r>
      <w:r w:rsidRPr="00157BF5" w:rsidR="00D95245">
        <w:t xml:space="preserve">ix </w:t>
      </w:r>
      <w:r w:rsidR="00157BF5">
        <w:t>(6) third</w:t>
      </w:r>
      <w:r w:rsidR="00A6698B">
        <w:t xml:space="preserve"> </w:t>
      </w:r>
      <w:r w:rsidRPr="00157BF5" w:rsidR="00D95245">
        <w:t xml:space="preserve">party </w:t>
      </w:r>
      <w:r w:rsidR="00157BF5">
        <w:t>a</w:t>
      </w:r>
      <w:r w:rsidRPr="00157BF5" w:rsidR="00D95245">
        <w:t>dvocates</w:t>
      </w:r>
    </w:p>
    <w:p w:rsidRPr="00D95245" w:rsidR="00D95245" w:rsidP="00D95245" w:rsidRDefault="00D95245" w14:paraId="3EE5DA91" w14:textId="77777777">
      <w:pPr>
        <w:rPr>
          <w:color w:val="002060"/>
        </w:rPr>
      </w:pPr>
    </w:p>
    <w:p w:rsidRPr="00205DA7" w:rsidR="00D95245" w:rsidP="00D95245" w:rsidRDefault="00D95245" w14:paraId="12FEBB21" w14:textId="77777777">
      <w:pPr>
        <w:rPr>
          <w:b/>
          <w:bCs/>
        </w:rPr>
      </w:pPr>
      <w:r w:rsidRPr="00205DA7">
        <w:rPr>
          <w:b/>
          <w:bCs/>
        </w:rPr>
        <w:t>Nature of the Discussion</w:t>
      </w:r>
    </w:p>
    <w:p w:rsidR="00EC16A2" w:rsidP="00EC16A2" w:rsidRDefault="00EC16A2" w14:paraId="0CABAB22" w14:textId="77777777">
      <w:r>
        <w:t>During the usability testing sessions, SSA</w:t>
      </w:r>
      <w:r w:rsidR="00157BF5">
        <w:t xml:space="preserve"> asked participants</w:t>
      </w:r>
      <w:r w:rsidRPr="00157BF5" w:rsidR="00D95245">
        <w:t xml:space="preserve"> to complete the </w:t>
      </w:r>
      <w:r w:rsidR="00157BF5">
        <w:t>online tool</w:t>
      </w:r>
      <w:r w:rsidRPr="00157BF5" w:rsidR="00D95245">
        <w:t xml:space="preserve"> once on their own without comments or help f</w:t>
      </w:r>
      <w:r w:rsidR="00C74883">
        <w:t>ro</w:t>
      </w:r>
      <w:r w:rsidRPr="00157BF5" w:rsidR="00D95245">
        <w:t xml:space="preserve">m the facilitator. </w:t>
      </w:r>
      <w:r>
        <w:t xml:space="preserve"> </w:t>
      </w:r>
      <w:r w:rsidR="00157BF5">
        <w:t>We used t</w:t>
      </w:r>
      <w:r w:rsidRPr="00157BF5" w:rsidR="00D95245">
        <w:t>his method to measure general ease of use</w:t>
      </w:r>
      <w:r>
        <w:t>,</w:t>
      </w:r>
      <w:r w:rsidRPr="00157BF5" w:rsidR="00D95245">
        <w:t xml:space="preserve"> and to give as honest a </w:t>
      </w:r>
      <w:r w:rsidR="00157BF5">
        <w:t>measurement</w:t>
      </w:r>
      <w:r w:rsidRPr="00157BF5" w:rsidR="00D95245">
        <w:t xml:space="preserve"> </w:t>
      </w:r>
      <w:r w:rsidR="00C74883">
        <w:t xml:space="preserve">as </w:t>
      </w:r>
      <w:r w:rsidRPr="00157BF5" w:rsidR="00D95245">
        <w:t>possible regarding time to completion.</w:t>
      </w:r>
      <w:r w:rsidR="00157BF5">
        <w:t xml:space="preserve"> </w:t>
      </w:r>
      <w:r>
        <w:t xml:space="preserve"> SSA</w:t>
      </w:r>
      <w:r w:rsidR="00157BF5">
        <w:t xml:space="preserve"> then asked</w:t>
      </w:r>
      <w:r w:rsidRPr="00157BF5" w:rsidR="00D95245">
        <w:t xml:space="preserve"> the participant</w:t>
      </w:r>
      <w:r w:rsidR="00962C6A">
        <w:t>s</w:t>
      </w:r>
      <w:r w:rsidR="00157BF5">
        <w:t xml:space="preserve"> a list of </w:t>
      </w:r>
      <w:r>
        <w:t xml:space="preserve">customer satisfaction </w:t>
      </w:r>
      <w:r w:rsidR="00157BF5">
        <w:t>questions</w:t>
      </w:r>
      <w:r>
        <w:t xml:space="preserve"> </w:t>
      </w:r>
      <w:r w:rsidRPr="00157BF5" w:rsidR="00D95245">
        <w:t>focused on areas such a</w:t>
      </w:r>
      <w:r>
        <w:t xml:space="preserve">s:  </w:t>
      </w:r>
      <w:r w:rsidRPr="00157BF5" w:rsidR="00D95245">
        <w:t>overall impression</w:t>
      </w:r>
      <w:r>
        <w:t>s;</w:t>
      </w:r>
      <w:r w:rsidRPr="00157BF5" w:rsidR="00D95245">
        <w:t xml:space="preserve"> ease of use</w:t>
      </w:r>
      <w:r>
        <w:t>;</w:t>
      </w:r>
      <w:r w:rsidRPr="00157BF5" w:rsidR="00D95245">
        <w:t xml:space="preserve"> navigation</w:t>
      </w:r>
      <w:r>
        <w:t>;</w:t>
      </w:r>
      <w:r w:rsidRPr="00157BF5" w:rsidR="00D95245">
        <w:t xml:space="preserve"> clarity of instructions</w:t>
      </w:r>
      <w:r>
        <w:t>;</w:t>
      </w:r>
      <w:r w:rsidRPr="00157BF5" w:rsidR="00D95245">
        <w:t xml:space="preserve"> time to completion</w:t>
      </w:r>
      <w:r>
        <w:t>;</w:t>
      </w:r>
      <w:r w:rsidRPr="00157BF5" w:rsidR="00D95245">
        <w:t xml:space="preserve"> and more specific likes</w:t>
      </w:r>
      <w:r>
        <w:t xml:space="preserve"> and </w:t>
      </w:r>
      <w:r w:rsidRPr="00157BF5" w:rsidR="00D95245">
        <w:t xml:space="preserve">dislikes regarding </w:t>
      </w:r>
      <w:r w:rsidR="00157BF5">
        <w:t>the functionality of the tool</w:t>
      </w:r>
      <w:r w:rsidRPr="00157BF5" w:rsidR="00D95245">
        <w:t xml:space="preserve">. </w:t>
      </w:r>
      <w:r>
        <w:t xml:space="preserve"> </w:t>
      </w:r>
      <w:r w:rsidRPr="00157BF5" w:rsidR="00D95245">
        <w:t xml:space="preserve">We also asked what the participants thought they </w:t>
      </w:r>
      <w:r w:rsidR="002E1E2F">
        <w:t>had</w:t>
      </w:r>
      <w:r w:rsidRPr="00157BF5" w:rsidR="002E1E2F">
        <w:t xml:space="preserve"> </w:t>
      </w:r>
      <w:r w:rsidRPr="00157BF5" w:rsidR="00D95245">
        <w:t xml:space="preserve">accomplished by going through the </w:t>
      </w:r>
      <w:r w:rsidR="00157BF5">
        <w:t>tool</w:t>
      </w:r>
      <w:r w:rsidRPr="00157BF5" w:rsidR="00D95245">
        <w:t>.</w:t>
      </w:r>
      <w:r w:rsidR="00157BF5">
        <w:t xml:space="preserve"> </w:t>
      </w:r>
    </w:p>
    <w:p w:rsidR="00EC16A2" w:rsidP="00EC16A2" w:rsidRDefault="00EC16A2" w14:paraId="5D45D0B9" w14:textId="77777777"/>
    <w:p w:rsidRPr="00157BF5" w:rsidR="00D95245" w:rsidP="00EC16A2" w:rsidRDefault="00D95245" w14:paraId="19BA9D5C" w14:textId="6FBAAAA0">
      <w:r w:rsidRPr="00157BF5">
        <w:t>After</w:t>
      </w:r>
      <w:r w:rsidR="00EC16A2">
        <w:t xml:space="preserve"> the question-and-answer session</w:t>
      </w:r>
      <w:r w:rsidRPr="00157BF5">
        <w:t>, the facilitator and participant</w:t>
      </w:r>
      <w:r w:rsidR="00962C6A">
        <w:t>s</w:t>
      </w:r>
      <w:r w:rsidRPr="00157BF5">
        <w:t xml:space="preserve"> went back through the </w:t>
      </w:r>
      <w:r w:rsidR="00157BF5">
        <w:t>tool together</w:t>
      </w:r>
      <w:r w:rsidRPr="00157BF5">
        <w:t xml:space="preserve"> and focused on specific areas of some pages to obtain more detailed feedback. </w:t>
      </w:r>
      <w:r w:rsidR="00EC16A2">
        <w:t xml:space="preserve"> </w:t>
      </w:r>
      <w:r w:rsidRPr="00157BF5">
        <w:t xml:space="preserve">These areas of specificity focused on </w:t>
      </w:r>
      <w:r w:rsidR="00962C6A">
        <w:t xml:space="preserve">phrasing of </w:t>
      </w:r>
      <w:r w:rsidRPr="00157BF5">
        <w:t>language</w:t>
      </w:r>
      <w:r w:rsidR="00EC16A2">
        <w:t>;</w:t>
      </w:r>
      <w:r w:rsidRPr="00157BF5">
        <w:t xml:space="preserve"> usefulness of help text (</w:t>
      </w:r>
      <w:r w:rsidR="001115D9">
        <w:t xml:space="preserve">i.e., on screen </w:t>
      </w:r>
      <w:r w:rsidRPr="00157BF5">
        <w:t>information boxes)</w:t>
      </w:r>
      <w:r w:rsidR="00EC16A2">
        <w:t>;</w:t>
      </w:r>
      <w:r w:rsidRPr="00157BF5">
        <w:t xml:space="preserve"> and a deeper probe into the</w:t>
      </w:r>
      <w:r w:rsidR="001115D9">
        <w:t xml:space="preserve"> participants’</w:t>
      </w:r>
      <w:r w:rsidRPr="00157BF5">
        <w:t xml:space="preserve"> understanding of specific pages (such as </w:t>
      </w:r>
      <w:r w:rsidR="001115D9">
        <w:t xml:space="preserve">the “Your Information” </w:t>
      </w:r>
      <w:r w:rsidRPr="00157BF5">
        <w:t xml:space="preserve">page </w:t>
      </w:r>
      <w:r w:rsidR="00962C6A">
        <w:t>and</w:t>
      </w:r>
      <w:r w:rsidRPr="00157BF5">
        <w:t xml:space="preserve"> the </w:t>
      </w:r>
      <w:r w:rsidR="00962C6A">
        <w:t>text</w:t>
      </w:r>
      <w:r w:rsidRPr="00157BF5">
        <w:t xml:space="preserve"> on the </w:t>
      </w:r>
      <w:r w:rsidR="001115D9">
        <w:t xml:space="preserve">“Appointment Request Received” </w:t>
      </w:r>
      <w:r w:rsidRPr="00157BF5">
        <w:t>page).</w:t>
      </w:r>
    </w:p>
    <w:p w:rsidRPr="00D95245" w:rsidR="00D95245" w:rsidP="00D95245" w:rsidRDefault="00D95245" w14:paraId="27339C61" w14:textId="77777777">
      <w:pPr>
        <w:rPr>
          <w:color w:val="002060"/>
        </w:rPr>
      </w:pPr>
    </w:p>
    <w:p w:rsidRPr="00205DA7" w:rsidR="00D95245" w:rsidP="00D95245" w:rsidRDefault="00D95245" w14:paraId="0202F36F" w14:textId="77777777">
      <w:pPr>
        <w:rPr>
          <w:b/>
          <w:bCs/>
        </w:rPr>
      </w:pPr>
      <w:r w:rsidRPr="00205DA7">
        <w:rPr>
          <w:b/>
          <w:bCs/>
        </w:rPr>
        <w:t>Feedback</w:t>
      </w:r>
    </w:p>
    <w:p w:rsidRPr="00AB0455" w:rsidR="00D95245" w:rsidP="00D95245" w:rsidRDefault="00EC16A2" w14:paraId="464193A9" w14:textId="609064EC">
      <w:r>
        <w:t>Overall, the participants’ f</w:t>
      </w:r>
      <w:r w:rsidRPr="00AB0455" w:rsidR="00D95245">
        <w:t>eedba</w:t>
      </w:r>
      <w:r>
        <w:t>ck</w:t>
      </w:r>
      <w:r w:rsidRPr="00AB0455" w:rsidR="00D95245">
        <w:t xml:space="preserve"> was generally positive, with even the </w:t>
      </w:r>
      <w:r w:rsidRPr="003A2CBF" w:rsidR="004A3165">
        <w:rPr>
          <w:bCs/>
          <w:iCs/>
          <w:color w:val="000000"/>
        </w:rPr>
        <w:t xml:space="preserve">new online </w:t>
      </w:r>
      <w:r w:rsidR="004A3165">
        <w:rPr>
          <w:bCs/>
        </w:rPr>
        <w:t xml:space="preserve">electronic protective filing </w:t>
      </w:r>
      <w:r w:rsidR="00AB0455">
        <w:t>tool</w:t>
      </w:r>
      <w:r w:rsidRPr="00AB0455" w:rsidR="00D95245">
        <w:t>’s most perceptive critics</w:t>
      </w:r>
      <w:r w:rsidR="004A3165">
        <w:t>.  The participants noted</w:t>
      </w:r>
      <w:r w:rsidRPr="00AB0455" w:rsidR="00D95245">
        <w:t xml:space="preserve"> that it was easy to use, </w:t>
      </w:r>
      <w:r w:rsidR="000B4DED">
        <w:t>took minimal time to complete</w:t>
      </w:r>
      <w:r w:rsidRPr="00AB0455" w:rsidR="00D95245">
        <w:t xml:space="preserve">, and </w:t>
      </w:r>
      <w:r w:rsidR="00AB0455">
        <w:t xml:space="preserve">had clear </w:t>
      </w:r>
      <w:r w:rsidRPr="00AB0455" w:rsidR="00D95245">
        <w:t>instructions.</w:t>
      </w:r>
    </w:p>
    <w:p w:rsidRPr="00AB0455" w:rsidR="00D95245" w:rsidP="00D95245" w:rsidRDefault="00D95245" w14:paraId="5CCA85EC" w14:textId="77777777"/>
    <w:p w:rsidR="00D95245" w:rsidP="00D95245" w:rsidRDefault="00D95245" w14:paraId="6080A32C" w14:textId="2FAC3594">
      <w:r w:rsidRPr="00AB0455">
        <w:t xml:space="preserve">First party participants </w:t>
      </w:r>
      <w:r w:rsidR="00AB0455">
        <w:t xml:space="preserve">had the </w:t>
      </w:r>
      <w:r w:rsidR="006554F5">
        <w:t xml:space="preserve">fewest </w:t>
      </w:r>
      <w:r w:rsidRPr="00AB0455">
        <w:t xml:space="preserve">concerns or issues. </w:t>
      </w:r>
      <w:r w:rsidR="00EC16A2">
        <w:t xml:space="preserve"> </w:t>
      </w:r>
      <w:r w:rsidRPr="00AB0455">
        <w:t>Third</w:t>
      </w:r>
      <w:r w:rsidR="00667F6B">
        <w:t>-</w:t>
      </w:r>
      <w:r w:rsidRPr="00AB0455">
        <w:t xml:space="preserve">party advocates, being familiar with the </w:t>
      </w:r>
      <w:r w:rsidR="00AB0455">
        <w:t>Supplemental Security Income (</w:t>
      </w:r>
      <w:r w:rsidRPr="00AB0455">
        <w:t>SSI</w:t>
      </w:r>
      <w:r w:rsidR="00AB0455">
        <w:t>)</w:t>
      </w:r>
      <w:r w:rsidRPr="00AB0455">
        <w:t xml:space="preserve"> and </w:t>
      </w:r>
      <w:r w:rsidR="00AB0455">
        <w:t>Social Security Disability Insurance (</w:t>
      </w:r>
      <w:r w:rsidRPr="00AB0455">
        <w:t>SSD</w:t>
      </w:r>
      <w:r w:rsidR="00AB0455">
        <w:t>I)</w:t>
      </w:r>
      <w:r w:rsidR="006554F5">
        <w:t xml:space="preserve"> programs</w:t>
      </w:r>
      <w:r w:rsidRPr="00AB0455">
        <w:t xml:space="preserve">, had sharper, more insightful </w:t>
      </w:r>
      <w:r w:rsidR="00962C6A">
        <w:t>observations</w:t>
      </w:r>
      <w:r w:rsidRPr="00AB0455">
        <w:t xml:space="preserve">. </w:t>
      </w:r>
      <w:r w:rsidR="00EC16A2">
        <w:t xml:space="preserve"> </w:t>
      </w:r>
      <w:r w:rsidRPr="00AB0455">
        <w:t xml:space="preserve">Among the list of comments for changing the </w:t>
      </w:r>
      <w:r w:rsidR="00AB0455">
        <w:t>tool</w:t>
      </w:r>
      <w:r w:rsidRPr="00AB0455">
        <w:t>, we found these items to have a high enough frequency rate to necessitate a discussion:</w:t>
      </w:r>
    </w:p>
    <w:p w:rsidR="004A3165" w:rsidP="00D95245" w:rsidRDefault="004A3165" w14:paraId="7C903126" w14:textId="42BA7C76"/>
    <w:p w:rsidR="004A3165" w:rsidP="004A3165" w:rsidRDefault="00D95245" w14:paraId="182817CA" w14:textId="77777777">
      <w:pPr>
        <w:pStyle w:val="ListParagraph"/>
        <w:numPr>
          <w:ilvl w:val="0"/>
          <w:numId w:val="8"/>
        </w:numPr>
      </w:pPr>
      <w:r w:rsidRPr="004A3165">
        <w:rPr>
          <w:b/>
          <w:bCs/>
        </w:rPr>
        <w:t xml:space="preserve">Lack of understanding of the </w:t>
      </w:r>
      <w:r w:rsidRPr="004A3165" w:rsidR="00AB0455">
        <w:rPr>
          <w:b/>
          <w:bCs/>
        </w:rPr>
        <w:t>tool</w:t>
      </w:r>
      <w:r w:rsidRPr="004A3165">
        <w:rPr>
          <w:b/>
          <w:bCs/>
        </w:rPr>
        <w:t>’s purpose:</w:t>
      </w:r>
      <w:r w:rsidRPr="00AB0455">
        <w:t xml:space="preserve"> </w:t>
      </w:r>
      <w:r w:rsidR="004A3165">
        <w:t xml:space="preserve"> </w:t>
      </w:r>
      <w:r w:rsidRPr="00AB0455">
        <w:t xml:space="preserve">Due to vague, unclear language, many participants thought they had just finished making </w:t>
      </w:r>
      <w:r w:rsidR="006554F5">
        <w:t>an</w:t>
      </w:r>
      <w:r w:rsidRPr="00AB0455">
        <w:t xml:space="preserve"> appointment or had applied for SSI benefits for themselves or their client</w:t>
      </w:r>
      <w:r w:rsidR="00AB0455">
        <w:t>.</w:t>
      </w:r>
    </w:p>
    <w:p w:rsidRPr="004A3165" w:rsidR="004A3165" w:rsidP="004A3165" w:rsidRDefault="004A3165" w14:paraId="3BF08998" w14:textId="77777777">
      <w:pPr>
        <w:pStyle w:val="ListParagraph"/>
      </w:pPr>
    </w:p>
    <w:p w:rsidR="004A3165" w:rsidP="004A3165" w:rsidRDefault="00D95245" w14:paraId="4097CF06" w14:textId="36281D15">
      <w:pPr>
        <w:pStyle w:val="ListParagraph"/>
        <w:numPr>
          <w:ilvl w:val="0"/>
          <w:numId w:val="8"/>
        </w:numPr>
      </w:pPr>
      <w:r w:rsidRPr="004A3165">
        <w:rPr>
          <w:b/>
          <w:bCs/>
        </w:rPr>
        <w:t xml:space="preserve">Confusion over the </w:t>
      </w:r>
      <w:r w:rsidRPr="004A3165" w:rsidR="006554F5">
        <w:rPr>
          <w:b/>
          <w:bCs/>
        </w:rPr>
        <w:t xml:space="preserve">“Appointment Request Received” </w:t>
      </w:r>
      <w:r w:rsidRPr="004A3165">
        <w:rPr>
          <w:b/>
          <w:bCs/>
        </w:rPr>
        <w:t>screen language:</w:t>
      </w:r>
      <w:r w:rsidRPr="00AB0455">
        <w:t xml:space="preserve"> </w:t>
      </w:r>
      <w:r w:rsidR="004A3165">
        <w:t xml:space="preserve"> </w:t>
      </w:r>
      <w:r w:rsidRPr="00AB0455">
        <w:t xml:space="preserve">Participants found the language difficult to </w:t>
      </w:r>
      <w:r w:rsidR="00AB0455">
        <w:t>understand</w:t>
      </w:r>
      <w:r w:rsidRPr="00AB0455">
        <w:t xml:space="preserve"> and left feeling like they were expected to supply documents to someone </w:t>
      </w:r>
      <w:r w:rsidR="00AB0455">
        <w:t>as soon as possible</w:t>
      </w:r>
      <w:r w:rsidRPr="00AB0455">
        <w:t>.</w:t>
      </w:r>
    </w:p>
    <w:p w:rsidR="004A3165" w:rsidP="004A3165" w:rsidRDefault="004A3165" w14:paraId="35F29418" w14:textId="77777777">
      <w:pPr>
        <w:pStyle w:val="ListParagraph"/>
      </w:pPr>
    </w:p>
    <w:p w:rsidR="004A3165" w:rsidP="004A3165" w:rsidRDefault="006554F5" w14:paraId="77ECCF97" w14:textId="77777777">
      <w:pPr>
        <w:pStyle w:val="ListParagraph"/>
        <w:numPr>
          <w:ilvl w:val="0"/>
          <w:numId w:val="8"/>
        </w:numPr>
      </w:pPr>
      <w:r w:rsidRPr="004A3165">
        <w:rPr>
          <w:b/>
          <w:bCs/>
        </w:rPr>
        <w:t>The question about the d</w:t>
      </w:r>
      <w:r w:rsidRPr="004A3165" w:rsidR="00D95245">
        <w:rPr>
          <w:b/>
          <w:bCs/>
        </w:rPr>
        <w:t xml:space="preserve">isability </w:t>
      </w:r>
      <w:r w:rsidRPr="004A3165">
        <w:rPr>
          <w:b/>
          <w:bCs/>
        </w:rPr>
        <w:t>o</w:t>
      </w:r>
      <w:r w:rsidRPr="004A3165" w:rsidR="00D95245">
        <w:rPr>
          <w:b/>
          <w:bCs/>
        </w:rPr>
        <w:t xml:space="preserve">nset </w:t>
      </w:r>
      <w:r w:rsidRPr="004A3165">
        <w:rPr>
          <w:b/>
          <w:bCs/>
        </w:rPr>
        <w:t>d</w:t>
      </w:r>
      <w:r w:rsidRPr="004A3165" w:rsidR="00D95245">
        <w:rPr>
          <w:b/>
          <w:bCs/>
        </w:rPr>
        <w:t>ate had too much specificity</w:t>
      </w:r>
      <w:r w:rsidRPr="004A3165" w:rsidR="00AB0455">
        <w:rPr>
          <w:b/>
          <w:bCs/>
        </w:rPr>
        <w:t>:</w:t>
      </w:r>
      <w:r w:rsidRPr="00AB0455" w:rsidR="00D95245">
        <w:t xml:space="preserve"> </w:t>
      </w:r>
      <w:r w:rsidR="004A3165">
        <w:t xml:space="preserve"> </w:t>
      </w:r>
      <w:r w:rsidR="00962C6A">
        <w:t>Third-party advocates</w:t>
      </w:r>
      <w:r w:rsidRPr="00AB0455" w:rsidR="00D95245">
        <w:t xml:space="preserve"> noted that many of their clients would not remember the </w:t>
      </w:r>
      <w:r w:rsidR="00AB0455">
        <w:t xml:space="preserve">exact </w:t>
      </w:r>
      <w:r w:rsidRPr="00AB0455" w:rsidR="00D95245">
        <w:t>day they became disabled, and perhaps not even the month</w:t>
      </w:r>
      <w:r w:rsidR="00AB0455">
        <w:t>.</w:t>
      </w:r>
    </w:p>
    <w:p w:rsidR="004A3165" w:rsidP="004A3165" w:rsidRDefault="004A3165" w14:paraId="52E4C7FE" w14:textId="77777777">
      <w:pPr>
        <w:pStyle w:val="ListParagraph"/>
      </w:pPr>
    </w:p>
    <w:p w:rsidRPr="00AB0455" w:rsidR="00D95245" w:rsidP="004A3165" w:rsidRDefault="00D95245" w14:paraId="59E06A09" w14:textId="259A0956">
      <w:pPr>
        <w:pStyle w:val="ListParagraph"/>
        <w:numPr>
          <w:ilvl w:val="0"/>
          <w:numId w:val="8"/>
        </w:numPr>
      </w:pPr>
      <w:r w:rsidRPr="004A3165">
        <w:rPr>
          <w:b/>
          <w:bCs/>
        </w:rPr>
        <w:t xml:space="preserve">Density of language for Terms of Service </w:t>
      </w:r>
      <w:r w:rsidRPr="004A3165" w:rsidR="006554F5">
        <w:rPr>
          <w:b/>
          <w:bCs/>
        </w:rPr>
        <w:t>(</w:t>
      </w:r>
      <w:proofErr w:type="spellStart"/>
      <w:r w:rsidRPr="004A3165" w:rsidR="006554F5">
        <w:rPr>
          <w:b/>
          <w:bCs/>
        </w:rPr>
        <w:t>ToS</w:t>
      </w:r>
      <w:proofErr w:type="spellEnd"/>
      <w:r w:rsidRPr="004A3165" w:rsidR="006554F5">
        <w:rPr>
          <w:b/>
          <w:bCs/>
        </w:rPr>
        <w:t xml:space="preserve">) </w:t>
      </w:r>
      <w:r w:rsidRPr="004A3165">
        <w:rPr>
          <w:b/>
          <w:bCs/>
        </w:rPr>
        <w:t xml:space="preserve">and Privacy Act </w:t>
      </w:r>
      <w:r w:rsidRPr="004A3165" w:rsidR="006554F5">
        <w:rPr>
          <w:b/>
          <w:bCs/>
        </w:rPr>
        <w:t xml:space="preserve">(PA) statement </w:t>
      </w:r>
      <w:r w:rsidRPr="004A3165">
        <w:rPr>
          <w:b/>
          <w:bCs/>
        </w:rPr>
        <w:t xml:space="preserve">pages: </w:t>
      </w:r>
      <w:r w:rsidR="004A3165">
        <w:rPr>
          <w:b/>
          <w:bCs/>
        </w:rPr>
        <w:t xml:space="preserve"> </w:t>
      </w:r>
      <w:r w:rsidRPr="00AB0455">
        <w:t>Participants universally found the amount of te</w:t>
      </w:r>
      <w:r w:rsidR="00AB0455">
        <w:t>x</w:t>
      </w:r>
      <w:r w:rsidRPr="00AB0455">
        <w:t xml:space="preserve">t on these pages daunting and distracting. </w:t>
      </w:r>
      <w:r w:rsidR="004A3165">
        <w:t xml:space="preserve"> </w:t>
      </w:r>
      <w:r w:rsidRPr="00AB0455">
        <w:t xml:space="preserve">Many asked if they had to read them. </w:t>
      </w:r>
      <w:r w:rsidR="004A3165">
        <w:t xml:space="preserve"> </w:t>
      </w:r>
      <w:r w:rsidRPr="00AB0455">
        <w:t>When advised they should treat them like they normally would, most skipped past them.</w:t>
      </w:r>
    </w:p>
    <w:p w:rsidRPr="00D95245" w:rsidR="00D95245" w:rsidP="00D95245" w:rsidRDefault="00D95245" w14:paraId="1150C4FF" w14:textId="77777777">
      <w:pPr>
        <w:rPr>
          <w:color w:val="002060"/>
        </w:rPr>
      </w:pPr>
    </w:p>
    <w:p w:rsidRPr="0038275F" w:rsidR="00D95245" w:rsidP="00D95245" w:rsidRDefault="00D95245" w14:paraId="62A2296D" w14:textId="77777777">
      <w:pPr>
        <w:rPr>
          <w:b/>
          <w:bCs/>
        </w:rPr>
      </w:pPr>
      <w:r w:rsidRPr="0038275F">
        <w:rPr>
          <w:b/>
          <w:bCs/>
        </w:rPr>
        <w:t>Changes Based on Feedback</w:t>
      </w:r>
    </w:p>
    <w:p w:rsidR="00D95245" w:rsidP="00D95245" w:rsidRDefault="004A3165" w14:paraId="021C1CAF" w14:textId="54AD09C6">
      <w:r>
        <w:t xml:space="preserve">SSA </w:t>
      </w:r>
      <w:r w:rsidRPr="00AB0455" w:rsidR="00D95245">
        <w:t xml:space="preserve">incorporated changes </w:t>
      </w:r>
      <w:r>
        <w:t xml:space="preserve">to the </w:t>
      </w:r>
      <w:r w:rsidRPr="003A2CBF">
        <w:rPr>
          <w:bCs/>
          <w:iCs/>
          <w:color w:val="000000"/>
        </w:rPr>
        <w:t xml:space="preserve">new online </w:t>
      </w:r>
      <w:r>
        <w:rPr>
          <w:bCs/>
        </w:rPr>
        <w:t xml:space="preserve">electronic protective filing </w:t>
      </w:r>
      <w:r w:rsidRPr="00E21ED0">
        <w:rPr>
          <w:bCs/>
        </w:rPr>
        <w:t>tool</w:t>
      </w:r>
      <w:r>
        <w:t xml:space="preserve"> </w:t>
      </w:r>
      <w:r w:rsidRPr="00AB0455" w:rsidR="00D95245">
        <w:t>based on user feedback</w:t>
      </w:r>
      <w:r>
        <w:t xml:space="preserve"> from the usability testing.  </w:t>
      </w:r>
      <w:r w:rsidRPr="00AB0455" w:rsidR="00D95245">
        <w:t xml:space="preserve">While we addressed the major concerns, </w:t>
      </w:r>
      <w:r w:rsidR="00AB0455">
        <w:t xml:space="preserve">we </w:t>
      </w:r>
      <w:r w:rsidRPr="00AB0455" w:rsidR="00D95245">
        <w:t>also made</w:t>
      </w:r>
      <w:r w:rsidR="00AB0455">
        <w:t xml:space="preserve"> </w:t>
      </w:r>
      <w:r>
        <w:t xml:space="preserve">several </w:t>
      </w:r>
      <w:r w:rsidR="006554F5">
        <w:t xml:space="preserve">overall </w:t>
      </w:r>
      <w:r w:rsidR="00AB0455">
        <w:t>changes</w:t>
      </w:r>
      <w:r w:rsidRPr="00AB0455" w:rsidR="00D95245">
        <w:t xml:space="preserve"> </w:t>
      </w:r>
      <w:r w:rsidR="006554F5">
        <w:t>for clarity</w:t>
      </w:r>
      <w:r>
        <w:t>:</w:t>
      </w:r>
    </w:p>
    <w:p w:rsidR="004A3165" w:rsidP="00D95245" w:rsidRDefault="004A3165" w14:paraId="0D5CE359" w14:textId="3F8A8ED2"/>
    <w:p w:rsidRPr="004A3165" w:rsidR="00C74883" w:rsidP="004A3165" w:rsidRDefault="004A3165" w14:paraId="5AC6E883" w14:textId="68FC14DF">
      <w:pPr>
        <w:pStyle w:val="ListParagraph"/>
        <w:numPr>
          <w:ilvl w:val="0"/>
          <w:numId w:val="9"/>
        </w:numPr>
      </w:pPr>
      <w:r>
        <w:t>We r</w:t>
      </w:r>
      <w:r w:rsidRPr="004A3165" w:rsidR="00C74883">
        <w:rPr>
          <w:iCs/>
        </w:rPr>
        <w:t xml:space="preserve">eplaced the </w:t>
      </w:r>
      <w:proofErr w:type="spellStart"/>
      <w:r w:rsidRPr="004A3165" w:rsidR="00C74883">
        <w:rPr>
          <w:iCs/>
        </w:rPr>
        <w:t>ToS</w:t>
      </w:r>
      <w:proofErr w:type="spellEnd"/>
      <w:r w:rsidRPr="004A3165" w:rsidR="006554F5">
        <w:rPr>
          <w:iCs/>
        </w:rPr>
        <w:t xml:space="preserve"> </w:t>
      </w:r>
      <w:r w:rsidRPr="004A3165" w:rsidR="00C74883">
        <w:rPr>
          <w:iCs/>
        </w:rPr>
        <w:t xml:space="preserve">and PA </w:t>
      </w:r>
      <w:r w:rsidRPr="004A3165" w:rsidR="00F57BEE">
        <w:rPr>
          <w:iCs/>
        </w:rPr>
        <w:t>s</w:t>
      </w:r>
      <w:r w:rsidRPr="004A3165" w:rsidR="00C74883">
        <w:rPr>
          <w:iCs/>
        </w:rPr>
        <w:t xml:space="preserve">tatement pages with links to the information on the welcome page. </w:t>
      </w:r>
      <w:r>
        <w:rPr>
          <w:iCs/>
        </w:rPr>
        <w:t xml:space="preserve"> </w:t>
      </w:r>
      <w:r w:rsidRPr="004A3165" w:rsidR="00C74883">
        <w:rPr>
          <w:iCs/>
        </w:rPr>
        <w:t xml:space="preserve">This had the twofold effect of giving the team an opportunity to improve user understanding of the tool while simultaneously finding a solution for the </w:t>
      </w:r>
      <w:r>
        <w:rPr>
          <w:iCs/>
        </w:rPr>
        <w:t xml:space="preserve">length of the </w:t>
      </w:r>
      <w:r w:rsidRPr="004A3165" w:rsidR="00C74883">
        <w:rPr>
          <w:iCs/>
        </w:rPr>
        <w:t xml:space="preserve">content on the </w:t>
      </w:r>
      <w:proofErr w:type="spellStart"/>
      <w:r w:rsidRPr="004A3165" w:rsidR="00C74883">
        <w:rPr>
          <w:iCs/>
        </w:rPr>
        <w:t>ToS</w:t>
      </w:r>
      <w:proofErr w:type="spellEnd"/>
      <w:r w:rsidRPr="004A3165" w:rsidR="00C74883">
        <w:rPr>
          <w:iCs/>
        </w:rPr>
        <w:t xml:space="preserve"> and PA </w:t>
      </w:r>
      <w:r w:rsidRPr="004A3165" w:rsidR="000B4DED">
        <w:rPr>
          <w:iCs/>
        </w:rPr>
        <w:t xml:space="preserve">statement </w:t>
      </w:r>
      <w:r w:rsidRPr="004A3165" w:rsidR="00C74883">
        <w:rPr>
          <w:iCs/>
        </w:rPr>
        <w:t>pages</w:t>
      </w:r>
      <w:r>
        <w:rPr>
          <w:iCs/>
        </w:rPr>
        <w:t>, as t</w:t>
      </w:r>
      <w:r w:rsidRPr="004A3165" w:rsidR="00C74883">
        <w:rPr>
          <w:iCs/>
        </w:rPr>
        <w:t xml:space="preserve">esting participants reported the </w:t>
      </w:r>
      <w:r w:rsidRPr="004A3165" w:rsidR="00667F6B">
        <w:rPr>
          <w:iCs/>
        </w:rPr>
        <w:t xml:space="preserve">presented </w:t>
      </w:r>
      <w:proofErr w:type="spellStart"/>
      <w:proofErr w:type="gramStart"/>
      <w:r w:rsidRPr="004A3165" w:rsidR="00C74883">
        <w:rPr>
          <w:iCs/>
        </w:rPr>
        <w:t>ToS</w:t>
      </w:r>
      <w:proofErr w:type="spellEnd"/>
      <w:proofErr w:type="gramEnd"/>
      <w:r w:rsidRPr="004A3165" w:rsidR="00C74883">
        <w:rPr>
          <w:iCs/>
        </w:rPr>
        <w:t xml:space="preserve"> and PA </w:t>
      </w:r>
      <w:r w:rsidRPr="004A3165" w:rsidR="00F57BEE">
        <w:rPr>
          <w:iCs/>
        </w:rPr>
        <w:t xml:space="preserve">statement </w:t>
      </w:r>
      <w:r w:rsidRPr="004A3165" w:rsidR="00C74883">
        <w:rPr>
          <w:iCs/>
        </w:rPr>
        <w:t xml:space="preserve">pages are </w:t>
      </w:r>
      <w:r w:rsidRPr="004A3165" w:rsidR="00667F6B">
        <w:rPr>
          <w:iCs/>
        </w:rPr>
        <w:t>too long</w:t>
      </w:r>
      <w:r w:rsidRPr="004A3165" w:rsidR="00C74883">
        <w:rPr>
          <w:iCs/>
        </w:rPr>
        <w:t>.</w:t>
      </w:r>
    </w:p>
    <w:p w:rsidRPr="004A3165" w:rsidR="004A3165" w:rsidP="004A3165" w:rsidRDefault="004A3165" w14:paraId="249E102C" w14:textId="77777777">
      <w:pPr>
        <w:pStyle w:val="ListParagraph"/>
      </w:pPr>
    </w:p>
    <w:p w:rsidRPr="004A3165" w:rsidR="004A3165" w:rsidP="004A3165" w:rsidRDefault="004A3165" w14:paraId="02E829DE" w14:textId="77777777">
      <w:pPr>
        <w:pStyle w:val="ListParagraph"/>
        <w:numPr>
          <w:ilvl w:val="0"/>
          <w:numId w:val="9"/>
        </w:numPr>
      </w:pPr>
      <w:r>
        <w:rPr>
          <w:iCs/>
        </w:rPr>
        <w:t>We c</w:t>
      </w:r>
      <w:r w:rsidRPr="004A3165" w:rsidR="00ED5FA4">
        <w:rPr>
          <w:iCs/>
        </w:rPr>
        <w:t>hanged confirmation screen language to be more straight-forward and clearly explain what the use</w:t>
      </w:r>
      <w:r w:rsidRPr="004A3165" w:rsidR="00962C6A">
        <w:rPr>
          <w:iCs/>
        </w:rPr>
        <w:t>r</w:t>
      </w:r>
      <w:r w:rsidRPr="004A3165" w:rsidR="00ED5FA4">
        <w:rPr>
          <w:iCs/>
        </w:rPr>
        <w:t xml:space="preserve"> should expect next.</w:t>
      </w:r>
    </w:p>
    <w:p w:rsidRPr="004A3165" w:rsidR="004A3165" w:rsidP="004A3165" w:rsidRDefault="004A3165" w14:paraId="1F9AD9AE" w14:textId="77777777">
      <w:pPr>
        <w:pStyle w:val="ListParagraph"/>
        <w:rPr>
          <w:iCs/>
        </w:rPr>
      </w:pPr>
    </w:p>
    <w:p w:rsidRPr="004A3165" w:rsidR="004A3165" w:rsidP="004A3165" w:rsidRDefault="004A3165" w14:paraId="42A02C2B" w14:textId="77777777">
      <w:pPr>
        <w:pStyle w:val="ListParagraph"/>
        <w:numPr>
          <w:ilvl w:val="0"/>
          <w:numId w:val="9"/>
        </w:numPr>
      </w:pPr>
      <w:r>
        <w:rPr>
          <w:iCs/>
        </w:rPr>
        <w:t>We a</w:t>
      </w:r>
      <w:r w:rsidRPr="004A3165" w:rsidR="00ED5FA4">
        <w:rPr>
          <w:iCs/>
        </w:rPr>
        <w:t xml:space="preserve">dded language (in the form of an information box) for the field collecting a </w:t>
      </w:r>
      <w:r w:rsidRPr="004A3165" w:rsidR="006554F5">
        <w:rPr>
          <w:iCs/>
        </w:rPr>
        <w:t>d</w:t>
      </w:r>
      <w:r w:rsidRPr="004A3165" w:rsidR="00ED5FA4">
        <w:rPr>
          <w:iCs/>
        </w:rPr>
        <w:t xml:space="preserve">isability </w:t>
      </w:r>
      <w:r w:rsidRPr="004A3165" w:rsidR="006554F5">
        <w:rPr>
          <w:iCs/>
        </w:rPr>
        <w:t>o</w:t>
      </w:r>
      <w:r w:rsidRPr="004A3165" w:rsidR="00ED5FA4">
        <w:rPr>
          <w:iCs/>
        </w:rPr>
        <w:t xml:space="preserve">nset </w:t>
      </w:r>
      <w:r w:rsidRPr="004A3165" w:rsidR="006554F5">
        <w:rPr>
          <w:iCs/>
        </w:rPr>
        <w:t>d</w:t>
      </w:r>
      <w:r w:rsidRPr="004A3165" w:rsidR="00ED5FA4">
        <w:rPr>
          <w:iCs/>
        </w:rPr>
        <w:t>ate acknowledging the difficulty of</w:t>
      </w:r>
      <w:r w:rsidRPr="004A3165" w:rsidR="006554F5">
        <w:rPr>
          <w:iCs/>
        </w:rPr>
        <w:t xml:space="preserve"> </w:t>
      </w:r>
      <w:r w:rsidRPr="004A3165" w:rsidR="00ED5FA4">
        <w:rPr>
          <w:iCs/>
        </w:rPr>
        <w:t>providing a precise date and giving the user allowance to input their best approximation.</w:t>
      </w:r>
    </w:p>
    <w:p w:rsidRPr="004A3165" w:rsidR="004A3165" w:rsidP="004A3165" w:rsidRDefault="004A3165" w14:paraId="15CB546D" w14:textId="77777777">
      <w:pPr>
        <w:pStyle w:val="ListParagraph"/>
        <w:rPr>
          <w:iCs/>
        </w:rPr>
      </w:pPr>
    </w:p>
    <w:p w:rsidRPr="004A3165" w:rsidR="00ED5FA4" w:rsidP="004A3165" w:rsidRDefault="004A3165" w14:paraId="45BE9771" w14:textId="79E918A9">
      <w:pPr>
        <w:pStyle w:val="ListParagraph"/>
        <w:numPr>
          <w:ilvl w:val="0"/>
          <w:numId w:val="9"/>
        </w:numPr>
      </w:pPr>
      <w:r>
        <w:rPr>
          <w:iCs/>
        </w:rPr>
        <w:lastRenderedPageBreak/>
        <w:t>We i</w:t>
      </w:r>
      <w:r w:rsidRPr="004A3165" w:rsidR="00ED5FA4">
        <w:rPr>
          <w:iCs/>
        </w:rPr>
        <w:t xml:space="preserve">ncluded the optional collection of </w:t>
      </w:r>
      <w:r w:rsidRPr="004A3165" w:rsidR="00962C6A">
        <w:rPr>
          <w:iCs/>
        </w:rPr>
        <w:t>a</w:t>
      </w:r>
      <w:r w:rsidRPr="004A3165" w:rsidR="00ED5FA4">
        <w:rPr>
          <w:iCs/>
        </w:rPr>
        <w:t xml:space="preserve"> </w:t>
      </w:r>
      <w:r w:rsidRPr="004A3165" w:rsidR="00667F6B">
        <w:rPr>
          <w:iCs/>
        </w:rPr>
        <w:t>third-party</w:t>
      </w:r>
      <w:r w:rsidRPr="004A3165" w:rsidR="00ED5FA4">
        <w:rPr>
          <w:iCs/>
        </w:rPr>
        <w:t xml:space="preserve"> email address and added functionality to send an email receipt to the user and the </w:t>
      </w:r>
      <w:r w:rsidRPr="004A3165" w:rsidR="006554F5">
        <w:rPr>
          <w:iCs/>
        </w:rPr>
        <w:t>potential claimant</w:t>
      </w:r>
      <w:r w:rsidRPr="004A3165" w:rsidR="00ED5FA4">
        <w:rPr>
          <w:iCs/>
        </w:rPr>
        <w:t xml:space="preserve"> when email addresses are provided. </w:t>
      </w:r>
    </w:p>
    <w:p w:rsidRPr="006D1EAD" w:rsidR="006D1EAD" w:rsidP="008F1608" w:rsidRDefault="006D1EAD" w14:paraId="6B8605CD" w14:textId="37DBD4AA">
      <w:pPr>
        <w:rPr>
          <w:color w:val="002060"/>
        </w:rPr>
      </w:pPr>
    </w:p>
    <w:sectPr w:rsidRPr="006D1EAD" w:rsidR="006D1EA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4CA45" w14:textId="77777777" w:rsidR="00EF6C28" w:rsidRDefault="00EF6C28" w:rsidP="00EF6C28">
      <w:r>
        <w:separator/>
      </w:r>
    </w:p>
  </w:endnote>
  <w:endnote w:type="continuationSeparator" w:id="0">
    <w:p w14:paraId="75ADFDDA" w14:textId="77777777" w:rsidR="00EF6C28" w:rsidRDefault="00EF6C28" w:rsidP="00EF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39052" w14:textId="3AE4B518" w:rsidR="00EF6C28" w:rsidRDefault="00EF6C28">
    <w:pPr>
      <w:pStyle w:val="Footer"/>
      <w:jc w:val="right"/>
    </w:pPr>
    <w:r w:rsidRPr="005B539E">
      <w:rPr>
        <w:sz w:val="22"/>
        <w:szCs w:val="22"/>
      </w:rPr>
      <w:t xml:space="preserve">Emergency PRA </w:t>
    </w:r>
    <w:r>
      <w:rPr>
        <w:sz w:val="22"/>
        <w:szCs w:val="22"/>
      </w:rPr>
      <w:t>Addendum</w:t>
    </w:r>
    <w:r w:rsidRPr="005B539E"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ePFT</w:t>
    </w:r>
    <w:proofErr w:type="spellEnd"/>
  </w:p>
  <w:sdt>
    <w:sdtPr>
      <w:id w:val="1912965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409ABE" w14:textId="55672998" w:rsidR="00EF6C28" w:rsidRDefault="00EF6C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FD6F35" w14:textId="428130F9" w:rsidR="00EF6C28" w:rsidRDefault="00EF6C28" w:rsidP="00EF6C2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E13A5" w14:textId="77777777" w:rsidR="00EF6C28" w:rsidRDefault="00EF6C28" w:rsidP="00EF6C28">
      <w:r>
        <w:separator/>
      </w:r>
    </w:p>
  </w:footnote>
  <w:footnote w:type="continuationSeparator" w:id="0">
    <w:p w14:paraId="04FDB5C0" w14:textId="77777777" w:rsidR="00EF6C28" w:rsidRDefault="00EF6C28" w:rsidP="00EF6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663E8"/>
    <w:multiLevelType w:val="hybridMultilevel"/>
    <w:tmpl w:val="D4764964"/>
    <w:lvl w:ilvl="0" w:tplc="FC96D05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FC96D052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81E7B"/>
    <w:multiLevelType w:val="hybridMultilevel"/>
    <w:tmpl w:val="33CA2ED0"/>
    <w:lvl w:ilvl="0" w:tplc="FC96D0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75003"/>
    <w:multiLevelType w:val="hybridMultilevel"/>
    <w:tmpl w:val="B10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21D4A"/>
    <w:multiLevelType w:val="hybridMultilevel"/>
    <w:tmpl w:val="225A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C0FDE"/>
    <w:multiLevelType w:val="hybridMultilevel"/>
    <w:tmpl w:val="F62EC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42E1A"/>
    <w:multiLevelType w:val="hybridMultilevel"/>
    <w:tmpl w:val="CF987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A5900"/>
    <w:multiLevelType w:val="hybridMultilevel"/>
    <w:tmpl w:val="164E2CC6"/>
    <w:lvl w:ilvl="0" w:tplc="FC96D05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A04FC6"/>
    <w:multiLevelType w:val="hybridMultilevel"/>
    <w:tmpl w:val="2B68ADC6"/>
    <w:lvl w:ilvl="0" w:tplc="FC96D0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B5ED8"/>
    <w:multiLevelType w:val="hybridMultilevel"/>
    <w:tmpl w:val="8D0A3538"/>
    <w:lvl w:ilvl="0" w:tplc="FC96D0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08"/>
    <w:rsid w:val="000B4DED"/>
    <w:rsid w:val="001115D9"/>
    <w:rsid w:val="00157BF5"/>
    <w:rsid w:val="00164E80"/>
    <w:rsid w:val="00205DA7"/>
    <w:rsid w:val="002E1E2F"/>
    <w:rsid w:val="002E6968"/>
    <w:rsid w:val="0038275F"/>
    <w:rsid w:val="003D66BE"/>
    <w:rsid w:val="003E36BF"/>
    <w:rsid w:val="0043730B"/>
    <w:rsid w:val="004A3165"/>
    <w:rsid w:val="006554F5"/>
    <w:rsid w:val="00667F6B"/>
    <w:rsid w:val="006D1EAD"/>
    <w:rsid w:val="0073137E"/>
    <w:rsid w:val="008B2A47"/>
    <w:rsid w:val="008D46D4"/>
    <w:rsid w:val="008F1608"/>
    <w:rsid w:val="0090492B"/>
    <w:rsid w:val="00962C6A"/>
    <w:rsid w:val="009F03C7"/>
    <w:rsid w:val="00A6698B"/>
    <w:rsid w:val="00AA7C7D"/>
    <w:rsid w:val="00AB0455"/>
    <w:rsid w:val="00AB0C46"/>
    <w:rsid w:val="00AC66B5"/>
    <w:rsid w:val="00AE36A2"/>
    <w:rsid w:val="00B05075"/>
    <w:rsid w:val="00C07C86"/>
    <w:rsid w:val="00C279D4"/>
    <w:rsid w:val="00C74883"/>
    <w:rsid w:val="00D754D3"/>
    <w:rsid w:val="00D95245"/>
    <w:rsid w:val="00DB29E0"/>
    <w:rsid w:val="00E1351C"/>
    <w:rsid w:val="00E27401"/>
    <w:rsid w:val="00EB3BA8"/>
    <w:rsid w:val="00EC16A2"/>
    <w:rsid w:val="00EC2568"/>
    <w:rsid w:val="00EC5390"/>
    <w:rsid w:val="00ED5FA4"/>
    <w:rsid w:val="00EF6C28"/>
    <w:rsid w:val="00F10741"/>
    <w:rsid w:val="00F24E45"/>
    <w:rsid w:val="00F57BEE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BDDEA"/>
  <w15:chartTrackingRefBased/>
  <w15:docId w15:val="{EDC5411D-56B0-4E0B-B426-15428CE3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2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4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6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6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6D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F6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C28"/>
  </w:style>
  <w:style w:type="paragraph" w:styleId="Footer">
    <w:name w:val="footer"/>
    <w:basedOn w:val="Normal"/>
    <w:link w:val="FooterChar"/>
    <w:uiPriority w:val="99"/>
    <w:unhideWhenUsed/>
    <w:rsid w:val="00EF6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Lipsky, Faye</dc:creator>
  <cp:keywords/>
  <dc:description/>
  <cp:lastModifiedBy>OLCA/ORRC Comment</cp:lastModifiedBy>
  <cp:revision>2</cp:revision>
  <dcterms:created xsi:type="dcterms:W3CDTF">2022-02-28T18:47:00Z</dcterms:created>
  <dcterms:modified xsi:type="dcterms:W3CDTF">2022-02-28T18:47:00Z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-725973403</vt:i4>
  </property>
  <property fmtid="{D5CDD505-2E9C-101B-9397-08002B2CF9AE}" pid="3" name="_NewReviewCycle">
    <vt:lpwstr/>
  </property>
  <property fmtid="{D5CDD505-2E9C-101B-9397-08002B2CF9AE}" pid="4" name="_EmailSubject">
    <vt:lpwstr>Electronic Protective Filing OMB clearance package </vt:lpwstr>
  </property>
  <property fmtid="{D5CDD505-2E9C-101B-9397-08002B2CF9AE}" pid="5" name="_AuthorEmail">
    <vt:lpwstr>Naomi.Sipple@ssa.gov</vt:lpwstr>
  </property>
  <property fmtid="{D5CDD505-2E9C-101B-9397-08002B2CF9AE}" pid="6" name="_AuthorEmailDisplayName">
    <vt:lpwstr>Sipple, Naomi</vt:lpwstr>
  </property>
  <property fmtid="{D5CDD505-2E9C-101B-9397-08002B2CF9AE}" pid="7" name="_PreviousAdHocReviewCycleID">
    <vt:i4>719857494</vt:i4>
  </property>
</Properties>
</file>