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5C20" w:rsidP="00095C20" w:rsidRDefault="00095C20" w14:paraId="4934A444" w14:textId="77777777">
      <w:pPr>
        <w:pStyle w:val="ReportCover-Title"/>
        <w:jc w:val="center"/>
        <w:rPr>
          <w:rFonts w:ascii="Arial" w:hAnsi="Arial" w:eastAsia="Arial Unicode MS" w:cs="Arial"/>
          <w:noProof/>
          <w:color w:val="auto"/>
        </w:rPr>
      </w:pPr>
      <w:r w:rsidRPr="00095C20">
        <w:rPr>
          <w:rFonts w:ascii="Arial" w:hAnsi="Arial" w:eastAsia="Arial Unicode MS" w:cs="Arial"/>
          <w:noProof/>
          <w:color w:val="auto"/>
        </w:rPr>
        <w:t xml:space="preserve">ADMINISTRATION FOR NATIVE </w:t>
      </w:r>
    </w:p>
    <w:p w:rsidRPr="00095C20" w:rsidR="00095C20" w:rsidP="00095C20" w:rsidRDefault="00095C20" w14:paraId="2E2F5F5F" w14:textId="141A1F6F">
      <w:pPr>
        <w:pStyle w:val="ReportCover-Title"/>
        <w:jc w:val="center"/>
        <w:rPr>
          <w:rFonts w:ascii="Arial" w:hAnsi="Arial" w:eastAsia="Arial Unicode MS" w:cs="Arial"/>
          <w:noProof/>
          <w:color w:val="auto"/>
        </w:rPr>
      </w:pPr>
      <w:r w:rsidRPr="00095C20">
        <w:rPr>
          <w:rFonts w:ascii="Arial" w:hAnsi="Arial" w:eastAsia="Arial Unicode MS" w:cs="Arial"/>
          <w:noProof/>
          <w:color w:val="auto"/>
        </w:rPr>
        <w:t>AMERICANS (ANA)</w:t>
      </w:r>
    </w:p>
    <w:p w:rsidRPr="00160621" w:rsidR="00160621" w:rsidP="00095C20" w:rsidRDefault="00095C20" w14:paraId="39336BB3" w14:textId="6A6A8917">
      <w:pPr>
        <w:pStyle w:val="ReportCover-Title"/>
        <w:jc w:val="center"/>
        <w:rPr>
          <w:rFonts w:ascii="Arial" w:hAnsi="Arial" w:cs="Arial"/>
          <w:color w:val="auto"/>
        </w:rPr>
      </w:pPr>
      <w:r w:rsidRPr="00095C20">
        <w:rPr>
          <w:rFonts w:ascii="Arial" w:hAnsi="Arial" w:eastAsia="Arial Unicode MS" w:cs="Arial"/>
          <w:noProof/>
          <w:color w:val="auto"/>
        </w:rPr>
        <w:t>ANNUAL DATA REPORT (ADR)</w:t>
      </w: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0B7F37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95C20">
        <w:rPr>
          <w:rFonts w:ascii="Arial" w:hAnsi="Arial" w:cs="Arial"/>
          <w:color w:val="auto"/>
          <w:sz w:val="32"/>
          <w:szCs w:val="32"/>
        </w:rPr>
        <w:t>0475</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095C20" w14:paraId="76FA23BE" w14:textId="124B7E8D">
      <w:pPr>
        <w:pStyle w:val="ReportCover-Date"/>
        <w:jc w:val="center"/>
        <w:rPr>
          <w:rFonts w:ascii="Arial" w:hAnsi="Arial" w:cs="Arial"/>
          <w:color w:val="auto"/>
        </w:rPr>
      </w:pPr>
      <w:r>
        <w:rPr>
          <w:rFonts w:ascii="Arial" w:hAnsi="Arial" w:cs="Arial"/>
          <w:color w:val="auto"/>
        </w:rPr>
        <w:t xml:space="preserve">February </w:t>
      </w:r>
      <w:r w:rsidR="00E7703B">
        <w:rPr>
          <w:rFonts w:ascii="Arial" w:hAnsi="Arial" w:cs="Arial"/>
          <w:color w:val="auto"/>
        </w:rPr>
        <w:t>202</w:t>
      </w:r>
      <w:r>
        <w:rPr>
          <w:rFonts w:ascii="Arial" w:hAnsi="Arial" w:cs="Arial"/>
          <w:color w:val="auto"/>
        </w:rPr>
        <w:t>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E7703B" w14:paraId="54195924" w14:textId="567A5E97">
      <w:pPr>
        <w:jc w:val="center"/>
        <w:rPr>
          <w:rFonts w:ascii="Arial" w:hAnsi="Arial" w:cs="Arial"/>
        </w:rPr>
      </w:pPr>
      <w:r>
        <w:rPr>
          <w:rFonts w:ascii="Arial" w:hAnsi="Arial" w:cs="Arial"/>
        </w:rPr>
        <w:t xml:space="preserve">Administration for Native Americans </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D329C6" w:rsidRDefault="00D329C6" w14:paraId="32C17F71" w14:textId="77777777">
      <w:pPr>
        <w:widowControl/>
        <w:rPr>
          <w:rFonts w:ascii="Times New Roman" w:hAnsi="Times New Roman"/>
          <w:b/>
          <w:sz w:val="24"/>
          <w:szCs w:val="24"/>
        </w:rPr>
      </w:pPr>
      <w:r>
        <w:rPr>
          <w:rFonts w:ascii="Times New Roman" w:hAnsi="Times New Roman"/>
          <w:b/>
          <w:sz w:val="24"/>
          <w:szCs w:val="24"/>
        </w:rPr>
        <w:br w:type="page"/>
      </w:r>
    </w:p>
    <w:p w:rsidRPr="00095C20" w:rsidR="00790D2C" w:rsidP="00095C20" w:rsidRDefault="002C3C4F" w14:paraId="398DDEC3" w14:textId="5982844F">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4F7B95" w:rsidR="00DE529D" w:rsidP="00EE2824" w:rsidRDefault="00095C20" w14:paraId="5548F0DE" w14:textId="673F7CCA">
      <w:pPr>
        <w:widowControl/>
        <w:ind w:left="720"/>
        <w:rPr>
          <w:rFonts w:ascii="Times New Roman" w:hAnsi="Times New Roman"/>
          <w:snapToGrid/>
          <w:sz w:val="24"/>
          <w:szCs w:val="24"/>
        </w:rPr>
      </w:pPr>
      <w:r>
        <w:rPr>
          <w:rFonts w:ascii="Times New Roman" w:hAnsi="Times New Roman"/>
          <w:sz w:val="24"/>
          <w:szCs w:val="24"/>
        </w:rPr>
        <w:t xml:space="preserve">The Annual Data Report </w:t>
      </w:r>
      <w:r w:rsidR="00C3335B">
        <w:rPr>
          <w:rFonts w:ascii="Times New Roman" w:hAnsi="Times New Roman"/>
          <w:sz w:val="24"/>
          <w:szCs w:val="24"/>
        </w:rPr>
        <w:t xml:space="preserve">(ADR) </w:t>
      </w:r>
      <w:r>
        <w:rPr>
          <w:rFonts w:ascii="Times New Roman" w:hAnsi="Times New Roman"/>
          <w:sz w:val="24"/>
          <w:szCs w:val="24"/>
        </w:rPr>
        <w:t>information collection is conducted in accordance with Sec. 811 [42 USC 2992] of the Native American Programs Act and allow</w:t>
      </w:r>
      <w:r w:rsidR="00C3335B">
        <w:rPr>
          <w:rFonts w:ascii="Times New Roman" w:hAnsi="Times New Roman"/>
          <w:sz w:val="24"/>
          <w:szCs w:val="24"/>
        </w:rPr>
        <w:t>s</w:t>
      </w:r>
      <w:r>
        <w:rPr>
          <w:rFonts w:ascii="Times New Roman" w:hAnsi="Times New Roman"/>
          <w:sz w:val="24"/>
          <w:szCs w:val="24"/>
        </w:rPr>
        <w:t xml:space="preserve"> </w:t>
      </w:r>
      <w:r w:rsidR="00C3335B">
        <w:rPr>
          <w:rFonts w:ascii="Times New Roman" w:hAnsi="Times New Roman"/>
          <w:sz w:val="24"/>
          <w:szCs w:val="24"/>
        </w:rPr>
        <w:t>the Administration for Native Americans (</w:t>
      </w:r>
      <w:r>
        <w:rPr>
          <w:rFonts w:ascii="Times New Roman" w:hAnsi="Times New Roman"/>
          <w:sz w:val="24"/>
          <w:szCs w:val="24"/>
        </w:rPr>
        <w:t>ANA</w:t>
      </w:r>
      <w:r w:rsidR="00C3335B">
        <w:rPr>
          <w:rFonts w:ascii="Times New Roman" w:hAnsi="Times New Roman"/>
          <w:sz w:val="24"/>
          <w:szCs w:val="24"/>
        </w:rPr>
        <w:t>)</w:t>
      </w:r>
      <w:r>
        <w:rPr>
          <w:rFonts w:ascii="Times New Roman" w:hAnsi="Times New Roman"/>
          <w:sz w:val="24"/>
          <w:szCs w:val="24"/>
        </w:rPr>
        <w:t xml:space="preserve"> to report quantifiable results across all program areas.  It also provides grantees with parameters for reporting their progress and helps ANA better monitor and determine the effectiveness of their projects.  </w:t>
      </w:r>
    </w:p>
    <w:p w:rsidRPr="004F7B95" w:rsidR="00C3335B" w:rsidP="00D7443D" w:rsidRDefault="00C3335B" w14:paraId="319245A7" w14:textId="77777777">
      <w:pPr>
        <w:widowControl/>
        <w:tabs>
          <w:tab w:val="num" w:pos="360"/>
        </w:tabs>
        <w:ind w:left="360"/>
        <w:rPr>
          <w:rFonts w:ascii="Times New Roman" w:hAnsi="Times New Roman"/>
          <w:snapToGrid/>
          <w:sz w:val="24"/>
          <w:szCs w:val="24"/>
        </w:rPr>
      </w:pPr>
    </w:p>
    <w:p w:rsidRPr="00095C20" w:rsidR="00790D2C" w:rsidP="00095C20" w:rsidRDefault="00790D2C" w14:paraId="4C1BFBD8" w14:textId="0C5CD325">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095C20" w:rsidP="00095C20" w:rsidRDefault="00095C20" w14:paraId="79DC12AA" w14:textId="71A875B3">
      <w:pPr>
        <w:widowControl/>
        <w:ind w:left="720"/>
        <w:rPr>
          <w:rFonts w:ascii="Times New Roman" w:hAnsi="Times New Roman"/>
          <w:snapToGrid/>
          <w:sz w:val="24"/>
          <w:szCs w:val="24"/>
        </w:rPr>
      </w:pPr>
      <w:r>
        <w:rPr>
          <w:rFonts w:ascii="Times New Roman" w:hAnsi="Times New Roman"/>
          <w:sz w:val="24"/>
          <w:szCs w:val="24"/>
        </w:rPr>
        <w:t>The ADR is submitted to ANA on an annual basis and provides grantees with a set format by which they report on their performance indicators, progress achieved, and training and technical assistance needs. This standardized format allows ANA to monitor grantee progress, identify grantees that may need training and/or technical assistance, and report quantifiable results to Congress</w:t>
      </w:r>
      <w:r w:rsidR="00372941">
        <w:rPr>
          <w:rFonts w:ascii="Times New Roman" w:hAnsi="Times New Roman"/>
          <w:sz w:val="24"/>
          <w:szCs w:val="24"/>
        </w:rPr>
        <w:t>.</w:t>
      </w:r>
    </w:p>
    <w:p w:rsidRPr="004F7B95" w:rsidR="00C3335B" w:rsidP="00095C20" w:rsidRDefault="00C3335B" w14:paraId="7B957DC4" w14:textId="77777777">
      <w:pPr>
        <w:widowControl/>
        <w:tabs>
          <w:tab w:val="num" w:pos="360"/>
        </w:tabs>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095C20" w:rsidP="00C3335B" w:rsidRDefault="00095C20" w14:paraId="0B090DD1" w14:textId="2D462D64">
      <w:pPr>
        <w:widowControl/>
        <w:ind w:left="720"/>
        <w:rPr>
          <w:rFonts w:ascii="Times New Roman" w:hAnsi="Times New Roman"/>
          <w:sz w:val="24"/>
          <w:szCs w:val="24"/>
        </w:rPr>
      </w:pPr>
      <w:r w:rsidRPr="00095C20">
        <w:rPr>
          <w:rFonts w:ascii="Times New Roman" w:hAnsi="Times New Roman"/>
          <w:sz w:val="24"/>
          <w:szCs w:val="24"/>
        </w:rPr>
        <w:t xml:space="preserve">The ADR is now built into the On-Line Data Collection (OLDC) within </w:t>
      </w:r>
      <w:proofErr w:type="spellStart"/>
      <w:r w:rsidRPr="00095C20">
        <w:rPr>
          <w:rFonts w:ascii="Times New Roman" w:hAnsi="Times New Roman"/>
          <w:sz w:val="24"/>
          <w:szCs w:val="24"/>
        </w:rPr>
        <w:t>GrantSolutions</w:t>
      </w:r>
      <w:proofErr w:type="spellEnd"/>
      <w:r w:rsidRPr="00095C20">
        <w:rPr>
          <w:rFonts w:ascii="Times New Roman" w:hAnsi="Times New Roman"/>
          <w:sz w:val="24"/>
          <w:szCs w:val="24"/>
        </w:rPr>
        <w:t xml:space="preserve">. This reduces the burden on the grantees and ANA program staff. Previously the information collection was a fillable Adobe form emailed to the grantee to be filled out and emailed back to the program office. </w:t>
      </w:r>
    </w:p>
    <w:p w:rsidRPr="004F7B95" w:rsidR="00D60543" w:rsidP="00095C20" w:rsidRDefault="00D60543" w14:paraId="61323458" w14:textId="77777777">
      <w:pPr>
        <w:widowControl/>
        <w:tabs>
          <w:tab w:val="num" w:pos="360"/>
        </w:tabs>
        <w:rPr>
          <w:rFonts w:ascii="Times New Roman" w:hAnsi="Times New Roman"/>
          <w:snapToGrid/>
          <w:sz w:val="24"/>
          <w:szCs w:val="24"/>
        </w:rPr>
      </w:pPr>
    </w:p>
    <w:p w:rsidRPr="00095C20" w:rsidR="009F5543" w:rsidP="00095C20" w:rsidRDefault="002C3C4F" w14:paraId="01CB0194" w14:textId="3E33BDB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95C20" w:rsidP="00C3335B" w:rsidRDefault="00095C20" w14:paraId="77F0B681" w14:textId="68E0BEE8">
      <w:pPr>
        <w:widowControl/>
        <w:ind w:left="720"/>
        <w:rPr>
          <w:rFonts w:ascii="Times New Roman" w:hAnsi="Times New Roman"/>
          <w:sz w:val="24"/>
          <w:szCs w:val="24"/>
        </w:rPr>
      </w:pPr>
      <w:r>
        <w:rPr>
          <w:rFonts w:ascii="Times New Roman" w:hAnsi="Times New Roman"/>
          <w:sz w:val="24"/>
          <w:szCs w:val="24"/>
        </w:rPr>
        <w:t xml:space="preserve">ANA has reviewed information collection instruments and has determined that there are no existing forms that can be used to meet ANA’s data collection needs.  </w:t>
      </w:r>
    </w:p>
    <w:p w:rsidR="00C3335B" w:rsidP="00EE2824" w:rsidRDefault="00C3335B" w14:paraId="2D68EC83" w14:textId="77777777">
      <w:pPr>
        <w:widowControl/>
        <w:ind w:left="720"/>
        <w:rPr>
          <w:rFonts w:ascii="Times New Roman" w:hAnsi="Times New Roman"/>
          <w:snapToGrid/>
          <w:sz w:val="24"/>
          <w:szCs w:val="24"/>
        </w:rPr>
      </w:pPr>
    </w:p>
    <w:p w:rsidRPr="004F7B95" w:rsidR="009F5543" w:rsidP="00095C20" w:rsidRDefault="00095C20" w14:paraId="64082C42" w14:textId="342993F4">
      <w:pPr>
        <w:widowControl/>
        <w:tabs>
          <w:tab w:val="num" w:pos="360"/>
        </w:tabs>
        <w:ind w:left="720"/>
        <w:rPr>
          <w:rFonts w:ascii="Times New Roman" w:hAnsi="Times New Roman"/>
          <w:snapToGrid/>
          <w:sz w:val="24"/>
          <w:szCs w:val="24"/>
        </w:rPr>
      </w:pPr>
      <w:r>
        <w:rPr>
          <w:rFonts w:ascii="Times New Roman" w:hAnsi="Times New Roman"/>
          <w:sz w:val="24"/>
          <w:szCs w:val="24"/>
        </w:rPr>
        <w:t>The information being requested has been held to the absolute minimum required for the intended use.</w:t>
      </w:r>
    </w:p>
    <w:p w:rsidRPr="004F7B95" w:rsidR="00C3335B" w:rsidP="00095C20" w:rsidRDefault="00C3335B" w14:paraId="6C73ED41" w14:textId="77777777">
      <w:pPr>
        <w:widowControl/>
        <w:tabs>
          <w:tab w:val="num" w:pos="360"/>
        </w:tabs>
        <w:rPr>
          <w:rFonts w:ascii="Times New Roman" w:hAnsi="Times New Roman"/>
          <w:snapToGrid/>
          <w:sz w:val="24"/>
          <w:szCs w:val="24"/>
        </w:rPr>
      </w:pPr>
    </w:p>
    <w:p w:rsidRPr="00095C20" w:rsidR="009F5543" w:rsidP="00095C20" w:rsidRDefault="002C3C4F" w14:paraId="277C911C" w14:textId="568C3E8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095C20" w:rsidP="006F49EF" w:rsidRDefault="00095C20" w14:paraId="4917FE33" w14:textId="7D64DD90">
      <w:pPr>
        <w:widowControl/>
        <w:tabs>
          <w:tab w:val="num" w:pos="360"/>
        </w:tabs>
        <w:ind w:left="720"/>
        <w:rPr>
          <w:rFonts w:ascii="Times New Roman" w:hAnsi="Times New Roman"/>
          <w:snapToGrid/>
          <w:sz w:val="24"/>
          <w:szCs w:val="24"/>
        </w:rPr>
      </w:pPr>
      <w:r>
        <w:rPr>
          <w:rFonts w:ascii="Times New Roman" w:hAnsi="Times New Roman"/>
          <w:sz w:val="24"/>
          <w:szCs w:val="24"/>
        </w:rPr>
        <w:t xml:space="preserve">The information being requested has been held to the absolute minimum required </w:t>
      </w:r>
      <w:r w:rsidR="00EE2824">
        <w:rPr>
          <w:rFonts w:ascii="Times New Roman" w:hAnsi="Times New Roman"/>
          <w:sz w:val="24"/>
          <w:szCs w:val="24"/>
        </w:rPr>
        <w:t>burden on small businesses</w:t>
      </w:r>
      <w:r>
        <w:rPr>
          <w:rFonts w:ascii="Times New Roman" w:hAnsi="Times New Roman"/>
          <w:sz w:val="24"/>
          <w:szCs w:val="24"/>
        </w:rPr>
        <w:t>.</w:t>
      </w:r>
      <w:r w:rsidR="00EE2824">
        <w:rPr>
          <w:rFonts w:ascii="Times New Roman" w:hAnsi="Times New Roman"/>
          <w:sz w:val="24"/>
          <w:szCs w:val="24"/>
        </w:rPr>
        <w:t xml:space="preserve"> Most of ANA’s grant recipients are smaller organizations and businesses. </w:t>
      </w:r>
    </w:p>
    <w:p w:rsidRPr="004F7B95" w:rsidR="00C3335B" w:rsidP="00022586" w:rsidRDefault="00C3335B" w14:paraId="05D7227B"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6F49EF" w:rsidRDefault="00095C20" w14:paraId="2A0F47DE" w14:textId="37F2BE3E">
      <w:pPr>
        <w:widowControl/>
        <w:tabs>
          <w:tab w:val="num" w:pos="360"/>
        </w:tabs>
        <w:ind w:left="720"/>
        <w:rPr>
          <w:rFonts w:ascii="Times New Roman" w:hAnsi="Times New Roman"/>
          <w:sz w:val="24"/>
          <w:szCs w:val="24"/>
        </w:rPr>
      </w:pPr>
      <w:r>
        <w:rPr>
          <w:rFonts w:ascii="Times New Roman" w:hAnsi="Times New Roman"/>
          <w:sz w:val="24"/>
          <w:szCs w:val="24"/>
        </w:rPr>
        <w:t xml:space="preserve">Failure to collect this information would violate the legislative mandate of the Native American Programs Act of 1974 as amended.  The ADR is only required to be collected on an annual basis </w:t>
      </w:r>
      <w:proofErr w:type="gramStart"/>
      <w:r>
        <w:rPr>
          <w:rFonts w:ascii="Times New Roman" w:hAnsi="Times New Roman"/>
          <w:sz w:val="24"/>
          <w:szCs w:val="24"/>
        </w:rPr>
        <w:t>in order to</w:t>
      </w:r>
      <w:proofErr w:type="gramEnd"/>
      <w:r>
        <w:rPr>
          <w:rFonts w:ascii="Times New Roman" w:hAnsi="Times New Roman"/>
          <w:sz w:val="24"/>
          <w:szCs w:val="24"/>
        </w:rPr>
        <w:t xml:space="preserve"> effectively monitor ANA project progress.  Reducing the frequency of the ADR would hamper ANA's efforts to exercise oversight responsibilities of its funded projects and would preclude ANA from offering timely training and technical assistance to grantees.</w:t>
      </w:r>
    </w:p>
    <w:p w:rsidR="00DA0F2D" w:rsidP="006F49EF" w:rsidRDefault="00DA0F2D" w14:paraId="7679238A" w14:textId="77777777">
      <w:pPr>
        <w:widowControl/>
        <w:tabs>
          <w:tab w:val="num" w:pos="360"/>
        </w:tabs>
        <w:ind w:left="720"/>
        <w:rPr>
          <w:rFonts w:ascii="Times New Roman" w:hAnsi="Times New Roman"/>
          <w:snapToGrid/>
          <w:sz w:val="24"/>
          <w:szCs w:val="24"/>
        </w:rPr>
      </w:pPr>
    </w:p>
    <w:p w:rsidRPr="00095C20" w:rsidR="009C2DE1" w:rsidP="00095C20" w:rsidRDefault="002C3C4F" w14:paraId="2936D2FA" w14:textId="0371B26A">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Special Circumstances Relating to the Guidelines of 5 CFR 1320.5 </w:t>
      </w:r>
    </w:p>
    <w:p w:rsidR="00095C20" w:rsidP="00095C20" w:rsidRDefault="006F49EF" w14:paraId="657F72F8" w14:textId="0BCD2F0C">
      <w:pPr>
        <w:widowControl/>
        <w:tabs>
          <w:tab w:val="num" w:pos="360"/>
        </w:tabs>
        <w:ind w:left="360"/>
        <w:rPr>
          <w:rFonts w:ascii="Times New Roman" w:hAnsi="Times New Roman"/>
          <w:snapToGrid/>
          <w:sz w:val="24"/>
          <w:szCs w:val="24"/>
        </w:rPr>
      </w:pPr>
      <w:r>
        <w:rPr>
          <w:rFonts w:ascii="Times New Roman" w:hAnsi="Times New Roman"/>
          <w:sz w:val="24"/>
          <w:szCs w:val="24"/>
        </w:rPr>
        <w:tab/>
      </w:r>
      <w:r w:rsidR="00095C20">
        <w:rPr>
          <w:rFonts w:ascii="Times New Roman" w:hAnsi="Times New Roman"/>
          <w:sz w:val="24"/>
          <w:szCs w:val="24"/>
        </w:rPr>
        <w:t>There are no special circumstances.</w:t>
      </w:r>
    </w:p>
    <w:p w:rsidRPr="004F7B95" w:rsidR="00C3335B" w:rsidP="00022586" w:rsidRDefault="00C3335B" w14:paraId="647BFCBE"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6F49EF" w:rsidRDefault="0084609A" w14:paraId="016A1F70" w14:textId="5E235B02">
      <w:pPr>
        <w:tabs>
          <w:tab w:val="num" w:pos="360"/>
        </w:tabs>
        <w:ind w:left="72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95C20">
        <w:rPr>
          <w:rFonts w:ascii="Times New Roman" w:hAnsi="Times New Roman"/>
          <w:sz w:val="24"/>
          <w:szCs w:val="24"/>
        </w:rPr>
        <w:t>December 13, 2021</w:t>
      </w:r>
      <w:r w:rsidRPr="004F7B95">
        <w:rPr>
          <w:rFonts w:ascii="Times New Roman" w:hAnsi="Times New Roman"/>
          <w:sz w:val="24"/>
          <w:szCs w:val="24"/>
        </w:rPr>
        <w:t xml:space="preserve">, Volume </w:t>
      </w:r>
      <w:r w:rsidR="00095C20">
        <w:rPr>
          <w:rFonts w:ascii="Times New Roman" w:hAnsi="Times New Roman"/>
          <w:sz w:val="24"/>
          <w:szCs w:val="24"/>
        </w:rPr>
        <w:t>86</w:t>
      </w:r>
      <w:r w:rsidRPr="004F7B95">
        <w:rPr>
          <w:rFonts w:ascii="Times New Roman" w:hAnsi="Times New Roman"/>
          <w:sz w:val="24"/>
          <w:szCs w:val="24"/>
        </w:rPr>
        <w:t xml:space="preserve">, Number </w:t>
      </w:r>
      <w:r w:rsidR="00095C20">
        <w:rPr>
          <w:rFonts w:ascii="Times New Roman" w:hAnsi="Times New Roman"/>
          <w:sz w:val="24"/>
          <w:szCs w:val="24"/>
        </w:rPr>
        <w:t>236</w:t>
      </w:r>
      <w:r w:rsidRPr="004F7B95">
        <w:rPr>
          <w:rFonts w:ascii="Times New Roman" w:hAnsi="Times New Roman"/>
          <w:sz w:val="24"/>
          <w:szCs w:val="24"/>
        </w:rPr>
        <w:t xml:space="preserve">, page </w:t>
      </w:r>
      <w:r w:rsidR="00095C20">
        <w:rPr>
          <w:rFonts w:ascii="Times New Roman" w:hAnsi="Times New Roman"/>
          <w:sz w:val="24"/>
          <w:szCs w:val="24"/>
        </w:rPr>
        <w:t>70845</w:t>
      </w:r>
      <w:r w:rsidRPr="004F7B95">
        <w:rPr>
          <w:rFonts w:ascii="Times New Roman" w:hAnsi="Times New Roman"/>
          <w:sz w:val="24"/>
          <w:szCs w:val="24"/>
        </w:rPr>
        <w:t>, and provided a sixty-day period for public comment.  During the notice and comment period</w:t>
      </w:r>
      <w:r w:rsidRPr="006F49EF">
        <w:rPr>
          <w:rFonts w:ascii="Times New Roman" w:hAnsi="Times New Roman"/>
          <w:sz w:val="24"/>
          <w:szCs w:val="24"/>
        </w:rPr>
        <w:t xml:space="preserve">. </w:t>
      </w:r>
      <w:r w:rsidRPr="004F7B95">
        <w:rPr>
          <w:rFonts w:ascii="Times New Roman" w:hAnsi="Times New Roman"/>
          <w:sz w:val="24"/>
          <w:szCs w:val="24"/>
        </w:rPr>
        <w:t xml:space="preserve">We did not receive comments. </w:t>
      </w:r>
    </w:p>
    <w:p w:rsidRPr="004F7B95" w:rsidR="00C3335B" w:rsidP="00022586" w:rsidRDefault="00C3335B" w14:paraId="135075F2" w14:textId="77777777">
      <w:pPr>
        <w:widowControl/>
        <w:tabs>
          <w:tab w:val="num" w:pos="360"/>
        </w:tabs>
        <w:ind w:left="360"/>
        <w:rPr>
          <w:rFonts w:ascii="Times New Roman" w:hAnsi="Times New Roman"/>
          <w:snapToGrid/>
          <w:sz w:val="24"/>
          <w:szCs w:val="24"/>
        </w:rPr>
      </w:pPr>
    </w:p>
    <w:p w:rsidRPr="006F49EF" w:rsidR="00CB1A12" w:rsidP="006F49EF" w:rsidRDefault="002C3C4F" w14:paraId="533734B7" w14:textId="246E61E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6F49EF" w14:paraId="07EE3689" w14:textId="59928A5E">
      <w:pPr>
        <w:widowControl/>
        <w:tabs>
          <w:tab w:val="num" w:pos="360"/>
        </w:tabs>
        <w:ind w:left="360"/>
        <w:rPr>
          <w:rFonts w:ascii="Times New Roman" w:hAnsi="Times New Roman"/>
          <w:snapToGrid/>
          <w:sz w:val="24"/>
          <w:szCs w:val="24"/>
        </w:rPr>
      </w:pPr>
      <w:r>
        <w:rPr>
          <w:rFonts w:ascii="Times New Roman" w:hAnsi="Times New Roman"/>
          <w:sz w:val="24"/>
          <w:szCs w:val="24"/>
        </w:rPr>
        <w:tab/>
        <w:t>No payments or gifts have been or will be provided to any respondents.</w:t>
      </w:r>
    </w:p>
    <w:p w:rsidRPr="004F7B95" w:rsidR="00C3335B" w:rsidP="006F49EF" w:rsidRDefault="00C3335B" w14:paraId="1B0B524A" w14:textId="77777777">
      <w:pPr>
        <w:widowControl/>
        <w:tabs>
          <w:tab w:val="num" w:pos="360"/>
        </w:tabs>
        <w:rPr>
          <w:rFonts w:ascii="Times New Roman" w:hAnsi="Times New Roman"/>
          <w:snapToGrid/>
          <w:sz w:val="24"/>
          <w:szCs w:val="24"/>
        </w:rPr>
      </w:pPr>
    </w:p>
    <w:p w:rsidRPr="00075889" w:rsidR="002C3C4F" w:rsidP="00EE2824"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6F49EF" w:rsidR="006F49EF" w:rsidP="00EE2824" w:rsidRDefault="006F49EF" w14:paraId="059225CA" w14:textId="3E51676E">
      <w:pPr>
        <w:widowControl/>
        <w:ind w:left="720"/>
        <w:rPr>
          <w:rFonts w:ascii="Times New Roman" w:hAnsi="Times New Roman"/>
          <w:snapToGrid/>
          <w:sz w:val="24"/>
          <w:szCs w:val="24"/>
        </w:rPr>
      </w:pPr>
      <w:r w:rsidRPr="006F49EF">
        <w:rPr>
          <w:rFonts w:ascii="Times New Roman" w:hAnsi="Times New Roman"/>
          <w:sz w:val="24"/>
          <w:szCs w:val="24"/>
        </w:rPr>
        <w:t xml:space="preserve">Information being requested in the ADR is not considered confidential.  Therefore, no additional safeguards are considered necessary beyond those that are customarily applied to routine government information.  In rare cases, grantees may insert or attach information to their ADRs, such as community meeting attendance lists that include contact information.  ANA will take reasonable precautions to keep information contained in the ADR private to the extent permitted by law.  The ADRs are </w:t>
      </w:r>
      <w:r w:rsidR="002A29B2">
        <w:rPr>
          <w:rFonts w:ascii="Times New Roman" w:hAnsi="Times New Roman"/>
          <w:sz w:val="24"/>
          <w:szCs w:val="24"/>
        </w:rPr>
        <w:t>“</w:t>
      </w:r>
      <w:r w:rsidRPr="006F49EF">
        <w:rPr>
          <w:rFonts w:ascii="Times New Roman" w:hAnsi="Times New Roman"/>
          <w:sz w:val="24"/>
          <w:szCs w:val="24"/>
        </w:rPr>
        <w:t>housed</w:t>
      </w:r>
      <w:r w:rsidR="002A29B2">
        <w:rPr>
          <w:rFonts w:ascii="Times New Roman" w:hAnsi="Times New Roman"/>
          <w:sz w:val="24"/>
          <w:szCs w:val="24"/>
        </w:rPr>
        <w:t>”</w:t>
      </w:r>
      <w:r w:rsidRPr="006F49EF">
        <w:rPr>
          <w:rFonts w:ascii="Times New Roman" w:hAnsi="Times New Roman"/>
          <w:sz w:val="24"/>
          <w:szCs w:val="24"/>
        </w:rPr>
        <w:t xml:space="preserve"> electronically on the ACF </w:t>
      </w:r>
      <w:proofErr w:type="spellStart"/>
      <w:r w:rsidRPr="006F49EF">
        <w:rPr>
          <w:rFonts w:ascii="Times New Roman" w:hAnsi="Times New Roman"/>
          <w:sz w:val="24"/>
          <w:szCs w:val="24"/>
        </w:rPr>
        <w:t>GrantSolutions</w:t>
      </w:r>
      <w:proofErr w:type="spellEnd"/>
      <w:r w:rsidRPr="006F49EF">
        <w:rPr>
          <w:rFonts w:ascii="Times New Roman" w:hAnsi="Times New Roman"/>
          <w:sz w:val="24"/>
          <w:szCs w:val="24"/>
        </w:rPr>
        <w:t xml:space="preserve"> system</w:t>
      </w:r>
      <w:r w:rsidR="00EE2824">
        <w:rPr>
          <w:rFonts w:ascii="Times New Roman" w:hAnsi="Times New Roman"/>
          <w:sz w:val="24"/>
          <w:szCs w:val="24"/>
        </w:rPr>
        <w:t>, which requires a unique login and is only accessible by federal employees or their contractor designees, and the authorized officials as designated by the grant recipient</w:t>
      </w:r>
      <w:r w:rsidRPr="006F49EF">
        <w:rPr>
          <w:rFonts w:ascii="Times New Roman" w:hAnsi="Times New Roman"/>
          <w:sz w:val="24"/>
          <w:szCs w:val="24"/>
        </w:rPr>
        <w:t>.</w:t>
      </w:r>
    </w:p>
    <w:p w:rsidRPr="004F7B95" w:rsidR="00C3335B" w:rsidP="00DE529D" w:rsidRDefault="00C3335B" w14:paraId="4144F24A" w14:textId="77777777">
      <w:pPr>
        <w:widowControl/>
        <w:tabs>
          <w:tab w:val="num" w:pos="360"/>
        </w:tabs>
        <w:ind w:left="360"/>
        <w:rPr>
          <w:rFonts w:ascii="Times New Roman" w:hAnsi="Times New Roman"/>
          <w:snapToGrid/>
          <w:sz w:val="24"/>
          <w:szCs w:val="24"/>
        </w:rPr>
      </w:pPr>
    </w:p>
    <w:p w:rsidRPr="00075889" w:rsidR="002C3C4F" w:rsidP="00EE2824"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F49EF" w:rsidP="00EE2824" w:rsidRDefault="006F49EF" w14:paraId="2B174D9D" w14:textId="77777777">
      <w:pPr>
        <w:widowControl/>
        <w:ind w:left="720"/>
        <w:rPr>
          <w:rFonts w:ascii="Times New Roman" w:hAnsi="Times New Roman"/>
          <w:snapToGrid/>
          <w:sz w:val="24"/>
          <w:szCs w:val="24"/>
        </w:rPr>
      </w:pPr>
      <w:r>
        <w:rPr>
          <w:rFonts w:ascii="Times New Roman" w:hAnsi="Times New Roman"/>
          <w:sz w:val="24"/>
          <w:szCs w:val="24"/>
        </w:rPr>
        <w:t>This is not applicable.  No information of a sensitive nature is requested in the ADR.</w:t>
      </w:r>
    </w:p>
    <w:p w:rsidR="00C3335B" w:rsidP="0051278C" w:rsidRDefault="00C3335B" w14:paraId="51615ED6" w14:textId="20556F3A">
      <w:pPr>
        <w:widowControl/>
        <w:tabs>
          <w:tab w:val="num" w:pos="360"/>
        </w:tabs>
        <w:ind w:left="720" w:hanging="360"/>
        <w:rPr>
          <w:rFonts w:ascii="Times New Roman" w:hAnsi="Times New Roman"/>
          <w:snapToGrid/>
          <w:sz w:val="24"/>
          <w:szCs w:val="24"/>
        </w:rPr>
      </w:pPr>
    </w:p>
    <w:p w:rsidR="002C3C4F" w:rsidP="00DE529D" w:rsidRDefault="002C3C4F" w14:paraId="05B17E8A" w14:textId="0EB17F4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3335B" w:rsidP="001E077D" w:rsidRDefault="00C3335B" w14:paraId="4A6B75E5" w14:textId="6A2D14D5">
      <w:pPr>
        <w:widowControl/>
        <w:spacing w:after="120"/>
        <w:ind w:left="720"/>
        <w:rPr>
          <w:rFonts w:ascii="Times New Roman" w:hAnsi="Times New Roman"/>
          <w:bCs/>
          <w:snapToGrid/>
          <w:sz w:val="24"/>
          <w:szCs w:val="24"/>
        </w:rPr>
      </w:pPr>
      <w:r w:rsidRPr="001E077D">
        <w:rPr>
          <w:rFonts w:ascii="Times New Roman" w:hAnsi="Times New Roman"/>
          <w:bCs/>
          <w:snapToGrid/>
          <w:sz w:val="24"/>
          <w:szCs w:val="24"/>
        </w:rPr>
        <w:t xml:space="preserve">Burden estimates are based on previous experience collecting this information from grantees. There are </w:t>
      </w:r>
      <w:r w:rsidR="00AA38E9">
        <w:rPr>
          <w:rFonts w:ascii="Times New Roman" w:hAnsi="Times New Roman"/>
          <w:bCs/>
          <w:snapToGrid/>
          <w:sz w:val="24"/>
          <w:szCs w:val="24"/>
        </w:rPr>
        <w:t>80</w:t>
      </w:r>
      <w:r w:rsidRPr="001E077D">
        <w:rPr>
          <w:rFonts w:ascii="Times New Roman" w:hAnsi="Times New Roman"/>
          <w:bCs/>
          <w:snapToGrid/>
          <w:sz w:val="24"/>
          <w:szCs w:val="24"/>
        </w:rPr>
        <w:t xml:space="preserve"> </w:t>
      </w:r>
      <w:r w:rsidR="00EE2824">
        <w:rPr>
          <w:rFonts w:ascii="Times New Roman" w:hAnsi="Times New Roman"/>
          <w:bCs/>
          <w:snapToGrid/>
          <w:sz w:val="24"/>
          <w:szCs w:val="24"/>
        </w:rPr>
        <w:t xml:space="preserve">ANA funded grant </w:t>
      </w:r>
      <w:r>
        <w:rPr>
          <w:rFonts w:ascii="Times New Roman" w:hAnsi="Times New Roman"/>
          <w:bCs/>
          <w:snapToGrid/>
          <w:sz w:val="24"/>
          <w:szCs w:val="24"/>
        </w:rPr>
        <w:t xml:space="preserve">recipients who </w:t>
      </w:r>
      <w:r w:rsidR="00AA38E9">
        <w:rPr>
          <w:rFonts w:ascii="Times New Roman" w:hAnsi="Times New Roman"/>
          <w:bCs/>
          <w:snapToGrid/>
          <w:sz w:val="24"/>
          <w:szCs w:val="24"/>
        </w:rPr>
        <w:t>are required</w:t>
      </w:r>
      <w:r>
        <w:rPr>
          <w:rFonts w:ascii="Times New Roman" w:hAnsi="Times New Roman"/>
          <w:bCs/>
          <w:snapToGrid/>
          <w:sz w:val="24"/>
          <w:szCs w:val="24"/>
        </w:rPr>
        <w:t xml:space="preserve"> complete the ADR. It takes each grantee about one hour each year to complete the ADR.</w:t>
      </w:r>
      <w:r w:rsidR="00A401CF">
        <w:rPr>
          <w:rFonts w:ascii="Times New Roman" w:hAnsi="Times New Roman"/>
          <w:bCs/>
          <w:snapToGrid/>
          <w:sz w:val="24"/>
          <w:szCs w:val="24"/>
        </w:rPr>
        <w:t xml:space="preserve"> This is a reduction from the previous number of respondents as ANA is phasing out this information collection and there are only 80 respondents remaining to complete the ADR. </w:t>
      </w:r>
    </w:p>
    <w:tbl>
      <w:tblPr>
        <w:tblW w:w="8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14"/>
        <w:gridCol w:w="1532"/>
        <w:gridCol w:w="1608"/>
        <w:gridCol w:w="1410"/>
        <w:gridCol w:w="934"/>
        <w:gridCol w:w="1083"/>
        <w:gridCol w:w="934"/>
      </w:tblGrid>
      <w:tr w:rsidRPr="004F7B95" w:rsidR="00AA38E9" w:rsidTr="00AA38E9" w14:paraId="230FE56D" w14:textId="77777777">
        <w:trPr>
          <w:jc w:val="center"/>
        </w:trPr>
        <w:tc>
          <w:tcPr>
            <w:tcW w:w="1414" w:type="dxa"/>
            <w:shd w:val="clear" w:color="auto" w:fill="BFBFBF"/>
            <w:vAlign w:val="center"/>
          </w:tcPr>
          <w:p w:rsidRPr="00405C10" w:rsidR="00AA38E9" w:rsidP="004110F5" w:rsidRDefault="00AA38E9"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2" w:type="dxa"/>
            <w:shd w:val="clear" w:color="auto" w:fill="BFBFBF"/>
            <w:vAlign w:val="center"/>
          </w:tcPr>
          <w:p w:rsidRPr="00405C10" w:rsidR="00AA38E9" w:rsidP="004F7B95" w:rsidRDefault="00AA38E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Pr="00405C10" w:rsidR="00AA38E9" w:rsidP="004F7B95" w:rsidRDefault="00AA38E9" w14:paraId="5053A5D0" w14:textId="17869D28">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410" w:type="dxa"/>
            <w:shd w:val="clear" w:color="auto" w:fill="BFBFBF"/>
            <w:vAlign w:val="center"/>
          </w:tcPr>
          <w:p w:rsidRPr="00405C10" w:rsidR="00AA38E9" w:rsidP="004F7B95" w:rsidRDefault="00AA38E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4" w:type="dxa"/>
            <w:shd w:val="clear" w:color="auto" w:fill="BFBFBF"/>
            <w:vAlign w:val="center"/>
          </w:tcPr>
          <w:p w:rsidRPr="00405C10" w:rsidR="00AA38E9" w:rsidP="004F7B95" w:rsidRDefault="00AA38E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AA38E9" w:rsidP="004F7B95" w:rsidRDefault="00AA38E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34" w:type="dxa"/>
            <w:shd w:val="clear" w:color="auto" w:fill="BFBFBF"/>
            <w:vAlign w:val="center"/>
          </w:tcPr>
          <w:p w:rsidRPr="00405C10" w:rsidR="00AA38E9" w:rsidP="004F7B95" w:rsidRDefault="00AA38E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AA38E9" w:rsidTr="00AA38E9" w14:paraId="5140B154" w14:textId="77777777">
        <w:trPr>
          <w:trHeight w:val="432"/>
          <w:jc w:val="center"/>
        </w:trPr>
        <w:tc>
          <w:tcPr>
            <w:tcW w:w="1414" w:type="dxa"/>
            <w:vAlign w:val="center"/>
          </w:tcPr>
          <w:p w:rsidRPr="00405C10" w:rsidR="00AA38E9" w:rsidP="006F49EF" w:rsidRDefault="00AA38E9" w14:paraId="33E13E32" w14:textId="53C79B5F">
            <w:pPr>
              <w:tabs>
                <w:tab w:val="center" w:pos="4320"/>
                <w:tab w:val="right" w:pos="8640"/>
              </w:tabs>
              <w:jc w:val="center"/>
              <w:rPr>
                <w:rFonts w:ascii="Times New Roman" w:hAnsi="Times New Roman"/>
                <w:szCs w:val="24"/>
              </w:rPr>
            </w:pPr>
            <w:r>
              <w:rPr>
                <w:rFonts w:ascii="Times New Roman" w:hAnsi="Times New Roman"/>
                <w:szCs w:val="24"/>
              </w:rPr>
              <w:t>ADR</w:t>
            </w:r>
          </w:p>
        </w:tc>
        <w:tc>
          <w:tcPr>
            <w:tcW w:w="1532" w:type="dxa"/>
            <w:vAlign w:val="center"/>
          </w:tcPr>
          <w:p w:rsidRPr="00405C10" w:rsidR="00AA38E9" w:rsidP="006F49EF" w:rsidRDefault="00AA38E9" w14:paraId="631BD576" w14:textId="3D274FB5">
            <w:pPr>
              <w:tabs>
                <w:tab w:val="center" w:pos="4320"/>
                <w:tab w:val="right" w:pos="8640"/>
              </w:tabs>
              <w:jc w:val="center"/>
              <w:rPr>
                <w:rFonts w:ascii="Times New Roman" w:hAnsi="Times New Roman"/>
                <w:szCs w:val="24"/>
                <w:highlight w:val="yellow"/>
              </w:rPr>
            </w:pPr>
            <w:r>
              <w:rPr>
                <w:rFonts w:ascii="Times New Roman" w:hAnsi="Times New Roman"/>
                <w:szCs w:val="24"/>
              </w:rPr>
              <w:t>80</w:t>
            </w:r>
          </w:p>
        </w:tc>
        <w:tc>
          <w:tcPr>
            <w:tcW w:w="1608" w:type="dxa"/>
            <w:vAlign w:val="center"/>
          </w:tcPr>
          <w:p w:rsidRPr="00405C10" w:rsidR="00AA38E9" w:rsidP="006F49EF" w:rsidRDefault="00AA38E9" w14:paraId="3DD8ECC7" w14:textId="391C3CB8">
            <w:pPr>
              <w:tabs>
                <w:tab w:val="center" w:pos="4320"/>
                <w:tab w:val="right" w:pos="8640"/>
              </w:tabs>
              <w:jc w:val="center"/>
              <w:rPr>
                <w:rFonts w:ascii="Times New Roman" w:hAnsi="Times New Roman"/>
                <w:szCs w:val="24"/>
              </w:rPr>
            </w:pPr>
            <w:r>
              <w:rPr>
                <w:rFonts w:ascii="Times New Roman" w:hAnsi="Times New Roman"/>
                <w:szCs w:val="24"/>
              </w:rPr>
              <w:t>1</w:t>
            </w:r>
          </w:p>
        </w:tc>
        <w:tc>
          <w:tcPr>
            <w:tcW w:w="1410" w:type="dxa"/>
            <w:vAlign w:val="center"/>
          </w:tcPr>
          <w:p w:rsidRPr="00405C10" w:rsidR="00AA38E9" w:rsidP="006F49EF" w:rsidRDefault="00AA38E9" w14:paraId="46007120" w14:textId="0B523038">
            <w:pPr>
              <w:tabs>
                <w:tab w:val="center" w:pos="4320"/>
                <w:tab w:val="right" w:pos="8640"/>
              </w:tabs>
              <w:jc w:val="center"/>
              <w:rPr>
                <w:rFonts w:ascii="Times New Roman" w:hAnsi="Times New Roman"/>
                <w:szCs w:val="24"/>
              </w:rPr>
            </w:pPr>
            <w:r>
              <w:rPr>
                <w:rFonts w:ascii="Times New Roman" w:hAnsi="Times New Roman"/>
                <w:szCs w:val="24"/>
              </w:rPr>
              <w:t>1</w:t>
            </w:r>
          </w:p>
        </w:tc>
        <w:tc>
          <w:tcPr>
            <w:tcW w:w="934" w:type="dxa"/>
            <w:vAlign w:val="center"/>
          </w:tcPr>
          <w:p w:rsidRPr="00405C10" w:rsidR="00AA38E9" w:rsidP="006F49EF" w:rsidRDefault="00AA38E9" w14:paraId="25670C73" w14:textId="3E3F9B91">
            <w:pPr>
              <w:tabs>
                <w:tab w:val="center" w:pos="4320"/>
                <w:tab w:val="right" w:pos="8640"/>
              </w:tabs>
              <w:jc w:val="center"/>
              <w:rPr>
                <w:rFonts w:ascii="Times New Roman" w:hAnsi="Times New Roman"/>
                <w:szCs w:val="24"/>
              </w:rPr>
            </w:pPr>
            <w:r>
              <w:rPr>
                <w:rFonts w:ascii="Times New Roman" w:hAnsi="Times New Roman"/>
                <w:szCs w:val="24"/>
              </w:rPr>
              <w:t>80</w:t>
            </w:r>
          </w:p>
        </w:tc>
        <w:tc>
          <w:tcPr>
            <w:tcW w:w="1083" w:type="dxa"/>
            <w:vAlign w:val="center"/>
          </w:tcPr>
          <w:p w:rsidRPr="00405C10" w:rsidR="00AA38E9" w:rsidP="006F49EF" w:rsidRDefault="00AA38E9" w14:paraId="7D556C98" w14:textId="2DE1D626">
            <w:pPr>
              <w:tabs>
                <w:tab w:val="center" w:pos="4320"/>
                <w:tab w:val="right" w:pos="8640"/>
              </w:tabs>
              <w:jc w:val="center"/>
              <w:rPr>
                <w:rFonts w:ascii="Times New Roman" w:hAnsi="Times New Roman"/>
                <w:szCs w:val="24"/>
              </w:rPr>
            </w:pPr>
            <w:r>
              <w:rPr>
                <w:rFonts w:ascii="Times New Roman" w:hAnsi="Times New Roman"/>
                <w:szCs w:val="24"/>
              </w:rPr>
              <w:t>$36.76</w:t>
            </w:r>
          </w:p>
        </w:tc>
        <w:tc>
          <w:tcPr>
            <w:tcW w:w="934" w:type="dxa"/>
            <w:vAlign w:val="center"/>
          </w:tcPr>
          <w:p w:rsidRPr="00405C10" w:rsidR="00AA38E9" w:rsidP="006F49EF" w:rsidRDefault="00AA38E9" w14:paraId="5133F4BC" w14:textId="0EA1612F">
            <w:pPr>
              <w:tabs>
                <w:tab w:val="center" w:pos="4320"/>
                <w:tab w:val="right" w:pos="8640"/>
              </w:tabs>
              <w:jc w:val="center"/>
              <w:rPr>
                <w:rFonts w:ascii="Times New Roman" w:hAnsi="Times New Roman"/>
                <w:szCs w:val="24"/>
              </w:rPr>
            </w:pPr>
            <w:r>
              <w:rPr>
                <w:rFonts w:ascii="Times New Roman" w:hAnsi="Times New Roman"/>
                <w:szCs w:val="24"/>
              </w:rPr>
              <w:t>$2,941</w:t>
            </w:r>
          </w:p>
        </w:tc>
      </w:tr>
    </w:tbl>
    <w:p w:rsidR="00D329C6" w:rsidP="00D329C6" w:rsidRDefault="008F7221" w14:paraId="162D4C5A" w14:textId="234724F1">
      <w:pPr>
        <w:widowControl/>
        <w:ind w:left="360"/>
        <w:rPr>
          <w:rFonts w:ascii="Times New Roman" w:hAnsi="Times New Roman"/>
          <w:snapToGrid/>
          <w:sz w:val="24"/>
          <w:szCs w:val="24"/>
        </w:rPr>
      </w:pPr>
      <w:r w:rsidRPr="00EC26A5">
        <w:rPr>
          <w:rFonts w:ascii="Times New Roman" w:hAnsi="Times New Roman"/>
          <w:sz w:val="24"/>
          <w:szCs w:val="24"/>
        </w:rPr>
        <w:lastRenderedPageBreak/>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D329C6">
        <w:rPr>
          <w:rFonts w:ascii="Times New Roman" w:hAnsi="Times New Roman"/>
          <w:snapToGrid/>
          <w:sz w:val="24"/>
          <w:szCs w:val="24"/>
        </w:rPr>
        <w:t>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$1</w:t>
      </w:r>
      <w:r w:rsidR="00D329C6">
        <w:rPr>
          <w:rFonts w:ascii="Times New Roman" w:hAnsi="Times New Roman"/>
          <w:snapToGrid/>
          <w:sz w:val="24"/>
          <w:szCs w:val="24"/>
        </w:rPr>
        <w:t>8.38</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D329C6">
        <w:rPr>
          <w:rFonts w:ascii="Times New Roman" w:hAnsi="Times New Roman"/>
          <w:snapToGrid/>
          <w:sz w:val="24"/>
          <w:szCs w:val="24"/>
        </w:rPr>
        <w:t>36.76</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hyperlink w:history="1" r:id="rId11">
        <w:r w:rsidR="00D329C6">
          <w:rPr>
            <w:rStyle w:val="Hyperlink"/>
            <w:rFonts w:ascii="Times New Roman" w:hAnsi="Times New Roman"/>
            <w:sz w:val="24"/>
            <w:szCs w:val="24"/>
          </w:rPr>
          <w:t>https://www.bls.gov/oes/current/oes211093.htm</w:t>
        </w:r>
      </w:hyperlink>
    </w:p>
    <w:p w:rsidRPr="004F7B95" w:rsidR="001E077D" w:rsidP="00DE529D" w:rsidRDefault="001E077D" w14:paraId="20841D4A"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329C6" w:rsidRDefault="00D329C6" w14:paraId="2FEAF873" w14:textId="18EC3D4A">
      <w:pPr>
        <w:widowControl/>
        <w:ind w:left="360" w:firstLine="360"/>
        <w:rPr>
          <w:rFonts w:ascii="Times New Roman" w:hAnsi="Times New Roman"/>
          <w:snapToGrid/>
          <w:sz w:val="24"/>
          <w:szCs w:val="24"/>
        </w:rPr>
      </w:pPr>
      <w:r>
        <w:rPr>
          <w:rFonts w:ascii="Times New Roman" w:hAnsi="Times New Roman"/>
          <w:sz w:val="24"/>
          <w:szCs w:val="24"/>
        </w:rPr>
        <w:t>There are no additional costs to respondents or record keepers.</w:t>
      </w:r>
    </w:p>
    <w:p w:rsidR="001E077D" w:rsidP="00DE529D" w:rsidRDefault="001E077D" w14:paraId="736C1961" w14:textId="77777777">
      <w:pPr>
        <w:widowControl/>
        <w:ind w:left="360"/>
        <w:rPr>
          <w:rFonts w:ascii="Times New Roman" w:hAnsi="Times New Roman"/>
          <w:snapToGrid/>
          <w:sz w:val="24"/>
          <w:szCs w:val="24"/>
        </w:rPr>
      </w:pPr>
    </w:p>
    <w:p w:rsidRPr="00D329C6" w:rsidR="007935D5" w:rsidP="00D329C6" w:rsidRDefault="004602FE" w14:paraId="6B09616D" w14:textId="4F03F51A">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D329C6" w:rsidP="00D329C6" w:rsidRDefault="00D329C6" w14:paraId="1E58F3DB" w14:textId="77777777">
      <w:pPr>
        <w:widowControl/>
        <w:ind w:left="720"/>
        <w:rPr>
          <w:rFonts w:ascii="Times New Roman" w:hAnsi="Times New Roman"/>
          <w:snapToGrid/>
          <w:sz w:val="24"/>
          <w:szCs w:val="24"/>
        </w:rPr>
      </w:pPr>
      <w:r>
        <w:rPr>
          <w:rFonts w:ascii="Times New Roman" w:hAnsi="Times New Roman"/>
          <w:sz w:val="24"/>
          <w:szCs w:val="24"/>
        </w:rPr>
        <w:t>The annual cost burden to the federal government is approximately $13,400 to collect and analyze data.</w:t>
      </w:r>
    </w:p>
    <w:p w:rsidRPr="004F7B95" w:rsidR="001E077D" w:rsidP="00DE529D" w:rsidRDefault="001E077D" w14:paraId="1FB227D6" w14:textId="77777777">
      <w:pPr>
        <w:widowControl/>
        <w:ind w:left="360"/>
        <w:rPr>
          <w:rFonts w:ascii="Times New Roman" w:hAnsi="Times New Roman"/>
          <w:snapToGrid/>
          <w:sz w:val="24"/>
          <w:szCs w:val="24"/>
        </w:rPr>
      </w:pPr>
    </w:p>
    <w:p w:rsidRPr="00D329C6" w:rsidR="00D329C6" w:rsidP="00D329C6" w:rsidRDefault="002C3C4F" w14:paraId="215B3D3F" w14:textId="06207525">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A401CF" w:rsidRDefault="00D329C6" w14:paraId="10D6D58F" w14:textId="0B8255D4">
      <w:pPr>
        <w:widowControl/>
        <w:ind w:left="720"/>
        <w:rPr>
          <w:rFonts w:ascii="Times New Roman" w:hAnsi="Times New Roman"/>
          <w:snapToGrid/>
          <w:sz w:val="24"/>
          <w:szCs w:val="24"/>
        </w:rPr>
      </w:pPr>
      <w:r w:rsidRPr="00D329C6">
        <w:rPr>
          <w:rFonts w:ascii="Times New Roman" w:hAnsi="Times New Roman"/>
          <w:snapToGrid/>
          <w:sz w:val="24"/>
          <w:szCs w:val="24"/>
        </w:rPr>
        <w:t>There are no changes to the information collection since the last OMB approval.</w:t>
      </w:r>
      <w:r w:rsidR="00A401CF">
        <w:rPr>
          <w:rFonts w:ascii="Times New Roman" w:hAnsi="Times New Roman"/>
          <w:snapToGrid/>
          <w:sz w:val="24"/>
          <w:szCs w:val="24"/>
        </w:rPr>
        <w:t xml:space="preserve"> </w:t>
      </w:r>
      <w:r w:rsidRPr="001E077D" w:rsidR="00A401CF">
        <w:rPr>
          <w:rFonts w:ascii="Times New Roman" w:hAnsi="Times New Roman"/>
          <w:bCs/>
          <w:snapToGrid/>
          <w:sz w:val="24"/>
          <w:szCs w:val="24"/>
        </w:rPr>
        <w:t xml:space="preserve">There </w:t>
      </w:r>
      <w:r w:rsidR="00A401CF">
        <w:rPr>
          <w:rFonts w:ascii="Times New Roman" w:hAnsi="Times New Roman"/>
          <w:bCs/>
          <w:snapToGrid/>
          <w:sz w:val="24"/>
          <w:szCs w:val="24"/>
        </w:rPr>
        <w:t>is a reduction of respondents to 80</w:t>
      </w:r>
      <w:r w:rsidRPr="001E077D" w:rsidR="00A401CF">
        <w:rPr>
          <w:rFonts w:ascii="Times New Roman" w:hAnsi="Times New Roman"/>
          <w:bCs/>
          <w:snapToGrid/>
          <w:sz w:val="24"/>
          <w:szCs w:val="24"/>
        </w:rPr>
        <w:t xml:space="preserve"> </w:t>
      </w:r>
      <w:r w:rsidR="00A401CF">
        <w:rPr>
          <w:rFonts w:ascii="Times New Roman" w:hAnsi="Times New Roman"/>
          <w:bCs/>
          <w:snapToGrid/>
          <w:sz w:val="24"/>
          <w:szCs w:val="24"/>
        </w:rPr>
        <w:t>ANA funded grant recipients who are required complete the ADR as ANA is phasing out this information collection and there are only 80 respondents remaining who are required to complete the ADR.</w:t>
      </w:r>
    </w:p>
    <w:p w:rsidRPr="004F7B95" w:rsidR="001E077D" w:rsidP="004F7B95" w:rsidRDefault="001E077D" w14:paraId="226D8414"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329C6" w:rsidRDefault="00D329C6" w14:paraId="1B626A1E" w14:textId="50257D7C">
      <w:pPr>
        <w:widowControl/>
        <w:spacing w:before="100" w:beforeAutospacing="1" w:after="100" w:afterAutospacing="1"/>
        <w:ind w:left="720"/>
        <w:rPr>
          <w:rFonts w:ascii="Times New Roman" w:hAnsi="Times New Roman"/>
          <w:snapToGrid/>
          <w:sz w:val="24"/>
          <w:szCs w:val="24"/>
        </w:rPr>
      </w:pPr>
      <w:r w:rsidRPr="00D329C6">
        <w:rPr>
          <w:rFonts w:ascii="Times New Roman" w:hAnsi="Times New Roman"/>
          <w:sz w:val="24"/>
          <w:szCs w:val="24"/>
        </w:rPr>
        <w:t>ADRs will be tabulated and the aggregate data shared with Congress and other stakeholders on an annual basis.</w:t>
      </w:r>
    </w:p>
    <w:p w:rsidRPr="004F7B95" w:rsidR="001E077D" w:rsidP="00DE529D" w:rsidRDefault="001E077D" w14:paraId="24E45FBD" w14:textId="77777777">
      <w:pPr>
        <w:widowControl/>
        <w:ind w:left="360"/>
        <w:rPr>
          <w:rFonts w:ascii="Times New Roman" w:hAnsi="Times New Roman"/>
          <w:snapToGrid/>
          <w:sz w:val="24"/>
          <w:szCs w:val="24"/>
        </w:rPr>
      </w:pPr>
    </w:p>
    <w:p w:rsidRPr="00D329C6" w:rsidR="00D60543" w:rsidP="00D329C6" w:rsidRDefault="002C3C4F" w14:paraId="71DC6EEE" w14:textId="02D87049">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329C6" w:rsidRDefault="00D329C6" w14:paraId="30989008" w14:textId="23F72A5A">
      <w:pPr>
        <w:widowControl/>
        <w:ind w:left="360" w:firstLine="360"/>
        <w:rPr>
          <w:rFonts w:ascii="Times New Roman" w:hAnsi="Times New Roman"/>
          <w:snapToGrid/>
          <w:sz w:val="24"/>
          <w:szCs w:val="24"/>
        </w:rPr>
      </w:pPr>
      <w:r>
        <w:rPr>
          <w:rFonts w:ascii="Times New Roman" w:hAnsi="Times New Roman"/>
          <w:sz w:val="24"/>
          <w:szCs w:val="24"/>
        </w:rPr>
        <w:t>This is not applicable.</w:t>
      </w:r>
    </w:p>
    <w:p w:rsidRPr="004F7B95" w:rsidR="00D60543" w:rsidP="00DE529D" w:rsidRDefault="00D329C6" w14:paraId="3C11407F" w14:textId="44584F5A">
      <w:pPr>
        <w:widowControl/>
        <w:ind w:left="360" w:hanging="90"/>
        <w:rPr>
          <w:rFonts w:ascii="Times New Roman" w:hAnsi="Times New Roman"/>
          <w:snapToGrid/>
          <w:sz w:val="24"/>
          <w:szCs w:val="24"/>
        </w:rPr>
      </w:pPr>
      <w:r>
        <w:rPr>
          <w:rFonts w:ascii="Times New Roman" w:hAnsi="Times New Roman"/>
          <w:snapToGrid/>
          <w:sz w:val="24"/>
          <w:szCs w:val="24"/>
        </w:rPr>
        <w:tab/>
      </w:r>
    </w:p>
    <w:p w:rsidRPr="00D329C6" w:rsidR="007935D5" w:rsidP="00D329C6" w:rsidRDefault="002C3C4F" w14:paraId="53A56BC6" w14:textId="1DF9E361">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D329C6" w:rsidP="00D329C6" w:rsidRDefault="00D329C6" w14:paraId="13AA234F" w14:textId="77777777">
      <w:pPr>
        <w:widowControl/>
        <w:ind w:left="360" w:firstLine="360"/>
        <w:rPr>
          <w:rFonts w:ascii="Times New Roman" w:hAnsi="Times New Roman"/>
          <w:snapToGrid/>
          <w:sz w:val="24"/>
          <w:szCs w:val="24"/>
        </w:rPr>
      </w:pPr>
      <w:r>
        <w:rPr>
          <w:rFonts w:ascii="Times New Roman" w:hAnsi="Times New Roman"/>
          <w:sz w:val="24"/>
          <w:szCs w:val="24"/>
        </w:rPr>
        <w:t>This is not applicable.</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sectPr w:rsidRPr="004F7B95" w:rsidR="007935D5"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95C20"/>
    <w:rsid w:val="000F069F"/>
    <w:rsid w:val="00102200"/>
    <w:rsid w:val="001337B5"/>
    <w:rsid w:val="0014145B"/>
    <w:rsid w:val="00160621"/>
    <w:rsid w:val="00186385"/>
    <w:rsid w:val="001C483C"/>
    <w:rsid w:val="001C7FFE"/>
    <w:rsid w:val="001D1651"/>
    <w:rsid w:val="001E077D"/>
    <w:rsid w:val="00217987"/>
    <w:rsid w:val="00222C7F"/>
    <w:rsid w:val="00226C42"/>
    <w:rsid w:val="00234235"/>
    <w:rsid w:val="002464EB"/>
    <w:rsid w:val="002509BD"/>
    <w:rsid w:val="00290A1C"/>
    <w:rsid w:val="0029589B"/>
    <w:rsid w:val="00296738"/>
    <w:rsid w:val="002A29B2"/>
    <w:rsid w:val="002C3C4F"/>
    <w:rsid w:val="002E10D1"/>
    <w:rsid w:val="002F6622"/>
    <w:rsid w:val="003405A4"/>
    <w:rsid w:val="00354319"/>
    <w:rsid w:val="00372941"/>
    <w:rsid w:val="0038209B"/>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D1643"/>
    <w:rsid w:val="006E6629"/>
    <w:rsid w:val="006F49EF"/>
    <w:rsid w:val="006F589F"/>
    <w:rsid w:val="006F68BE"/>
    <w:rsid w:val="00707AFB"/>
    <w:rsid w:val="00762C40"/>
    <w:rsid w:val="00786793"/>
    <w:rsid w:val="00790D2C"/>
    <w:rsid w:val="007935D5"/>
    <w:rsid w:val="007A0FBE"/>
    <w:rsid w:val="007E48CC"/>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401CF"/>
    <w:rsid w:val="00A61AC0"/>
    <w:rsid w:val="00A77AC0"/>
    <w:rsid w:val="00A918E4"/>
    <w:rsid w:val="00AA38E9"/>
    <w:rsid w:val="00AA7B9B"/>
    <w:rsid w:val="00AD5ED7"/>
    <w:rsid w:val="00AF399C"/>
    <w:rsid w:val="00AF4347"/>
    <w:rsid w:val="00AF5FE7"/>
    <w:rsid w:val="00B14349"/>
    <w:rsid w:val="00B27347"/>
    <w:rsid w:val="00B84243"/>
    <w:rsid w:val="00BD378C"/>
    <w:rsid w:val="00C02282"/>
    <w:rsid w:val="00C13BA6"/>
    <w:rsid w:val="00C22D3C"/>
    <w:rsid w:val="00C3335B"/>
    <w:rsid w:val="00CB1A12"/>
    <w:rsid w:val="00CE53AB"/>
    <w:rsid w:val="00CE6182"/>
    <w:rsid w:val="00D02EF1"/>
    <w:rsid w:val="00D176EB"/>
    <w:rsid w:val="00D203FE"/>
    <w:rsid w:val="00D329C6"/>
    <w:rsid w:val="00D344B2"/>
    <w:rsid w:val="00D60543"/>
    <w:rsid w:val="00D67D80"/>
    <w:rsid w:val="00D7443D"/>
    <w:rsid w:val="00D806D3"/>
    <w:rsid w:val="00D9648C"/>
    <w:rsid w:val="00D9720E"/>
    <w:rsid w:val="00DA0F2D"/>
    <w:rsid w:val="00DB2443"/>
    <w:rsid w:val="00DC1C23"/>
    <w:rsid w:val="00DE529D"/>
    <w:rsid w:val="00DF07F1"/>
    <w:rsid w:val="00E01B4E"/>
    <w:rsid w:val="00E368FB"/>
    <w:rsid w:val="00E4383A"/>
    <w:rsid w:val="00E7703B"/>
    <w:rsid w:val="00EC26A5"/>
    <w:rsid w:val="00EC698B"/>
    <w:rsid w:val="00ED782E"/>
    <w:rsid w:val="00EE2824"/>
    <w:rsid w:val="00F02021"/>
    <w:rsid w:val="00F10B17"/>
    <w:rsid w:val="00F210CA"/>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4944">
      <w:bodyDiv w:val="1"/>
      <w:marLeft w:val="0"/>
      <w:marRight w:val="0"/>
      <w:marTop w:val="0"/>
      <w:marBottom w:val="0"/>
      <w:divBdr>
        <w:top w:val="none" w:sz="0" w:space="0" w:color="auto"/>
        <w:left w:val="none" w:sz="0" w:space="0" w:color="auto"/>
        <w:bottom w:val="none" w:sz="0" w:space="0" w:color="auto"/>
        <w:right w:val="none" w:sz="0" w:space="0" w:color="auto"/>
      </w:divBdr>
    </w:div>
    <w:div w:id="174197904">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297302988">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19247281">
      <w:bodyDiv w:val="1"/>
      <w:marLeft w:val="0"/>
      <w:marRight w:val="0"/>
      <w:marTop w:val="0"/>
      <w:marBottom w:val="0"/>
      <w:divBdr>
        <w:top w:val="none" w:sz="0" w:space="0" w:color="auto"/>
        <w:left w:val="none" w:sz="0" w:space="0" w:color="auto"/>
        <w:bottom w:val="none" w:sz="0" w:space="0" w:color="auto"/>
        <w:right w:val="none" w:sz="0" w:space="0" w:color="auto"/>
      </w:divBdr>
    </w:div>
    <w:div w:id="73127123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55402482">
      <w:bodyDiv w:val="1"/>
      <w:marLeft w:val="0"/>
      <w:marRight w:val="0"/>
      <w:marTop w:val="0"/>
      <w:marBottom w:val="0"/>
      <w:divBdr>
        <w:top w:val="none" w:sz="0" w:space="0" w:color="auto"/>
        <w:left w:val="none" w:sz="0" w:space="0" w:color="auto"/>
        <w:bottom w:val="none" w:sz="0" w:space="0" w:color="auto"/>
        <w:right w:val="none" w:sz="0" w:space="0" w:color="auto"/>
      </w:divBdr>
    </w:div>
    <w:div w:id="1014502508">
      <w:bodyDiv w:val="1"/>
      <w:marLeft w:val="0"/>
      <w:marRight w:val="0"/>
      <w:marTop w:val="0"/>
      <w:marBottom w:val="0"/>
      <w:divBdr>
        <w:top w:val="none" w:sz="0" w:space="0" w:color="auto"/>
        <w:left w:val="none" w:sz="0" w:space="0" w:color="auto"/>
        <w:bottom w:val="none" w:sz="0" w:space="0" w:color="auto"/>
        <w:right w:val="none" w:sz="0" w:space="0" w:color="auto"/>
      </w:divBdr>
    </w:div>
    <w:div w:id="1079908186">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73389117">
      <w:bodyDiv w:val="1"/>
      <w:marLeft w:val="0"/>
      <w:marRight w:val="0"/>
      <w:marTop w:val="0"/>
      <w:marBottom w:val="0"/>
      <w:divBdr>
        <w:top w:val="none" w:sz="0" w:space="0" w:color="auto"/>
        <w:left w:val="none" w:sz="0" w:space="0" w:color="auto"/>
        <w:bottom w:val="none" w:sz="0" w:space="0" w:color="auto"/>
        <w:right w:val="none" w:sz="0" w:space="0" w:color="auto"/>
      </w:divBdr>
    </w:div>
    <w:div w:id="1739671694">
      <w:bodyDiv w:val="1"/>
      <w:marLeft w:val="0"/>
      <w:marRight w:val="0"/>
      <w:marTop w:val="0"/>
      <w:marBottom w:val="0"/>
      <w:divBdr>
        <w:top w:val="none" w:sz="0" w:space="0" w:color="auto"/>
        <w:left w:val="none" w:sz="0" w:space="0" w:color="auto"/>
        <w:bottom w:val="none" w:sz="0" w:space="0" w:color="auto"/>
        <w:right w:val="none" w:sz="0" w:space="0" w:color="auto"/>
      </w:divBdr>
    </w:div>
    <w:div w:id="1876456884">
      <w:bodyDiv w:val="1"/>
      <w:marLeft w:val="0"/>
      <w:marRight w:val="0"/>
      <w:marTop w:val="0"/>
      <w:marBottom w:val="0"/>
      <w:divBdr>
        <w:top w:val="none" w:sz="0" w:space="0" w:color="auto"/>
        <w:left w:val="none" w:sz="0" w:space="0" w:color="auto"/>
        <w:bottom w:val="none" w:sz="0" w:space="0" w:color="auto"/>
        <w:right w:val="none" w:sz="0" w:space="0" w:color="auto"/>
      </w:divBdr>
    </w:div>
    <w:div w:id="18862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2B9CD4-95DE-4AE2-BE9C-E919D53E006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988</Words>
  <Characters>5541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Zukowski, Amy (ACF)</dc:creator>
  <cp:keywords/>
  <cp:lastModifiedBy>Jones, Molly (ACF)</cp:lastModifiedBy>
  <cp:revision>3</cp:revision>
  <dcterms:created xsi:type="dcterms:W3CDTF">2022-01-07T14:48:00Z</dcterms:created>
  <dcterms:modified xsi:type="dcterms:W3CDTF">2022-02-22T13:59:00Z</dcterms:modified>
</cp:coreProperties>
</file>