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859" w:rsidRDefault="00BE53C0" w14:paraId="51881095" w14:textId="1C8519D8"/>
    <w:p w:rsidR="00244164" w:rsidP="007424BE" w:rsidRDefault="00244164" w14:paraId="7CEDB95B" w14:textId="11288E74">
      <w:pPr>
        <w:spacing w:before="100" w:beforeAutospacing="1" w:after="100" w:afterAutospacing="1"/>
        <w:contextualSpacing/>
        <w:rPr>
          <w:b/>
          <w:bCs/>
          <w:caps/>
          <w:sz w:val="24"/>
          <w:szCs w:val="22"/>
        </w:rPr>
      </w:pPr>
      <w:r w:rsidRPr="00BE53C0">
        <w:rPr>
          <w:b/>
          <w:bCs/>
          <w:caps/>
          <w:sz w:val="24"/>
          <w:szCs w:val="22"/>
        </w:rPr>
        <w:t>Justification for Change</w:t>
      </w:r>
      <w:r w:rsidR="00BE53C0">
        <w:rPr>
          <w:b/>
          <w:bCs/>
          <w:caps/>
          <w:sz w:val="24"/>
          <w:szCs w:val="22"/>
        </w:rPr>
        <w:t>:</w:t>
      </w:r>
      <w:r w:rsidRPr="00BE53C0" w:rsidR="007424BE">
        <w:rPr>
          <w:b/>
          <w:bCs/>
          <w:caps/>
          <w:sz w:val="24"/>
          <w:szCs w:val="22"/>
        </w:rPr>
        <w:t xml:space="preserve"> </w:t>
      </w:r>
    </w:p>
    <w:p w:rsidRPr="00BE53C0" w:rsidR="00BE53C0" w:rsidP="007424BE" w:rsidRDefault="00BE53C0" w14:paraId="7A859FED" w14:textId="4DF02782">
      <w:pPr>
        <w:spacing w:before="100" w:beforeAutospacing="1" w:after="100" w:afterAutospacing="1"/>
        <w:contextualSpacing/>
        <w:rPr>
          <w:b/>
          <w:bCs/>
          <w:caps/>
          <w:sz w:val="24"/>
          <w:szCs w:val="22"/>
        </w:rPr>
      </w:pPr>
      <w:r w:rsidRPr="00BE53C0">
        <w:rPr>
          <w:b/>
          <w:bCs/>
          <w:caps/>
          <w:sz w:val="24"/>
          <w:szCs w:val="22"/>
        </w:rPr>
        <w:t>Change Due to Adjustment in Agency Estimate</w:t>
      </w:r>
    </w:p>
    <w:p w:rsidR="00BE53C0" w:rsidP="00244164" w:rsidRDefault="00BE53C0" w14:paraId="2BF6D21D" w14:textId="77777777">
      <w:pPr>
        <w:spacing w:before="100" w:beforeAutospacing="1" w:after="100" w:afterAutospacing="1"/>
        <w:contextualSpacing/>
        <w:rPr>
          <w:sz w:val="24"/>
          <w:szCs w:val="22"/>
        </w:rPr>
      </w:pPr>
    </w:p>
    <w:p w:rsidR="00244164" w:rsidP="00244164" w:rsidRDefault="00244164" w14:paraId="55B91CA9" w14:textId="27EC3EB5">
      <w:pPr>
        <w:spacing w:before="100" w:beforeAutospacing="1" w:after="100" w:afterAutospacing="1"/>
        <w:contextualSpacing/>
        <w:rPr>
          <w:sz w:val="24"/>
          <w:szCs w:val="22"/>
        </w:rPr>
      </w:pPr>
      <w:r>
        <w:rPr>
          <w:sz w:val="24"/>
          <w:szCs w:val="22"/>
        </w:rPr>
        <w:t>Cost per response changed from $0.5 to $0.58.</w:t>
      </w:r>
    </w:p>
    <w:p w:rsidR="00244164" w:rsidP="00244164" w:rsidRDefault="00244164" w14:paraId="418C21B0" w14:textId="77777777">
      <w:pPr>
        <w:spacing w:before="100" w:beforeAutospacing="1" w:after="100" w:afterAutospacing="1"/>
        <w:contextualSpacing/>
        <w:rPr>
          <w:sz w:val="24"/>
          <w:szCs w:val="22"/>
        </w:rPr>
      </w:pPr>
    </w:p>
    <w:p w:rsidRPr="00996B2D" w:rsidR="00244164" w:rsidP="00244164" w:rsidRDefault="00244164" w14:paraId="69B1B9C4" w14:textId="46ECC561">
      <w:pPr>
        <w:spacing w:before="100" w:beforeAutospacing="1" w:after="100" w:afterAutospacing="1"/>
        <w:contextualSpacing/>
        <w:rPr>
          <w:sz w:val="24"/>
          <w:szCs w:val="22"/>
        </w:rPr>
      </w:pPr>
      <w:r w:rsidRPr="00996B2D">
        <w:rPr>
          <w:sz w:val="24"/>
          <w:szCs w:val="22"/>
        </w:rPr>
        <w:t>The regulations require that registration and ballots each be mailed, unless otherwise provided by the tribal constitution.  These costs vary with the number of tribal members.  Assuming an average of 5,000 tribal members and 70% response rate (3,500 respondents), and two mailings of standard-size envelopes containing a registration form and ballot, respectively (7,000 responses total), at a cost of a First-Class U.S. Mail stamp at $0.5</w:t>
      </w:r>
      <w:r>
        <w:rPr>
          <w:sz w:val="24"/>
          <w:szCs w:val="22"/>
        </w:rPr>
        <w:t>8</w:t>
      </w:r>
      <w:r w:rsidRPr="00996B2D">
        <w:rPr>
          <w:sz w:val="24"/>
          <w:szCs w:val="22"/>
        </w:rPr>
        <w:t xml:space="preserve"> each, the total non-hour cost burden for the approximately 36 elections held each year is </w:t>
      </w:r>
      <w:r w:rsidRPr="00996B2D">
        <w:rPr>
          <w:b/>
          <w:sz w:val="24"/>
          <w:szCs w:val="22"/>
        </w:rPr>
        <w:t>$</w:t>
      </w:r>
      <w:r w:rsidRPr="008B3013">
        <w:rPr>
          <w:b/>
          <w:sz w:val="24"/>
          <w:szCs w:val="22"/>
        </w:rPr>
        <w:t>146</w:t>
      </w:r>
      <w:r>
        <w:rPr>
          <w:b/>
          <w:sz w:val="24"/>
          <w:szCs w:val="22"/>
        </w:rPr>
        <w:t>,</w:t>
      </w:r>
      <w:r w:rsidRPr="008B3013">
        <w:rPr>
          <w:b/>
          <w:sz w:val="24"/>
          <w:szCs w:val="22"/>
        </w:rPr>
        <w:t>160</w:t>
      </w:r>
      <w:r w:rsidRPr="00996B2D">
        <w:rPr>
          <w:b/>
          <w:sz w:val="24"/>
          <w:szCs w:val="22"/>
        </w:rPr>
        <w:t>.</w:t>
      </w:r>
      <w:r w:rsidRPr="00996B2D">
        <w:rPr>
          <w:sz w:val="24"/>
          <w:szCs w:val="22"/>
        </w:rPr>
        <w:t xml:space="preserve">  While petitioners must have each petition page notarized, most will have access to free notary services through a tribe, banking, or other institution.</w:t>
      </w:r>
    </w:p>
    <w:p w:rsidR="00244164" w:rsidRDefault="00244164" w14:paraId="56E6A76C" w14:textId="6FEF9AF2"/>
    <w:p w:rsidRPr="007424BE" w:rsidR="007424BE" w:rsidP="007424BE" w:rsidRDefault="007424BE" w14:paraId="56182196" w14:textId="6AA67FEE">
      <w:pPr>
        <w:spacing w:before="100" w:beforeAutospacing="1" w:after="100" w:afterAutospacing="1"/>
        <w:contextualSpacing/>
        <w:rPr>
          <w:b/>
          <w:bCs/>
          <w:sz w:val="24"/>
          <w:szCs w:val="22"/>
        </w:rPr>
      </w:pPr>
      <w:r w:rsidRPr="007424BE">
        <w:rPr>
          <w:b/>
          <w:bCs/>
          <w:sz w:val="24"/>
          <w:szCs w:val="22"/>
        </w:rPr>
        <w:t>Registration to vote</w:t>
      </w:r>
    </w:p>
    <w:p w:rsidR="007424BE" w:rsidRDefault="007424BE" w14:paraId="3DD2BA42" w14:textId="77777777"/>
    <w:tbl>
      <w:tblPr>
        <w:tblW w:w="5000" w:type="pct"/>
        <w:tblBorders>
          <w:top w:val="single" w:color="C5DBEC" w:sz="6" w:space="0"/>
          <w:left w:val="single" w:color="C5DBEC" w:sz="6" w:space="0"/>
          <w:bottom w:val="single" w:color="C5DBEC" w:sz="6" w:space="0"/>
          <w:right w:val="single" w:color="C5DBEC" w:sz="6" w:space="0"/>
        </w:tblBorders>
        <w:shd w:val="clear" w:color="auto" w:fill="FFFFFF"/>
        <w:tblCellMar>
          <w:left w:w="0" w:type="dxa"/>
          <w:right w:w="0" w:type="dxa"/>
        </w:tblCellMar>
        <w:tblLook w:val="04A0" w:firstRow="1" w:lastRow="0" w:firstColumn="1" w:lastColumn="0" w:noHBand="0" w:noVBand="1"/>
        <w:tblDescription w:val="table that charts list of burden"/>
      </w:tblPr>
      <w:tblGrid>
        <w:gridCol w:w="1401"/>
        <w:gridCol w:w="1401"/>
        <w:gridCol w:w="1402"/>
        <w:gridCol w:w="1402"/>
        <w:gridCol w:w="1402"/>
        <w:gridCol w:w="1402"/>
        <w:gridCol w:w="934"/>
      </w:tblGrid>
      <w:tr w:rsidRPr="007424BE" w:rsidR="007424BE" w:rsidTr="007424BE" w14:paraId="41222DE6" w14:textId="77777777">
        <w:trPr>
          <w:gridAfter w:val="1"/>
          <w:wAfter w:w="1404" w:type="dxa"/>
          <w:trHeight w:val="375"/>
        </w:trPr>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60805BBE"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br/>
              <w:t>Requested</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374C800F"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Program Change Due to New Statute</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0CD998D8"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Program Change Due to Agency Discretion</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12C93E55"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Change Due to Adjustment in Agency Estimate</w:t>
            </w:r>
          </w:p>
        </w:tc>
        <w:tc>
          <w:tcPr>
            <w:tcW w:w="5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4D690EA2"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Change Due to Potential Violation of the PRA</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526328D4"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Previously Approved</w:t>
            </w:r>
          </w:p>
        </w:tc>
      </w:tr>
      <w:tr w:rsidRPr="007424BE" w:rsidR="007424BE" w:rsidTr="007424BE" w14:paraId="3BCF0BE4" w14:textId="77777777">
        <w:trPr>
          <w:trHeight w:val="375"/>
        </w:trPr>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5747A513"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Annual Number of Responses for this IC</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72949F8B"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126000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4AB988F0"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4AC73953"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57EF12B2"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50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09AD25F0"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5295118C"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126000</w:t>
            </w:r>
          </w:p>
        </w:tc>
      </w:tr>
      <w:tr w:rsidRPr="007424BE" w:rsidR="007424BE" w:rsidTr="007424BE" w14:paraId="6A3EF280" w14:textId="77777777">
        <w:trPr>
          <w:trHeight w:val="375"/>
        </w:trPr>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1107F01D"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Annual IC Time Burden (Hours)</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78934A8B"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31500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459FB7AC"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1B562105"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523D86FF"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50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1D70B7BC"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08456BA3"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31500</w:t>
            </w:r>
          </w:p>
        </w:tc>
      </w:tr>
      <w:tr w:rsidRPr="007424BE" w:rsidR="007424BE" w:rsidTr="007424BE" w14:paraId="7B14CE31" w14:textId="77777777">
        <w:trPr>
          <w:trHeight w:val="375"/>
        </w:trPr>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0BEA11BD"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Annual IC Cost Burden (Dollars)</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2DB72F17"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73080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67965E5E"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0EAF3443"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10080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7274A855"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50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006AB55A"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18BBE389"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63000</w:t>
            </w:r>
          </w:p>
        </w:tc>
      </w:tr>
    </w:tbl>
    <w:p w:rsidR="007424BE" w:rsidRDefault="007424BE" w14:paraId="1F720A25" w14:textId="5F6C42FA"/>
    <w:p w:rsidRPr="007424BE" w:rsidR="007424BE" w:rsidP="007424BE" w:rsidRDefault="007424BE" w14:paraId="57525154" w14:textId="25E60DFF">
      <w:pPr>
        <w:spacing w:before="100" w:beforeAutospacing="1" w:after="100" w:afterAutospacing="1"/>
        <w:contextualSpacing/>
        <w:rPr>
          <w:b/>
          <w:bCs/>
          <w:sz w:val="24"/>
          <w:szCs w:val="22"/>
        </w:rPr>
      </w:pPr>
      <w:r w:rsidRPr="007424BE">
        <w:rPr>
          <w:b/>
          <w:bCs/>
          <w:sz w:val="24"/>
          <w:szCs w:val="22"/>
        </w:rPr>
        <w:t>Voting ballot submission</w:t>
      </w:r>
    </w:p>
    <w:p w:rsidR="007424BE" w:rsidRDefault="007424BE" w14:paraId="1EDD40D0" w14:textId="77777777"/>
    <w:tbl>
      <w:tblPr>
        <w:tblW w:w="5000" w:type="pct"/>
        <w:tblBorders>
          <w:top w:val="single" w:color="C5DBEC" w:sz="6" w:space="0"/>
          <w:left w:val="single" w:color="C5DBEC" w:sz="6" w:space="0"/>
          <w:bottom w:val="single" w:color="C5DBEC" w:sz="6" w:space="0"/>
          <w:right w:val="single" w:color="C5DBEC" w:sz="6" w:space="0"/>
        </w:tblBorders>
        <w:shd w:val="clear" w:color="auto" w:fill="FFFFFF"/>
        <w:tblCellMar>
          <w:left w:w="0" w:type="dxa"/>
          <w:right w:w="0" w:type="dxa"/>
        </w:tblCellMar>
        <w:tblLook w:val="04A0" w:firstRow="1" w:lastRow="0" w:firstColumn="1" w:lastColumn="0" w:noHBand="0" w:noVBand="1"/>
        <w:tblDescription w:val="table that charts list of burden"/>
      </w:tblPr>
      <w:tblGrid>
        <w:gridCol w:w="1401"/>
        <w:gridCol w:w="1401"/>
        <w:gridCol w:w="1402"/>
        <w:gridCol w:w="1402"/>
        <w:gridCol w:w="1402"/>
        <w:gridCol w:w="1402"/>
        <w:gridCol w:w="934"/>
      </w:tblGrid>
      <w:tr w:rsidRPr="007424BE" w:rsidR="007424BE" w:rsidTr="007424BE" w14:paraId="54368571" w14:textId="77777777">
        <w:trPr>
          <w:gridAfter w:val="1"/>
          <w:wAfter w:w="1404" w:type="dxa"/>
          <w:trHeight w:val="375"/>
        </w:trPr>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4DC73311"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br/>
              <w:t>Requested</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6DFEFED8"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Program Change Due to New Statute</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6A83A558"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Program Change Due to Agency Discretion</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576B0AFE"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Change Due to Adjustment in Agency Estimate</w:t>
            </w:r>
          </w:p>
        </w:tc>
        <w:tc>
          <w:tcPr>
            <w:tcW w:w="5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40918CF0"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Change Due to Potential Violation of the PRA</w:t>
            </w:r>
          </w:p>
        </w:tc>
        <w:tc>
          <w:tcPr>
            <w:tcW w:w="75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7424BE" w:rsidR="007424BE" w:rsidP="007424BE" w:rsidRDefault="007424BE" w14:paraId="2AD8A4C9" w14:textId="77777777">
            <w:pPr>
              <w:widowControl/>
              <w:autoSpaceDE/>
              <w:autoSpaceDN/>
              <w:adjustRightInd/>
              <w:spacing w:line="195" w:lineRule="atLeast"/>
              <w:jc w:val="center"/>
              <w:rPr>
                <w:rFonts w:ascii="Arial" w:hAnsi="Arial" w:cs="Arial"/>
                <w:b/>
                <w:bCs/>
                <w:color w:val="FFFFFF"/>
                <w:sz w:val="17"/>
                <w:szCs w:val="17"/>
              </w:rPr>
            </w:pPr>
            <w:r w:rsidRPr="007424BE">
              <w:rPr>
                <w:rFonts w:ascii="Arial" w:hAnsi="Arial" w:cs="Arial"/>
                <w:b/>
                <w:bCs/>
                <w:color w:val="FFFFFF"/>
                <w:sz w:val="17"/>
                <w:szCs w:val="17"/>
              </w:rPr>
              <w:t>Previously Approved</w:t>
            </w:r>
          </w:p>
        </w:tc>
      </w:tr>
      <w:tr w:rsidRPr="007424BE" w:rsidR="007424BE" w:rsidTr="007424BE" w14:paraId="2265D40A" w14:textId="77777777">
        <w:trPr>
          <w:trHeight w:val="375"/>
        </w:trPr>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4AAA1266"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Annual Number of Responses for this IC</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79909E6E"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126000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3C1AD7D3"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6CD688D9"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7D4CECCE"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50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0B25A455"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3E1E1058"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126000</w:t>
            </w:r>
          </w:p>
        </w:tc>
      </w:tr>
      <w:tr w:rsidRPr="007424BE" w:rsidR="007424BE" w:rsidTr="007424BE" w14:paraId="7C86208A" w14:textId="77777777">
        <w:trPr>
          <w:trHeight w:val="375"/>
        </w:trPr>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378455D4"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Annual IC Time Burden (Hours)</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6ADD89D1"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31500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4FFD1508"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3B1CA25B"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548D5DB7"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50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4E511B75"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FFFFFF"/>
            <w:tcMar>
              <w:top w:w="60" w:type="dxa"/>
              <w:left w:w="60" w:type="dxa"/>
              <w:bottom w:w="60" w:type="dxa"/>
              <w:right w:w="60" w:type="dxa"/>
            </w:tcMar>
            <w:hideMark/>
          </w:tcPr>
          <w:p w:rsidRPr="007424BE" w:rsidR="007424BE" w:rsidP="007424BE" w:rsidRDefault="007424BE" w14:paraId="18973983"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31500</w:t>
            </w:r>
          </w:p>
        </w:tc>
      </w:tr>
      <w:tr w:rsidRPr="007424BE" w:rsidR="007424BE" w:rsidTr="007424BE" w14:paraId="6C118CF9" w14:textId="77777777">
        <w:trPr>
          <w:trHeight w:val="375"/>
        </w:trPr>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409B590D"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Annual IC Cost Burden (Dollars)</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22B41893"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73080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721F7280"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3B78940F"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10080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1BD4CB28"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50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4D8290DA"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0</w:t>
            </w:r>
          </w:p>
        </w:tc>
        <w:tc>
          <w:tcPr>
            <w:tcW w:w="750" w:type="pct"/>
            <w:tcBorders>
              <w:top w:val="outset" w:color="C5DBEC" w:sz="6" w:space="0"/>
              <w:left w:val="outset" w:color="C5DBEC" w:sz="6" w:space="0"/>
              <w:bottom w:val="outset" w:color="C5DBEC" w:sz="6" w:space="0"/>
              <w:right w:val="single" w:color="C5DBEC" w:sz="6" w:space="0"/>
            </w:tcBorders>
            <w:shd w:val="clear" w:color="auto" w:fill="E0FF84"/>
            <w:tcMar>
              <w:top w:w="60" w:type="dxa"/>
              <w:left w:w="60" w:type="dxa"/>
              <w:bottom w:w="60" w:type="dxa"/>
              <w:right w:w="60" w:type="dxa"/>
            </w:tcMar>
            <w:hideMark/>
          </w:tcPr>
          <w:p w:rsidRPr="007424BE" w:rsidR="007424BE" w:rsidP="007424BE" w:rsidRDefault="007424BE" w14:paraId="24FBD470" w14:textId="77777777">
            <w:pPr>
              <w:widowControl/>
              <w:autoSpaceDE/>
              <w:autoSpaceDN/>
              <w:adjustRightInd/>
              <w:spacing w:line="225" w:lineRule="atLeast"/>
              <w:rPr>
                <w:rFonts w:ascii="Arial" w:hAnsi="Arial" w:cs="Arial"/>
                <w:color w:val="56606F"/>
                <w:sz w:val="17"/>
                <w:szCs w:val="17"/>
              </w:rPr>
            </w:pPr>
            <w:r w:rsidRPr="007424BE">
              <w:rPr>
                <w:rFonts w:ascii="Arial" w:hAnsi="Arial" w:cs="Arial"/>
                <w:color w:val="56606F"/>
                <w:sz w:val="17"/>
                <w:szCs w:val="17"/>
              </w:rPr>
              <w:t>63000</w:t>
            </w:r>
          </w:p>
        </w:tc>
      </w:tr>
    </w:tbl>
    <w:p w:rsidR="007424BE" w:rsidRDefault="007424BE" w14:paraId="5F3B2890" w14:textId="77777777"/>
    <w:sectPr w:rsidR="00742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64"/>
    <w:rsid w:val="00244164"/>
    <w:rsid w:val="004A4C97"/>
    <w:rsid w:val="007424BE"/>
    <w:rsid w:val="00BE53C0"/>
    <w:rsid w:val="00C4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970F"/>
  <w15:chartTrackingRefBased/>
  <w15:docId w15:val="{7EDB2061-5458-49DC-829B-111B285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16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1839">
      <w:bodyDiv w:val="1"/>
      <w:marLeft w:val="0"/>
      <w:marRight w:val="0"/>
      <w:marTop w:val="0"/>
      <w:marBottom w:val="0"/>
      <w:divBdr>
        <w:top w:val="none" w:sz="0" w:space="0" w:color="auto"/>
        <w:left w:val="none" w:sz="0" w:space="0" w:color="auto"/>
        <w:bottom w:val="none" w:sz="0" w:space="0" w:color="auto"/>
        <w:right w:val="none" w:sz="0" w:space="0" w:color="auto"/>
      </w:divBdr>
    </w:div>
    <w:div w:id="16399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Steven M</dc:creator>
  <cp:keywords/>
  <dc:description/>
  <cp:lastModifiedBy>Mullen, Steven M</cp:lastModifiedBy>
  <cp:revision>3</cp:revision>
  <dcterms:created xsi:type="dcterms:W3CDTF">2022-02-15T23:28:00Z</dcterms:created>
  <dcterms:modified xsi:type="dcterms:W3CDTF">2022-02-15T23:38:00Z</dcterms:modified>
</cp:coreProperties>
</file>