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FA5" w:rsidP="00012FA5" w:rsidRDefault="00012FA5" w14:paraId="31894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w:t>
      </w:r>
      <w:proofErr w:type="gramStart"/>
      <w:r>
        <w:rPr>
          <w:b/>
          <w:bCs/>
          <w:sz w:val="32"/>
          <w:szCs w:val="32"/>
        </w:rPr>
        <w:t>Statement</w:t>
      </w:r>
      <w:proofErr w:type="gramEnd"/>
      <w:r>
        <w:rPr>
          <w:b/>
          <w:bCs/>
          <w:sz w:val="32"/>
          <w:szCs w:val="32"/>
        </w:rPr>
        <w:t xml:space="preserve"> A</w:t>
      </w:r>
    </w:p>
    <w:p w:rsidRPr="002C28AF" w:rsidR="00012FA5" w:rsidP="00012FA5" w:rsidRDefault="00012FA5" w14:paraId="7A67D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Pr="00D510C5" w:rsidR="00012FA5" w:rsidP="00012FA5" w:rsidRDefault="00012FA5" w14:paraId="7C4B3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Bureau of Indian Affairs</w:t>
      </w:r>
    </w:p>
    <w:p w:rsidRPr="00D510C5" w:rsidR="00012FA5" w:rsidP="00012FA5" w:rsidRDefault="00D510C5" w14:paraId="6C57F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Loan Guarantee, Insurance</w:t>
      </w:r>
      <w:r w:rsidR="00095B75">
        <w:rPr>
          <w:b/>
          <w:bCs/>
          <w:sz w:val="32"/>
          <w:szCs w:val="28"/>
        </w:rPr>
        <w:t>,</w:t>
      </w:r>
      <w:r w:rsidRPr="00D510C5">
        <w:rPr>
          <w:b/>
          <w:bCs/>
          <w:sz w:val="32"/>
          <w:szCs w:val="28"/>
        </w:rPr>
        <w:t xml:space="preserve"> and Interest Subsidy Program</w:t>
      </w:r>
    </w:p>
    <w:p w:rsidRPr="00D510C5" w:rsidR="00012FA5" w:rsidP="00012FA5" w:rsidRDefault="00D510C5" w14:paraId="04CBA9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sz w:val="32"/>
          <w:szCs w:val="28"/>
        </w:rPr>
        <w:t>25 CFR 103</w:t>
      </w:r>
    </w:p>
    <w:p w:rsidR="00012FA5" w:rsidP="00012FA5" w:rsidRDefault="00012FA5" w14:paraId="143A4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P="00012FA5" w:rsidRDefault="00D510C5" w14:paraId="1B1B6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bookmarkStart w:name="_Hlk86917432" w:id="0"/>
      <w:r>
        <w:rPr>
          <w:b/>
          <w:bCs/>
          <w:sz w:val="32"/>
          <w:szCs w:val="32"/>
        </w:rPr>
        <w:t>1076-0020</w:t>
      </w:r>
      <w:bookmarkEnd w:id="0"/>
    </w:p>
    <w:p w:rsidR="00012FA5" w:rsidP="00012FA5" w:rsidRDefault="00012FA5" w14:paraId="04C991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P="00012FA5" w:rsidRDefault="00012FA5" w14:paraId="43D6D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012FA5" w:rsidP="00012FA5" w:rsidRDefault="00012FA5" w14:paraId="249BC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06BAE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12FA5" w:rsidP="00012FA5" w:rsidRDefault="00012FA5" w14:paraId="4C5499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012FA5" w:rsidP="00012FA5" w:rsidRDefault="00012FA5" w14:paraId="6487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012FA5" w:rsidP="00012FA5" w:rsidRDefault="00012FA5" w14:paraId="2A5993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6216F" w:rsidR="0016216F" w:rsidP="0016216F" w:rsidRDefault="00D510C5" w14:paraId="727EB791" w14:textId="77777777">
      <w:pPr>
        <w:spacing w:line="231" w:lineRule="auto"/>
        <w:rPr>
          <w:sz w:val="24"/>
          <w:szCs w:val="24"/>
        </w:rPr>
      </w:pPr>
      <w:r w:rsidRPr="00F30BA1">
        <w:rPr>
          <w:sz w:val="24"/>
          <w:szCs w:val="24"/>
        </w:rPr>
        <w:t xml:space="preserve">The Indian Financing Act of 1974 (the Act), as amended, </w:t>
      </w:r>
      <w:r w:rsidRPr="00F30BA1">
        <w:rPr>
          <w:iCs/>
          <w:sz w:val="24"/>
          <w:szCs w:val="24"/>
        </w:rPr>
        <w:t>authorizes the</w:t>
      </w:r>
      <w:r w:rsidRPr="00F30BA1">
        <w:rPr>
          <w:sz w:val="24"/>
          <w:szCs w:val="24"/>
        </w:rPr>
        <w:t xml:space="preserve"> Office of the Assistant Secretary - Indian Affairs (IA) to finance economic development on Indian reservations.  </w:t>
      </w:r>
      <w:r w:rsidRPr="00F30BA1">
        <w:rPr>
          <w:i/>
          <w:sz w:val="24"/>
          <w:szCs w:val="24"/>
        </w:rPr>
        <w:t xml:space="preserve">See </w:t>
      </w:r>
    </w:p>
    <w:p w:rsidRPr="0016216F" w:rsidR="0016216F" w:rsidP="0016216F" w:rsidRDefault="0016216F" w14:paraId="5B59C496" w14:textId="77777777">
      <w:pPr>
        <w:spacing w:line="231" w:lineRule="auto"/>
        <w:rPr>
          <w:sz w:val="24"/>
          <w:szCs w:val="24"/>
        </w:rPr>
      </w:pPr>
      <w:r w:rsidRPr="0016216F">
        <w:rPr>
          <w:sz w:val="24"/>
          <w:szCs w:val="24"/>
        </w:rPr>
        <w:t>25 U.S.C. § 1451, Indian Financing Act of 1974, Public Law 93-262 as amended by</w:t>
      </w:r>
    </w:p>
    <w:p w:rsidRPr="00F30BA1" w:rsidR="00D510C5" w:rsidP="0016216F" w:rsidRDefault="0016216F" w14:paraId="4979EDE1" w14:textId="19FFFD06">
      <w:pPr>
        <w:spacing w:line="231" w:lineRule="auto"/>
        <w:rPr>
          <w:sz w:val="24"/>
          <w:szCs w:val="24"/>
        </w:rPr>
      </w:pPr>
      <w:r w:rsidRPr="0016216F">
        <w:rPr>
          <w:sz w:val="24"/>
          <w:szCs w:val="24"/>
        </w:rPr>
        <w:t>Public Law 98-449, 98 Stat. 1725</w:t>
      </w:r>
      <w:r w:rsidRPr="00F30BA1" w:rsidR="00D510C5">
        <w:rPr>
          <w:iCs/>
          <w:sz w:val="24"/>
          <w:szCs w:val="24"/>
        </w:rPr>
        <w:t xml:space="preserve">. </w:t>
      </w:r>
      <w:r w:rsidRPr="00F30BA1" w:rsidR="00D510C5">
        <w:rPr>
          <w:i/>
          <w:iCs/>
          <w:sz w:val="24"/>
          <w:szCs w:val="24"/>
        </w:rPr>
        <w:t xml:space="preserve"> </w:t>
      </w:r>
      <w:r w:rsidRPr="00F30BA1" w:rsidR="00D510C5">
        <w:rPr>
          <w:sz w:val="24"/>
          <w:szCs w:val="24"/>
        </w:rPr>
        <w:t>Within the Act, the Loan Guarantee, Insurance, and Interest Subsidy Program (the Program) serves to encourage private commercial lenders to make loans to Indian businesses they might otherwise deny because of insufficient familiarity with Indian business prospects, a lack of sufficient loan collateral, or a perception that loan default remedies are less certain where the borrower is an Indian or an Indian business.  The Program offers private lenders enhanced loan security with a partial loan guarantee.  In this way, the Program has successfully used a modest investment of Federal funds to leverage large amounts of private capital to create and encourage Indian business development.</w:t>
      </w:r>
    </w:p>
    <w:p w:rsidRPr="00F30BA1" w:rsidR="00D510C5" w:rsidP="00D510C5" w:rsidRDefault="00D510C5" w14:paraId="65A7A16F" w14:textId="77777777">
      <w:pPr>
        <w:spacing w:line="231" w:lineRule="auto"/>
        <w:ind w:firstLine="720"/>
        <w:rPr>
          <w:sz w:val="24"/>
          <w:szCs w:val="24"/>
        </w:rPr>
      </w:pPr>
    </w:p>
    <w:p w:rsidRPr="00F30BA1" w:rsidR="00D510C5" w:rsidP="00D510C5" w:rsidRDefault="00D510C5" w14:paraId="6AE91137" w14:textId="77777777">
      <w:pPr>
        <w:rPr>
          <w:sz w:val="24"/>
          <w:szCs w:val="24"/>
        </w:rPr>
      </w:pPr>
      <w:r w:rsidRPr="00F30BA1">
        <w:rPr>
          <w:sz w:val="24"/>
          <w:szCs w:val="24"/>
        </w:rPr>
        <w:t xml:space="preserve">The Act has authorized the guarantee of loans to eligible Indians.  Lending institutions that loan money to Indians ask the Department </w:t>
      </w:r>
      <w:r w:rsidR="00095B75">
        <w:rPr>
          <w:sz w:val="24"/>
          <w:szCs w:val="24"/>
        </w:rPr>
        <w:t xml:space="preserve">of the Interior (DOI) </w:t>
      </w:r>
      <w:r w:rsidRPr="00F30BA1">
        <w:rPr>
          <w:sz w:val="24"/>
          <w:szCs w:val="24"/>
        </w:rPr>
        <w:t xml:space="preserve">to guarantee payment of those loans.  </w:t>
      </w:r>
      <w:r w:rsidR="001C1090">
        <w:rPr>
          <w:sz w:val="24"/>
          <w:szCs w:val="24"/>
        </w:rPr>
        <w:t>DOI</w:t>
      </w:r>
      <w:r w:rsidRPr="00F30BA1">
        <w:rPr>
          <w:sz w:val="24"/>
          <w:szCs w:val="24"/>
        </w:rPr>
        <w:t xml:space="preserve"> has to ask certain questions, e.</w:t>
      </w:r>
      <w:r w:rsidR="00095B75">
        <w:rPr>
          <w:sz w:val="24"/>
          <w:szCs w:val="24"/>
        </w:rPr>
        <w:t>g.</w:t>
      </w:r>
      <w:r w:rsidRPr="00F30BA1">
        <w:rPr>
          <w:sz w:val="24"/>
          <w:szCs w:val="24"/>
        </w:rPr>
        <w:t xml:space="preserve">, gather information, to learn whether the lending institution is regulated and therefore dependable, the terms of their loans, what rate of interest they will charge, the likelihood of repayment, the credit history of the borrower, and other things.  </w:t>
      </w:r>
    </w:p>
    <w:p w:rsidRPr="00F30BA1" w:rsidR="00D510C5" w:rsidP="00D510C5" w:rsidRDefault="00D510C5" w14:paraId="0A46486B" w14:textId="77777777">
      <w:pPr>
        <w:ind w:firstLine="360"/>
        <w:rPr>
          <w:sz w:val="24"/>
          <w:szCs w:val="24"/>
        </w:rPr>
      </w:pPr>
    </w:p>
    <w:p w:rsidRPr="00F30BA1" w:rsidR="00D510C5" w:rsidP="00D510C5" w:rsidRDefault="00D510C5" w14:paraId="4554F7D4" w14:textId="77777777">
      <w:pPr>
        <w:rPr>
          <w:color w:val="000000"/>
          <w:sz w:val="24"/>
          <w:szCs w:val="24"/>
        </w:rPr>
      </w:pPr>
      <w:r w:rsidRPr="00F30BA1">
        <w:rPr>
          <w:sz w:val="24"/>
          <w:szCs w:val="24"/>
        </w:rPr>
        <w:t xml:space="preserve">The rules implementing this program are at 25 CFR 103.  These </w:t>
      </w:r>
      <w:r w:rsidRPr="00F30BA1">
        <w:rPr>
          <w:color w:val="000000"/>
          <w:sz w:val="24"/>
          <w:szCs w:val="24"/>
        </w:rPr>
        <w:t xml:space="preserve">rules are designed to ensure that only loans with a reasonable prospect for repayment are guaranteed.  </w:t>
      </w:r>
    </w:p>
    <w:p w:rsidRPr="00F30BA1" w:rsidR="00D510C5" w:rsidP="00D510C5" w:rsidRDefault="00D510C5" w14:paraId="67B45A61" w14:textId="77777777">
      <w:pPr>
        <w:ind w:firstLine="360"/>
        <w:rPr>
          <w:color w:val="000000"/>
          <w:sz w:val="24"/>
          <w:szCs w:val="24"/>
        </w:rPr>
      </w:pPr>
    </w:p>
    <w:p w:rsidR="00012FA5" w:rsidP="00D510C5" w:rsidRDefault="00D510C5" w14:paraId="0CFC17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forms used in the Program, together with regulatory requirements, collect information necessary to make sure that the Program promotes Indian economic development in the manner intended.  </w:t>
      </w:r>
    </w:p>
    <w:p w:rsidR="00D510C5" w:rsidP="00D510C5" w:rsidRDefault="00D510C5" w14:paraId="3E17AE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012FA5" w:rsidP="00012FA5" w:rsidRDefault="00012FA5" w14:paraId="2D7D4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B665EB">
        <w:rPr>
          <w:b/>
          <w:sz w:val="24"/>
          <w:szCs w:val="24"/>
        </w:rPr>
        <w:lastRenderedPageBreak/>
        <w:t>questionnaire, every question needs to be justified.</w:t>
      </w:r>
    </w:p>
    <w:p w:rsidRPr="00BD6B9A" w:rsidR="00012FA5" w:rsidP="00012FA5" w:rsidRDefault="00012FA5" w14:paraId="39FEA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A2B4C" w:rsidP="001A2B4C" w:rsidRDefault="001A2B4C" w14:paraId="05169F7E" w14:textId="5A715DD6">
      <w:pPr>
        <w:rPr>
          <w:sz w:val="24"/>
          <w:szCs w:val="24"/>
        </w:rPr>
      </w:pPr>
      <w:r w:rsidRPr="00CF2FDB">
        <w:rPr>
          <w:sz w:val="24"/>
          <w:szCs w:val="24"/>
        </w:rPr>
        <w:t xml:space="preserve">Certain program forms are required by regulations at 25 CFR 103, there are currently eight forms used by respondents when engaged in business with the program. Non-substantive and editorial revisions are being made to six forms, while the remaining two forms are being renewed. </w:t>
      </w:r>
      <w:r>
        <w:rPr>
          <w:sz w:val="24"/>
          <w:szCs w:val="24"/>
        </w:rPr>
        <w:t xml:space="preserve">Additionally, all of the forms are being converted to </w:t>
      </w:r>
      <w:r w:rsidR="00FA7ADD">
        <w:rPr>
          <w:sz w:val="24"/>
          <w:szCs w:val="24"/>
        </w:rPr>
        <w:t xml:space="preserve">fillable electronic files. </w:t>
      </w:r>
    </w:p>
    <w:p w:rsidR="001A2B4C" w:rsidP="001A2B4C" w:rsidRDefault="001A2B4C" w14:paraId="76833B8F" w14:textId="77777777">
      <w:pPr>
        <w:rPr>
          <w:sz w:val="24"/>
          <w:szCs w:val="24"/>
        </w:rPr>
      </w:pPr>
    </w:p>
    <w:p w:rsidRPr="00F30BA1" w:rsidR="00D510C5" w:rsidP="00D510C5" w:rsidRDefault="00D510C5" w14:paraId="79F5CD18" w14:textId="77952768">
      <w:pPr>
        <w:spacing w:line="231" w:lineRule="auto"/>
        <w:rPr>
          <w:sz w:val="24"/>
          <w:szCs w:val="24"/>
        </w:rPr>
      </w:pPr>
      <w:r w:rsidRPr="00F30BA1">
        <w:rPr>
          <w:sz w:val="24"/>
          <w:szCs w:val="24"/>
        </w:rPr>
        <w:t xml:space="preserve">Information is collected on different forms as part of managing and monitoring the program.  </w:t>
      </w:r>
      <w:r w:rsidRPr="00CF2FDB" w:rsidR="009F4579">
        <w:rPr>
          <w:sz w:val="24"/>
          <w:szCs w:val="24"/>
        </w:rPr>
        <w:t>Below is an overview of the forms, including the form’s purpose, the legal authority for the form, and any proposed revisions.</w:t>
      </w:r>
    </w:p>
    <w:p w:rsidRPr="00F30BA1" w:rsidR="0038451D" w:rsidP="00FD2115" w:rsidRDefault="0038451D" w14:paraId="24323623" w14:textId="77777777">
      <w:pPr>
        <w:rPr>
          <w:sz w:val="24"/>
          <w:szCs w:val="24"/>
        </w:rPr>
      </w:pPr>
    </w:p>
    <w:p w:rsidRPr="00015BB0" w:rsidR="003775BB" w:rsidP="00015BB0" w:rsidRDefault="00D510C5" w14:paraId="1F6F206E" w14:textId="1567250F">
      <w:pPr>
        <w:pStyle w:val="a"/>
        <w:spacing w:line="231" w:lineRule="auto"/>
        <w:ind w:left="1440"/>
        <w:rPr>
          <w:b/>
          <w:bCs/>
          <w:i/>
          <w:iCs/>
        </w:rPr>
      </w:pPr>
      <w:r w:rsidRPr="00015BB0">
        <w:rPr>
          <w:b/>
          <w:bCs/>
          <w:i/>
          <w:iCs/>
          <w:u w:val="single"/>
        </w:rPr>
        <w:t>IA Form LGA10, Loan Guarantee Agreement</w:t>
      </w:r>
      <w:r w:rsidRPr="00015BB0">
        <w:rPr>
          <w:b/>
          <w:bCs/>
          <w:i/>
          <w:iCs/>
        </w:rPr>
        <w:t xml:space="preserve"> </w:t>
      </w:r>
    </w:p>
    <w:p w:rsidR="00AC039C" w:rsidP="00FD2115" w:rsidRDefault="003775BB" w14:paraId="6F5617F8" w14:textId="11045D94">
      <w:pPr>
        <w:pStyle w:val="a"/>
        <w:spacing w:line="231" w:lineRule="auto"/>
        <w:ind w:firstLine="0"/>
      </w:pPr>
      <w:r w:rsidRPr="00FD2115">
        <w:rPr>
          <w:u w:val="single"/>
        </w:rPr>
        <w:t>Purpose</w:t>
      </w:r>
      <w:r>
        <w:t xml:space="preserve">: </w:t>
      </w:r>
      <w:r w:rsidR="005B7BE0">
        <w:t>N</w:t>
      </w:r>
      <w:r w:rsidR="00D510C5">
        <w:t>ecessary to establish the respective rights and responsibilities of the lender and DOI</w:t>
      </w:r>
      <w:r w:rsidR="00B510BF">
        <w:t xml:space="preserve"> </w:t>
      </w:r>
      <w:proofErr w:type="gramStart"/>
      <w:r w:rsidR="00B510BF">
        <w:t>with regard to</w:t>
      </w:r>
      <w:proofErr w:type="gramEnd"/>
      <w:r w:rsidR="00B510BF">
        <w:t xml:space="preserve"> guaranteeing a loan</w:t>
      </w:r>
      <w:r w:rsidR="00D510C5">
        <w:t xml:space="preserve">.  The information is reviewed to ensure </w:t>
      </w:r>
      <w:r w:rsidR="005A6F97">
        <w:t xml:space="preserve">the </w:t>
      </w:r>
      <w:r w:rsidR="00D510C5">
        <w:t xml:space="preserve">Lender is eligible and fully understands its duties under the Program.  </w:t>
      </w:r>
      <w:r w:rsidR="00EC2C26">
        <w:t>The name and signature of the Lender, as well as, the Lender</w:t>
      </w:r>
      <w:r w:rsidR="00B510BF">
        <w:t>’</w:t>
      </w:r>
      <w:r w:rsidR="00EC2C26">
        <w:t>s ABA number and tax identification number, the name of Lender’s representative, and that person’s title are required for this form.</w:t>
      </w:r>
      <w:r w:rsidR="0EBC499A">
        <w:t xml:space="preserve"> </w:t>
      </w:r>
    </w:p>
    <w:p w:rsidR="003775BB" w:rsidP="002B15DB" w:rsidRDefault="003775BB" w14:paraId="3F52A928" w14:textId="529262E5">
      <w:pPr>
        <w:pStyle w:val="a"/>
        <w:spacing w:line="231" w:lineRule="auto"/>
        <w:ind w:firstLine="0"/>
      </w:pPr>
      <w:r w:rsidRPr="00FD2115">
        <w:rPr>
          <w:u w:val="single"/>
        </w:rPr>
        <w:t>Authority</w:t>
      </w:r>
      <w:r>
        <w:t xml:space="preserve">: </w:t>
      </w:r>
      <w:r w:rsidR="00BD6173">
        <w:t>25 CFR 103.11</w:t>
      </w:r>
      <w:r w:rsidR="009911BE">
        <w:t xml:space="preserve"> </w:t>
      </w:r>
      <w:r w:rsidR="009368D9">
        <w:t>d</w:t>
      </w:r>
      <w:r w:rsidR="008A5459">
        <w:t xml:space="preserve">escribes </w:t>
      </w:r>
      <w:r w:rsidR="00C50054">
        <w:t xml:space="preserve">the information </w:t>
      </w:r>
      <w:r w:rsidR="00375794">
        <w:t xml:space="preserve">Zone Managers review to ensure </w:t>
      </w:r>
      <w:r w:rsidR="00C50054">
        <w:t>Lenders are eligible to participate in the Program</w:t>
      </w:r>
      <w:r w:rsidR="00FB3C92">
        <w:t xml:space="preserve">. </w:t>
      </w:r>
    </w:p>
    <w:p w:rsidRPr="00F30BA1" w:rsidR="003775BB" w:rsidP="00FD2115" w:rsidRDefault="003775BB" w14:paraId="2165A9A9" w14:textId="6F86BF85">
      <w:pPr>
        <w:pStyle w:val="a"/>
        <w:spacing w:line="231" w:lineRule="auto"/>
        <w:ind w:firstLine="0"/>
      </w:pPr>
      <w:r w:rsidRPr="00FD2115">
        <w:rPr>
          <w:u w:val="single"/>
        </w:rPr>
        <w:t>Proposed Revision</w:t>
      </w:r>
      <w:r>
        <w:t xml:space="preserve">: </w:t>
      </w:r>
      <w:r w:rsidR="2776F75A">
        <w:t xml:space="preserve"> </w:t>
      </w:r>
      <w:r w:rsidR="003635DD">
        <w:t>Adding c</w:t>
      </w:r>
      <w:r w:rsidR="2776F75A">
        <w:t>larifying information related to criteria for lender awards in the fourth paragraph.</w:t>
      </w:r>
      <w:r w:rsidR="0026564C">
        <w:t xml:space="preserve"> </w:t>
      </w:r>
      <w:r w:rsidR="001D0269">
        <w:t xml:space="preserve"> </w:t>
      </w:r>
      <w:r w:rsidR="0026564C">
        <w:t>I</w:t>
      </w:r>
      <w:r w:rsidR="749E0B0A">
        <w:t>n addition to</w:t>
      </w:r>
      <w:r w:rsidR="0026564C">
        <w:t xml:space="preserve"> the existing criteria for the “Preferred Lender” </w:t>
      </w:r>
      <w:r w:rsidR="005D08E8">
        <w:t xml:space="preserve">or “Performance Lender” </w:t>
      </w:r>
      <w:r w:rsidR="0026564C">
        <w:t xml:space="preserve">designations, lenders </w:t>
      </w:r>
      <w:r w:rsidR="53BE628A">
        <w:t>must now have</w:t>
      </w:r>
      <w:r w:rsidR="2776F75A">
        <w:t xml:space="preserve"> at least one new loan guarantee in the preceding three years</w:t>
      </w:r>
      <w:r w:rsidR="003404DD">
        <w:t xml:space="preserve"> to be awarded a designation by DCI.</w:t>
      </w:r>
    </w:p>
    <w:p w:rsidRPr="00F30BA1" w:rsidR="00D510C5" w:rsidP="00D510C5" w:rsidRDefault="00D510C5" w14:paraId="5FEE5A39" w14:textId="3CF86C04">
      <w:pPr>
        <w:pStyle w:val="a"/>
        <w:tabs>
          <w:tab w:val="left" w:pos="-1440"/>
        </w:tabs>
        <w:spacing w:line="231" w:lineRule="auto"/>
        <w:ind w:left="0" w:firstLine="0"/>
      </w:pPr>
    </w:p>
    <w:p w:rsidRPr="00015BB0" w:rsidR="005B7BE0" w:rsidP="00015BB0" w:rsidRDefault="00D510C5" w14:paraId="603442A4" w14:textId="1F6E3978">
      <w:pPr>
        <w:pStyle w:val="a"/>
        <w:spacing w:line="231" w:lineRule="auto"/>
        <w:ind w:left="1440"/>
        <w:rPr>
          <w:b/>
          <w:bCs/>
          <w:i/>
          <w:iCs/>
          <w:u w:val="single"/>
        </w:rPr>
      </w:pPr>
      <w:r w:rsidRPr="00015BB0">
        <w:rPr>
          <w:b/>
          <w:bCs/>
          <w:i/>
          <w:iCs/>
          <w:u w:val="single"/>
        </w:rPr>
        <w:t xml:space="preserve">IA Form LIA10, Loan Insurance Agreement </w:t>
      </w:r>
    </w:p>
    <w:p w:rsidR="005B7BE0" w:rsidP="005A6A76" w:rsidRDefault="005B7BE0" w14:paraId="07E411DB" w14:textId="1A97B824">
      <w:pPr>
        <w:pStyle w:val="a"/>
        <w:spacing w:line="231" w:lineRule="auto"/>
        <w:ind w:firstLine="0"/>
      </w:pPr>
      <w:r>
        <w:rPr>
          <w:u w:val="single"/>
        </w:rPr>
        <w:t>Purpose:</w:t>
      </w:r>
      <w:r w:rsidRPr="009809C8">
        <w:t xml:space="preserve"> </w:t>
      </w:r>
      <w:r w:rsidR="00D510C5">
        <w:t xml:space="preserve"> </w:t>
      </w:r>
      <w:r>
        <w:t>N</w:t>
      </w:r>
      <w:r w:rsidR="00D510C5">
        <w:t>ecessary to establish the respective rights and responsibilities of the lender and DOI</w:t>
      </w:r>
      <w:r w:rsidR="00B510BF">
        <w:t xml:space="preserve"> </w:t>
      </w:r>
      <w:proofErr w:type="gramStart"/>
      <w:r w:rsidR="00B510BF">
        <w:t>with regard to</w:t>
      </w:r>
      <w:proofErr w:type="gramEnd"/>
      <w:r w:rsidR="00B510BF">
        <w:t xml:space="preserve"> insuring a loan</w:t>
      </w:r>
      <w:r w:rsidR="00D510C5">
        <w:t xml:space="preserve">.  The information is reviewed to ensure the lender is eligible and fully understands its duties under the Program. </w:t>
      </w:r>
      <w:r w:rsidR="00EC2C26">
        <w:t>The name and signature of the Lender, as well as, the Lender’s ABA number and tax identification number, the name of the Lender’s representative, and that person’s title are required for this form.</w:t>
      </w:r>
    </w:p>
    <w:p w:rsidRPr="005A6A76" w:rsidR="005B7BE0" w:rsidP="005A6A76" w:rsidRDefault="005B7BE0" w14:paraId="587FF5CB" w14:textId="57A4D1E9">
      <w:pPr>
        <w:pStyle w:val="a"/>
        <w:spacing w:line="231" w:lineRule="auto"/>
        <w:ind w:firstLine="0"/>
      </w:pPr>
      <w:r>
        <w:rPr>
          <w:u w:val="single"/>
        </w:rPr>
        <w:t>Authority</w:t>
      </w:r>
      <w:r w:rsidRPr="005A6A76">
        <w:t>:</w:t>
      </w:r>
      <w:r w:rsidRPr="005A6A76" w:rsidR="009F26A3">
        <w:t xml:space="preserve"> 25 CFR 103.11</w:t>
      </w:r>
      <w:r w:rsidR="00E76AB6">
        <w:t xml:space="preserve"> </w:t>
      </w:r>
      <w:r w:rsidR="009368D9">
        <w:t>d</w:t>
      </w:r>
      <w:r w:rsidR="007C7761">
        <w:t>escribes the information Zone Managers review to ensure Lenders are eligible to participate in the Program.</w:t>
      </w:r>
    </w:p>
    <w:p w:rsidRPr="00F30BA1" w:rsidR="00D510C5" w:rsidP="005A6A76" w:rsidRDefault="005B7BE0" w14:paraId="112A5574" w14:textId="497FFDE4">
      <w:pPr>
        <w:pStyle w:val="a"/>
        <w:spacing w:line="231" w:lineRule="auto"/>
        <w:ind w:firstLine="0"/>
      </w:pPr>
      <w:r>
        <w:rPr>
          <w:u w:val="single"/>
        </w:rPr>
        <w:t xml:space="preserve">Proposed </w:t>
      </w:r>
      <w:r w:rsidR="00AC039C">
        <w:rPr>
          <w:u w:val="single"/>
        </w:rPr>
        <w:t>R</w:t>
      </w:r>
      <w:r w:rsidR="003635DD">
        <w:rPr>
          <w:u w:val="single"/>
        </w:rPr>
        <w:t>evision:</w:t>
      </w:r>
      <w:r w:rsidRPr="00694595" w:rsidR="003635DD">
        <w:t xml:space="preserve"> </w:t>
      </w:r>
      <w:r w:rsidR="00D510C5">
        <w:t xml:space="preserve"> </w:t>
      </w:r>
      <w:r w:rsidR="001951FD">
        <w:t xml:space="preserve">Adding criteria </w:t>
      </w:r>
      <w:r w:rsidR="00386C1C">
        <w:t xml:space="preserve">for insured lender awards. </w:t>
      </w:r>
      <w:r w:rsidR="00D20260">
        <w:t>DOI</w:t>
      </w:r>
      <w:r w:rsidR="00EF7BDB">
        <w:t xml:space="preserve"> may approve an insured lender under three different classifications (</w:t>
      </w:r>
      <w:r w:rsidR="00B460DB">
        <w:t xml:space="preserve">“DOI Insured Lender”, </w:t>
      </w:r>
      <w:r w:rsidR="00EF7BDB">
        <w:t>“Preferred</w:t>
      </w:r>
      <w:r w:rsidR="00B460DB">
        <w:t xml:space="preserve"> Insured Lender</w:t>
      </w:r>
      <w:r w:rsidR="00EF7BDB">
        <w:t>”</w:t>
      </w:r>
      <w:r w:rsidR="00B460DB">
        <w:t xml:space="preserve">, </w:t>
      </w:r>
      <w:r w:rsidR="00D20260">
        <w:t>or</w:t>
      </w:r>
      <w:r w:rsidR="007D73C6">
        <w:t xml:space="preserve"> </w:t>
      </w:r>
      <w:r w:rsidR="00B460DB">
        <w:t>“Performance Insured Lender”</w:t>
      </w:r>
      <w:r w:rsidR="007D73C6">
        <w:t>)</w:t>
      </w:r>
      <w:r w:rsidR="00EF7BDB">
        <w:t xml:space="preserve"> depending on factors such as the number of loans </w:t>
      </w:r>
      <w:r w:rsidR="00F31B20">
        <w:t>a</w:t>
      </w:r>
      <w:r w:rsidR="00EF7BDB">
        <w:t xml:space="preserve"> </w:t>
      </w:r>
      <w:r w:rsidR="007D73C6">
        <w:t>l</w:t>
      </w:r>
      <w:r w:rsidR="00EF7BDB">
        <w:t xml:space="preserve">ender makes under the Program, the total principal balance of </w:t>
      </w:r>
      <w:r w:rsidR="00F31B20">
        <w:t>a</w:t>
      </w:r>
      <w:r w:rsidR="00EF7BDB">
        <w:t xml:space="preserve"> </w:t>
      </w:r>
      <w:r w:rsidR="00F31B20">
        <w:t>l</w:t>
      </w:r>
      <w:r w:rsidR="00EF7BDB">
        <w:t xml:space="preserve">ender’s Program loans, the number of years </w:t>
      </w:r>
      <w:r w:rsidR="00F31B20">
        <w:t>a</w:t>
      </w:r>
      <w:r w:rsidR="00EF7BDB">
        <w:t xml:space="preserve"> </w:t>
      </w:r>
      <w:r w:rsidR="00F31B20">
        <w:t>l</w:t>
      </w:r>
      <w:r w:rsidR="00EF7BDB">
        <w:t xml:space="preserve">ender stays involved with the Program, the relative benefits and opportunities </w:t>
      </w:r>
      <w:r w:rsidR="00F31B20">
        <w:t>a</w:t>
      </w:r>
      <w:r w:rsidR="00EF7BDB">
        <w:t xml:space="preserve"> </w:t>
      </w:r>
      <w:r w:rsidR="00F31B20">
        <w:t>l</w:t>
      </w:r>
      <w:r w:rsidR="00EF7BDB">
        <w:t xml:space="preserve">ender gives to Indian business efforts through the Program, and </w:t>
      </w:r>
      <w:r w:rsidR="00F31B20">
        <w:t>a l</w:t>
      </w:r>
      <w:r w:rsidR="00EF7BDB">
        <w:t>ender’s overall compliance with Program requirements.</w:t>
      </w:r>
    </w:p>
    <w:p w:rsidRPr="00F30BA1" w:rsidR="002402C3" w:rsidP="00D03D3B" w:rsidRDefault="002402C3" w14:paraId="14EE1D63" w14:textId="77777777">
      <w:pPr>
        <w:pStyle w:val="a"/>
        <w:tabs>
          <w:tab w:val="left" w:pos="-1440"/>
        </w:tabs>
        <w:spacing w:line="231" w:lineRule="auto"/>
      </w:pPr>
    </w:p>
    <w:p w:rsidRPr="00015BB0" w:rsidR="001412D4" w:rsidP="00015BB0" w:rsidRDefault="002402C3" w14:paraId="6EF0BA20" w14:textId="386C24AC">
      <w:pPr>
        <w:pStyle w:val="a"/>
        <w:spacing w:line="231" w:lineRule="auto"/>
        <w:ind w:left="1440"/>
        <w:rPr>
          <w:b/>
          <w:bCs/>
          <w:i/>
          <w:iCs/>
          <w:u w:val="single"/>
        </w:rPr>
      </w:pPr>
      <w:r w:rsidRPr="00015BB0">
        <w:rPr>
          <w:b/>
          <w:bCs/>
          <w:i/>
          <w:iCs/>
          <w:u w:val="single"/>
        </w:rPr>
        <w:t>IA Form RGI10, Request to the Department of the Interior for Loan Guarantee, Loan</w:t>
      </w:r>
      <w:r w:rsidR="00015BB0">
        <w:rPr>
          <w:b/>
          <w:bCs/>
          <w:i/>
          <w:iCs/>
          <w:u w:val="single"/>
        </w:rPr>
        <w:t xml:space="preserve"> </w:t>
      </w:r>
      <w:r w:rsidRPr="00015BB0">
        <w:rPr>
          <w:b/>
          <w:bCs/>
          <w:i/>
          <w:iCs/>
          <w:u w:val="single"/>
        </w:rPr>
        <w:t>Insurance, and/or Interest Subsidy</w:t>
      </w:r>
    </w:p>
    <w:p w:rsidRPr="005A6A76" w:rsidR="001412D4" w:rsidP="005A6A76" w:rsidRDefault="001412D4" w14:paraId="10A14831" w14:textId="4E3BF23D">
      <w:pPr>
        <w:spacing w:line="231" w:lineRule="auto"/>
        <w:ind w:left="720"/>
        <w:rPr>
          <w:sz w:val="24"/>
          <w:szCs w:val="24"/>
        </w:rPr>
      </w:pPr>
      <w:r>
        <w:rPr>
          <w:sz w:val="24"/>
          <w:szCs w:val="24"/>
          <w:u w:val="single"/>
        </w:rPr>
        <w:t>Purpose:</w:t>
      </w:r>
      <w:r w:rsidRPr="00AA7C36">
        <w:rPr>
          <w:sz w:val="24"/>
          <w:szCs w:val="24"/>
        </w:rPr>
        <w:t xml:space="preserve"> </w:t>
      </w:r>
      <w:r>
        <w:rPr>
          <w:sz w:val="24"/>
          <w:szCs w:val="24"/>
        </w:rPr>
        <w:t>L</w:t>
      </w:r>
      <w:r w:rsidRPr="0B820B04" w:rsidR="002402C3">
        <w:rPr>
          <w:sz w:val="24"/>
          <w:szCs w:val="24"/>
        </w:rPr>
        <w:t xml:space="preserve">ists the </w:t>
      </w:r>
      <w:proofErr w:type="gramStart"/>
      <w:r w:rsidRPr="0B820B04" w:rsidR="002402C3">
        <w:rPr>
          <w:sz w:val="24"/>
          <w:szCs w:val="24"/>
        </w:rPr>
        <w:t>lender’s</w:t>
      </w:r>
      <w:proofErr w:type="gramEnd"/>
      <w:r w:rsidRPr="0B820B04" w:rsidR="002402C3">
        <w:rPr>
          <w:sz w:val="24"/>
          <w:szCs w:val="24"/>
        </w:rPr>
        <w:t xml:space="preserve"> and borrower’s names and contact information and describes the purpose and amount of loan, proposed interest rate, repayment schedule, percentage of guarantee requested, the interest rate, and whether the borrower requests interest subsidy.  It is to be submitted by the lender, together with additional information required </w:t>
      </w:r>
      <w:r w:rsidRPr="0B820B04" w:rsidR="002402C3">
        <w:rPr>
          <w:sz w:val="24"/>
          <w:szCs w:val="24"/>
        </w:rPr>
        <w:lastRenderedPageBreak/>
        <w:t xml:space="preserve">by </w:t>
      </w:r>
      <w:r w:rsidR="00D2230B">
        <w:rPr>
          <w:sz w:val="24"/>
          <w:szCs w:val="24"/>
        </w:rPr>
        <w:t xml:space="preserve">the </w:t>
      </w:r>
      <w:r w:rsidRPr="0B820B04" w:rsidR="002402C3">
        <w:rPr>
          <w:sz w:val="24"/>
          <w:szCs w:val="24"/>
        </w:rPr>
        <w:t>regulations.  The information is reviewed to determine if the borrower and its proposed use of loan funds are eligible under the Program, whether there is a reasonable prospect of repayment, and whether the loan and proposed business otherwise conform to statutory and legal requirements.</w:t>
      </w:r>
      <w:r w:rsidRPr="0B820B04" w:rsidR="0043053A">
        <w:rPr>
          <w:color w:val="222222"/>
          <w:sz w:val="24"/>
          <w:szCs w:val="24"/>
        </w:rPr>
        <w:t xml:space="preserve"> </w:t>
      </w:r>
    </w:p>
    <w:p w:rsidR="001412D4" w:rsidP="001412D4" w:rsidRDefault="001412D4" w14:paraId="23A398D8" w14:textId="5E79E228">
      <w:pPr>
        <w:spacing w:line="231" w:lineRule="auto"/>
        <w:ind w:left="720"/>
        <w:rPr>
          <w:sz w:val="24"/>
          <w:szCs w:val="24"/>
        </w:rPr>
      </w:pPr>
      <w:r>
        <w:rPr>
          <w:sz w:val="24"/>
          <w:szCs w:val="24"/>
          <w:u w:val="single"/>
        </w:rPr>
        <w:t>Authority:</w:t>
      </w:r>
      <w:r w:rsidRPr="005A6A76" w:rsidR="002B7426">
        <w:rPr>
          <w:sz w:val="24"/>
          <w:szCs w:val="24"/>
        </w:rPr>
        <w:t xml:space="preserve"> 25 CFR 103.9</w:t>
      </w:r>
      <w:r w:rsidR="009368D9">
        <w:rPr>
          <w:sz w:val="24"/>
          <w:szCs w:val="24"/>
        </w:rPr>
        <w:t xml:space="preserve"> </w:t>
      </w:r>
      <w:r w:rsidR="006C55FE">
        <w:rPr>
          <w:sz w:val="24"/>
          <w:szCs w:val="24"/>
        </w:rPr>
        <w:t>requires a Lender to submit requests for loan guarantees</w:t>
      </w:r>
      <w:r w:rsidR="0064065E">
        <w:rPr>
          <w:sz w:val="24"/>
          <w:szCs w:val="24"/>
        </w:rPr>
        <w:t xml:space="preserve"> or loan insurance</w:t>
      </w:r>
      <w:r w:rsidR="009368D9">
        <w:rPr>
          <w:sz w:val="24"/>
          <w:szCs w:val="24"/>
        </w:rPr>
        <w:t xml:space="preserve">; </w:t>
      </w:r>
      <w:r w:rsidR="00A2616F">
        <w:rPr>
          <w:sz w:val="24"/>
          <w:szCs w:val="24"/>
        </w:rPr>
        <w:t xml:space="preserve">and </w:t>
      </w:r>
      <w:r w:rsidR="00F27465">
        <w:rPr>
          <w:sz w:val="24"/>
          <w:szCs w:val="24"/>
        </w:rPr>
        <w:t>25 CFR 103.26</w:t>
      </w:r>
      <w:r w:rsidR="00A2616F">
        <w:rPr>
          <w:sz w:val="24"/>
          <w:szCs w:val="24"/>
        </w:rPr>
        <w:t xml:space="preserve"> describes the information and documents that must be provided with the request. </w:t>
      </w:r>
    </w:p>
    <w:p w:rsidR="002402C3" w:rsidP="00015BB0" w:rsidRDefault="001412D4" w14:paraId="0DEA2C25" w14:textId="18CC464C">
      <w:pPr>
        <w:spacing w:line="231" w:lineRule="auto"/>
        <w:ind w:left="720"/>
        <w:rPr>
          <w:sz w:val="24"/>
          <w:szCs w:val="24"/>
        </w:rPr>
      </w:pPr>
      <w:r w:rsidRPr="005A6A76">
        <w:rPr>
          <w:color w:val="222222"/>
          <w:sz w:val="24"/>
          <w:szCs w:val="24"/>
          <w:u w:val="single"/>
        </w:rPr>
        <w:t xml:space="preserve">Proposed </w:t>
      </w:r>
      <w:r w:rsidR="003B6D27">
        <w:rPr>
          <w:color w:val="222222"/>
          <w:sz w:val="24"/>
          <w:szCs w:val="24"/>
          <w:u w:val="single"/>
        </w:rPr>
        <w:t>R</w:t>
      </w:r>
      <w:r w:rsidRPr="005A6A76">
        <w:rPr>
          <w:color w:val="222222"/>
          <w:sz w:val="24"/>
          <w:szCs w:val="24"/>
          <w:u w:val="single"/>
        </w:rPr>
        <w:t>evisions</w:t>
      </w:r>
      <w:r>
        <w:rPr>
          <w:color w:val="222222"/>
          <w:sz w:val="24"/>
          <w:szCs w:val="24"/>
        </w:rPr>
        <w:t xml:space="preserve">: </w:t>
      </w:r>
      <w:r w:rsidRPr="00AA7C36" w:rsidR="5A9A21ED">
        <w:rPr>
          <w:sz w:val="24"/>
          <w:szCs w:val="24"/>
        </w:rPr>
        <w:t xml:space="preserve">The </w:t>
      </w:r>
      <w:r w:rsidRPr="00AA7C36" w:rsidR="25880412">
        <w:rPr>
          <w:sz w:val="24"/>
          <w:szCs w:val="24"/>
        </w:rPr>
        <w:t>referenc</w:t>
      </w:r>
      <w:r w:rsidRPr="00AA7C36" w:rsidR="1C2D6DCE">
        <w:rPr>
          <w:sz w:val="24"/>
          <w:szCs w:val="24"/>
        </w:rPr>
        <w:t>e</w:t>
      </w:r>
      <w:r w:rsidRPr="00AA7C36" w:rsidR="25880412">
        <w:rPr>
          <w:sz w:val="24"/>
          <w:szCs w:val="24"/>
        </w:rPr>
        <w:t xml:space="preserve"> to the Program </w:t>
      </w:r>
      <w:r w:rsidRPr="00AA7C36" w:rsidR="1BA57929">
        <w:rPr>
          <w:sz w:val="24"/>
          <w:szCs w:val="24"/>
        </w:rPr>
        <w:t>title</w:t>
      </w:r>
      <w:r w:rsidRPr="00AA7C36" w:rsidR="727DB6BB">
        <w:rPr>
          <w:sz w:val="24"/>
          <w:szCs w:val="24"/>
        </w:rPr>
        <w:t xml:space="preserve"> in the first full paragraph has been changed</w:t>
      </w:r>
      <w:r w:rsidRPr="00AA7C36" w:rsidR="1BA57929">
        <w:rPr>
          <w:sz w:val="24"/>
          <w:szCs w:val="24"/>
        </w:rPr>
        <w:t xml:space="preserve"> </w:t>
      </w:r>
      <w:r w:rsidRPr="00AA7C36" w:rsidR="25880412">
        <w:rPr>
          <w:sz w:val="24"/>
          <w:szCs w:val="24"/>
        </w:rPr>
        <w:t>from “Loan Guaranty, Loan Insurance and Interest Subsidy Program</w:t>
      </w:r>
      <w:r w:rsidRPr="00AA7C36" w:rsidR="503563DB">
        <w:rPr>
          <w:sz w:val="24"/>
          <w:szCs w:val="24"/>
        </w:rPr>
        <w:t>” to “Loan Guarantee, Insurance and Interest Subsidy Program.”</w:t>
      </w:r>
      <w:r w:rsidRPr="00AA7C36" w:rsidR="0917BB78">
        <w:rPr>
          <w:sz w:val="24"/>
          <w:szCs w:val="24"/>
        </w:rPr>
        <w:t xml:space="preserve"> </w:t>
      </w:r>
      <w:r w:rsidRPr="00AA7C36" w:rsidR="000A404B">
        <w:rPr>
          <w:sz w:val="24"/>
          <w:szCs w:val="24"/>
        </w:rPr>
        <w:t xml:space="preserve">The change from “guaranty” to “guarantee” reflects the </w:t>
      </w:r>
      <w:r w:rsidRPr="00AA7C36" w:rsidR="009E38AF">
        <w:rPr>
          <w:sz w:val="24"/>
          <w:szCs w:val="24"/>
        </w:rPr>
        <w:t>same change</w:t>
      </w:r>
      <w:r w:rsidRPr="00AA7C36" w:rsidR="006965E7">
        <w:rPr>
          <w:sz w:val="24"/>
          <w:szCs w:val="24"/>
        </w:rPr>
        <w:t xml:space="preserve"> made previously</w:t>
      </w:r>
      <w:r w:rsidRPr="00AA7C36" w:rsidR="009E38AF">
        <w:rPr>
          <w:sz w:val="24"/>
          <w:szCs w:val="24"/>
        </w:rPr>
        <w:t xml:space="preserve"> to all other Program forms. </w:t>
      </w:r>
      <w:r w:rsidRPr="00AA7C36" w:rsidR="00F355DC">
        <w:rPr>
          <w:sz w:val="24"/>
          <w:szCs w:val="24"/>
        </w:rPr>
        <w:t>Additionally, t</w:t>
      </w:r>
      <w:r w:rsidRPr="00AA7C36" w:rsidR="5A20A598">
        <w:rPr>
          <w:sz w:val="24"/>
          <w:szCs w:val="24"/>
        </w:rPr>
        <w:t xml:space="preserve">he request for ABA No. in the Lender’s signature block on the </w:t>
      </w:r>
      <w:r w:rsidRPr="00AA7C36" w:rsidR="0F21BA73">
        <w:rPr>
          <w:sz w:val="24"/>
          <w:szCs w:val="24"/>
        </w:rPr>
        <w:t>bottom of the form has been removed as it duplicates</w:t>
      </w:r>
      <w:r w:rsidRPr="00AA7C36" w:rsidR="535E597C">
        <w:rPr>
          <w:sz w:val="24"/>
          <w:szCs w:val="24"/>
        </w:rPr>
        <w:t xml:space="preserve"> a request for the same information at the beginning of the form.</w:t>
      </w:r>
      <w:r w:rsidRPr="0B820B04" w:rsidR="535E597C">
        <w:rPr>
          <w:color w:val="222222"/>
          <w:sz w:val="24"/>
          <w:szCs w:val="24"/>
        </w:rPr>
        <w:t xml:space="preserve"> </w:t>
      </w:r>
      <w:r w:rsidRPr="0B820B04" w:rsidR="5A20A598">
        <w:rPr>
          <w:color w:val="222222"/>
          <w:sz w:val="24"/>
          <w:szCs w:val="24"/>
        </w:rPr>
        <w:t xml:space="preserve"> </w:t>
      </w:r>
    </w:p>
    <w:p w:rsidRPr="008C154A" w:rsidR="008C154A" w:rsidP="000D6CB8" w:rsidRDefault="008C154A" w14:paraId="648A555B" w14:textId="77777777">
      <w:pPr>
        <w:tabs>
          <w:tab w:val="left" w:pos="-1440"/>
        </w:tabs>
        <w:spacing w:line="231" w:lineRule="auto"/>
        <w:rPr>
          <w:sz w:val="24"/>
          <w:szCs w:val="24"/>
          <w:u w:val="single"/>
        </w:rPr>
      </w:pPr>
    </w:p>
    <w:p w:rsidRPr="00015BB0" w:rsidR="00E24C41" w:rsidP="00015BB0" w:rsidRDefault="002402C3" w14:paraId="37E5D6C7" w14:textId="24F617E0">
      <w:pPr>
        <w:pStyle w:val="a"/>
        <w:spacing w:line="231" w:lineRule="auto"/>
        <w:ind w:left="1440"/>
        <w:rPr>
          <w:b/>
          <w:bCs/>
          <w:i/>
          <w:iCs/>
          <w:u w:val="single"/>
        </w:rPr>
      </w:pPr>
      <w:r w:rsidRPr="00015BB0">
        <w:rPr>
          <w:b/>
          <w:bCs/>
          <w:i/>
          <w:iCs/>
          <w:u w:val="single"/>
        </w:rPr>
        <w:t xml:space="preserve">IA Form </w:t>
      </w:r>
      <w:r w:rsidRPr="00015BB0" w:rsidR="004A115D">
        <w:rPr>
          <w:b/>
          <w:bCs/>
          <w:i/>
          <w:iCs/>
          <w:u w:val="single"/>
        </w:rPr>
        <w:t>ISR10</w:t>
      </w:r>
      <w:r w:rsidRPr="00015BB0" w:rsidR="00A2109E">
        <w:rPr>
          <w:b/>
          <w:bCs/>
          <w:i/>
          <w:iCs/>
          <w:u w:val="single"/>
        </w:rPr>
        <w:t>, Interest Subsidy Report</w:t>
      </w:r>
      <w:r w:rsidRPr="00015BB0" w:rsidR="004A115D">
        <w:rPr>
          <w:b/>
          <w:bCs/>
          <w:i/>
          <w:iCs/>
          <w:u w:val="single"/>
        </w:rPr>
        <w:t xml:space="preserve"> </w:t>
      </w:r>
    </w:p>
    <w:p w:rsidRPr="002402C3" w:rsidR="002402C3" w:rsidP="00015BB0" w:rsidRDefault="00E24C41" w14:paraId="5F6BA887" w14:textId="47C9E3D1">
      <w:pPr>
        <w:spacing w:line="231" w:lineRule="auto"/>
        <w:ind w:left="720"/>
        <w:rPr>
          <w:sz w:val="24"/>
          <w:szCs w:val="24"/>
        </w:rPr>
      </w:pPr>
      <w:r w:rsidRPr="00353625">
        <w:rPr>
          <w:sz w:val="24"/>
          <w:szCs w:val="24"/>
          <w:u w:val="single"/>
        </w:rPr>
        <w:t>Purpose</w:t>
      </w:r>
      <w:r>
        <w:rPr>
          <w:sz w:val="24"/>
          <w:szCs w:val="24"/>
        </w:rPr>
        <w:t>:</w:t>
      </w:r>
      <w:r w:rsidRPr="002402C3" w:rsidR="002402C3">
        <w:rPr>
          <w:sz w:val="24"/>
          <w:szCs w:val="24"/>
        </w:rPr>
        <w:t xml:space="preserve"> </w:t>
      </w:r>
      <w:r w:rsidR="00A53871">
        <w:rPr>
          <w:sz w:val="24"/>
          <w:szCs w:val="24"/>
        </w:rPr>
        <w:t>S</w:t>
      </w:r>
      <w:r w:rsidRPr="002402C3" w:rsidR="002402C3">
        <w:rPr>
          <w:sz w:val="24"/>
          <w:szCs w:val="24"/>
        </w:rPr>
        <w:t xml:space="preserve">ubmitted by lenders </w:t>
      </w:r>
      <w:r w:rsidR="0011667B">
        <w:rPr>
          <w:sz w:val="24"/>
          <w:szCs w:val="24"/>
        </w:rPr>
        <w:t>to</w:t>
      </w:r>
      <w:r w:rsidRPr="002402C3" w:rsidR="0011667B">
        <w:rPr>
          <w:sz w:val="24"/>
          <w:szCs w:val="24"/>
        </w:rPr>
        <w:t xml:space="preserve"> </w:t>
      </w:r>
      <w:r w:rsidRPr="002402C3" w:rsidR="002402C3">
        <w:rPr>
          <w:sz w:val="24"/>
          <w:szCs w:val="24"/>
        </w:rPr>
        <w:t>calculate and document the amount of interest subsidy that DOI is obligated to reimburse to borrowers. The form for interest subsidy requires:</w:t>
      </w:r>
    </w:p>
    <w:p w:rsidRPr="00F30BA1" w:rsidR="002402C3" w:rsidP="002402C3" w:rsidRDefault="002402C3" w14:paraId="402D1A43" w14:textId="77777777">
      <w:pPr>
        <w:numPr>
          <w:ilvl w:val="0"/>
          <w:numId w:val="19"/>
        </w:numPr>
        <w:rPr>
          <w:sz w:val="24"/>
          <w:szCs w:val="24"/>
        </w:rPr>
      </w:pPr>
      <w:r w:rsidRPr="00F30BA1">
        <w:rPr>
          <w:sz w:val="24"/>
          <w:szCs w:val="24"/>
        </w:rPr>
        <w:t>Lender’s name and address, to identify who is reporting;</w:t>
      </w:r>
    </w:p>
    <w:p w:rsidRPr="00F30BA1" w:rsidR="002402C3" w:rsidP="002402C3" w:rsidRDefault="002402C3" w14:paraId="1D55404D" w14:textId="77777777">
      <w:pPr>
        <w:numPr>
          <w:ilvl w:val="0"/>
          <w:numId w:val="19"/>
        </w:numPr>
        <w:rPr>
          <w:sz w:val="24"/>
          <w:szCs w:val="24"/>
        </w:rPr>
      </w:pPr>
      <w:r w:rsidRPr="00F30BA1">
        <w:rPr>
          <w:sz w:val="24"/>
          <w:szCs w:val="24"/>
        </w:rPr>
        <w:t>Borrower’s name and address;</w:t>
      </w:r>
    </w:p>
    <w:p w:rsidRPr="00015BB0" w:rsidR="002402C3" w:rsidP="002402C3" w:rsidRDefault="002402C3" w14:paraId="487664EB" w14:textId="0D9D22DA">
      <w:pPr>
        <w:numPr>
          <w:ilvl w:val="0"/>
          <w:numId w:val="19"/>
        </w:numPr>
        <w:rPr>
          <w:sz w:val="24"/>
          <w:szCs w:val="24"/>
        </w:rPr>
      </w:pPr>
      <w:r w:rsidRPr="00F30BA1">
        <w:rPr>
          <w:sz w:val="24"/>
          <w:szCs w:val="24"/>
        </w:rPr>
        <w:t xml:space="preserve">The reporting </w:t>
      </w:r>
      <w:proofErr w:type="gramStart"/>
      <w:r w:rsidRPr="00F30BA1">
        <w:rPr>
          <w:sz w:val="24"/>
          <w:szCs w:val="24"/>
        </w:rPr>
        <w:t>period;</w:t>
      </w:r>
      <w:proofErr w:type="gramEnd"/>
    </w:p>
    <w:p w:rsidRPr="00F30BA1" w:rsidR="002402C3" w:rsidP="002402C3" w:rsidRDefault="002402C3" w14:paraId="010A5F4C" w14:textId="77777777">
      <w:pPr>
        <w:ind w:left="720"/>
        <w:rPr>
          <w:sz w:val="24"/>
          <w:szCs w:val="24"/>
        </w:rPr>
      </w:pPr>
      <w:r w:rsidRPr="00F30BA1">
        <w:rPr>
          <w:sz w:val="24"/>
          <w:szCs w:val="24"/>
        </w:rPr>
        <w:t>The body of the annual report on the status of the loan(s) is submitted on Exhibit A</w:t>
      </w:r>
      <w:r>
        <w:rPr>
          <w:sz w:val="24"/>
          <w:szCs w:val="24"/>
        </w:rPr>
        <w:t xml:space="preserve"> (Calculation Page) of IA Form ISR10</w:t>
      </w:r>
      <w:r w:rsidRPr="00F30BA1">
        <w:rPr>
          <w:sz w:val="24"/>
          <w:szCs w:val="24"/>
        </w:rPr>
        <w:t>.  More than one report on other borrowers may be included.</w:t>
      </w:r>
    </w:p>
    <w:p w:rsidRPr="00F30BA1" w:rsidR="002402C3" w:rsidP="002402C3" w:rsidRDefault="002402C3" w14:paraId="05F68482" w14:textId="77777777">
      <w:pPr>
        <w:numPr>
          <w:ilvl w:val="0"/>
          <w:numId w:val="19"/>
        </w:numPr>
        <w:rPr>
          <w:sz w:val="24"/>
          <w:szCs w:val="24"/>
        </w:rPr>
      </w:pPr>
      <w:r w:rsidRPr="0B820B04">
        <w:rPr>
          <w:sz w:val="24"/>
          <w:szCs w:val="24"/>
        </w:rPr>
        <w:t>Exhibit A (Calculation Page) is used by the lender to report the status of loan(s), and requires:</w:t>
      </w:r>
    </w:p>
    <w:p w:rsidR="002402C3" w:rsidP="002402C3" w:rsidRDefault="002402C3" w14:paraId="5D4634E9" w14:textId="216E02DA">
      <w:pPr>
        <w:numPr>
          <w:ilvl w:val="1"/>
          <w:numId w:val="19"/>
        </w:numPr>
        <w:rPr>
          <w:sz w:val="24"/>
          <w:szCs w:val="24"/>
        </w:rPr>
      </w:pPr>
      <w:r w:rsidRPr="4D37C57D">
        <w:rPr>
          <w:sz w:val="24"/>
          <w:szCs w:val="24"/>
        </w:rPr>
        <w:t>Loan Guarantee Certificate No. or the Loan Insurance Agreement No</w:t>
      </w:r>
      <w:r w:rsidRPr="4D37C57D" w:rsidR="588D8C07">
        <w:rPr>
          <w:sz w:val="24"/>
          <w:szCs w:val="24"/>
        </w:rPr>
        <w:t>.;</w:t>
      </w:r>
    </w:p>
    <w:p w:rsidRPr="00F30BA1" w:rsidR="002402C3" w:rsidP="002402C3" w:rsidRDefault="002402C3" w14:paraId="6968B122" w14:textId="77777777">
      <w:pPr>
        <w:numPr>
          <w:ilvl w:val="1"/>
          <w:numId w:val="19"/>
        </w:numPr>
        <w:rPr>
          <w:sz w:val="24"/>
          <w:szCs w:val="24"/>
        </w:rPr>
      </w:pPr>
      <w:r>
        <w:rPr>
          <w:sz w:val="24"/>
          <w:szCs w:val="24"/>
        </w:rPr>
        <w:t>D</w:t>
      </w:r>
      <w:r w:rsidRPr="00F30BA1">
        <w:rPr>
          <w:sz w:val="24"/>
          <w:szCs w:val="24"/>
        </w:rPr>
        <w:t xml:space="preserve">ate of the loan; </w:t>
      </w:r>
    </w:p>
    <w:p w:rsidRPr="00F30BA1" w:rsidR="002402C3" w:rsidP="002402C3" w:rsidRDefault="002402C3" w14:paraId="706041CF" w14:textId="77777777">
      <w:pPr>
        <w:numPr>
          <w:ilvl w:val="1"/>
          <w:numId w:val="19"/>
        </w:numPr>
        <w:rPr>
          <w:sz w:val="24"/>
          <w:szCs w:val="24"/>
        </w:rPr>
      </w:pPr>
      <w:r w:rsidRPr="00F30BA1">
        <w:rPr>
          <w:sz w:val="24"/>
          <w:szCs w:val="24"/>
        </w:rPr>
        <w:t>Date of DOI insurance approval</w:t>
      </w:r>
      <w:r>
        <w:rPr>
          <w:sz w:val="24"/>
          <w:szCs w:val="24"/>
        </w:rPr>
        <w:t>, if applicable</w:t>
      </w:r>
      <w:r w:rsidRPr="00F30BA1">
        <w:rPr>
          <w:sz w:val="24"/>
          <w:szCs w:val="24"/>
        </w:rPr>
        <w:t xml:space="preserve">; </w:t>
      </w:r>
    </w:p>
    <w:p w:rsidRPr="00F30BA1" w:rsidR="002402C3" w:rsidP="002402C3" w:rsidRDefault="002402C3" w14:paraId="37C9A7F2" w14:textId="77777777">
      <w:pPr>
        <w:numPr>
          <w:ilvl w:val="1"/>
          <w:numId w:val="19"/>
        </w:numPr>
        <w:rPr>
          <w:sz w:val="24"/>
          <w:szCs w:val="24"/>
        </w:rPr>
      </w:pPr>
      <w:r w:rsidRPr="00F30BA1">
        <w:rPr>
          <w:sz w:val="24"/>
          <w:szCs w:val="24"/>
        </w:rPr>
        <w:t xml:space="preserve">Original </w:t>
      </w:r>
      <w:r>
        <w:rPr>
          <w:sz w:val="24"/>
          <w:szCs w:val="24"/>
        </w:rPr>
        <w:t>l</w:t>
      </w:r>
      <w:r w:rsidRPr="00F30BA1">
        <w:rPr>
          <w:sz w:val="24"/>
          <w:szCs w:val="24"/>
        </w:rPr>
        <w:t xml:space="preserve">oan </w:t>
      </w:r>
      <w:r>
        <w:rPr>
          <w:sz w:val="24"/>
          <w:szCs w:val="24"/>
        </w:rPr>
        <w:t>p</w:t>
      </w:r>
      <w:r w:rsidRPr="00F30BA1">
        <w:rPr>
          <w:sz w:val="24"/>
          <w:szCs w:val="24"/>
        </w:rPr>
        <w:t xml:space="preserve">rincipal </w:t>
      </w:r>
      <w:r>
        <w:rPr>
          <w:sz w:val="24"/>
          <w:szCs w:val="24"/>
        </w:rPr>
        <w:t>a</w:t>
      </w:r>
      <w:r w:rsidRPr="00F30BA1">
        <w:rPr>
          <w:sz w:val="24"/>
          <w:szCs w:val="24"/>
        </w:rPr>
        <w:t xml:space="preserve">mount and the </w:t>
      </w:r>
      <w:r>
        <w:rPr>
          <w:sz w:val="24"/>
          <w:szCs w:val="24"/>
        </w:rPr>
        <w:t>l</w:t>
      </w:r>
      <w:r w:rsidRPr="00F30BA1">
        <w:rPr>
          <w:sz w:val="24"/>
          <w:szCs w:val="24"/>
        </w:rPr>
        <w:t xml:space="preserve">ender’s internal loan number  </w:t>
      </w:r>
      <w:r>
        <w:rPr>
          <w:sz w:val="24"/>
          <w:szCs w:val="24"/>
        </w:rPr>
        <w:t>(t</w:t>
      </w:r>
      <w:r w:rsidRPr="00F30BA1">
        <w:rPr>
          <w:sz w:val="24"/>
          <w:szCs w:val="24"/>
        </w:rPr>
        <w:t>hese help identify about which loan is being reported</w:t>
      </w:r>
      <w:r>
        <w:rPr>
          <w:sz w:val="24"/>
          <w:szCs w:val="24"/>
        </w:rPr>
        <w:t>); and</w:t>
      </w:r>
    </w:p>
    <w:p w:rsidR="002402C3" w:rsidP="002402C3" w:rsidRDefault="002402C3" w14:paraId="4E3CD198" w14:textId="77777777">
      <w:pPr>
        <w:numPr>
          <w:ilvl w:val="1"/>
          <w:numId w:val="19"/>
        </w:numPr>
        <w:rPr>
          <w:sz w:val="24"/>
          <w:szCs w:val="24"/>
        </w:rPr>
      </w:pPr>
      <w:r w:rsidRPr="00F30BA1">
        <w:rPr>
          <w:sz w:val="24"/>
          <w:szCs w:val="24"/>
        </w:rPr>
        <w:t xml:space="preserve">5 </w:t>
      </w:r>
      <w:r>
        <w:rPr>
          <w:sz w:val="24"/>
          <w:szCs w:val="24"/>
        </w:rPr>
        <w:t>calculations the lender must make and</w:t>
      </w:r>
      <w:r w:rsidRPr="00F30BA1">
        <w:rPr>
          <w:sz w:val="24"/>
          <w:szCs w:val="24"/>
        </w:rPr>
        <w:t xml:space="preserve"> report to allow determination of the subsidy due from DOI.</w:t>
      </w:r>
    </w:p>
    <w:p w:rsidR="00E24C41" w:rsidP="00015BB0" w:rsidRDefault="00E24C41" w14:paraId="72A97B69" w14:textId="1FF6299F">
      <w:pPr>
        <w:spacing w:line="231" w:lineRule="auto"/>
        <w:ind w:left="720"/>
        <w:rPr>
          <w:sz w:val="24"/>
          <w:szCs w:val="24"/>
        </w:rPr>
      </w:pPr>
      <w:r w:rsidRPr="00353625">
        <w:rPr>
          <w:sz w:val="24"/>
          <w:szCs w:val="24"/>
          <w:u w:val="single"/>
        </w:rPr>
        <w:t>Authority</w:t>
      </w:r>
      <w:r>
        <w:rPr>
          <w:sz w:val="24"/>
          <w:szCs w:val="24"/>
        </w:rPr>
        <w:t>:</w:t>
      </w:r>
      <w:r w:rsidR="00C55124">
        <w:rPr>
          <w:sz w:val="24"/>
          <w:szCs w:val="24"/>
        </w:rPr>
        <w:t xml:space="preserve"> 25 CFR 103.22 </w:t>
      </w:r>
      <w:r w:rsidR="00BC4FC4">
        <w:rPr>
          <w:sz w:val="24"/>
          <w:szCs w:val="24"/>
        </w:rPr>
        <w:t>and</w:t>
      </w:r>
      <w:r w:rsidR="00A27828">
        <w:rPr>
          <w:sz w:val="24"/>
          <w:szCs w:val="24"/>
        </w:rPr>
        <w:t xml:space="preserve"> </w:t>
      </w:r>
      <w:r w:rsidR="00C55124">
        <w:rPr>
          <w:sz w:val="24"/>
          <w:szCs w:val="24"/>
        </w:rPr>
        <w:t>103.23</w:t>
      </w:r>
      <w:r w:rsidR="00BC4FC4">
        <w:rPr>
          <w:sz w:val="24"/>
          <w:szCs w:val="24"/>
        </w:rPr>
        <w:t xml:space="preserve"> d</w:t>
      </w:r>
      <w:r w:rsidR="00E53FE1">
        <w:rPr>
          <w:sz w:val="24"/>
          <w:szCs w:val="24"/>
        </w:rPr>
        <w:t>escribe</w:t>
      </w:r>
      <w:r w:rsidR="00A246D0">
        <w:rPr>
          <w:sz w:val="24"/>
          <w:szCs w:val="24"/>
        </w:rPr>
        <w:t xml:space="preserve"> when interest subsidy may be appropriate</w:t>
      </w:r>
      <w:r w:rsidR="00AA111B">
        <w:rPr>
          <w:sz w:val="24"/>
          <w:szCs w:val="24"/>
        </w:rPr>
        <w:t xml:space="preserve">, </w:t>
      </w:r>
      <w:r w:rsidR="00A246D0">
        <w:rPr>
          <w:sz w:val="24"/>
          <w:szCs w:val="24"/>
        </w:rPr>
        <w:t xml:space="preserve">what factors Zone Managers </w:t>
      </w:r>
      <w:r w:rsidR="00DF1D57">
        <w:rPr>
          <w:sz w:val="24"/>
          <w:szCs w:val="24"/>
        </w:rPr>
        <w:t>look at when reviewing requests for interest subsidy</w:t>
      </w:r>
      <w:r w:rsidR="00AA111B">
        <w:rPr>
          <w:sz w:val="24"/>
          <w:szCs w:val="24"/>
        </w:rPr>
        <w:t xml:space="preserve">, and how to </w:t>
      </w:r>
      <w:r w:rsidR="00DF1D57">
        <w:rPr>
          <w:sz w:val="24"/>
          <w:szCs w:val="24"/>
        </w:rPr>
        <w:t xml:space="preserve"> </w:t>
      </w:r>
      <w:r w:rsidR="00A27828">
        <w:rPr>
          <w:sz w:val="24"/>
          <w:szCs w:val="24"/>
        </w:rPr>
        <w:t>calculate</w:t>
      </w:r>
      <w:r w:rsidR="00DF1D57">
        <w:rPr>
          <w:sz w:val="24"/>
          <w:szCs w:val="24"/>
        </w:rPr>
        <w:t xml:space="preserve"> interest subsidy. </w:t>
      </w:r>
    </w:p>
    <w:p w:rsidRPr="00F30BA1" w:rsidR="002402C3" w:rsidP="00015BB0" w:rsidRDefault="00E24C41" w14:paraId="6273E74B" w14:textId="31055FBB">
      <w:pPr>
        <w:spacing w:line="231" w:lineRule="auto"/>
        <w:ind w:left="720"/>
        <w:rPr>
          <w:sz w:val="24"/>
          <w:szCs w:val="24"/>
        </w:rPr>
      </w:pPr>
      <w:r w:rsidRPr="00353625">
        <w:rPr>
          <w:sz w:val="24"/>
          <w:szCs w:val="24"/>
          <w:u w:val="single"/>
        </w:rPr>
        <w:t>Proposed revisions</w:t>
      </w:r>
      <w:r>
        <w:rPr>
          <w:sz w:val="24"/>
          <w:szCs w:val="24"/>
        </w:rPr>
        <w:t xml:space="preserve">: </w:t>
      </w:r>
      <w:r w:rsidRPr="0B820B04" w:rsidR="38FD7F76">
        <w:rPr>
          <w:sz w:val="24"/>
          <w:szCs w:val="24"/>
        </w:rPr>
        <w:t xml:space="preserve">References to “BIA” in </w:t>
      </w:r>
      <w:r w:rsidR="00CA15B9">
        <w:rPr>
          <w:sz w:val="24"/>
          <w:szCs w:val="24"/>
        </w:rPr>
        <w:t>E</w:t>
      </w:r>
      <w:r w:rsidRPr="0B820B04" w:rsidR="38FD7F76">
        <w:rPr>
          <w:sz w:val="24"/>
          <w:szCs w:val="24"/>
        </w:rPr>
        <w:t xml:space="preserve">xhibit A have been changed to “IA” as the Program is </w:t>
      </w:r>
      <w:r w:rsidRPr="0B820B04" w:rsidR="45008002">
        <w:rPr>
          <w:sz w:val="24"/>
          <w:szCs w:val="24"/>
        </w:rPr>
        <w:t>no longer under BIA administration.</w:t>
      </w:r>
      <w:r w:rsidR="00740AAA">
        <w:rPr>
          <w:sz w:val="24"/>
          <w:szCs w:val="24"/>
        </w:rPr>
        <w:t xml:space="preserve"> Additionally, </w:t>
      </w:r>
      <w:r w:rsidR="00816DA1">
        <w:rPr>
          <w:sz w:val="24"/>
          <w:szCs w:val="24"/>
        </w:rPr>
        <w:t xml:space="preserve">the </w:t>
      </w:r>
      <w:r w:rsidR="00D46768">
        <w:rPr>
          <w:sz w:val="24"/>
          <w:szCs w:val="24"/>
        </w:rPr>
        <w:t>equation for</w:t>
      </w:r>
      <w:r w:rsidR="00816DA1">
        <w:rPr>
          <w:sz w:val="24"/>
          <w:szCs w:val="24"/>
        </w:rPr>
        <w:t xml:space="preserve"> calculat</w:t>
      </w:r>
      <w:r w:rsidR="00D46768">
        <w:rPr>
          <w:sz w:val="24"/>
          <w:szCs w:val="24"/>
        </w:rPr>
        <w:t>ing</w:t>
      </w:r>
      <w:r w:rsidR="00816DA1">
        <w:rPr>
          <w:sz w:val="24"/>
          <w:szCs w:val="24"/>
        </w:rPr>
        <w:t xml:space="preserve"> interest subsidy payments has been updated to properly reflect the regulations. </w:t>
      </w:r>
      <w:r w:rsidRPr="00015BB0" w:rsidR="00741B57">
        <w:rPr>
          <w:sz w:val="24"/>
          <w:szCs w:val="24"/>
        </w:rPr>
        <w:t xml:space="preserve">Exhibit A directed the lender to fix only the Treasury rate in effect on the date of interest subsidy (thus meaning the Treasury rate doesn't change), but then </w:t>
      </w:r>
      <w:r w:rsidRPr="00015BB0" w:rsidR="00C477B4">
        <w:rPr>
          <w:sz w:val="24"/>
          <w:szCs w:val="24"/>
        </w:rPr>
        <w:t xml:space="preserve">compared </w:t>
      </w:r>
      <w:r w:rsidRPr="00015BB0" w:rsidR="00741B57">
        <w:rPr>
          <w:sz w:val="24"/>
          <w:szCs w:val="24"/>
        </w:rPr>
        <w:t xml:space="preserve">that with the lender's rate of interest from time to time. </w:t>
      </w:r>
      <w:r w:rsidR="00CA15B9">
        <w:rPr>
          <w:sz w:val="24"/>
          <w:szCs w:val="24"/>
        </w:rPr>
        <w:t xml:space="preserve">Zone Managers typically instructed Lender’s approved for interest subsidy to ignore Exhibit A as </w:t>
      </w:r>
      <w:r w:rsidR="006555B4">
        <w:rPr>
          <w:sz w:val="24"/>
          <w:szCs w:val="24"/>
        </w:rPr>
        <w:t xml:space="preserve">25 C.F.R. 103.22 </w:t>
      </w:r>
      <w:r w:rsidR="00BE0810">
        <w:rPr>
          <w:sz w:val="24"/>
          <w:szCs w:val="24"/>
        </w:rPr>
        <w:t>sets the</w:t>
      </w:r>
      <w:r w:rsidR="005024D5">
        <w:rPr>
          <w:sz w:val="24"/>
          <w:szCs w:val="24"/>
        </w:rPr>
        <w:t xml:space="preserve"> subsidy</w:t>
      </w:r>
      <w:r w:rsidR="00BE0810">
        <w:rPr>
          <w:sz w:val="24"/>
          <w:szCs w:val="24"/>
        </w:rPr>
        <w:t xml:space="preserve"> payment calculation as the </w:t>
      </w:r>
      <w:r w:rsidR="006F5141">
        <w:rPr>
          <w:sz w:val="24"/>
          <w:szCs w:val="24"/>
        </w:rPr>
        <w:t xml:space="preserve">difference between the lender’s rate of interest </w:t>
      </w:r>
      <w:r w:rsidR="00090115">
        <w:rPr>
          <w:sz w:val="24"/>
          <w:szCs w:val="24"/>
        </w:rPr>
        <w:t>as of</w:t>
      </w:r>
      <w:r w:rsidR="007510E1">
        <w:rPr>
          <w:sz w:val="24"/>
          <w:szCs w:val="24"/>
        </w:rPr>
        <w:t xml:space="preserve"> th</w:t>
      </w:r>
      <w:r w:rsidR="000B69DA">
        <w:rPr>
          <w:sz w:val="24"/>
          <w:szCs w:val="24"/>
        </w:rPr>
        <w:t>e</w:t>
      </w:r>
      <w:r w:rsidR="007510E1">
        <w:rPr>
          <w:sz w:val="24"/>
          <w:szCs w:val="24"/>
        </w:rPr>
        <w:t xml:space="preserve"> day </w:t>
      </w:r>
      <w:r w:rsidR="000B69DA">
        <w:rPr>
          <w:sz w:val="24"/>
          <w:szCs w:val="24"/>
        </w:rPr>
        <w:t xml:space="preserve">the interest subsidy is approved </w:t>
      </w:r>
      <w:r w:rsidR="006F5141">
        <w:rPr>
          <w:sz w:val="24"/>
          <w:szCs w:val="24"/>
        </w:rPr>
        <w:t xml:space="preserve">and the </w:t>
      </w:r>
      <w:r w:rsidR="005551BC">
        <w:rPr>
          <w:sz w:val="24"/>
          <w:szCs w:val="24"/>
        </w:rPr>
        <w:t>U.S. Department of Treasury rate</w:t>
      </w:r>
      <w:r w:rsidR="001053E9">
        <w:rPr>
          <w:sz w:val="24"/>
          <w:szCs w:val="24"/>
        </w:rPr>
        <w:t xml:space="preserve"> for the same day</w:t>
      </w:r>
      <w:r w:rsidR="005551BC">
        <w:rPr>
          <w:sz w:val="24"/>
          <w:szCs w:val="24"/>
        </w:rPr>
        <w:t>.</w:t>
      </w:r>
      <w:r w:rsidR="00741B57">
        <w:rPr>
          <w:sz w:val="24"/>
          <w:szCs w:val="24"/>
        </w:rPr>
        <w:t xml:space="preserve"> </w:t>
      </w:r>
    </w:p>
    <w:p w:rsidRPr="001C1090" w:rsidR="003B3F01" w:rsidP="003B3F01" w:rsidRDefault="003B3F01" w14:paraId="4EF115AF" w14:textId="77777777">
      <w:pPr>
        <w:tabs>
          <w:tab w:val="left" w:pos="-1440"/>
        </w:tabs>
        <w:spacing w:line="231" w:lineRule="auto"/>
        <w:ind w:left="720"/>
        <w:rPr>
          <w:sz w:val="24"/>
          <w:szCs w:val="24"/>
        </w:rPr>
      </w:pPr>
    </w:p>
    <w:p w:rsidRPr="007C55E5" w:rsidR="002402C3" w:rsidP="007C55E5" w:rsidRDefault="002402C3" w14:paraId="66DCE456" w14:textId="77777777">
      <w:pPr>
        <w:rPr>
          <w:sz w:val="24"/>
          <w:szCs w:val="24"/>
        </w:rPr>
      </w:pPr>
    </w:p>
    <w:p w:rsidRPr="00015BB0" w:rsidR="00AC7510" w:rsidP="00015BB0" w:rsidRDefault="002402C3" w14:paraId="71BF0CD6" w14:textId="2A35AF26">
      <w:pPr>
        <w:pStyle w:val="a"/>
        <w:spacing w:line="231" w:lineRule="auto"/>
        <w:ind w:left="1440"/>
      </w:pPr>
      <w:r w:rsidRPr="00015BB0">
        <w:rPr>
          <w:b/>
          <w:bCs/>
          <w:i/>
          <w:iCs/>
          <w:u w:val="single"/>
        </w:rPr>
        <w:lastRenderedPageBreak/>
        <w:t>IA Form NOD10, Notice of Default</w:t>
      </w:r>
    </w:p>
    <w:p w:rsidR="00AC7510" w:rsidP="00AC7510" w:rsidRDefault="00AC7510" w14:paraId="0649C4DC" w14:textId="774BC3CE">
      <w:pPr>
        <w:ind w:left="720"/>
        <w:rPr>
          <w:sz w:val="24"/>
          <w:szCs w:val="24"/>
        </w:rPr>
      </w:pPr>
      <w:r>
        <w:rPr>
          <w:sz w:val="24"/>
          <w:szCs w:val="24"/>
        </w:rPr>
        <w:t>Purpose: U</w:t>
      </w:r>
      <w:r w:rsidRPr="0B820B04" w:rsidR="002402C3">
        <w:rPr>
          <w:sz w:val="24"/>
          <w:szCs w:val="24"/>
        </w:rPr>
        <w:t xml:space="preserve">sed to document when a loan has gone into default.  The form requests the IA Loan Guarantee Certificate Number or IA Loan Insurance Agreement Number, lender’s name, and borrower’s name. </w:t>
      </w:r>
      <w:r w:rsidR="00C33EB5">
        <w:rPr>
          <w:sz w:val="24"/>
          <w:szCs w:val="24"/>
        </w:rPr>
        <w:t xml:space="preserve"> </w:t>
      </w:r>
      <w:r w:rsidRPr="0B820B04" w:rsidR="002402C3">
        <w:rPr>
          <w:sz w:val="24"/>
          <w:szCs w:val="24"/>
        </w:rPr>
        <w:t>It requires the percentage of the loan that DOI guaranteed, the original loan principal amount, the lender’s internal loan number, and whether an Interest Sub</w:t>
      </w:r>
      <w:r w:rsidRPr="0B820B04" w:rsidR="00235D73">
        <w:rPr>
          <w:sz w:val="24"/>
          <w:szCs w:val="24"/>
        </w:rPr>
        <w:t xml:space="preserve">sidy was awarded. </w:t>
      </w:r>
      <w:r w:rsidR="00AA111B">
        <w:rPr>
          <w:sz w:val="24"/>
          <w:szCs w:val="24"/>
        </w:rPr>
        <w:t xml:space="preserve"> </w:t>
      </w:r>
      <w:r w:rsidRPr="0B820B04" w:rsidR="00235D73">
        <w:rPr>
          <w:sz w:val="24"/>
          <w:szCs w:val="24"/>
        </w:rPr>
        <w:t xml:space="preserve">These help IA </w:t>
      </w:r>
      <w:r w:rsidRPr="0B820B04" w:rsidR="08ECCFB7">
        <w:rPr>
          <w:sz w:val="24"/>
          <w:szCs w:val="24"/>
        </w:rPr>
        <w:t>identify</w:t>
      </w:r>
      <w:r w:rsidRPr="0B820B04" w:rsidR="002402C3">
        <w:rPr>
          <w:sz w:val="24"/>
          <w:szCs w:val="24"/>
        </w:rPr>
        <w:t xml:space="preserve"> the exact loan being dealt with as well as the gravity of the default.  The lender supplies the earliest date of default and all the bases for default. </w:t>
      </w:r>
      <w:r w:rsidR="00857B00">
        <w:rPr>
          <w:sz w:val="24"/>
          <w:szCs w:val="24"/>
        </w:rPr>
        <w:t xml:space="preserve"> </w:t>
      </w:r>
      <w:r w:rsidRPr="0B820B04" w:rsidR="002402C3">
        <w:rPr>
          <w:sz w:val="24"/>
          <w:szCs w:val="24"/>
        </w:rPr>
        <w:t xml:space="preserve">In the case of monetary default, certain information must be supplied such as </w:t>
      </w:r>
      <w:r w:rsidR="00857B00">
        <w:rPr>
          <w:sz w:val="24"/>
          <w:szCs w:val="24"/>
        </w:rPr>
        <w:t xml:space="preserve">the </w:t>
      </w:r>
      <w:r w:rsidRPr="0B820B04" w:rsidR="002402C3">
        <w:rPr>
          <w:sz w:val="24"/>
          <w:szCs w:val="24"/>
        </w:rPr>
        <w:t>amount past due of principal and interest, amount of late fees, and any precautionary advances.</w:t>
      </w:r>
      <w:r w:rsidR="00857B00">
        <w:rPr>
          <w:sz w:val="24"/>
          <w:szCs w:val="24"/>
        </w:rPr>
        <w:t xml:space="preserve"> </w:t>
      </w:r>
      <w:r w:rsidRPr="0B820B04" w:rsidR="002402C3">
        <w:rPr>
          <w:sz w:val="24"/>
          <w:szCs w:val="24"/>
        </w:rPr>
        <w:t xml:space="preserve"> The lender must also list any other amounts claimed and the date through which interest has been calculated. </w:t>
      </w:r>
      <w:r w:rsidR="00857B00">
        <w:rPr>
          <w:sz w:val="24"/>
          <w:szCs w:val="24"/>
        </w:rPr>
        <w:t xml:space="preserve"> </w:t>
      </w:r>
      <w:r w:rsidRPr="0B820B04" w:rsidR="002402C3">
        <w:rPr>
          <w:sz w:val="24"/>
          <w:szCs w:val="24"/>
        </w:rPr>
        <w:t xml:space="preserve">The lender details the correspondence or other contacts with the borrower and the dates. </w:t>
      </w:r>
      <w:r w:rsidR="00857B00">
        <w:rPr>
          <w:sz w:val="24"/>
          <w:szCs w:val="24"/>
        </w:rPr>
        <w:t xml:space="preserve"> </w:t>
      </w:r>
      <w:r w:rsidRPr="0B820B04" w:rsidR="002402C3">
        <w:rPr>
          <w:sz w:val="24"/>
          <w:szCs w:val="24"/>
        </w:rPr>
        <w:t xml:space="preserve">The lender also lists the precise nature of any action the borrower could take to cure the default. </w:t>
      </w:r>
      <w:r w:rsidR="00B35133">
        <w:rPr>
          <w:sz w:val="24"/>
          <w:szCs w:val="24"/>
        </w:rPr>
        <w:t xml:space="preserve"> </w:t>
      </w:r>
      <w:r w:rsidRPr="0B820B04" w:rsidR="002402C3">
        <w:rPr>
          <w:sz w:val="24"/>
          <w:szCs w:val="24"/>
        </w:rPr>
        <w:t>The lender</w:t>
      </w:r>
      <w:r w:rsidR="00B35133">
        <w:rPr>
          <w:sz w:val="24"/>
          <w:szCs w:val="24"/>
        </w:rPr>
        <w:t xml:space="preserve"> must</w:t>
      </w:r>
      <w:r w:rsidRPr="0B820B04" w:rsidR="002402C3">
        <w:rPr>
          <w:sz w:val="24"/>
          <w:szCs w:val="24"/>
        </w:rPr>
        <w:t xml:space="preserve"> also list any other special circumstances about the default, such as a principal or guarantor facing bankruptcy proceedings. </w:t>
      </w:r>
      <w:r w:rsidR="00B35133">
        <w:rPr>
          <w:sz w:val="24"/>
          <w:szCs w:val="24"/>
        </w:rPr>
        <w:t xml:space="preserve"> </w:t>
      </w:r>
      <w:r w:rsidRPr="0B820B04" w:rsidR="002402C3">
        <w:rPr>
          <w:sz w:val="24"/>
          <w:szCs w:val="24"/>
        </w:rPr>
        <w:t>This information helps DOI determine the extent to which counseling or other intervention could help cure the default.</w:t>
      </w:r>
      <w:r w:rsidRPr="0B820B04" w:rsidR="7601D775">
        <w:rPr>
          <w:sz w:val="24"/>
          <w:szCs w:val="24"/>
        </w:rPr>
        <w:t xml:space="preserve"> </w:t>
      </w:r>
    </w:p>
    <w:p w:rsidR="003C432F" w:rsidP="00AC7510" w:rsidRDefault="00AC7510" w14:paraId="6E57A9B1" w14:textId="30A3AC73">
      <w:pPr>
        <w:ind w:left="720"/>
        <w:rPr>
          <w:sz w:val="24"/>
          <w:szCs w:val="24"/>
        </w:rPr>
      </w:pPr>
      <w:r w:rsidRPr="00353625">
        <w:rPr>
          <w:sz w:val="24"/>
          <w:szCs w:val="24"/>
          <w:u w:val="single"/>
        </w:rPr>
        <w:t>Authority</w:t>
      </w:r>
      <w:r>
        <w:rPr>
          <w:sz w:val="24"/>
          <w:szCs w:val="24"/>
        </w:rPr>
        <w:t xml:space="preserve">: </w:t>
      </w:r>
      <w:r w:rsidR="003C432F">
        <w:rPr>
          <w:sz w:val="24"/>
          <w:szCs w:val="24"/>
        </w:rPr>
        <w:t xml:space="preserve">25 CFR 103.35(a) </w:t>
      </w:r>
      <w:r w:rsidRPr="0B820B04" w:rsidR="00AA5983">
        <w:rPr>
          <w:sz w:val="24"/>
          <w:szCs w:val="24"/>
        </w:rPr>
        <w:t xml:space="preserve">identifies the process </w:t>
      </w:r>
      <w:r w:rsidR="00D46768">
        <w:rPr>
          <w:sz w:val="24"/>
          <w:szCs w:val="24"/>
        </w:rPr>
        <w:t>a</w:t>
      </w:r>
      <w:r w:rsidRPr="0B820B04" w:rsidR="00AA5983">
        <w:rPr>
          <w:sz w:val="24"/>
          <w:szCs w:val="24"/>
        </w:rPr>
        <w:t xml:space="preserve"> lender must undergo if </w:t>
      </w:r>
      <w:r w:rsidR="00B35133">
        <w:rPr>
          <w:sz w:val="24"/>
          <w:szCs w:val="24"/>
        </w:rPr>
        <w:t>a</w:t>
      </w:r>
      <w:r w:rsidRPr="0B820B04" w:rsidR="00AA5983">
        <w:rPr>
          <w:sz w:val="24"/>
          <w:szCs w:val="24"/>
        </w:rPr>
        <w:t xml:space="preserve"> borrower defaults on a loan. The lender must send written notice of the default to the borrower, and otherwise meet the standard of care established for the lender</w:t>
      </w:r>
      <w:r w:rsidR="00A81E5A">
        <w:rPr>
          <w:sz w:val="24"/>
          <w:szCs w:val="24"/>
        </w:rPr>
        <w:t xml:space="preserve">; and </w:t>
      </w:r>
      <w:r w:rsidRPr="00353625" w:rsidR="00C53757">
        <w:rPr>
          <w:sz w:val="24"/>
          <w:szCs w:val="24"/>
        </w:rPr>
        <w:t>25 CFR 103.36</w:t>
      </w:r>
      <w:r w:rsidRPr="4D37C57D" w:rsidR="00C53757">
        <w:rPr>
          <w:sz w:val="24"/>
          <w:szCs w:val="24"/>
        </w:rPr>
        <w:t xml:space="preserve"> identifies the process for options and remedies that a lender would follow if the borrower defaults on a loan</w:t>
      </w:r>
      <w:r w:rsidR="00A43D43">
        <w:rPr>
          <w:sz w:val="24"/>
          <w:szCs w:val="24"/>
        </w:rPr>
        <w:t>, including</w:t>
      </w:r>
      <w:r w:rsidRPr="4D37C57D" w:rsidR="00C53757">
        <w:rPr>
          <w:sz w:val="24"/>
          <w:szCs w:val="24"/>
        </w:rPr>
        <w:t xml:space="preserve"> </w:t>
      </w:r>
      <w:r w:rsidR="00A43D43">
        <w:rPr>
          <w:sz w:val="24"/>
          <w:szCs w:val="24"/>
        </w:rPr>
        <w:t>t</w:t>
      </w:r>
      <w:r w:rsidRPr="4D37C57D" w:rsidR="00C53757">
        <w:rPr>
          <w:sz w:val="24"/>
          <w:szCs w:val="24"/>
        </w:rPr>
        <w:t xml:space="preserve">emporary forbearance, precautionary advances, and guaranty of precautionary advances.  </w:t>
      </w:r>
    </w:p>
    <w:p w:rsidR="007C55E5" w:rsidP="00E26524" w:rsidRDefault="003C432F" w14:paraId="43309461" w14:textId="45616A01">
      <w:pPr>
        <w:ind w:left="720"/>
        <w:rPr>
          <w:sz w:val="24"/>
          <w:szCs w:val="24"/>
        </w:rPr>
      </w:pPr>
      <w:r w:rsidRPr="00353625">
        <w:rPr>
          <w:sz w:val="24"/>
          <w:szCs w:val="24"/>
          <w:u w:val="single"/>
        </w:rPr>
        <w:t>Proposed revisions</w:t>
      </w:r>
      <w:r>
        <w:rPr>
          <w:sz w:val="24"/>
          <w:szCs w:val="24"/>
        </w:rPr>
        <w:t xml:space="preserve">: </w:t>
      </w:r>
      <w:r w:rsidRPr="0B820B04" w:rsidR="7601D775">
        <w:rPr>
          <w:sz w:val="24"/>
          <w:szCs w:val="24"/>
        </w:rPr>
        <w:t xml:space="preserve">Editorial changes made to remove </w:t>
      </w:r>
      <w:r w:rsidR="000A1075">
        <w:rPr>
          <w:sz w:val="24"/>
          <w:szCs w:val="24"/>
        </w:rPr>
        <w:t xml:space="preserve">a </w:t>
      </w:r>
      <w:r w:rsidRPr="0B820B04" w:rsidR="7601D775">
        <w:rPr>
          <w:sz w:val="24"/>
          <w:szCs w:val="24"/>
        </w:rPr>
        <w:t xml:space="preserve">partial line following bases for default section.   </w:t>
      </w:r>
    </w:p>
    <w:p w:rsidR="007C55E5" w:rsidP="007C55E5" w:rsidRDefault="007C55E5" w14:paraId="39B91E9C" w14:textId="77777777">
      <w:pPr>
        <w:ind w:left="720" w:hanging="720"/>
        <w:rPr>
          <w:sz w:val="24"/>
          <w:szCs w:val="24"/>
        </w:rPr>
      </w:pPr>
    </w:p>
    <w:p w:rsidRPr="00015BB0" w:rsidR="000616FE" w:rsidP="00015BB0" w:rsidRDefault="002402C3" w14:paraId="653A0E65" w14:textId="1990E4BE">
      <w:pPr>
        <w:pStyle w:val="a"/>
        <w:spacing w:line="231" w:lineRule="auto"/>
        <w:ind w:left="1440"/>
        <w:rPr>
          <w:b/>
          <w:bCs/>
          <w:i/>
          <w:iCs/>
          <w:u w:val="single"/>
        </w:rPr>
      </w:pPr>
      <w:r w:rsidRPr="00015BB0">
        <w:rPr>
          <w:b/>
          <w:bCs/>
          <w:i/>
          <w:iCs/>
          <w:u w:val="single"/>
        </w:rPr>
        <w:t>IA Form CFL10, Claim for Loss</w:t>
      </w:r>
    </w:p>
    <w:p w:rsidR="00D510C5" w:rsidP="000616FE" w:rsidRDefault="000616FE" w14:paraId="4E1F3814" w14:textId="121B7FF0">
      <w:pPr>
        <w:ind w:left="720"/>
        <w:rPr>
          <w:sz w:val="24"/>
          <w:szCs w:val="24"/>
        </w:rPr>
      </w:pPr>
      <w:r w:rsidRPr="00353625">
        <w:rPr>
          <w:sz w:val="24"/>
          <w:szCs w:val="24"/>
          <w:u w:val="single"/>
        </w:rPr>
        <w:t>Purpose</w:t>
      </w:r>
      <w:r>
        <w:rPr>
          <w:sz w:val="24"/>
          <w:szCs w:val="24"/>
        </w:rPr>
        <w:t>: U</w:t>
      </w:r>
      <w:r w:rsidRPr="4D37C57D" w:rsidR="002402C3">
        <w:rPr>
          <w:sz w:val="24"/>
          <w:szCs w:val="24"/>
        </w:rPr>
        <w:t>sed to calculate and document the amount IA should pay the lender on a defaulted loan.  It requires the lender to give an IA Loan Guarantee/Insurance number.  The lender gives its name and address and the borrower’s name and</w:t>
      </w:r>
      <w:r w:rsidRPr="4D37C57D" w:rsidR="29342D12">
        <w:rPr>
          <w:sz w:val="24"/>
          <w:szCs w:val="24"/>
        </w:rPr>
        <w:t xml:space="preserve"> </w:t>
      </w:r>
      <w:r w:rsidRPr="4D37C57D" w:rsidR="002402C3">
        <w:rPr>
          <w:sz w:val="24"/>
          <w:szCs w:val="24"/>
        </w:rPr>
        <w:t>address.  The lender also supplies the original loan principal amount and loan guarantee or insurance percentage.  The lender gives the earliest date of default and the bases of the default.  These forms typically are reviewed by Zone Managers or the Chief of the Division of Capit</w:t>
      </w:r>
      <w:r w:rsidR="008B3789">
        <w:rPr>
          <w:sz w:val="24"/>
          <w:szCs w:val="24"/>
        </w:rPr>
        <w:t>a</w:t>
      </w:r>
      <w:r w:rsidRPr="4D37C57D" w:rsidR="002402C3">
        <w:rPr>
          <w:sz w:val="24"/>
          <w:szCs w:val="24"/>
        </w:rPr>
        <w:t>l Investment, to determine the extent to which a lender’s claim for loss should be paid.</w:t>
      </w:r>
    </w:p>
    <w:p w:rsidR="00AD6D49" w:rsidP="000616FE" w:rsidRDefault="00AD6D49" w14:paraId="61337183" w14:textId="1F6E7634">
      <w:pPr>
        <w:ind w:left="720"/>
        <w:rPr>
          <w:sz w:val="24"/>
          <w:szCs w:val="24"/>
        </w:rPr>
      </w:pPr>
      <w:r w:rsidRPr="00353625">
        <w:rPr>
          <w:sz w:val="24"/>
          <w:szCs w:val="24"/>
          <w:u w:val="single"/>
        </w:rPr>
        <w:t>Authority</w:t>
      </w:r>
      <w:r>
        <w:rPr>
          <w:sz w:val="24"/>
          <w:szCs w:val="24"/>
        </w:rPr>
        <w:t>: 25 CFR 103.</w:t>
      </w:r>
      <w:r w:rsidR="00EF24EE">
        <w:rPr>
          <w:sz w:val="24"/>
          <w:szCs w:val="24"/>
        </w:rPr>
        <w:t>3</w:t>
      </w:r>
      <w:r w:rsidR="00D62E0C">
        <w:rPr>
          <w:sz w:val="24"/>
          <w:szCs w:val="24"/>
        </w:rPr>
        <w:t>7</w:t>
      </w:r>
      <w:r w:rsidR="001805CE">
        <w:rPr>
          <w:sz w:val="24"/>
          <w:szCs w:val="24"/>
        </w:rPr>
        <w:t xml:space="preserve"> </w:t>
      </w:r>
      <w:r w:rsidR="00A81E5A">
        <w:rPr>
          <w:sz w:val="24"/>
          <w:szCs w:val="24"/>
        </w:rPr>
        <w:t>d</w:t>
      </w:r>
      <w:r w:rsidR="001805CE">
        <w:rPr>
          <w:sz w:val="24"/>
          <w:szCs w:val="24"/>
        </w:rPr>
        <w:t xml:space="preserve">escribes the process and information required when a lender submits a claim for loss on a defaulted loan. </w:t>
      </w:r>
      <w:r w:rsidR="00F72DF0">
        <w:rPr>
          <w:sz w:val="24"/>
          <w:szCs w:val="24"/>
        </w:rPr>
        <w:t xml:space="preserve"> </w:t>
      </w:r>
    </w:p>
    <w:p w:rsidR="00D62E0C" w:rsidP="00E26524" w:rsidRDefault="00D62E0C" w14:paraId="633EECFE" w14:textId="39EAFEF2">
      <w:pPr>
        <w:ind w:left="720"/>
        <w:rPr>
          <w:sz w:val="24"/>
          <w:szCs w:val="24"/>
        </w:rPr>
      </w:pPr>
      <w:r w:rsidRPr="00353625">
        <w:rPr>
          <w:sz w:val="24"/>
          <w:szCs w:val="24"/>
          <w:u w:val="single"/>
        </w:rPr>
        <w:t>Proposed revisions</w:t>
      </w:r>
      <w:r>
        <w:rPr>
          <w:sz w:val="24"/>
          <w:szCs w:val="24"/>
        </w:rPr>
        <w:t>: None.</w:t>
      </w:r>
    </w:p>
    <w:p w:rsidRPr="00F30BA1" w:rsidR="002402C3" w:rsidP="002402C3" w:rsidRDefault="002402C3" w14:paraId="1EB73155" w14:textId="77777777">
      <w:pPr>
        <w:ind w:left="720" w:hanging="720"/>
        <w:rPr>
          <w:sz w:val="24"/>
          <w:szCs w:val="24"/>
        </w:rPr>
      </w:pPr>
    </w:p>
    <w:p w:rsidRPr="00015BB0" w:rsidR="000F648F" w:rsidP="00015BB0" w:rsidRDefault="002402C3" w14:paraId="261A4E21" w14:textId="346374C2">
      <w:pPr>
        <w:pStyle w:val="a"/>
        <w:spacing w:line="231" w:lineRule="auto"/>
        <w:ind w:left="1440"/>
        <w:rPr>
          <w:b/>
          <w:bCs/>
          <w:i/>
          <w:iCs/>
          <w:u w:val="single"/>
        </w:rPr>
      </w:pPr>
      <w:r w:rsidRPr="00015BB0">
        <w:rPr>
          <w:b/>
          <w:bCs/>
          <w:i/>
          <w:iCs/>
          <w:u w:val="single"/>
        </w:rPr>
        <w:t>IA Form ALD10, Assignment of Loan Documents and Related Rights</w:t>
      </w:r>
    </w:p>
    <w:p w:rsidR="002402C3" w:rsidP="00015BB0" w:rsidRDefault="000F648F" w14:paraId="74EC4A17" w14:textId="4CD8983D">
      <w:pPr>
        <w:ind w:left="720"/>
        <w:rPr>
          <w:sz w:val="24"/>
          <w:szCs w:val="24"/>
        </w:rPr>
      </w:pPr>
      <w:r>
        <w:rPr>
          <w:sz w:val="24"/>
          <w:szCs w:val="24"/>
          <w:u w:val="single"/>
        </w:rPr>
        <w:t>Purpose</w:t>
      </w:r>
      <w:r w:rsidRPr="00353625">
        <w:rPr>
          <w:sz w:val="24"/>
          <w:szCs w:val="24"/>
        </w:rPr>
        <w:t xml:space="preserve">: </w:t>
      </w:r>
      <w:r>
        <w:rPr>
          <w:sz w:val="24"/>
          <w:szCs w:val="24"/>
        </w:rPr>
        <w:t>U</w:t>
      </w:r>
      <w:r w:rsidRPr="002402C3" w:rsidR="002402C3">
        <w:rPr>
          <w:sz w:val="24"/>
          <w:szCs w:val="24"/>
        </w:rPr>
        <w:t xml:space="preserve">sed after DOI pays a lender on its loan guarantee or insurance </w:t>
      </w:r>
      <w:proofErr w:type="gramStart"/>
      <w:r w:rsidRPr="002402C3" w:rsidR="002402C3">
        <w:rPr>
          <w:sz w:val="24"/>
          <w:szCs w:val="24"/>
        </w:rPr>
        <w:t>coverage, and</w:t>
      </w:r>
      <w:proofErr w:type="gramEnd"/>
      <w:r w:rsidRPr="002402C3" w:rsidR="002402C3">
        <w:rPr>
          <w:sz w:val="24"/>
          <w:szCs w:val="24"/>
        </w:rPr>
        <w:t xml:space="preserve"> documents the lender’s assignment of all further rights in the loan and any remaining collateral to DOI.  The information required on this form is to identify the lender and the loan guarantee or insurance.  Exhibit A</w:t>
      </w:r>
      <w:r w:rsidR="008171AF">
        <w:rPr>
          <w:sz w:val="24"/>
          <w:szCs w:val="24"/>
        </w:rPr>
        <w:t xml:space="preserve"> of the form</w:t>
      </w:r>
      <w:r w:rsidRPr="002402C3" w:rsidR="002402C3">
        <w:rPr>
          <w:sz w:val="24"/>
          <w:szCs w:val="24"/>
        </w:rPr>
        <w:t xml:space="preserve"> lists the loan documents that are to be subject to the assignment.</w:t>
      </w:r>
    </w:p>
    <w:p w:rsidRPr="0028306C" w:rsidR="000F648F" w:rsidP="00015BB0" w:rsidRDefault="000F648F" w14:paraId="1CB92458" w14:textId="53FDF55E">
      <w:pPr>
        <w:ind w:left="720"/>
        <w:rPr>
          <w:sz w:val="24"/>
          <w:szCs w:val="24"/>
        </w:rPr>
      </w:pPr>
      <w:r>
        <w:rPr>
          <w:sz w:val="24"/>
          <w:szCs w:val="24"/>
          <w:u w:val="single"/>
        </w:rPr>
        <w:t>Authority</w:t>
      </w:r>
      <w:r w:rsidRPr="00353625">
        <w:rPr>
          <w:sz w:val="24"/>
          <w:szCs w:val="24"/>
        </w:rPr>
        <w:t xml:space="preserve">: </w:t>
      </w:r>
      <w:r w:rsidRPr="00353625" w:rsidR="00AD196D">
        <w:rPr>
          <w:sz w:val="24"/>
          <w:szCs w:val="24"/>
        </w:rPr>
        <w:t>25 CFR 103.38</w:t>
      </w:r>
      <w:r w:rsidRPr="00353625" w:rsidR="00717094">
        <w:rPr>
          <w:sz w:val="24"/>
          <w:szCs w:val="24"/>
        </w:rPr>
        <w:t xml:space="preserve"> </w:t>
      </w:r>
      <w:r w:rsidRPr="00353625" w:rsidR="00A81E5A">
        <w:rPr>
          <w:sz w:val="24"/>
          <w:szCs w:val="24"/>
        </w:rPr>
        <w:t>r</w:t>
      </w:r>
      <w:r w:rsidRPr="00353625" w:rsidR="00871F6E">
        <w:rPr>
          <w:sz w:val="24"/>
          <w:szCs w:val="24"/>
        </w:rPr>
        <w:t xml:space="preserve">equires </w:t>
      </w:r>
      <w:r w:rsidRPr="00353625" w:rsidR="00102EB0">
        <w:rPr>
          <w:sz w:val="24"/>
          <w:szCs w:val="24"/>
        </w:rPr>
        <w:t>l</w:t>
      </w:r>
      <w:r w:rsidRPr="00353625" w:rsidR="00871F6E">
        <w:rPr>
          <w:sz w:val="24"/>
          <w:szCs w:val="24"/>
        </w:rPr>
        <w:t>ender</w:t>
      </w:r>
      <w:r w:rsidRPr="00353625" w:rsidR="00102EB0">
        <w:rPr>
          <w:sz w:val="24"/>
          <w:szCs w:val="24"/>
        </w:rPr>
        <w:t>s</w:t>
      </w:r>
      <w:r w:rsidRPr="00353625" w:rsidR="00871F6E">
        <w:rPr>
          <w:sz w:val="24"/>
          <w:szCs w:val="24"/>
        </w:rPr>
        <w:t xml:space="preserve"> who </w:t>
      </w:r>
      <w:r w:rsidRPr="00353625" w:rsidR="00E93EF2">
        <w:rPr>
          <w:sz w:val="24"/>
          <w:szCs w:val="24"/>
        </w:rPr>
        <w:t>have</w:t>
      </w:r>
      <w:r w:rsidRPr="00353625" w:rsidR="00871F6E">
        <w:rPr>
          <w:sz w:val="24"/>
          <w:szCs w:val="24"/>
        </w:rPr>
        <w:t xml:space="preserve"> been paid on a claim for loss to assign </w:t>
      </w:r>
      <w:r w:rsidRPr="00353625" w:rsidR="00B72933">
        <w:rPr>
          <w:sz w:val="24"/>
          <w:szCs w:val="24"/>
        </w:rPr>
        <w:t xml:space="preserve">their interest in a defaulted loan to DOI and includes the documents Lender must </w:t>
      </w:r>
      <w:r w:rsidRPr="00353625" w:rsidR="00B72933">
        <w:rPr>
          <w:sz w:val="24"/>
          <w:szCs w:val="24"/>
        </w:rPr>
        <w:lastRenderedPageBreak/>
        <w:t>submit</w:t>
      </w:r>
      <w:r w:rsidR="00847B1A">
        <w:rPr>
          <w:sz w:val="24"/>
          <w:szCs w:val="24"/>
        </w:rPr>
        <w:t xml:space="preserve"> in addition to the required form</w:t>
      </w:r>
      <w:r w:rsidRPr="00353625" w:rsidR="00E93EF2">
        <w:rPr>
          <w:sz w:val="24"/>
          <w:szCs w:val="24"/>
        </w:rPr>
        <w:t xml:space="preserve"> to relinquish their ownership of loan.</w:t>
      </w:r>
    </w:p>
    <w:p w:rsidR="000236F3" w:rsidP="00015BB0" w:rsidRDefault="000236F3" w14:paraId="71236D44" w14:textId="1AB977A8">
      <w:pPr>
        <w:ind w:left="720"/>
        <w:rPr>
          <w:sz w:val="24"/>
          <w:szCs w:val="24"/>
        </w:rPr>
      </w:pPr>
      <w:r>
        <w:rPr>
          <w:sz w:val="24"/>
          <w:szCs w:val="24"/>
          <w:u w:val="single"/>
        </w:rPr>
        <w:t>Proposed revision</w:t>
      </w:r>
      <w:r w:rsidRPr="00353625">
        <w:rPr>
          <w:sz w:val="24"/>
          <w:szCs w:val="24"/>
        </w:rPr>
        <w:t>: None.</w:t>
      </w:r>
    </w:p>
    <w:p w:rsidRPr="002402C3" w:rsidR="002402C3" w:rsidP="002402C3" w:rsidRDefault="002402C3" w14:paraId="27E347BF" w14:textId="77777777">
      <w:pPr>
        <w:tabs>
          <w:tab w:val="left" w:pos="-1440"/>
        </w:tabs>
        <w:spacing w:line="231" w:lineRule="auto"/>
        <w:ind w:left="720"/>
        <w:rPr>
          <w:sz w:val="24"/>
          <w:szCs w:val="24"/>
        </w:rPr>
      </w:pPr>
    </w:p>
    <w:p w:rsidRPr="007A62CD" w:rsidR="002411B2" w:rsidP="007A62CD" w:rsidRDefault="00D510C5" w14:paraId="0E87045B" w14:textId="00ABF2CA">
      <w:pPr>
        <w:pStyle w:val="a"/>
        <w:spacing w:line="231" w:lineRule="auto"/>
        <w:ind w:left="1440"/>
        <w:rPr>
          <w:b/>
          <w:bCs/>
          <w:i/>
          <w:iCs/>
          <w:u w:val="single"/>
        </w:rPr>
      </w:pPr>
      <w:r w:rsidRPr="007A62CD">
        <w:rPr>
          <w:b/>
          <w:bCs/>
          <w:i/>
          <w:iCs/>
          <w:u w:val="single"/>
        </w:rPr>
        <w:t xml:space="preserve">IA Form NIL10, Notice of Insured Loan </w:t>
      </w:r>
    </w:p>
    <w:p w:rsidR="00D510C5" w:rsidP="00015BB0" w:rsidRDefault="002411B2" w14:paraId="554439BC" w14:textId="5E35F674">
      <w:pPr>
        <w:ind w:left="720"/>
        <w:rPr>
          <w:sz w:val="24"/>
          <w:szCs w:val="24"/>
        </w:rPr>
      </w:pPr>
      <w:r w:rsidRPr="00353625">
        <w:rPr>
          <w:sz w:val="24"/>
          <w:szCs w:val="24"/>
          <w:u w:val="single"/>
        </w:rPr>
        <w:t>Purpose</w:t>
      </w:r>
      <w:r>
        <w:rPr>
          <w:sz w:val="24"/>
          <w:szCs w:val="24"/>
        </w:rPr>
        <w:t>: U</w:t>
      </w:r>
      <w:r w:rsidRPr="00F30BA1" w:rsidR="00D510C5">
        <w:rPr>
          <w:sz w:val="24"/>
          <w:szCs w:val="24"/>
        </w:rPr>
        <w:t xml:space="preserve">sed by </w:t>
      </w:r>
      <w:r w:rsidR="001C1090">
        <w:rPr>
          <w:sz w:val="24"/>
          <w:szCs w:val="24"/>
        </w:rPr>
        <w:t>IA</w:t>
      </w:r>
      <w:r w:rsidRPr="00F30BA1" w:rsidR="00D510C5">
        <w:rPr>
          <w:sz w:val="24"/>
          <w:szCs w:val="24"/>
        </w:rPr>
        <w:t xml:space="preserve"> to monitor the existence and amount of loans that qualified lenders make subject to the requirements of a Loan Insurance Agreement.  It lists the original loan principal amount and internal loan number, the interest rate, loan term, and payment schedule for tracking.  </w:t>
      </w:r>
    </w:p>
    <w:p w:rsidR="002411B2" w:rsidP="00015BB0" w:rsidRDefault="002411B2" w14:paraId="0B9B0D04" w14:textId="62779F62">
      <w:pPr>
        <w:ind w:left="720"/>
        <w:rPr>
          <w:sz w:val="24"/>
          <w:szCs w:val="24"/>
        </w:rPr>
      </w:pPr>
      <w:r w:rsidRPr="00353625">
        <w:rPr>
          <w:sz w:val="24"/>
          <w:szCs w:val="24"/>
          <w:u w:val="single"/>
        </w:rPr>
        <w:t>Authority</w:t>
      </w:r>
      <w:r>
        <w:rPr>
          <w:sz w:val="24"/>
          <w:szCs w:val="24"/>
        </w:rPr>
        <w:t>: 25 CFR 103.</w:t>
      </w:r>
      <w:r w:rsidR="00E77374">
        <w:rPr>
          <w:sz w:val="24"/>
          <w:szCs w:val="24"/>
        </w:rPr>
        <w:t>1</w:t>
      </w:r>
      <w:r w:rsidR="009D719C">
        <w:rPr>
          <w:sz w:val="24"/>
          <w:szCs w:val="24"/>
        </w:rPr>
        <w:t>8(b)</w:t>
      </w:r>
      <w:r w:rsidR="007A2876">
        <w:rPr>
          <w:sz w:val="24"/>
          <w:szCs w:val="24"/>
        </w:rPr>
        <w:t xml:space="preserve"> </w:t>
      </w:r>
      <w:r w:rsidR="00A81E5A">
        <w:rPr>
          <w:sz w:val="24"/>
          <w:szCs w:val="24"/>
        </w:rPr>
        <w:t>r</w:t>
      </w:r>
      <w:r w:rsidR="007A2876">
        <w:rPr>
          <w:sz w:val="24"/>
          <w:szCs w:val="24"/>
        </w:rPr>
        <w:t>equire</w:t>
      </w:r>
      <w:r w:rsidR="00555D44">
        <w:rPr>
          <w:sz w:val="24"/>
          <w:szCs w:val="24"/>
        </w:rPr>
        <w:t>s</w:t>
      </w:r>
      <w:r w:rsidR="007A2876">
        <w:rPr>
          <w:sz w:val="24"/>
          <w:szCs w:val="24"/>
        </w:rPr>
        <w:t xml:space="preserve"> Lender</w:t>
      </w:r>
      <w:r w:rsidR="00555D44">
        <w:rPr>
          <w:sz w:val="24"/>
          <w:szCs w:val="24"/>
        </w:rPr>
        <w:t xml:space="preserve"> to</w:t>
      </w:r>
      <w:r w:rsidR="007A2876">
        <w:rPr>
          <w:sz w:val="24"/>
          <w:szCs w:val="24"/>
        </w:rPr>
        <w:t xml:space="preserve"> notify DOI when it makes an insured loan</w:t>
      </w:r>
      <w:r w:rsidR="00555D44">
        <w:rPr>
          <w:sz w:val="24"/>
          <w:szCs w:val="24"/>
        </w:rPr>
        <w:t xml:space="preserve">. </w:t>
      </w:r>
    </w:p>
    <w:p w:rsidRPr="00F30BA1" w:rsidR="000236F3" w:rsidP="00015BB0" w:rsidRDefault="000236F3" w14:paraId="6181947F" w14:textId="1DF595ED">
      <w:pPr>
        <w:ind w:left="720"/>
        <w:rPr>
          <w:sz w:val="24"/>
          <w:szCs w:val="24"/>
        </w:rPr>
      </w:pPr>
      <w:r w:rsidRPr="00353625">
        <w:rPr>
          <w:sz w:val="24"/>
          <w:szCs w:val="24"/>
          <w:u w:val="single"/>
        </w:rPr>
        <w:t>Proposed Revision</w:t>
      </w:r>
      <w:r>
        <w:rPr>
          <w:sz w:val="24"/>
          <w:szCs w:val="24"/>
        </w:rPr>
        <w:t xml:space="preserve">: </w:t>
      </w:r>
      <w:r w:rsidR="002726A9">
        <w:rPr>
          <w:sz w:val="24"/>
          <w:szCs w:val="24"/>
        </w:rPr>
        <w:t xml:space="preserve">Add space under Borrower Type for </w:t>
      </w:r>
      <w:r w:rsidR="000F19FF">
        <w:rPr>
          <w:sz w:val="24"/>
          <w:szCs w:val="24"/>
        </w:rPr>
        <w:t>“</w:t>
      </w:r>
      <w:r w:rsidR="002726A9">
        <w:rPr>
          <w:sz w:val="24"/>
          <w:szCs w:val="24"/>
        </w:rPr>
        <w:t>Alaska</w:t>
      </w:r>
      <w:r w:rsidR="000F19FF">
        <w:rPr>
          <w:sz w:val="24"/>
          <w:szCs w:val="24"/>
        </w:rPr>
        <w:t xml:space="preserve"> </w:t>
      </w:r>
      <w:r w:rsidRPr="000F19FF" w:rsidR="000F19FF">
        <w:rPr>
          <w:sz w:val="24"/>
          <w:szCs w:val="24"/>
        </w:rPr>
        <w:t>Village or Regional Corporation</w:t>
      </w:r>
      <w:r w:rsidR="000F19FF">
        <w:rPr>
          <w:sz w:val="24"/>
          <w:szCs w:val="24"/>
        </w:rPr>
        <w:t xml:space="preserve">.” </w:t>
      </w:r>
    </w:p>
    <w:p w:rsidRPr="002402C3" w:rsidR="00D510C5" w:rsidP="002402C3" w:rsidRDefault="00D510C5" w14:paraId="3567C8D9" w14:textId="77777777">
      <w:pPr>
        <w:rPr>
          <w:sz w:val="24"/>
          <w:szCs w:val="24"/>
        </w:rPr>
      </w:pPr>
    </w:p>
    <w:p w:rsidRPr="007A62CD" w:rsidR="000236F3" w:rsidP="007A62CD" w:rsidRDefault="00D510C5" w14:paraId="06597F85" w14:textId="42DD50AA">
      <w:pPr>
        <w:pStyle w:val="a"/>
        <w:spacing w:line="231" w:lineRule="auto"/>
        <w:ind w:left="1440"/>
        <w:rPr>
          <w:b/>
          <w:bCs/>
          <w:i/>
          <w:iCs/>
          <w:u w:val="single"/>
        </w:rPr>
      </w:pPr>
      <w:r w:rsidRPr="007A62CD">
        <w:rPr>
          <w:b/>
          <w:bCs/>
          <w:i/>
          <w:iCs/>
          <w:u w:val="single"/>
        </w:rPr>
        <w:t>IA Form LGC10, Loan Guarantee Certificate</w:t>
      </w:r>
    </w:p>
    <w:p w:rsidR="00D510C5" w:rsidP="00015BB0" w:rsidRDefault="000236F3" w14:paraId="699107B8" w14:textId="4B286124">
      <w:pPr>
        <w:ind w:left="720"/>
        <w:rPr>
          <w:sz w:val="24"/>
          <w:szCs w:val="24"/>
        </w:rPr>
      </w:pPr>
      <w:r>
        <w:rPr>
          <w:sz w:val="24"/>
          <w:szCs w:val="24"/>
          <w:u w:val="single"/>
        </w:rPr>
        <w:t>Purpose</w:t>
      </w:r>
      <w:r w:rsidRPr="00353625">
        <w:rPr>
          <w:sz w:val="24"/>
          <w:szCs w:val="24"/>
        </w:rPr>
        <w:t xml:space="preserve">: </w:t>
      </w:r>
      <w:r w:rsidRPr="00353625" w:rsidR="005701B8">
        <w:rPr>
          <w:sz w:val="24"/>
          <w:szCs w:val="24"/>
        </w:rPr>
        <w:t xml:space="preserve"> </w:t>
      </w:r>
      <w:r>
        <w:rPr>
          <w:sz w:val="24"/>
          <w:szCs w:val="24"/>
        </w:rPr>
        <w:t>F</w:t>
      </w:r>
      <w:r w:rsidRPr="00F30BA1" w:rsidR="00D510C5">
        <w:rPr>
          <w:sz w:val="24"/>
          <w:szCs w:val="24"/>
        </w:rPr>
        <w:t>ormal document evidencing the loan guarantee.  It is signed by DOI and states the loan</w:t>
      </w:r>
      <w:r w:rsidRPr="000236F3" w:rsidR="00D510C5">
        <w:rPr>
          <w:sz w:val="24"/>
          <w:szCs w:val="24"/>
        </w:rPr>
        <w:t xml:space="preserve"> amount and guarantee percentage, along with the borr</w:t>
      </w:r>
      <w:r w:rsidRPr="000236F3" w:rsidR="002402C3">
        <w:rPr>
          <w:sz w:val="24"/>
          <w:szCs w:val="24"/>
        </w:rPr>
        <w:t>ower’s and lender’s information.</w:t>
      </w:r>
    </w:p>
    <w:p w:rsidR="000236F3" w:rsidP="00015BB0" w:rsidRDefault="000236F3" w14:paraId="7F242A11" w14:textId="381823CB">
      <w:pPr>
        <w:ind w:left="720"/>
        <w:rPr>
          <w:sz w:val="24"/>
          <w:szCs w:val="24"/>
        </w:rPr>
      </w:pPr>
      <w:r w:rsidRPr="00353625">
        <w:rPr>
          <w:sz w:val="24"/>
          <w:szCs w:val="24"/>
          <w:u w:val="single"/>
        </w:rPr>
        <w:t>Authority</w:t>
      </w:r>
      <w:r>
        <w:rPr>
          <w:sz w:val="24"/>
          <w:szCs w:val="24"/>
        </w:rPr>
        <w:t>: 25 CFR 103.</w:t>
      </w:r>
      <w:r w:rsidR="00C77774">
        <w:rPr>
          <w:sz w:val="24"/>
          <w:szCs w:val="24"/>
        </w:rPr>
        <w:t>18(a)</w:t>
      </w:r>
      <w:r w:rsidR="003657DC">
        <w:rPr>
          <w:sz w:val="24"/>
          <w:szCs w:val="24"/>
        </w:rPr>
        <w:t>(1)</w:t>
      </w:r>
      <w:r w:rsidR="008844AD">
        <w:rPr>
          <w:sz w:val="24"/>
          <w:szCs w:val="24"/>
        </w:rPr>
        <w:t xml:space="preserve"> </w:t>
      </w:r>
      <w:r w:rsidR="00A81E5A">
        <w:rPr>
          <w:sz w:val="24"/>
          <w:szCs w:val="24"/>
        </w:rPr>
        <w:t>d</w:t>
      </w:r>
      <w:r w:rsidR="008844AD">
        <w:rPr>
          <w:sz w:val="24"/>
          <w:szCs w:val="24"/>
        </w:rPr>
        <w:t xml:space="preserve">escribes the information that must be included in a loan guarantee certificate. </w:t>
      </w:r>
    </w:p>
    <w:p w:rsidR="00C42665" w:rsidP="00015BB0" w:rsidRDefault="00C42665" w14:paraId="7646A694" w14:textId="0FE1DC3B">
      <w:pPr>
        <w:ind w:left="720"/>
        <w:rPr>
          <w:sz w:val="24"/>
          <w:szCs w:val="24"/>
        </w:rPr>
      </w:pPr>
      <w:r w:rsidRPr="00353625">
        <w:rPr>
          <w:sz w:val="24"/>
          <w:szCs w:val="24"/>
          <w:u w:val="single"/>
        </w:rPr>
        <w:t>Proposed Revision</w:t>
      </w:r>
      <w:r>
        <w:rPr>
          <w:sz w:val="24"/>
          <w:szCs w:val="24"/>
        </w:rPr>
        <w:t>: None.</w:t>
      </w:r>
    </w:p>
    <w:p w:rsidR="007E6914" w:rsidP="00E26524" w:rsidRDefault="007E6914" w14:paraId="66CA6A3F" w14:textId="65FDDB64">
      <w:pPr>
        <w:tabs>
          <w:tab w:val="left" w:pos="-1440"/>
        </w:tabs>
        <w:spacing w:line="231" w:lineRule="auto"/>
        <w:rPr>
          <w:sz w:val="24"/>
          <w:szCs w:val="24"/>
        </w:rPr>
      </w:pPr>
    </w:p>
    <w:p w:rsidR="007E6914" w:rsidP="00E26524" w:rsidRDefault="00812E4C" w14:paraId="56D684C9" w14:textId="05F05480">
      <w:pPr>
        <w:tabs>
          <w:tab w:val="left" w:pos="-1440"/>
        </w:tabs>
        <w:spacing w:line="231" w:lineRule="auto"/>
        <w:rPr>
          <w:rStyle w:val="eop"/>
          <w:color w:val="000000"/>
          <w:sz w:val="24"/>
          <w:szCs w:val="24"/>
          <w:shd w:val="clear" w:color="auto" w:fill="FFFFFF"/>
        </w:rPr>
      </w:pPr>
      <w:r w:rsidRPr="00C477B4">
        <w:rPr>
          <w:rStyle w:val="normaltextrun"/>
          <w:color w:val="000000"/>
          <w:sz w:val="24"/>
          <w:szCs w:val="24"/>
          <w:shd w:val="clear" w:color="auto" w:fill="FFFFFF"/>
        </w:rPr>
        <w:t xml:space="preserve">The following are Program regulations that require information from respondents who use the Program but do not </w:t>
      </w:r>
      <w:r w:rsidR="00654F7B">
        <w:rPr>
          <w:rStyle w:val="normaltextrun"/>
          <w:color w:val="000000"/>
          <w:sz w:val="24"/>
          <w:szCs w:val="24"/>
          <w:shd w:val="clear" w:color="auto" w:fill="FFFFFF"/>
        </w:rPr>
        <w:t xml:space="preserve">require </w:t>
      </w:r>
      <w:r w:rsidR="002954B5">
        <w:rPr>
          <w:rStyle w:val="normaltextrun"/>
          <w:color w:val="000000"/>
          <w:sz w:val="24"/>
          <w:szCs w:val="24"/>
          <w:shd w:val="clear" w:color="auto" w:fill="FFFFFF"/>
        </w:rPr>
        <w:t xml:space="preserve">respondents to complete any </w:t>
      </w:r>
      <w:r w:rsidR="00654F7B">
        <w:rPr>
          <w:rStyle w:val="normaltextrun"/>
          <w:color w:val="000000"/>
          <w:sz w:val="24"/>
          <w:szCs w:val="24"/>
          <w:shd w:val="clear" w:color="auto" w:fill="FFFFFF"/>
        </w:rPr>
        <w:t xml:space="preserve">forms </w:t>
      </w:r>
      <w:r w:rsidR="00E17241">
        <w:rPr>
          <w:rStyle w:val="normaltextrun"/>
          <w:color w:val="000000"/>
          <w:sz w:val="24"/>
          <w:szCs w:val="24"/>
          <w:shd w:val="clear" w:color="auto" w:fill="FFFFFF"/>
        </w:rPr>
        <w:t>to</w:t>
      </w:r>
      <w:r w:rsidRPr="00C477B4">
        <w:rPr>
          <w:rStyle w:val="normaltextrun"/>
          <w:color w:val="000000"/>
          <w:sz w:val="24"/>
          <w:szCs w:val="24"/>
          <w:shd w:val="clear" w:color="auto" w:fill="FFFFFF"/>
        </w:rPr>
        <w:t xml:space="preserve"> submit this information. </w:t>
      </w:r>
      <w:r w:rsidRPr="00C477B4">
        <w:rPr>
          <w:rStyle w:val="eop"/>
          <w:color w:val="000000"/>
          <w:sz w:val="24"/>
          <w:szCs w:val="24"/>
          <w:shd w:val="clear" w:color="auto" w:fill="FFFFFF"/>
        </w:rPr>
        <w:t> </w:t>
      </w:r>
    </w:p>
    <w:p w:rsidRPr="000F77F6" w:rsidR="00F926D5" w:rsidP="00E26524" w:rsidRDefault="00F926D5" w14:paraId="000F942E" w14:textId="77777777">
      <w:pPr>
        <w:tabs>
          <w:tab w:val="left" w:pos="-1440"/>
        </w:tabs>
        <w:spacing w:line="231" w:lineRule="auto"/>
        <w:rPr>
          <w:sz w:val="24"/>
          <w:szCs w:val="24"/>
        </w:rPr>
      </w:pPr>
    </w:p>
    <w:p w:rsidR="007A62CD" w:rsidP="007E6914" w:rsidRDefault="007E6914" w14:paraId="44C0512A" w14:textId="7B67369C">
      <w:pPr>
        <w:pStyle w:val="ListParagraph"/>
        <w:spacing w:line="231" w:lineRule="auto"/>
        <w:rPr>
          <w:sz w:val="24"/>
          <w:szCs w:val="24"/>
        </w:rPr>
      </w:pPr>
      <w:r w:rsidRPr="007A62CD">
        <w:rPr>
          <w:b/>
          <w:bCs/>
          <w:i/>
          <w:iCs/>
          <w:sz w:val="24"/>
          <w:szCs w:val="24"/>
          <w:u w:val="single"/>
        </w:rPr>
        <w:t>Closing Procedures, 25 CFR 103.17</w:t>
      </w:r>
    </w:p>
    <w:p w:rsidR="007E6914" w:rsidP="007E6914" w:rsidRDefault="007A62CD" w14:paraId="45B1A3E2" w14:textId="19456F0B">
      <w:pPr>
        <w:pStyle w:val="ListParagraph"/>
        <w:spacing w:line="231" w:lineRule="auto"/>
        <w:rPr>
          <w:sz w:val="24"/>
          <w:szCs w:val="24"/>
        </w:rPr>
      </w:pPr>
      <w:r>
        <w:rPr>
          <w:sz w:val="24"/>
          <w:szCs w:val="24"/>
        </w:rPr>
        <w:t>Id</w:t>
      </w:r>
      <w:r w:rsidRPr="4D37C57D" w:rsidR="007E6914">
        <w:rPr>
          <w:sz w:val="24"/>
          <w:szCs w:val="24"/>
        </w:rPr>
        <w:t xml:space="preserve">entifies the procedures a lender must follow to close a loan.  A description of tasks that must be completed at or prior to closing include, but are not limited to; providing notice of loan closing to IA at least 5 business days before closing occurs; obtaining appropriate, satisfactory title and/or lien searches for each asset to be used as loan collateral; obtaining recent appraisals for all real property and improvements to be used as collateral; documenting compliance with applicable Federal, State, </w:t>
      </w:r>
      <w:r w:rsidR="007E6914">
        <w:rPr>
          <w:sz w:val="24"/>
          <w:szCs w:val="24"/>
        </w:rPr>
        <w:t xml:space="preserve"> local</w:t>
      </w:r>
      <w:r w:rsidR="00F926D5">
        <w:rPr>
          <w:sz w:val="24"/>
          <w:szCs w:val="24"/>
        </w:rPr>
        <w:t xml:space="preserve"> </w:t>
      </w:r>
      <w:r w:rsidRPr="4D37C57D" w:rsidR="007E6914">
        <w:rPr>
          <w:sz w:val="24"/>
          <w:szCs w:val="24"/>
        </w:rPr>
        <w:t xml:space="preserve">and tribal laws implicated by financing the borrower’s business; and provide signed loan closing documents within 30 days following closing.  Details for closing procedures can be found at 25 CFR 103.17(a-f).  This information establishes that a loan has closed properly and has created a contingent liability for the program.    </w:t>
      </w:r>
    </w:p>
    <w:p w:rsidR="005D1193" w:rsidP="007E6914" w:rsidRDefault="005D1193" w14:paraId="53F96018" w14:textId="20E85F13">
      <w:pPr>
        <w:pStyle w:val="ListParagraph"/>
        <w:spacing w:line="231" w:lineRule="auto"/>
        <w:rPr>
          <w:sz w:val="24"/>
          <w:szCs w:val="24"/>
        </w:rPr>
      </w:pPr>
    </w:p>
    <w:p w:rsidRPr="007A62CD" w:rsidR="007A62CD" w:rsidP="007A62CD" w:rsidRDefault="005D1193" w14:paraId="3D563717" w14:textId="5F6A7950">
      <w:pPr>
        <w:pStyle w:val="ListParagraph"/>
        <w:spacing w:line="231" w:lineRule="auto"/>
        <w:rPr>
          <w:b/>
          <w:bCs/>
          <w:i/>
          <w:iCs/>
          <w:sz w:val="24"/>
          <w:szCs w:val="24"/>
          <w:u w:val="single"/>
        </w:rPr>
      </w:pPr>
      <w:r w:rsidRPr="007A62CD">
        <w:rPr>
          <w:b/>
          <w:bCs/>
          <w:i/>
          <w:iCs/>
          <w:sz w:val="24"/>
          <w:szCs w:val="24"/>
          <w:u w:val="single"/>
        </w:rPr>
        <w:t>Loan Application, 25 CFR 103.26</w:t>
      </w:r>
    </w:p>
    <w:p w:rsidR="005D1193" w:rsidP="007A62CD" w:rsidRDefault="007A62CD" w14:paraId="04D105E5" w14:textId="63E38BE4">
      <w:pPr>
        <w:spacing w:line="231" w:lineRule="auto"/>
        <w:ind w:left="720"/>
        <w:rPr>
          <w:sz w:val="24"/>
          <w:szCs w:val="24"/>
        </w:rPr>
      </w:pPr>
      <w:r>
        <w:rPr>
          <w:sz w:val="24"/>
          <w:szCs w:val="24"/>
        </w:rPr>
        <w:t>Id</w:t>
      </w:r>
      <w:r w:rsidRPr="4D37C57D">
        <w:rPr>
          <w:sz w:val="24"/>
          <w:szCs w:val="24"/>
        </w:rPr>
        <w:t xml:space="preserve">entifies </w:t>
      </w:r>
      <w:r w:rsidRPr="4D37C57D" w:rsidR="005D1193">
        <w:rPr>
          <w:sz w:val="24"/>
          <w:szCs w:val="24"/>
        </w:rPr>
        <w:t xml:space="preserve">the information needed to </w:t>
      </w:r>
      <w:proofErr w:type="gramStart"/>
      <w:r w:rsidRPr="4D37C57D" w:rsidR="005D1193">
        <w:rPr>
          <w:sz w:val="24"/>
          <w:szCs w:val="24"/>
        </w:rPr>
        <w:t>determine  eligibility</w:t>
      </w:r>
      <w:proofErr w:type="gramEnd"/>
      <w:r w:rsidRPr="4D37C57D" w:rsidR="005D1193">
        <w:rPr>
          <w:sz w:val="24"/>
          <w:szCs w:val="24"/>
        </w:rPr>
        <w:t xml:space="preserve"> under the Program which includes, but is not limited to; borrower’s identification,  non-delinquent status, proposed business plan, and borrower’s financial information.  Detailed required information needed for the loan application can be found in 25 CFR 103.26 (a-m).  The IA loan committee reviews each guarant</w:t>
      </w:r>
      <w:r w:rsidR="005D1193">
        <w:rPr>
          <w:sz w:val="24"/>
          <w:szCs w:val="24"/>
        </w:rPr>
        <w:t>ee</w:t>
      </w:r>
      <w:r w:rsidRPr="4D37C57D" w:rsidR="005D1193">
        <w:rPr>
          <w:sz w:val="24"/>
          <w:szCs w:val="24"/>
        </w:rPr>
        <w:t xml:space="preserve"> or insurance application in its </w:t>
      </w:r>
      <w:proofErr w:type="gramStart"/>
      <w:r w:rsidRPr="4D37C57D" w:rsidR="005D1193">
        <w:rPr>
          <w:sz w:val="24"/>
          <w:szCs w:val="24"/>
        </w:rPr>
        <w:t>entirety, and</w:t>
      </w:r>
      <w:proofErr w:type="gramEnd"/>
      <w:r w:rsidRPr="4D37C57D" w:rsidR="005D1193">
        <w:rPr>
          <w:sz w:val="24"/>
          <w:szCs w:val="24"/>
        </w:rPr>
        <w:t xml:space="preserve"> may evaluate each loan application independently from the lender.</w:t>
      </w:r>
      <w:r w:rsidR="005D1193">
        <w:t xml:space="preserve">  </w:t>
      </w:r>
      <w:r w:rsidRPr="4D37C57D" w:rsidR="005D1193">
        <w:rPr>
          <w:sz w:val="24"/>
          <w:szCs w:val="24"/>
        </w:rPr>
        <w:t>Loan decisions are based on many factors, including but not limited to, compliance with 25 CFR part 103 and whether there is a reasonable prospect of loan repayment.</w:t>
      </w:r>
    </w:p>
    <w:p w:rsidRPr="00CB568A" w:rsidR="005D1193" w:rsidP="005D1193" w:rsidRDefault="005D1193" w14:paraId="61DBE241" w14:textId="77777777">
      <w:pPr>
        <w:tabs>
          <w:tab w:val="left" w:pos="-1440"/>
        </w:tabs>
        <w:spacing w:line="231" w:lineRule="auto"/>
        <w:ind w:left="720"/>
        <w:rPr>
          <w:sz w:val="24"/>
          <w:szCs w:val="24"/>
        </w:rPr>
      </w:pPr>
    </w:p>
    <w:p w:rsidRPr="007A62CD" w:rsidR="007A62CD" w:rsidP="007A62CD" w:rsidRDefault="005D1193" w14:paraId="3243C9F8" w14:textId="15D54340">
      <w:pPr>
        <w:pStyle w:val="ListParagraph"/>
        <w:spacing w:line="231" w:lineRule="auto"/>
        <w:rPr>
          <w:b/>
          <w:bCs/>
          <w:i/>
          <w:iCs/>
          <w:sz w:val="24"/>
          <w:szCs w:val="24"/>
          <w:u w:val="single"/>
        </w:rPr>
      </w:pPr>
      <w:r w:rsidRPr="007A62CD">
        <w:rPr>
          <w:b/>
          <w:bCs/>
          <w:i/>
          <w:iCs/>
          <w:sz w:val="24"/>
          <w:szCs w:val="24"/>
          <w:u w:val="single"/>
        </w:rPr>
        <w:t>Loan Records, 25 CFR 103.32</w:t>
      </w:r>
    </w:p>
    <w:p w:rsidR="005D1193" w:rsidP="007A62CD" w:rsidRDefault="007A62CD" w14:paraId="4B83BD11" w14:textId="4407CA97">
      <w:pPr>
        <w:spacing w:line="231" w:lineRule="auto"/>
        <w:ind w:left="720"/>
        <w:rPr>
          <w:sz w:val="24"/>
          <w:szCs w:val="24"/>
        </w:rPr>
      </w:pPr>
      <w:r>
        <w:rPr>
          <w:sz w:val="24"/>
          <w:szCs w:val="24"/>
        </w:rPr>
        <w:lastRenderedPageBreak/>
        <w:t>Id</w:t>
      </w:r>
      <w:r w:rsidRPr="4D37C57D">
        <w:rPr>
          <w:sz w:val="24"/>
          <w:szCs w:val="24"/>
        </w:rPr>
        <w:t xml:space="preserve">entifies </w:t>
      </w:r>
      <w:r w:rsidRPr="4D37C57D" w:rsidR="005D1193">
        <w:rPr>
          <w:sz w:val="24"/>
          <w:szCs w:val="24"/>
        </w:rPr>
        <w:t>the expected documentation the lender must maintain for every loan guaranteed or insured under the Program. The lender must maintain records that include, but are not limited to, the following; original signed and/or certified counterparts of all final loan documents, all renewals, modifications, and additions to those documents, and signed settlement statements;</w:t>
      </w:r>
      <w:r w:rsidR="005D1193">
        <w:t xml:space="preserve"> </w:t>
      </w:r>
      <w:r w:rsidRPr="4D37C57D" w:rsidR="005D1193">
        <w:rPr>
          <w:sz w:val="24"/>
          <w:szCs w:val="24"/>
        </w:rPr>
        <w:t>originals or copies, as appropriate, of all documents gathered by the lender concerning information submitted by the borrower in its loan application, and information supplied to IA in the lender's loan guarant</w:t>
      </w:r>
      <w:r w:rsidR="008B3789">
        <w:rPr>
          <w:sz w:val="24"/>
          <w:szCs w:val="24"/>
        </w:rPr>
        <w:t>ee</w:t>
      </w:r>
      <w:r w:rsidRPr="4D37C57D" w:rsidR="005D1193">
        <w:rPr>
          <w:sz w:val="24"/>
          <w:szCs w:val="24"/>
        </w:rPr>
        <w:t xml:space="preserve"> or insurance coverage application; and originals or copies, as appropriate, of all applicable insurance binders or certificates, including without limitation hazard, liability, key man life, and title issuance.  This information is used by the program to monitor and maintain the records throughout the life of the loan.  </w:t>
      </w:r>
    </w:p>
    <w:p w:rsidRPr="003B3F01" w:rsidR="005D1193" w:rsidP="005D1193" w:rsidRDefault="005D1193" w14:paraId="17F90CC5" w14:textId="77777777">
      <w:pPr>
        <w:tabs>
          <w:tab w:val="left" w:pos="-1440"/>
        </w:tabs>
        <w:spacing w:line="231" w:lineRule="auto"/>
        <w:ind w:left="720"/>
        <w:rPr>
          <w:sz w:val="24"/>
          <w:szCs w:val="24"/>
        </w:rPr>
      </w:pPr>
    </w:p>
    <w:p w:rsidRPr="007A62CD" w:rsidR="007A62CD" w:rsidP="007A62CD" w:rsidRDefault="005D1193" w14:paraId="5FDF07DA" w14:textId="31BBCBF3">
      <w:pPr>
        <w:pStyle w:val="ListParagraph"/>
        <w:spacing w:line="231" w:lineRule="auto"/>
        <w:rPr>
          <w:b/>
          <w:bCs/>
          <w:i/>
          <w:iCs/>
          <w:sz w:val="24"/>
          <w:szCs w:val="24"/>
          <w:u w:val="single"/>
        </w:rPr>
      </w:pPr>
      <w:r w:rsidRPr="007A62CD">
        <w:rPr>
          <w:b/>
          <w:bCs/>
          <w:i/>
          <w:iCs/>
          <w:sz w:val="24"/>
          <w:szCs w:val="24"/>
          <w:u w:val="single"/>
        </w:rPr>
        <w:t>Loan Reporting, 25 CFR 103.33</w:t>
      </w:r>
    </w:p>
    <w:p w:rsidRPr="00E2218D" w:rsidR="005D1193" w:rsidP="007A62CD" w:rsidRDefault="007A62CD" w14:paraId="486BA201" w14:textId="79F3E9BB">
      <w:pPr>
        <w:tabs>
          <w:tab w:val="left" w:pos="-1440"/>
        </w:tabs>
        <w:spacing w:line="231" w:lineRule="auto"/>
        <w:ind w:left="720"/>
        <w:rPr>
          <w:sz w:val="24"/>
          <w:szCs w:val="24"/>
        </w:rPr>
      </w:pPr>
      <w:r>
        <w:rPr>
          <w:sz w:val="24"/>
          <w:szCs w:val="24"/>
        </w:rPr>
        <w:t>Id</w:t>
      </w:r>
      <w:r w:rsidRPr="4D37C57D">
        <w:rPr>
          <w:sz w:val="24"/>
          <w:szCs w:val="24"/>
        </w:rPr>
        <w:t xml:space="preserve">entifies </w:t>
      </w:r>
      <w:r w:rsidR="005D1193">
        <w:rPr>
          <w:sz w:val="24"/>
          <w:szCs w:val="24"/>
        </w:rPr>
        <w:t xml:space="preserve">the borrower’s reporting requirements. </w:t>
      </w:r>
      <w:r w:rsidRPr="00E2218D" w:rsidR="005D1193">
        <w:rPr>
          <w:sz w:val="24"/>
          <w:szCs w:val="24"/>
        </w:rPr>
        <w:t>These reports can be in any format the lender d</w:t>
      </w:r>
      <w:r w:rsidR="005D1193">
        <w:rPr>
          <w:sz w:val="24"/>
          <w:szCs w:val="24"/>
        </w:rPr>
        <w:t xml:space="preserve">esires, </w:t>
      </w:r>
      <w:proofErr w:type="gramStart"/>
      <w:r w:rsidR="005D1193">
        <w:rPr>
          <w:sz w:val="24"/>
          <w:szCs w:val="24"/>
        </w:rPr>
        <w:t>as long as</w:t>
      </w:r>
      <w:proofErr w:type="gramEnd"/>
      <w:r w:rsidR="005D1193">
        <w:rPr>
          <w:sz w:val="24"/>
          <w:szCs w:val="24"/>
        </w:rPr>
        <w:t xml:space="preserve"> they contain;</w:t>
      </w:r>
      <w:r w:rsidRPr="00E2218D" w:rsidR="005D1193">
        <w:rPr>
          <w:sz w:val="24"/>
          <w:szCs w:val="24"/>
        </w:rPr>
        <w:t xml:space="preserve"> </w:t>
      </w:r>
      <w:r w:rsidR="005D1193">
        <w:rPr>
          <w:sz w:val="24"/>
          <w:szCs w:val="24"/>
        </w:rPr>
        <w:t>the lender's name; t</w:t>
      </w:r>
      <w:r w:rsidRPr="00E2218D" w:rsidR="005D1193">
        <w:rPr>
          <w:sz w:val="24"/>
          <w:szCs w:val="24"/>
        </w:rPr>
        <w:t xml:space="preserve">he borrower's name; </w:t>
      </w:r>
      <w:r w:rsidR="005D1193">
        <w:rPr>
          <w:sz w:val="24"/>
          <w:szCs w:val="24"/>
        </w:rPr>
        <w:t>a</w:t>
      </w:r>
      <w:r w:rsidRPr="00E2218D" w:rsidR="005D1193">
        <w:rPr>
          <w:sz w:val="24"/>
          <w:szCs w:val="24"/>
        </w:rPr>
        <w:t xml:space="preserve"> reference to </w:t>
      </w:r>
      <w:r w:rsidR="005D1193">
        <w:rPr>
          <w:sz w:val="24"/>
          <w:szCs w:val="24"/>
        </w:rPr>
        <w:t>the</w:t>
      </w:r>
      <w:r w:rsidRPr="00E2218D" w:rsidR="005D1193">
        <w:rPr>
          <w:sz w:val="24"/>
          <w:szCs w:val="24"/>
        </w:rPr>
        <w:t xml:space="preserve"> Loan Guarant</w:t>
      </w:r>
      <w:r w:rsidR="005D1193">
        <w:rPr>
          <w:sz w:val="24"/>
          <w:szCs w:val="24"/>
        </w:rPr>
        <w:t>ee</w:t>
      </w:r>
      <w:r w:rsidRPr="00E2218D" w:rsidR="005D1193">
        <w:rPr>
          <w:sz w:val="24"/>
          <w:szCs w:val="24"/>
        </w:rPr>
        <w:t xml:space="preserve"> Certificate or Loan Insurance Agreement number; </w:t>
      </w:r>
      <w:r w:rsidR="005D1193">
        <w:rPr>
          <w:sz w:val="24"/>
          <w:szCs w:val="24"/>
        </w:rPr>
        <w:t>t</w:t>
      </w:r>
      <w:r w:rsidRPr="00E2218D" w:rsidR="005D1193">
        <w:rPr>
          <w:sz w:val="24"/>
          <w:szCs w:val="24"/>
        </w:rPr>
        <w:t xml:space="preserve">he lender's internal loan number; and </w:t>
      </w:r>
      <w:r w:rsidR="005D1193">
        <w:rPr>
          <w:sz w:val="24"/>
          <w:szCs w:val="24"/>
        </w:rPr>
        <w:t>t</w:t>
      </w:r>
      <w:r w:rsidRPr="00E2218D" w:rsidR="005D1193">
        <w:rPr>
          <w:sz w:val="24"/>
          <w:szCs w:val="24"/>
        </w:rPr>
        <w:t>he date and amount of all loan balance activity for the reporting period.</w:t>
      </w:r>
      <w:r w:rsidR="005D1193">
        <w:rPr>
          <w:sz w:val="24"/>
          <w:szCs w:val="24"/>
        </w:rPr>
        <w:t xml:space="preserve"> </w:t>
      </w:r>
      <w:r w:rsidRPr="00E2218D" w:rsidR="005D1193">
        <w:t xml:space="preserve"> </w:t>
      </w:r>
      <w:r w:rsidRPr="00E2218D" w:rsidR="005D1193">
        <w:rPr>
          <w:sz w:val="24"/>
          <w:szCs w:val="24"/>
        </w:rPr>
        <w:t>If the loan is repaid in full, the lender must promptly not</w:t>
      </w:r>
      <w:r w:rsidR="005D1193">
        <w:rPr>
          <w:sz w:val="24"/>
          <w:szCs w:val="24"/>
        </w:rPr>
        <w:t xml:space="preserve">ify IA in writing so that </w:t>
      </w:r>
      <w:r w:rsidRPr="00E2218D" w:rsidR="005D1193">
        <w:rPr>
          <w:sz w:val="24"/>
          <w:szCs w:val="24"/>
        </w:rPr>
        <w:t>IA can eliminate the guarant</w:t>
      </w:r>
      <w:r w:rsidR="008B3789">
        <w:rPr>
          <w:sz w:val="24"/>
          <w:szCs w:val="24"/>
        </w:rPr>
        <w:t>ee</w:t>
      </w:r>
      <w:r w:rsidRPr="00E2218D" w:rsidR="005D1193">
        <w:rPr>
          <w:sz w:val="24"/>
          <w:szCs w:val="24"/>
        </w:rPr>
        <w:t xml:space="preserve"> or insurance coverage from its active recordkeeping system. </w:t>
      </w:r>
      <w:r w:rsidR="005D1193">
        <w:rPr>
          <w:sz w:val="24"/>
          <w:szCs w:val="24"/>
        </w:rPr>
        <w:t xml:space="preserve"> </w:t>
      </w:r>
      <w:r w:rsidRPr="00E2218D" w:rsidR="005D1193">
        <w:rPr>
          <w:sz w:val="24"/>
          <w:szCs w:val="24"/>
        </w:rPr>
        <w:t>The lender must periodically report the borrower's loan pay</w:t>
      </w:r>
      <w:r w:rsidR="005D1193">
        <w:rPr>
          <w:sz w:val="24"/>
          <w:szCs w:val="24"/>
        </w:rPr>
        <w:t xml:space="preserve">ment history so that IA </w:t>
      </w:r>
      <w:r w:rsidRPr="00E2218D" w:rsidR="005D1193">
        <w:rPr>
          <w:sz w:val="24"/>
          <w:szCs w:val="24"/>
        </w:rPr>
        <w:t>can recalculate the government's contingent liability.</w:t>
      </w:r>
    </w:p>
    <w:p w:rsidR="005D1193" w:rsidP="005D1193" w:rsidRDefault="005D1193" w14:paraId="6432E24B" w14:textId="77777777">
      <w:pPr>
        <w:tabs>
          <w:tab w:val="left" w:pos="-1440"/>
        </w:tabs>
        <w:spacing w:line="231" w:lineRule="auto"/>
        <w:rPr>
          <w:sz w:val="24"/>
          <w:szCs w:val="24"/>
        </w:rPr>
      </w:pPr>
    </w:p>
    <w:p w:rsidRPr="007A62CD" w:rsidR="007A62CD" w:rsidP="007A62CD" w:rsidRDefault="005D1193" w14:paraId="65C4E21C" w14:textId="7AED8155">
      <w:pPr>
        <w:pStyle w:val="ListParagraph"/>
        <w:spacing w:line="231" w:lineRule="auto"/>
        <w:rPr>
          <w:b/>
          <w:bCs/>
          <w:i/>
          <w:iCs/>
          <w:sz w:val="24"/>
          <w:szCs w:val="24"/>
          <w:u w:val="single"/>
        </w:rPr>
      </w:pPr>
      <w:r w:rsidRPr="007A62CD">
        <w:rPr>
          <w:b/>
          <w:bCs/>
          <w:i/>
          <w:iCs/>
          <w:sz w:val="24"/>
          <w:szCs w:val="24"/>
          <w:u w:val="single"/>
        </w:rPr>
        <w:t xml:space="preserve">Loan Modification, 25 CFR 103.34 </w:t>
      </w:r>
    </w:p>
    <w:p w:rsidRPr="000236F3" w:rsidR="007E6914" w:rsidP="007A62CD" w:rsidRDefault="007A62CD" w14:paraId="7CF1074A" w14:textId="60C22AB5">
      <w:pPr>
        <w:spacing w:line="231" w:lineRule="auto"/>
        <w:ind w:left="720"/>
        <w:rPr>
          <w:sz w:val="24"/>
          <w:szCs w:val="24"/>
        </w:rPr>
      </w:pPr>
      <w:r>
        <w:rPr>
          <w:sz w:val="24"/>
          <w:szCs w:val="24"/>
        </w:rPr>
        <w:t>Id</w:t>
      </w:r>
      <w:r w:rsidRPr="4D37C57D">
        <w:rPr>
          <w:sz w:val="24"/>
          <w:szCs w:val="24"/>
        </w:rPr>
        <w:t xml:space="preserve">entifies </w:t>
      </w:r>
      <w:r w:rsidRPr="0B820B04" w:rsidR="005D1193">
        <w:rPr>
          <w:sz w:val="24"/>
          <w:szCs w:val="24"/>
        </w:rPr>
        <w:t xml:space="preserve">the process the borrower must follow to change the terms of a loan.  The lender must obtain written IA approval before modifying a loan guaranteed or insured under </w:t>
      </w:r>
      <w:proofErr w:type="gramStart"/>
      <w:r w:rsidRPr="0B820B04" w:rsidR="005D1193">
        <w:rPr>
          <w:sz w:val="24"/>
          <w:szCs w:val="24"/>
        </w:rPr>
        <w:t>the  Program</w:t>
      </w:r>
      <w:proofErr w:type="gramEnd"/>
      <w:r w:rsidRPr="0B820B04" w:rsidR="005D1193">
        <w:rPr>
          <w:sz w:val="24"/>
          <w:szCs w:val="24"/>
        </w:rPr>
        <w:t>, if the change will result in several scenarios outlined in this section.</w:t>
      </w:r>
      <w:r w:rsidR="005D1193">
        <w:t xml:space="preserve">  </w:t>
      </w:r>
      <w:r w:rsidRPr="0B820B04" w:rsidR="005D1193">
        <w:rPr>
          <w:sz w:val="24"/>
          <w:szCs w:val="24"/>
        </w:rPr>
        <w:t>In the case of an insured loan, to the extent a loan modification changes any of the information supplied to IA under § 103.18(b)(3), the lender also must promptly notify IA of the new information.  This information is used by the Program to manage the loan during any loan modification scenario.  The information provided allows the program to know about material substantive changes and assess whether the probability of loss would increase.</w:t>
      </w:r>
    </w:p>
    <w:p w:rsidR="00D510C5" w:rsidP="002402C3" w:rsidRDefault="00D510C5" w14:paraId="7BE20458" w14:textId="77777777">
      <w:pPr>
        <w:widowControl/>
        <w:autoSpaceDE/>
        <w:autoSpaceDN/>
        <w:adjustRightInd/>
        <w:rPr>
          <w:sz w:val="24"/>
          <w:szCs w:val="24"/>
        </w:rPr>
      </w:pPr>
    </w:p>
    <w:p w:rsidR="00012FA5" w:rsidP="00012FA5" w:rsidRDefault="00012FA5" w14:paraId="28CD9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311DD" w:rsidP="00012FA5" w:rsidRDefault="007311DD" w14:paraId="6C440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P="002B2003" w:rsidRDefault="00D510C5" w14:paraId="51B89C28" w14:textId="3E93E8A7">
      <w:pPr>
        <w:widowControl/>
        <w:spacing w:line="240" w:lineRule="atLeast"/>
        <w:ind w:left="360"/>
        <w:rPr>
          <w:sz w:val="24"/>
          <w:szCs w:val="24"/>
        </w:rPr>
      </w:pPr>
      <w:r w:rsidRPr="5A5F265C">
        <w:rPr>
          <w:sz w:val="24"/>
          <w:szCs w:val="24"/>
        </w:rPr>
        <w:t xml:space="preserve">IA </w:t>
      </w:r>
      <w:proofErr w:type="gramStart"/>
      <w:r w:rsidRPr="5A5F265C">
        <w:rPr>
          <w:sz w:val="24"/>
          <w:szCs w:val="24"/>
        </w:rPr>
        <w:t>is able to</w:t>
      </w:r>
      <w:proofErr w:type="gramEnd"/>
      <w:r w:rsidRPr="5A5F265C">
        <w:rPr>
          <w:sz w:val="24"/>
          <w:szCs w:val="24"/>
        </w:rPr>
        <w:t xml:space="preserve"> accept telefax mail to reduce the information collection burden with respect to most program requirements.  </w:t>
      </w:r>
      <w:r w:rsidRPr="5A5F265C" w:rsidR="000970F5">
        <w:rPr>
          <w:sz w:val="24"/>
          <w:szCs w:val="24"/>
        </w:rPr>
        <w:t>M</w:t>
      </w:r>
      <w:r w:rsidRPr="5A5F265C" w:rsidR="00CA1285">
        <w:rPr>
          <w:sz w:val="24"/>
          <w:szCs w:val="24"/>
        </w:rPr>
        <w:t xml:space="preserve">ost </w:t>
      </w:r>
      <w:r w:rsidRPr="5A5F265C">
        <w:rPr>
          <w:sz w:val="24"/>
          <w:szCs w:val="24"/>
        </w:rPr>
        <w:t xml:space="preserve">respondents choose to email the Request for Loan Guarantee </w:t>
      </w:r>
      <w:r w:rsidRPr="5A5F265C" w:rsidR="00AD604F">
        <w:rPr>
          <w:sz w:val="24"/>
          <w:szCs w:val="24"/>
        </w:rPr>
        <w:t xml:space="preserve">and Notifications of </w:t>
      </w:r>
      <w:r w:rsidRPr="5A5F265C">
        <w:rPr>
          <w:sz w:val="24"/>
          <w:szCs w:val="24"/>
        </w:rPr>
        <w:t>Insur</w:t>
      </w:r>
      <w:r w:rsidRPr="5A5F265C" w:rsidR="00AD604F">
        <w:rPr>
          <w:sz w:val="24"/>
          <w:szCs w:val="24"/>
        </w:rPr>
        <w:t>ed Loans</w:t>
      </w:r>
      <w:r w:rsidRPr="5A5F265C">
        <w:rPr>
          <w:sz w:val="24"/>
          <w:szCs w:val="24"/>
        </w:rPr>
        <w:t>, in</w:t>
      </w:r>
      <w:r w:rsidRPr="5A5F265C" w:rsidR="00C72A59">
        <w:rPr>
          <w:sz w:val="24"/>
          <w:szCs w:val="24"/>
        </w:rPr>
        <w:t>stead</w:t>
      </w:r>
      <w:r w:rsidRPr="5A5F265C" w:rsidR="00886A6D">
        <w:rPr>
          <w:sz w:val="24"/>
          <w:szCs w:val="24"/>
        </w:rPr>
        <w:t xml:space="preserve"> </w:t>
      </w:r>
      <w:r w:rsidRPr="5A5F265C" w:rsidR="00C72A59">
        <w:rPr>
          <w:sz w:val="24"/>
          <w:szCs w:val="24"/>
        </w:rPr>
        <w:t xml:space="preserve">of </w:t>
      </w:r>
      <w:r w:rsidRPr="5A5F265C">
        <w:rPr>
          <w:sz w:val="24"/>
          <w:szCs w:val="24"/>
        </w:rPr>
        <w:t>sending a physical copy via mail.</w:t>
      </w:r>
      <w:r w:rsidRPr="5A5F265C" w:rsidR="007F5CDE">
        <w:rPr>
          <w:sz w:val="24"/>
          <w:szCs w:val="24"/>
        </w:rPr>
        <w:t xml:space="preserve"> </w:t>
      </w:r>
      <w:r w:rsidRPr="5A5F265C" w:rsidR="00F93633">
        <w:rPr>
          <w:sz w:val="24"/>
          <w:szCs w:val="24"/>
        </w:rPr>
        <w:t>Occasionally respondents will submit documents via flash drive.</w:t>
      </w:r>
      <w:r w:rsidRPr="5A5F265C" w:rsidR="6C4ADDE5">
        <w:rPr>
          <w:sz w:val="24"/>
          <w:szCs w:val="24"/>
        </w:rPr>
        <w:t xml:space="preserve"> Program regulations require Notices of Default to be sent by certified mail or </w:t>
      </w:r>
      <w:proofErr w:type="gramStart"/>
      <w:r w:rsidRPr="5A5F265C" w:rsidR="6C4ADDE5">
        <w:rPr>
          <w:sz w:val="24"/>
          <w:szCs w:val="24"/>
        </w:rPr>
        <w:t>nationally-recognized</w:t>
      </w:r>
      <w:proofErr w:type="gramEnd"/>
      <w:r w:rsidRPr="5A5F265C" w:rsidR="6C4ADDE5">
        <w:rPr>
          <w:sz w:val="24"/>
          <w:szCs w:val="24"/>
        </w:rPr>
        <w:t xml:space="preserve"> overnight delivery service, but </w:t>
      </w:r>
      <w:r w:rsidR="00FC449F">
        <w:rPr>
          <w:sz w:val="24"/>
          <w:szCs w:val="24"/>
        </w:rPr>
        <w:t xml:space="preserve">IA </w:t>
      </w:r>
      <w:r w:rsidRPr="5A5F265C" w:rsidR="6C4ADDE5">
        <w:rPr>
          <w:sz w:val="24"/>
          <w:szCs w:val="24"/>
        </w:rPr>
        <w:t xml:space="preserve">will </w:t>
      </w:r>
      <w:r w:rsidRPr="5A5F265C" w:rsidR="55AE4878">
        <w:rPr>
          <w:sz w:val="24"/>
          <w:szCs w:val="24"/>
        </w:rPr>
        <w:t xml:space="preserve">also </w:t>
      </w:r>
      <w:r w:rsidRPr="5A5F265C" w:rsidR="6C4ADDE5">
        <w:rPr>
          <w:sz w:val="24"/>
          <w:szCs w:val="24"/>
        </w:rPr>
        <w:t>accept electronic copies.</w:t>
      </w:r>
      <w:r w:rsidRPr="5A5F265C" w:rsidR="00F93633">
        <w:rPr>
          <w:sz w:val="24"/>
          <w:szCs w:val="24"/>
        </w:rPr>
        <w:t xml:space="preserve"> </w:t>
      </w:r>
      <w:r w:rsidRPr="5A5F265C" w:rsidR="00FF7F6D">
        <w:rPr>
          <w:sz w:val="24"/>
          <w:szCs w:val="24"/>
        </w:rPr>
        <w:t>IA allows for electronic signatures on its forms</w:t>
      </w:r>
      <w:r w:rsidRPr="5A5F265C" w:rsidR="000970F5">
        <w:rPr>
          <w:sz w:val="24"/>
          <w:szCs w:val="24"/>
        </w:rPr>
        <w:t>, but s</w:t>
      </w:r>
      <w:r w:rsidRPr="5A5F265C" w:rsidR="007F5CDE">
        <w:rPr>
          <w:sz w:val="24"/>
          <w:szCs w:val="24"/>
        </w:rPr>
        <w:t>ome</w:t>
      </w:r>
      <w:r w:rsidRPr="5A5F265C">
        <w:rPr>
          <w:sz w:val="24"/>
          <w:szCs w:val="24"/>
        </w:rPr>
        <w:t xml:space="preserve"> documents containing original signatures are furnished via U.S. mail, and sometimes certified mail</w:t>
      </w:r>
      <w:r w:rsidRPr="5A5F265C" w:rsidR="003F4509">
        <w:rPr>
          <w:sz w:val="24"/>
          <w:szCs w:val="24"/>
        </w:rPr>
        <w:t xml:space="preserve"> with a</w:t>
      </w:r>
      <w:r w:rsidRPr="5A5F265C">
        <w:rPr>
          <w:sz w:val="24"/>
          <w:szCs w:val="24"/>
        </w:rPr>
        <w:t xml:space="preserve"> return receipt requested, </w:t>
      </w:r>
      <w:r w:rsidRPr="5A5F265C" w:rsidR="004F0CA4">
        <w:rPr>
          <w:sz w:val="24"/>
          <w:szCs w:val="24"/>
        </w:rPr>
        <w:t xml:space="preserve">or via another nationally-recognized </w:t>
      </w:r>
      <w:r w:rsidRPr="5A5F265C" w:rsidR="004F0CA4">
        <w:rPr>
          <w:sz w:val="24"/>
          <w:szCs w:val="24"/>
        </w:rPr>
        <w:lastRenderedPageBreak/>
        <w:t xml:space="preserve">courier service providing evidence of signed delivery, </w:t>
      </w:r>
      <w:r w:rsidRPr="5A5F265C">
        <w:rPr>
          <w:sz w:val="24"/>
          <w:szCs w:val="24"/>
        </w:rPr>
        <w:t xml:space="preserve">to establish the parties’ respective legal rights.  </w:t>
      </w:r>
    </w:p>
    <w:p w:rsidR="0054417C" w:rsidP="002B2003" w:rsidRDefault="0054417C" w14:paraId="33F16A89" w14:textId="77777777">
      <w:pPr>
        <w:widowControl/>
        <w:spacing w:line="240" w:lineRule="atLeast"/>
        <w:ind w:left="360"/>
        <w:rPr>
          <w:sz w:val="24"/>
          <w:szCs w:val="24"/>
        </w:rPr>
      </w:pPr>
    </w:p>
    <w:p w:rsidR="0054417C" w:rsidP="002B2003" w:rsidRDefault="0054417C" w14:paraId="002BBAE1" w14:textId="1D63B742">
      <w:pPr>
        <w:widowControl/>
        <w:spacing w:line="240" w:lineRule="atLeast"/>
        <w:ind w:left="360"/>
        <w:rPr>
          <w:sz w:val="24"/>
          <w:szCs w:val="24"/>
        </w:rPr>
      </w:pPr>
      <w:r>
        <w:rPr>
          <w:sz w:val="24"/>
          <w:szCs w:val="24"/>
        </w:rPr>
        <w:t>Forms are available at</w:t>
      </w:r>
      <w:r w:rsidR="00045704">
        <w:rPr>
          <w:sz w:val="24"/>
          <w:szCs w:val="24"/>
        </w:rPr>
        <w:t xml:space="preserve"> the </w:t>
      </w:r>
      <w:r w:rsidR="00C13157">
        <w:rPr>
          <w:sz w:val="24"/>
          <w:szCs w:val="24"/>
        </w:rPr>
        <w:t xml:space="preserve">IA Forms </w:t>
      </w:r>
      <w:r w:rsidR="00045704">
        <w:rPr>
          <w:sz w:val="24"/>
          <w:szCs w:val="24"/>
        </w:rPr>
        <w:t>web</w:t>
      </w:r>
      <w:r w:rsidR="00427314">
        <w:rPr>
          <w:sz w:val="24"/>
          <w:szCs w:val="24"/>
        </w:rPr>
        <w:t>page</w:t>
      </w:r>
      <w:r w:rsidR="00045704">
        <w:rPr>
          <w:sz w:val="24"/>
          <w:szCs w:val="24"/>
        </w:rPr>
        <w:t xml:space="preserve"> located at </w:t>
      </w:r>
      <w:hyperlink w:history="1" r:id="rId11">
        <w:r w:rsidRPr="00045704" w:rsidR="00045704">
          <w:rPr>
            <w:rStyle w:val="Hyperlink"/>
            <w:sz w:val="24"/>
            <w:szCs w:val="24"/>
          </w:rPr>
          <w:t>https://www.bia.gov/policy-forms/online-forms</w:t>
        </w:r>
      </w:hyperlink>
      <w:r w:rsidR="00045704">
        <w:rPr>
          <w:sz w:val="24"/>
          <w:szCs w:val="24"/>
        </w:rPr>
        <w:t xml:space="preserve">.  </w:t>
      </w:r>
      <w:r w:rsidR="00927E36">
        <w:rPr>
          <w:sz w:val="24"/>
          <w:szCs w:val="24"/>
        </w:rPr>
        <w:t>Within this page, the forms are located on the “</w:t>
      </w:r>
      <w:r w:rsidRPr="00927E36" w:rsidR="00927E36">
        <w:rPr>
          <w:sz w:val="24"/>
          <w:szCs w:val="24"/>
        </w:rPr>
        <w:t>1076-0020</w:t>
      </w:r>
      <w:r w:rsidR="00927E36">
        <w:rPr>
          <w:sz w:val="24"/>
          <w:szCs w:val="24"/>
        </w:rPr>
        <w:t xml:space="preserve">” row. </w:t>
      </w:r>
    </w:p>
    <w:p w:rsidR="00740724" w:rsidP="002B2003" w:rsidRDefault="00740724" w14:paraId="386F69DB" w14:textId="77777777">
      <w:pPr>
        <w:widowControl/>
        <w:spacing w:line="240" w:lineRule="atLeast"/>
        <w:ind w:left="360"/>
        <w:rPr>
          <w:sz w:val="24"/>
          <w:szCs w:val="24"/>
        </w:rPr>
      </w:pPr>
    </w:p>
    <w:p w:rsidR="00427314" w:rsidP="002B2003" w:rsidRDefault="00C13157" w14:paraId="25D4EC84" w14:textId="27DC744B">
      <w:pPr>
        <w:widowControl/>
        <w:spacing w:line="240" w:lineRule="atLeast"/>
        <w:ind w:left="360"/>
        <w:rPr>
          <w:sz w:val="24"/>
          <w:szCs w:val="24"/>
        </w:rPr>
      </w:pPr>
      <w:r>
        <w:rPr>
          <w:sz w:val="24"/>
          <w:szCs w:val="24"/>
        </w:rPr>
        <w:t xml:space="preserve">In addition, </w:t>
      </w:r>
      <w:r w:rsidR="003257AF">
        <w:rPr>
          <w:sz w:val="24"/>
          <w:szCs w:val="24"/>
        </w:rPr>
        <w:t xml:space="preserve">the </w:t>
      </w:r>
      <w:r w:rsidRPr="003257AF" w:rsidR="003257AF">
        <w:rPr>
          <w:sz w:val="24"/>
          <w:szCs w:val="24"/>
        </w:rPr>
        <w:t>Loan Guarantee, Insurance, and Interest Subsidy Program</w:t>
      </w:r>
      <w:r w:rsidR="003257AF">
        <w:rPr>
          <w:sz w:val="24"/>
          <w:szCs w:val="24"/>
        </w:rPr>
        <w:t xml:space="preserve"> </w:t>
      </w:r>
      <w:r w:rsidR="00427314">
        <w:rPr>
          <w:sz w:val="24"/>
          <w:szCs w:val="24"/>
        </w:rPr>
        <w:t xml:space="preserve">provides the following webpages:  </w:t>
      </w:r>
    </w:p>
    <w:p w:rsidRPr="005D5CA8" w:rsidR="00740724" w:rsidP="005D5CA8" w:rsidRDefault="004207D8" w14:paraId="7A6D463F" w14:textId="7C5EF06A">
      <w:pPr>
        <w:pStyle w:val="ListParagraph"/>
        <w:widowControl/>
        <w:numPr>
          <w:ilvl w:val="0"/>
          <w:numId w:val="23"/>
        </w:numPr>
        <w:spacing w:line="240" w:lineRule="atLeast"/>
        <w:rPr>
          <w:color w:val="FF0000"/>
          <w:sz w:val="24"/>
          <w:szCs w:val="24"/>
        </w:rPr>
      </w:pPr>
      <w:hyperlink w:history="1" r:id="rId12">
        <w:r w:rsidRPr="005D5CA8" w:rsidR="00427314">
          <w:rPr>
            <w:rStyle w:val="Hyperlink"/>
            <w:sz w:val="24"/>
            <w:szCs w:val="24"/>
          </w:rPr>
          <w:t>https://www.bia.gov/service/loans/ilgp</w:t>
        </w:r>
      </w:hyperlink>
    </w:p>
    <w:p w:rsidRPr="005D5CA8" w:rsidR="51DD7575" w:rsidP="005D5CA8" w:rsidRDefault="004207D8" w14:paraId="31A6DB97" w14:textId="7C1AB7C9">
      <w:pPr>
        <w:pStyle w:val="ListParagraph"/>
        <w:widowControl/>
        <w:numPr>
          <w:ilvl w:val="0"/>
          <w:numId w:val="23"/>
        </w:numPr>
        <w:spacing w:line="240" w:lineRule="atLeast"/>
        <w:rPr>
          <w:color w:val="FF0000"/>
          <w:sz w:val="24"/>
          <w:szCs w:val="24"/>
        </w:rPr>
      </w:pPr>
      <w:hyperlink w:history="1" r:id="rId13">
        <w:r w:rsidRPr="005D5CA8" w:rsidR="51DD7575">
          <w:rPr>
            <w:rStyle w:val="Hyperlink"/>
            <w:sz w:val="24"/>
            <w:szCs w:val="24"/>
          </w:rPr>
          <w:t>https://www.bia.gov/service/loans/ilgp/what-lenders-need-know-about-ilgp</w:t>
        </w:r>
      </w:hyperlink>
    </w:p>
    <w:p w:rsidRPr="005D5CA8" w:rsidR="5EB9AF27" w:rsidP="005D5CA8" w:rsidRDefault="5EB9AF27" w14:paraId="0736B015" w14:textId="2DAAFFA2">
      <w:pPr>
        <w:pStyle w:val="ListParagraph"/>
        <w:widowControl/>
        <w:numPr>
          <w:ilvl w:val="0"/>
          <w:numId w:val="23"/>
        </w:numPr>
        <w:spacing w:line="240" w:lineRule="atLeast"/>
        <w:rPr>
          <w:rStyle w:val="Hyperlink"/>
          <w:sz w:val="24"/>
          <w:szCs w:val="24"/>
        </w:rPr>
      </w:pPr>
      <w:r w:rsidRPr="005D5CA8">
        <w:rPr>
          <w:rStyle w:val="Hyperlink"/>
          <w:sz w:val="24"/>
          <w:szCs w:val="24"/>
        </w:rPr>
        <w:t>https://www.bia.gov/service/loans/ilgp/apply-ilgp-loan-guarantee</w:t>
      </w:r>
    </w:p>
    <w:p w:rsidRPr="005D5CA8" w:rsidR="51DD7575" w:rsidP="005D5CA8" w:rsidRDefault="004207D8" w14:paraId="7C1BEB5D" w14:textId="227C49AB">
      <w:pPr>
        <w:pStyle w:val="ListParagraph"/>
        <w:widowControl/>
        <w:numPr>
          <w:ilvl w:val="0"/>
          <w:numId w:val="23"/>
        </w:numPr>
        <w:spacing w:line="240" w:lineRule="atLeast"/>
        <w:rPr>
          <w:color w:val="FF0000"/>
          <w:sz w:val="24"/>
          <w:szCs w:val="24"/>
        </w:rPr>
      </w:pPr>
      <w:hyperlink w:history="1" r:id="rId14">
        <w:r w:rsidRPr="005D5CA8" w:rsidR="51DD7575">
          <w:rPr>
            <w:rStyle w:val="Hyperlink"/>
            <w:sz w:val="24"/>
            <w:szCs w:val="24"/>
          </w:rPr>
          <w:t>https://www.bia.gov/service/loans/ilgp/how-lenders-can-apply-ilgp-loan-insurance</w:t>
        </w:r>
      </w:hyperlink>
    </w:p>
    <w:p w:rsidR="00012FA5" w:rsidP="00012FA5" w:rsidRDefault="00012FA5" w14:paraId="324B8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163901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rsidR="00012FA5" w:rsidP="00012FA5" w:rsidRDefault="00012FA5" w14:paraId="23EDED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30BA1" w:rsidR="00D510C5" w:rsidP="00D510C5" w:rsidRDefault="00D510C5" w14:paraId="79C08B13" w14:textId="77777777">
      <w:pPr>
        <w:spacing w:line="231" w:lineRule="auto"/>
        <w:rPr>
          <w:sz w:val="24"/>
          <w:szCs w:val="24"/>
        </w:rPr>
      </w:pPr>
      <w:r w:rsidRPr="00F30BA1">
        <w:rPr>
          <w:sz w:val="24"/>
          <w:szCs w:val="24"/>
        </w:rPr>
        <w:t xml:space="preserve">IA makes every effort to avoid requirements that duplicate information collection efforts.  IA also takes full advantage of the fact that lenders already gather much of the information of importance to the Program in the ordinary course of accepting loan applications, irrespective of whether the lender intends to seek Program benefits.  The regulations allow the lender simply to submit to IA a copy of the borrower’s application without any reformatting.  </w:t>
      </w:r>
      <w:r w:rsidR="004F0CA4">
        <w:rPr>
          <w:sz w:val="24"/>
          <w:szCs w:val="24"/>
        </w:rPr>
        <w:t>In some cases, l</w:t>
      </w:r>
      <w:r w:rsidRPr="00F30BA1">
        <w:rPr>
          <w:sz w:val="24"/>
          <w:szCs w:val="24"/>
        </w:rPr>
        <w:t xml:space="preserve">enders may choose to use the forms that IA provides, but IA does not require </w:t>
      </w:r>
      <w:r w:rsidR="004F0CA4">
        <w:rPr>
          <w:sz w:val="24"/>
          <w:szCs w:val="24"/>
        </w:rPr>
        <w:t>their use as long as the necessary information is provided</w:t>
      </w:r>
      <w:r w:rsidRPr="00F30BA1">
        <w:rPr>
          <w:sz w:val="24"/>
          <w:szCs w:val="24"/>
        </w:rPr>
        <w:t xml:space="preserve">, which frees lenders from searching through unfamiliar documents to insert information they might already have elsewhere into Program-specific fields.  Instead, lenders use the forms they already know, modified only to the extent necessary to meet Program requirements.  </w:t>
      </w:r>
    </w:p>
    <w:p w:rsidR="00012FA5" w:rsidP="00012FA5" w:rsidRDefault="00012FA5" w14:paraId="6AA45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3D3F5C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rsidR="00012FA5" w:rsidP="00012FA5" w:rsidRDefault="00012FA5" w14:paraId="42C406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P="00012FA5" w:rsidRDefault="00D510C5" w14:paraId="753F2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There is no significant economic impact on a substantial number of small businesses.  The program serves only a modest number of Indian businesses, individual Indian loan applicants and lending institutions.  Moreover, lenders use the Program on a completely voluntary basis, when they want to help reduce the potential risk of making loans to Indian businesses.  The information collection burden under the Program is limited further by the fact that information is generally collected only when it is needed.  For instance, IA only collects information on ISR1</w:t>
      </w:r>
      <w:r w:rsidR="001276E4">
        <w:rPr>
          <w:sz w:val="24"/>
          <w:szCs w:val="24"/>
        </w:rPr>
        <w:t>0</w:t>
      </w:r>
      <w:r w:rsidRPr="00F30BA1">
        <w:rPr>
          <w:sz w:val="24"/>
          <w:szCs w:val="24"/>
        </w:rPr>
        <w:t xml:space="preserve"> when the loan involves interest subsidy.  Forms CFL10 and NOC10 are used only when there is a loan default.  </w:t>
      </w:r>
      <w:r w:rsidR="00846DD7">
        <w:rPr>
          <w:sz w:val="24"/>
          <w:szCs w:val="24"/>
        </w:rPr>
        <w:t>The Program’s</w:t>
      </w:r>
      <w:r w:rsidRPr="00F30BA1" w:rsidR="00846DD7">
        <w:rPr>
          <w:sz w:val="24"/>
          <w:szCs w:val="24"/>
        </w:rPr>
        <w:t xml:space="preserve"> </w:t>
      </w:r>
      <w:r w:rsidRPr="00F30BA1">
        <w:rPr>
          <w:sz w:val="24"/>
          <w:szCs w:val="24"/>
        </w:rPr>
        <w:t>success in minimizing the information collection burden is further demonstrated by its overall burden estimates.</w:t>
      </w:r>
    </w:p>
    <w:p w:rsidRPr="006F2591" w:rsidR="00D510C5" w:rsidP="00012FA5" w:rsidRDefault="00D510C5" w14:paraId="1373AA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D15C37" w:rsidR="00012FA5" w:rsidP="00012FA5" w:rsidRDefault="00012FA5" w14:paraId="576A9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rsidR="00012FA5" w:rsidP="00012FA5" w:rsidRDefault="00012FA5" w14:paraId="2FABCD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BA1" w:rsidR="00D510C5" w:rsidP="00D510C5" w:rsidRDefault="00D510C5" w14:paraId="6D015CC5" w14:textId="77777777">
      <w:pPr>
        <w:spacing w:line="231" w:lineRule="auto"/>
        <w:rPr>
          <w:sz w:val="24"/>
          <w:szCs w:val="24"/>
        </w:rPr>
      </w:pPr>
      <w:r w:rsidRPr="00F30BA1">
        <w:rPr>
          <w:sz w:val="24"/>
          <w:szCs w:val="24"/>
        </w:rPr>
        <w:t xml:space="preserve">The Program could not be run effectively, if at all, if IA were to significantly reduce the </w:t>
      </w:r>
      <w:r w:rsidRPr="00F30BA1">
        <w:rPr>
          <w:sz w:val="24"/>
          <w:szCs w:val="24"/>
        </w:rPr>
        <w:lastRenderedPageBreak/>
        <w:t>information collection requirements beyond what it now proposes.  IA would start to lose details concerning whether the lender and borrower are qualified under the Program, whether the proposed business serves the purposes of the Program, and whether claims for loss are justified.  IA would have inadequate means by which to monitor lender and borrower performance, resulting in little or no accountability and no data on which to gauge Program performance.  IA would be unable to submit accurate reports of the sort the Department of the Treasury requires, which, among other functions, help in assessment of the government’s cont</w:t>
      </w:r>
      <w:r w:rsidR="003B1323">
        <w:rPr>
          <w:sz w:val="24"/>
          <w:szCs w:val="24"/>
        </w:rPr>
        <w:t xml:space="preserve">ingent liability.  Ultimately, IA </w:t>
      </w:r>
      <w:r w:rsidRPr="00F30BA1">
        <w:rPr>
          <w:sz w:val="24"/>
          <w:szCs w:val="24"/>
        </w:rPr>
        <w:t>would almost certainly end up paying out more Federal funds than necessary, with less Indian economic development to show for it.</w:t>
      </w:r>
    </w:p>
    <w:p w:rsidR="00C17151" w:rsidP="00C17151" w:rsidRDefault="00C17151" w14:paraId="6850F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012FA5" w:rsidP="00751EB7" w:rsidRDefault="00C17151" w14:paraId="04CDB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sidRPr="00D15C37" w:rsidR="00012FA5">
        <w:rPr>
          <w:b/>
          <w:sz w:val="24"/>
          <w:szCs w:val="24"/>
        </w:rPr>
        <w:tab/>
      </w:r>
      <w:r w:rsidRPr="00B665EB" w:rsidR="00012FA5">
        <w:rPr>
          <w:b/>
          <w:sz w:val="24"/>
          <w:szCs w:val="24"/>
        </w:rPr>
        <w:t>Explain any special circumstances that would cause an information collection to be conducted in a manner:</w:t>
      </w:r>
    </w:p>
    <w:p w:rsidRPr="00B665EB" w:rsidR="00012FA5" w:rsidP="00012FA5" w:rsidRDefault="00012FA5" w14:paraId="6422C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rsidRPr="00B665EB" w:rsidR="00012FA5" w:rsidP="00012FA5" w:rsidRDefault="00012FA5" w14:paraId="253BB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Pr="00B665EB" w:rsidR="00012FA5" w:rsidP="00012FA5" w:rsidRDefault="00012FA5" w14:paraId="7E927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Pr="00B665EB" w:rsidR="00012FA5" w:rsidP="00012FA5" w:rsidRDefault="00012FA5" w14:paraId="531F2B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Pr="00B665EB" w:rsidR="00012FA5" w:rsidP="00012FA5" w:rsidRDefault="00012FA5" w14:paraId="6DD67A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rsidRPr="00B665EB" w:rsidR="00012FA5" w:rsidP="00012FA5" w:rsidRDefault="00012FA5" w14:paraId="58355F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Pr="00B665EB" w:rsidR="00012FA5" w:rsidP="00012FA5" w:rsidRDefault="00012FA5" w14:paraId="12954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P="00012FA5" w:rsidRDefault="00012FA5" w14:paraId="02EE2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P="00012FA5" w:rsidRDefault="00012FA5" w14:paraId="05B36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E78D0" w:rsidR="00012FA5" w:rsidP="00012FA5" w:rsidRDefault="00D510C5" w14:paraId="4D783D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only special </w:t>
      </w:r>
      <w:r w:rsidRPr="007E78D0">
        <w:rPr>
          <w:sz w:val="24"/>
          <w:szCs w:val="24"/>
        </w:rPr>
        <w:t xml:space="preserve">circumstance that may cause </w:t>
      </w:r>
      <w:r w:rsidRPr="007E78D0" w:rsidR="00E0019A">
        <w:rPr>
          <w:sz w:val="24"/>
          <w:szCs w:val="24"/>
        </w:rPr>
        <w:t>information to be conducted in a manner</w:t>
      </w:r>
      <w:r w:rsidRPr="007E78D0">
        <w:rPr>
          <w:sz w:val="24"/>
          <w:szCs w:val="24"/>
        </w:rPr>
        <w:t xml:space="preserve"> </w:t>
      </w:r>
      <w:r w:rsidRPr="007E78D0" w:rsidR="003F4509">
        <w:rPr>
          <w:sz w:val="24"/>
          <w:szCs w:val="24"/>
        </w:rPr>
        <w:t>stated above</w:t>
      </w:r>
      <w:r w:rsidRPr="007E78D0">
        <w:rPr>
          <w:sz w:val="24"/>
          <w:szCs w:val="24"/>
        </w:rPr>
        <w:t xml:space="preserve"> is that respondents must keep loan records for the life of the loan, which may exceed 3 y</w:t>
      </w:r>
      <w:r w:rsidR="007E78D0">
        <w:rPr>
          <w:sz w:val="24"/>
          <w:szCs w:val="24"/>
        </w:rPr>
        <w:t>ears and can be up to 30 years.  The</w:t>
      </w:r>
      <w:r w:rsidRPr="007E78D0">
        <w:rPr>
          <w:sz w:val="24"/>
          <w:szCs w:val="24"/>
        </w:rPr>
        <w:t xml:space="preserve"> </w:t>
      </w:r>
      <w:r w:rsidRPr="007E78D0" w:rsidR="003B1323">
        <w:rPr>
          <w:sz w:val="24"/>
          <w:szCs w:val="24"/>
        </w:rPr>
        <w:t>Program terms all</w:t>
      </w:r>
      <w:r w:rsidR="007E78D0">
        <w:rPr>
          <w:sz w:val="24"/>
          <w:szCs w:val="24"/>
        </w:rPr>
        <w:t>ow loans for up to 30 years.  DOI</w:t>
      </w:r>
      <w:r w:rsidRPr="007E78D0" w:rsidR="003B1323">
        <w:rPr>
          <w:sz w:val="24"/>
          <w:szCs w:val="24"/>
        </w:rPr>
        <w:t xml:space="preserve"> guarantees and insurance lasts for the life of the loan.  A claim for loss could be made at any time before the loan is paid off. </w:t>
      </w:r>
    </w:p>
    <w:p w:rsidRPr="007E78D0" w:rsidR="00D510C5" w:rsidP="00012FA5" w:rsidRDefault="00D510C5" w14:paraId="18CE99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48DB6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E78D0">
        <w:rPr>
          <w:b/>
          <w:sz w:val="24"/>
          <w:szCs w:val="24"/>
        </w:rPr>
        <w:t>8.</w:t>
      </w:r>
      <w:r w:rsidRPr="007E78D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w:t>
      </w:r>
      <w:r w:rsidRPr="00B665EB">
        <w:rPr>
          <w:b/>
          <w:sz w:val="24"/>
          <w:szCs w:val="24"/>
        </w:rPr>
        <w:t xml:space="preserve"> to that notice and in response to the PRA statement associated with the collection over the past three years, and describe actions taken by the agency in response to these comments.  Specifically address comments received on cost and hour burden.</w:t>
      </w:r>
    </w:p>
    <w:p w:rsidR="00D510C5" w:rsidP="00D510C5" w:rsidRDefault="00D510C5" w14:paraId="236A5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2B8C" w:rsidR="00012FA5" w:rsidP="00D510C5" w:rsidRDefault="00012FA5" w14:paraId="41C45F14" w14:textId="2F484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00"/>
          <w:sz w:val="24"/>
          <w:szCs w:val="24"/>
        </w:rPr>
      </w:pPr>
      <w:r>
        <w:rPr>
          <w:sz w:val="24"/>
          <w:szCs w:val="24"/>
        </w:rPr>
        <w:lastRenderedPageBreak/>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w:t>
      </w:r>
      <w:r w:rsidR="003364E8">
        <w:rPr>
          <w:sz w:val="24"/>
          <w:szCs w:val="24"/>
        </w:rPr>
        <w:t>September</w:t>
      </w:r>
      <w:r w:rsidR="000772A1">
        <w:rPr>
          <w:sz w:val="24"/>
          <w:szCs w:val="24"/>
        </w:rPr>
        <w:t xml:space="preserve"> </w:t>
      </w:r>
      <w:r w:rsidR="00C60932">
        <w:rPr>
          <w:sz w:val="24"/>
          <w:szCs w:val="24"/>
        </w:rPr>
        <w:t>21</w:t>
      </w:r>
      <w:r w:rsidR="003364E8">
        <w:rPr>
          <w:sz w:val="24"/>
          <w:szCs w:val="24"/>
        </w:rPr>
        <w:t xml:space="preserve">, </w:t>
      </w:r>
      <w:r w:rsidR="00CA4732">
        <w:rPr>
          <w:sz w:val="24"/>
          <w:szCs w:val="24"/>
        </w:rPr>
        <w:t>2021</w:t>
      </w:r>
      <w:r w:rsidR="007A53E1">
        <w:rPr>
          <w:sz w:val="24"/>
          <w:szCs w:val="24"/>
        </w:rPr>
        <w:t xml:space="preserve">. </w:t>
      </w:r>
      <w:r w:rsidR="00BC40EB">
        <w:rPr>
          <w:sz w:val="24"/>
          <w:szCs w:val="24"/>
        </w:rPr>
        <w:t>86</w:t>
      </w:r>
      <w:r w:rsidR="007A53E1">
        <w:rPr>
          <w:sz w:val="24"/>
          <w:szCs w:val="24"/>
        </w:rPr>
        <w:t xml:space="preserve">  FR </w:t>
      </w:r>
      <w:r w:rsidR="00AA53EE">
        <w:rPr>
          <w:sz w:val="24"/>
          <w:szCs w:val="24"/>
        </w:rPr>
        <w:t>52</w:t>
      </w:r>
      <w:r w:rsidR="004C0D62">
        <w:rPr>
          <w:sz w:val="24"/>
          <w:szCs w:val="24"/>
        </w:rPr>
        <w:t>491</w:t>
      </w:r>
      <w:r w:rsidR="007A53E1">
        <w:rPr>
          <w:sz w:val="24"/>
          <w:szCs w:val="24"/>
        </w:rPr>
        <w:t>.</w:t>
      </w:r>
      <w:r w:rsidR="00712978">
        <w:rPr>
          <w:sz w:val="24"/>
          <w:szCs w:val="24"/>
        </w:rPr>
        <w:t xml:space="preserve">  No comments were received. </w:t>
      </w:r>
    </w:p>
    <w:p w:rsidR="00012FA5" w:rsidP="00012FA5" w:rsidRDefault="00012FA5" w14:paraId="25806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012FA5" w:rsidP="00012FA5" w:rsidRDefault="00012FA5" w14:paraId="4931DF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665EB" w:rsidR="00012FA5" w:rsidP="00012FA5" w:rsidRDefault="00012FA5" w14:paraId="1962D2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P="00012FA5" w:rsidRDefault="00012FA5" w14:paraId="7F409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12FA5" w:rsidP="00012FA5" w:rsidRDefault="00012FA5" w14:paraId="6D2D7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3053A" w:rsidP="4D37C57D" w:rsidRDefault="00D03D3B" w14:paraId="566984BD" w14:textId="0949AF3B">
      <w:pPr>
        <w:widowControl/>
        <w:shd w:val="clear" w:color="auto" w:fill="FFFFFF" w:themeFill="background1"/>
        <w:autoSpaceDE/>
        <w:autoSpaceDN/>
        <w:adjustRightInd/>
        <w:rPr>
          <w:sz w:val="24"/>
          <w:szCs w:val="24"/>
        </w:rPr>
      </w:pPr>
      <w:r w:rsidRPr="4D37C57D">
        <w:rPr>
          <w:sz w:val="24"/>
          <w:szCs w:val="24"/>
        </w:rPr>
        <w:t>We have</w:t>
      </w:r>
      <w:r w:rsidRPr="4D37C57D" w:rsidR="40B652CE">
        <w:rPr>
          <w:sz w:val="24"/>
          <w:szCs w:val="24"/>
        </w:rPr>
        <w:t xml:space="preserve"> </w:t>
      </w:r>
      <w:r w:rsidRPr="4D37C57D" w:rsidR="00D510C5">
        <w:rPr>
          <w:sz w:val="24"/>
          <w:szCs w:val="24"/>
        </w:rPr>
        <w:t>frequent conversations with bankers about the forms they submit in response to this collection of information.  They typically call about where to address a form.</w:t>
      </w:r>
      <w:r w:rsidR="007B059D">
        <w:rPr>
          <w:sz w:val="24"/>
          <w:szCs w:val="24"/>
        </w:rPr>
        <w:t xml:space="preserve">  </w:t>
      </w:r>
      <w:r w:rsidRPr="4D37C57D" w:rsidR="00D510C5">
        <w:rPr>
          <w:sz w:val="24"/>
          <w:szCs w:val="24"/>
        </w:rPr>
        <w:t>We deal only with lenders</w:t>
      </w:r>
      <w:r w:rsidRPr="4D37C57D" w:rsidR="00846DD7">
        <w:rPr>
          <w:sz w:val="24"/>
          <w:szCs w:val="24"/>
        </w:rPr>
        <w:t xml:space="preserve"> concerning these forms</w:t>
      </w:r>
      <w:r w:rsidRPr="4D37C57D" w:rsidR="00D510C5">
        <w:rPr>
          <w:sz w:val="24"/>
          <w:szCs w:val="24"/>
        </w:rPr>
        <w:t xml:space="preserve">, not borrowers.  </w:t>
      </w:r>
      <w:r w:rsidRPr="4D37C57D" w:rsidR="0043053A">
        <w:rPr>
          <w:sz w:val="24"/>
          <w:szCs w:val="24"/>
        </w:rPr>
        <w:t>We contacted the following three respondents familiar with the collection and have provided their feedback below:</w:t>
      </w:r>
    </w:p>
    <w:p w:rsidR="0043053A" w:rsidP="0043053A" w:rsidRDefault="0043053A" w14:paraId="2AF752BC" w14:textId="5FABBD3F">
      <w:pPr>
        <w:widowControl/>
        <w:shd w:val="clear" w:color="auto" w:fill="FFFFFF"/>
        <w:autoSpaceDE/>
        <w:autoSpaceDN/>
        <w:adjustRightInd/>
        <w:rPr>
          <w:sz w:val="24"/>
          <w:szCs w:val="24"/>
        </w:rPr>
      </w:pPr>
    </w:p>
    <w:p w:rsidRPr="005D693F" w:rsidR="00CC603D" w:rsidP="004763FD" w:rsidRDefault="00CC603D" w14:paraId="14491C7E" w14:textId="77777777">
      <w:pPr>
        <w:widowControl/>
        <w:shd w:val="clear" w:color="auto" w:fill="FFFFFF"/>
        <w:autoSpaceDE/>
        <w:autoSpaceDN/>
        <w:adjustRightInd/>
        <w:ind w:left="720"/>
        <w:rPr>
          <w:b/>
          <w:bCs/>
          <w:sz w:val="24"/>
          <w:szCs w:val="24"/>
          <w:u w:val="single"/>
        </w:rPr>
      </w:pPr>
      <w:r w:rsidRPr="005D693F">
        <w:rPr>
          <w:b/>
          <w:bCs/>
          <w:sz w:val="24"/>
          <w:szCs w:val="24"/>
          <w:u w:val="single"/>
        </w:rPr>
        <w:t xml:space="preserve">Vice President – Commercial Lending Team, Community Bank </w:t>
      </w:r>
    </w:p>
    <w:p w:rsidRPr="0043053A" w:rsidR="00A14476" w:rsidP="004763FD" w:rsidRDefault="00FB5A2F" w14:paraId="76349D12" w14:textId="1639CFC7">
      <w:pPr>
        <w:widowControl/>
        <w:shd w:val="clear" w:color="auto" w:fill="FFFFFF"/>
        <w:autoSpaceDE/>
        <w:autoSpaceDN/>
        <w:adjustRightInd/>
        <w:ind w:left="720"/>
        <w:rPr>
          <w:sz w:val="24"/>
          <w:szCs w:val="24"/>
        </w:rPr>
      </w:pPr>
      <w:r>
        <w:rPr>
          <w:sz w:val="24"/>
          <w:szCs w:val="24"/>
        </w:rPr>
        <w:t>“</w:t>
      </w:r>
      <w:r w:rsidRPr="002E4D4E" w:rsidR="002E4D4E">
        <w:rPr>
          <w:sz w:val="24"/>
          <w:szCs w:val="24"/>
        </w:rPr>
        <w:t>In general, the forms are not complex.</w:t>
      </w:r>
      <w:r w:rsidR="00945696">
        <w:rPr>
          <w:sz w:val="24"/>
          <w:szCs w:val="24"/>
        </w:rPr>
        <w:t xml:space="preserve"> </w:t>
      </w:r>
      <w:r w:rsidRPr="002E4D4E" w:rsidR="002E4D4E">
        <w:rPr>
          <w:sz w:val="24"/>
          <w:szCs w:val="24"/>
        </w:rPr>
        <w:t>They could be 1)</w:t>
      </w:r>
      <w:r w:rsidR="002E4D4E">
        <w:rPr>
          <w:sz w:val="24"/>
          <w:szCs w:val="24"/>
        </w:rPr>
        <w:t xml:space="preserve"> </w:t>
      </w:r>
      <w:r w:rsidRPr="002E4D4E" w:rsidR="002E4D4E">
        <w:rPr>
          <w:sz w:val="24"/>
          <w:szCs w:val="24"/>
        </w:rPr>
        <w:t>easier to type into – sometimes I just print them off an</w:t>
      </w:r>
      <w:r w:rsidR="000C7B81">
        <w:rPr>
          <w:sz w:val="24"/>
          <w:szCs w:val="24"/>
        </w:rPr>
        <w:t>d</w:t>
      </w:r>
      <w:r w:rsidRPr="002E4D4E" w:rsidR="002E4D4E">
        <w:rPr>
          <w:sz w:val="24"/>
          <w:szCs w:val="24"/>
        </w:rPr>
        <w:t xml:space="preserve"> handwrite because the form is difficult to type into and save</w:t>
      </w:r>
      <w:r w:rsidR="00227216">
        <w:rPr>
          <w:sz w:val="24"/>
          <w:szCs w:val="24"/>
        </w:rPr>
        <w:t>;</w:t>
      </w:r>
      <w:r w:rsidR="002E4D4E">
        <w:rPr>
          <w:sz w:val="24"/>
          <w:szCs w:val="24"/>
        </w:rPr>
        <w:t xml:space="preserve"> </w:t>
      </w:r>
      <w:r w:rsidRPr="002E4D4E" w:rsidR="002E4D4E">
        <w:rPr>
          <w:sz w:val="24"/>
          <w:szCs w:val="24"/>
        </w:rPr>
        <w:t>2)</w:t>
      </w:r>
      <w:r w:rsidR="002E4D4E">
        <w:rPr>
          <w:sz w:val="24"/>
          <w:szCs w:val="24"/>
        </w:rPr>
        <w:t xml:space="preserve"> </w:t>
      </w:r>
      <w:r w:rsidRPr="002E4D4E" w:rsidR="002E4D4E">
        <w:rPr>
          <w:sz w:val="24"/>
          <w:szCs w:val="24"/>
        </w:rPr>
        <w:t>the ‘original amount of loan’ should be changing to something like: “Maximum credit exposure of loan”, because many loans start with an available balance that can be used as a project (construction) progresses.</w:t>
      </w:r>
      <w:r w:rsidR="00227216">
        <w:rPr>
          <w:sz w:val="24"/>
          <w:szCs w:val="24"/>
        </w:rPr>
        <w:t xml:space="preserve"> </w:t>
      </w:r>
      <w:r w:rsidRPr="001F0E0D" w:rsidR="001F0E0D">
        <w:rPr>
          <w:sz w:val="24"/>
          <w:szCs w:val="24"/>
        </w:rPr>
        <w:t>I would humbly suggest that you reward lenders that make many loans and do NOT have many of them go bad.  You want this program to not be utilized to make bad loans – so reward people for 1)</w:t>
      </w:r>
      <w:r w:rsidR="00F30ADD">
        <w:rPr>
          <w:sz w:val="24"/>
          <w:szCs w:val="24"/>
        </w:rPr>
        <w:t xml:space="preserve"> </w:t>
      </w:r>
      <w:r w:rsidRPr="001F0E0D" w:rsidR="001F0E0D">
        <w:rPr>
          <w:sz w:val="24"/>
          <w:szCs w:val="24"/>
        </w:rPr>
        <w:t>making at least 1 loan per year and 2)</w:t>
      </w:r>
      <w:r w:rsidR="00F30ADD">
        <w:rPr>
          <w:sz w:val="24"/>
          <w:szCs w:val="24"/>
        </w:rPr>
        <w:t xml:space="preserve"> </w:t>
      </w:r>
      <w:r w:rsidRPr="001F0E0D" w:rsidR="001F0E0D">
        <w:rPr>
          <w:sz w:val="24"/>
          <w:szCs w:val="24"/>
        </w:rPr>
        <w:t>not having more than 5% of the principal balance of BIA loans at that bank go bad/call guarantee in the last 3 years.</w:t>
      </w:r>
      <w:r w:rsidR="000772A1">
        <w:rPr>
          <w:sz w:val="24"/>
          <w:szCs w:val="24"/>
        </w:rPr>
        <w:t>”</w:t>
      </w:r>
      <w:r w:rsidR="0010683D">
        <w:rPr>
          <w:sz w:val="24"/>
          <w:szCs w:val="24"/>
        </w:rPr>
        <w:t xml:space="preserve"> </w:t>
      </w:r>
    </w:p>
    <w:p w:rsidR="00385944" w:rsidP="004763FD" w:rsidRDefault="00385944" w14:paraId="42EE9313" w14:textId="77777777">
      <w:pPr>
        <w:widowControl/>
        <w:shd w:val="clear" w:color="auto" w:fill="FFFFFF"/>
        <w:autoSpaceDE/>
        <w:autoSpaceDN/>
        <w:adjustRightInd/>
        <w:ind w:left="720"/>
        <w:rPr>
          <w:bCs/>
          <w:sz w:val="24"/>
          <w:szCs w:val="24"/>
        </w:rPr>
      </w:pPr>
    </w:p>
    <w:p w:rsidRPr="005D693F" w:rsidR="00CC603D" w:rsidP="004763FD" w:rsidRDefault="00CC603D" w14:paraId="12F0F476" w14:textId="77777777">
      <w:pPr>
        <w:widowControl/>
        <w:shd w:val="clear" w:color="auto" w:fill="FFFFFF"/>
        <w:autoSpaceDE/>
        <w:autoSpaceDN/>
        <w:adjustRightInd/>
        <w:ind w:left="720"/>
        <w:rPr>
          <w:b/>
          <w:bCs/>
          <w:sz w:val="24"/>
          <w:szCs w:val="24"/>
          <w:u w:val="single"/>
        </w:rPr>
      </w:pPr>
      <w:r w:rsidRPr="005D693F">
        <w:rPr>
          <w:b/>
          <w:bCs/>
          <w:sz w:val="24"/>
          <w:szCs w:val="24"/>
          <w:u w:val="single"/>
        </w:rPr>
        <w:t xml:space="preserve">Director of Lending – Native Community Development Financial Institution (CDFI) </w:t>
      </w:r>
    </w:p>
    <w:p w:rsidR="00385944" w:rsidP="004763FD" w:rsidRDefault="00231F4A" w14:paraId="3206C0DB" w14:textId="5A1D4FA1">
      <w:pPr>
        <w:widowControl/>
        <w:shd w:val="clear" w:color="auto" w:fill="FFFFFF"/>
        <w:autoSpaceDE/>
        <w:autoSpaceDN/>
        <w:adjustRightInd/>
        <w:ind w:left="720"/>
        <w:rPr>
          <w:bCs/>
          <w:sz w:val="24"/>
          <w:szCs w:val="24"/>
        </w:rPr>
      </w:pPr>
      <w:r>
        <w:rPr>
          <w:bCs/>
          <w:sz w:val="24"/>
          <w:szCs w:val="24"/>
        </w:rPr>
        <w:t>“The forms are straight</w:t>
      </w:r>
      <w:r w:rsidR="00385944">
        <w:rPr>
          <w:bCs/>
          <w:sz w:val="24"/>
          <w:szCs w:val="24"/>
        </w:rPr>
        <w:t xml:space="preserve"> </w:t>
      </w:r>
      <w:r>
        <w:rPr>
          <w:bCs/>
          <w:sz w:val="24"/>
          <w:szCs w:val="24"/>
        </w:rPr>
        <w:t xml:space="preserve">forward and easy to use.” </w:t>
      </w:r>
    </w:p>
    <w:p w:rsidR="00385944" w:rsidP="004763FD" w:rsidRDefault="00385944" w14:paraId="21609CDA" w14:textId="77777777">
      <w:pPr>
        <w:widowControl/>
        <w:shd w:val="clear" w:color="auto" w:fill="FFFFFF"/>
        <w:autoSpaceDE/>
        <w:autoSpaceDN/>
        <w:adjustRightInd/>
        <w:ind w:left="720"/>
        <w:rPr>
          <w:bCs/>
          <w:sz w:val="24"/>
          <w:szCs w:val="24"/>
        </w:rPr>
      </w:pPr>
    </w:p>
    <w:p w:rsidRPr="005D693F" w:rsidR="00CC603D" w:rsidP="004763FD" w:rsidRDefault="00CC603D" w14:paraId="1167D074" w14:textId="77777777">
      <w:pPr>
        <w:widowControl/>
        <w:shd w:val="clear" w:color="auto" w:fill="FFFFFF"/>
        <w:autoSpaceDE/>
        <w:autoSpaceDN/>
        <w:adjustRightInd/>
        <w:ind w:left="720"/>
        <w:rPr>
          <w:b/>
          <w:bCs/>
          <w:sz w:val="24"/>
          <w:szCs w:val="24"/>
          <w:u w:val="single"/>
        </w:rPr>
      </w:pPr>
      <w:r w:rsidRPr="005D693F">
        <w:rPr>
          <w:b/>
          <w:bCs/>
          <w:sz w:val="24"/>
          <w:szCs w:val="24"/>
          <w:u w:val="single"/>
        </w:rPr>
        <w:t>Senior Vice President, Commercial Banking</w:t>
      </w:r>
    </w:p>
    <w:p w:rsidR="00E033E3" w:rsidP="004763FD" w:rsidRDefault="00CC603D" w14:paraId="71952E1D" w14:textId="4EE063F7">
      <w:pPr>
        <w:widowControl/>
        <w:shd w:val="clear" w:color="auto" w:fill="FFFFFF"/>
        <w:autoSpaceDE/>
        <w:autoSpaceDN/>
        <w:adjustRightInd/>
        <w:ind w:left="720"/>
        <w:rPr>
          <w:sz w:val="24"/>
          <w:szCs w:val="24"/>
        </w:rPr>
      </w:pPr>
      <w:r>
        <w:rPr>
          <w:sz w:val="24"/>
          <w:szCs w:val="24"/>
        </w:rPr>
        <w:t xml:space="preserve"> </w:t>
      </w:r>
      <w:r w:rsidR="004549BE">
        <w:rPr>
          <w:sz w:val="24"/>
          <w:szCs w:val="24"/>
        </w:rPr>
        <w:t>“</w:t>
      </w:r>
      <w:r w:rsidRPr="00E033E3" w:rsidR="00E033E3">
        <w:rPr>
          <w:sz w:val="24"/>
          <w:szCs w:val="24"/>
        </w:rPr>
        <w:t xml:space="preserve">We are currently working on a deal using the OIED Loan Guarantee Program. The </w:t>
      </w:r>
      <w:r w:rsidR="00FC4CA8">
        <w:rPr>
          <w:sz w:val="24"/>
          <w:szCs w:val="24"/>
        </w:rPr>
        <w:t>forms were</w:t>
      </w:r>
      <w:r w:rsidRPr="00E033E3" w:rsidR="00E033E3">
        <w:rPr>
          <w:sz w:val="24"/>
          <w:szCs w:val="24"/>
        </w:rPr>
        <w:t xml:space="preserve"> self-explanatory and easy to fill out.</w:t>
      </w:r>
      <w:r w:rsidR="004549BE">
        <w:rPr>
          <w:sz w:val="24"/>
          <w:szCs w:val="24"/>
        </w:rPr>
        <w:t>”</w:t>
      </w:r>
    </w:p>
    <w:p w:rsidRPr="004763FD" w:rsidR="00D510C5" w:rsidP="004763FD" w:rsidRDefault="004549BE" w14:paraId="2637238E" w14:textId="044F9771">
      <w:pPr>
        <w:widowControl/>
        <w:shd w:val="clear" w:color="auto" w:fill="FFFFFF"/>
        <w:autoSpaceDE/>
        <w:autoSpaceDN/>
        <w:adjustRightInd/>
        <w:rPr>
          <w:sz w:val="24"/>
          <w:szCs w:val="24"/>
        </w:rPr>
      </w:pPr>
      <w:r>
        <w:rPr>
          <w:sz w:val="24"/>
          <w:szCs w:val="24"/>
        </w:rPr>
        <w:tab/>
      </w:r>
    </w:p>
    <w:p w:rsidRPr="00D15C37" w:rsidR="00012FA5" w:rsidP="00012FA5" w:rsidRDefault="00012FA5" w14:paraId="2C5BCA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rsidR="00012FA5" w:rsidP="00012FA5" w:rsidRDefault="00012FA5" w14:paraId="586B5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BA1" w:rsidR="00D510C5" w:rsidP="00D510C5" w:rsidRDefault="00D510C5" w14:paraId="2910C6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F30BA1">
        <w:rPr>
          <w:color w:val="000000"/>
          <w:sz w:val="24"/>
          <w:szCs w:val="24"/>
        </w:rPr>
        <w:t>No payment or gift</w:t>
      </w:r>
      <w:r w:rsidR="00B907C1">
        <w:rPr>
          <w:color w:val="000000"/>
          <w:sz w:val="24"/>
          <w:szCs w:val="24"/>
        </w:rPr>
        <w:t>s a</w:t>
      </w:r>
      <w:r w:rsidR="007A53E1">
        <w:rPr>
          <w:color w:val="000000"/>
          <w:sz w:val="24"/>
          <w:szCs w:val="24"/>
        </w:rPr>
        <w:t>re</w:t>
      </w:r>
      <w:r w:rsidRPr="00F30BA1">
        <w:rPr>
          <w:color w:val="000000"/>
          <w:sz w:val="24"/>
          <w:szCs w:val="24"/>
        </w:rPr>
        <w:t xml:space="preserve"> given to respondents.</w:t>
      </w:r>
    </w:p>
    <w:p w:rsidR="00012FA5" w:rsidP="00012FA5" w:rsidRDefault="00012FA5" w14:paraId="038D67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62C4D9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rsidR="00012FA5" w:rsidP="00012FA5" w:rsidRDefault="00012FA5" w14:paraId="34E9F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30BA1" w:rsidR="00D510C5" w:rsidP="00D510C5" w:rsidRDefault="00D510C5" w14:paraId="0EF2DDB3" w14:textId="2CA0E83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30BA1">
        <w:rPr>
          <w:color w:val="000000"/>
          <w:sz w:val="24"/>
          <w:szCs w:val="24"/>
        </w:rPr>
        <w:t>The information is maintained in strict accor</w:t>
      </w:r>
      <w:r w:rsidRPr="00F30BA1">
        <w:rPr>
          <w:color w:val="000000"/>
          <w:sz w:val="24"/>
          <w:szCs w:val="24"/>
        </w:rPr>
        <w:softHyphen/>
        <w:t xml:space="preserve">dance with </w:t>
      </w:r>
      <w:r w:rsidRPr="00726D62" w:rsidR="00726D62">
        <w:rPr>
          <w:color w:val="000000"/>
          <w:sz w:val="24"/>
          <w:szCs w:val="24"/>
        </w:rPr>
        <w:t xml:space="preserve">an existing Privacy Act system of </w:t>
      </w:r>
      <w:r w:rsidRPr="00726D62" w:rsidR="00726D62">
        <w:rPr>
          <w:color w:val="000000"/>
          <w:sz w:val="24"/>
          <w:szCs w:val="24"/>
        </w:rPr>
        <w:lastRenderedPageBreak/>
        <w:t>records notice entitled Interior, BIA</w:t>
      </w:r>
      <w:r w:rsidR="00047C9D">
        <w:rPr>
          <w:color w:val="000000"/>
          <w:sz w:val="24"/>
          <w:szCs w:val="24"/>
        </w:rPr>
        <w:t>-</w:t>
      </w:r>
      <w:r w:rsidRPr="00726D62" w:rsidR="00726D62">
        <w:rPr>
          <w:color w:val="000000"/>
          <w:sz w:val="24"/>
          <w:szCs w:val="24"/>
        </w:rPr>
        <w:t>13 “Indian Loan Files” published September 13, 1983</w:t>
      </w:r>
      <w:r w:rsidR="00726D62">
        <w:rPr>
          <w:color w:val="000000"/>
          <w:sz w:val="24"/>
          <w:szCs w:val="24"/>
        </w:rPr>
        <w:t xml:space="preserve"> </w:t>
      </w:r>
      <w:r w:rsidR="00C13650">
        <w:rPr>
          <w:color w:val="000000"/>
          <w:sz w:val="24"/>
          <w:szCs w:val="24"/>
        </w:rPr>
        <w:t>(</w:t>
      </w:r>
      <w:r w:rsidRPr="00726D62" w:rsidR="00C13650">
        <w:rPr>
          <w:color w:val="000000"/>
          <w:sz w:val="24"/>
          <w:szCs w:val="24"/>
        </w:rPr>
        <w:t>48 FR 41098</w:t>
      </w:r>
      <w:r w:rsidR="00C13650">
        <w:rPr>
          <w:color w:val="000000"/>
          <w:sz w:val="24"/>
          <w:szCs w:val="24"/>
        </w:rPr>
        <w:t>)</w:t>
      </w:r>
      <w:r w:rsidRPr="00726D62" w:rsidR="00C13650">
        <w:rPr>
          <w:color w:val="000000"/>
          <w:sz w:val="24"/>
          <w:szCs w:val="24"/>
        </w:rPr>
        <w:t xml:space="preserve"> </w:t>
      </w:r>
      <w:r w:rsidR="00726D62">
        <w:rPr>
          <w:color w:val="000000"/>
          <w:sz w:val="24"/>
          <w:szCs w:val="24"/>
        </w:rPr>
        <w:t xml:space="preserve">and </w:t>
      </w:r>
      <w:r w:rsidR="00C13650">
        <w:rPr>
          <w:color w:val="000000"/>
          <w:sz w:val="24"/>
          <w:szCs w:val="24"/>
        </w:rPr>
        <w:t>amended</w:t>
      </w:r>
      <w:r w:rsidR="00726D62">
        <w:rPr>
          <w:color w:val="000000"/>
          <w:sz w:val="24"/>
          <w:szCs w:val="24"/>
        </w:rPr>
        <w:t xml:space="preserve"> </w:t>
      </w:r>
      <w:r w:rsidR="00BC7560">
        <w:rPr>
          <w:color w:val="000000"/>
          <w:sz w:val="24"/>
          <w:szCs w:val="24"/>
        </w:rPr>
        <w:t>July 15, 2018</w:t>
      </w:r>
      <w:r w:rsidR="00C13650">
        <w:rPr>
          <w:color w:val="000000"/>
          <w:sz w:val="24"/>
          <w:szCs w:val="24"/>
        </w:rPr>
        <w:t xml:space="preserve"> </w:t>
      </w:r>
      <w:r w:rsidR="00FC17CC">
        <w:rPr>
          <w:color w:val="000000"/>
          <w:sz w:val="24"/>
          <w:szCs w:val="24"/>
        </w:rPr>
        <w:t>(</w:t>
      </w:r>
      <w:r w:rsidRPr="00C13650" w:rsidR="00C13650">
        <w:rPr>
          <w:color w:val="000000"/>
          <w:sz w:val="24"/>
          <w:szCs w:val="24"/>
        </w:rPr>
        <w:t>73 FR 40595</w:t>
      </w:r>
      <w:r w:rsidR="00FC17CC">
        <w:rPr>
          <w:color w:val="000000"/>
          <w:sz w:val="24"/>
          <w:szCs w:val="24"/>
        </w:rPr>
        <w:t>)</w:t>
      </w:r>
      <w:r w:rsidR="00047C9D">
        <w:rPr>
          <w:color w:val="000000"/>
          <w:sz w:val="24"/>
          <w:szCs w:val="24"/>
        </w:rPr>
        <w:t>.</w:t>
      </w:r>
    </w:p>
    <w:p w:rsidR="00012FA5" w:rsidP="0043307A" w:rsidRDefault="00012FA5" w14:paraId="162FE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46B93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P="00012FA5" w:rsidRDefault="00012FA5" w14:paraId="49A0C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BA1" w:rsidR="00D510C5" w:rsidP="00D510C5" w:rsidRDefault="00D510C5" w14:paraId="378DD062" w14:textId="77777777">
      <w:pPr>
        <w:spacing w:line="231" w:lineRule="auto"/>
        <w:rPr>
          <w:color w:val="000000"/>
          <w:sz w:val="24"/>
          <w:szCs w:val="24"/>
        </w:rPr>
      </w:pPr>
      <w:r w:rsidRPr="00F30BA1">
        <w:rPr>
          <w:color w:val="000000"/>
          <w:sz w:val="24"/>
          <w:szCs w:val="24"/>
        </w:rPr>
        <w:t xml:space="preserve">There are no questions of a sensitive nature, other than matters of financial wherewithal and credit history, both of which are fundamental to the statutory obligation to determine if there is a reasonable prospect of repayment.  </w:t>
      </w:r>
      <w:r w:rsidRPr="00F30BA1">
        <w:rPr>
          <w:i/>
          <w:iCs/>
          <w:color w:val="000000"/>
          <w:sz w:val="24"/>
          <w:szCs w:val="24"/>
        </w:rPr>
        <w:t>See</w:t>
      </w:r>
      <w:r w:rsidRPr="00F30BA1">
        <w:rPr>
          <w:color w:val="000000"/>
          <w:sz w:val="24"/>
          <w:szCs w:val="24"/>
        </w:rPr>
        <w:t xml:space="preserve"> 25 U.S.C. </w:t>
      </w:r>
      <w:r w:rsidR="000E5E45">
        <w:rPr>
          <w:color w:val="000000"/>
          <w:sz w:val="24"/>
          <w:szCs w:val="24"/>
        </w:rPr>
        <w:t>1484</w:t>
      </w:r>
      <w:r w:rsidRPr="00F30BA1">
        <w:rPr>
          <w:color w:val="000000"/>
          <w:sz w:val="24"/>
          <w:szCs w:val="24"/>
        </w:rPr>
        <w:t>.</w:t>
      </w:r>
    </w:p>
    <w:p w:rsidRPr="009D6C82" w:rsidR="009D6C82" w:rsidP="009D6C82" w:rsidRDefault="009D6C82" w14:paraId="568019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rsidRPr="00B665EB" w:rsidR="00012FA5" w:rsidP="00012FA5" w:rsidRDefault="00012FA5" w14:paraId="0B5156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rsidRPr="00B665EB" w:rsidR="00012FA5" w:rsidP="00012FA5" w:rsidRDefault="00012FA5" w14:paraId="4A664C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65EB" w:rsidR="00012FA5" w:rsidP="00012FA5" w:rsidRDefault="00012FA5" w14:paraId="517FC1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F21532" w:rsidP="004763FD" w:rsidRDefault="00012FA5" w14:paraId="6AEB610C" w14:textId="62940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326C2" w:rsidP="00A27F68" w:rsidRDefault="000326C2" w14:paraId="35A20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21532" w:rsidP="000326C2" w:rsidRDefault="000326C2" w14:paraId="62F6E765" w14:textId="38C0A292">
      <w:pPr>
        <w:spacing w:line="231" w:lineRule="auto"/>
        <w:rPr>
          <w:sz w:val="24"/>
          <w:szCs w:val="24"/>
        </w:rPr>
      </w:pPr>
      <w:r w:rsidRPr="00F30BA1">
        <w:rPr>
          <w:sz w:val="24"/>
          <w:szCs w:val="24"/>
        </w:rPr>
        <w:t xml:space="preserve">To obtain the hourly rate for respondents, we used </w:t>
      </w:r>
      <w:r w:rsidRPr="00DC75D7">
        <w:rPr>
          <w:b/>
          <w:bCs/>
          <w:sz w:val="24"/>
          <w:szCs w:val="24"/>
        </w:rPr>
        <w:t>$75.05</w:t>
      </w:r>
      <w:r w:rsidRPr="00F30BA1">
        <w:rPr>
          <w:sz w:val="24"/>
          <w:szCs w:val="24"/>
        </w:rPr>
        <w:t xml:space="preserve">, the </w:t>
      </w:r>
      <w:r>
        <w:rPr>
          <w:sz w:val="24"/>
          <w:szCs w:val="24"/>
        </w:rPr>
        <w:t xml:space="preserve">total compensation for </w:t>
      </w:r>
      <w:r w:rsidRPr="00F30BA1">
        <w:rPr>
          <w:sz w:val="24"/>
          <w:szCs w:val="24"/>
        </w:rPr>
        <w:t>management, business, and financial workers from BLS Release</w:t>
      </w:r>
      <w:r w:rsidRPr="004C103C">
        <w:rPr>
          <w:sz w:val="24"/>
          <w:szCs w:val="24"/>
        </w:rPr>
        <w:t xml:space="preserve"> USDL-21-2146</w:t>
      </w:r>
      <w:r>
        <w:rPr>
          <w:sz w:val="24"/>
          <w:szCs w:val="24"/>
        </w:rPr>
        <w:t xml:space="preserve">, </w:t>
      </w:r>
      <w:r w:rsidRPr="004C103C">
        <w:rPr>
          <w:sz w:val="24"/>
          <w:szCs w:val="24"/>
        </w:rPr>
        <w:t>December 16, 2021</w:t>
      </w:r>
      <w:r w:rsidRPr="00F30BA1">
        <w:rPr>
          <w:i/>
          <w:sz w:val="24"/>
          <w:szCs w:val="24"/>
        </w:rPr>
        <w:t xml:space="preserve">. </w:t>
      </w:r>
      <w:r w:rsidRPr="00751EB7">
        <w:rPr>
          <w:i/>
          <w:sz w:val="24"/>
          <w:szCs w:val="24"/>
        </w:rPr>
        <w:t>See</w:t>
      </w:r>
      <w:r>
        <w:rPr>
          <w:sz w:val="24"/>
          <w:szCs w:val="24"/>
        </w:rPr>
        <w:t xml:space="preserve"> </w:t>
      </w:r>
      <w:hyperlink w:history="1" r:id="rId15">
        <w:r w:rsidRPr="00A97869">
          <w:rPr>
            <w:rStyle w:val="Hyperlink"/>
            <w:sz w:val="24"/>
            <w:szCs w:val="24"/>
          </w:rPr>
          <w:t>http://www.bls.gov/news.release/pdf/ecec.pdf</w:t>
        </w:r>
      </w:hyperlink>
      <w:r>
        <w:rPr>
          <w:sz w:val="24"/>
          <w:szCs w:val="24"/>
        </w:rPr>
        <w:t xml:space="preserve">.  </w:t>
      </w:r>
      <w:r w:rsidRPr="00C47352">
        <w:rPr>
          <w:sz w:val="24"/>
          <w:szCs w:val="24"/>
        </w:rPr>
        <w:t>This wage includes a multiplier for benefits</w:t>
      </w:r>
      <w:r>
        <w:rPr>
          <w:sz w:val="24"/>
          <w:szCs w:val="24"/>
        </w:rPr>
        <w:t>.</w:t>
      </w:r>
      <w:r w:rsidR="00136FE8">
        <w:rPr>
          <w:sz w:val="24"/>
          <w:szCs w:val="24"/>
        </w:rPr>
        <w:t xml:space="preserve">  </w:t>
      </w:r>
      <w:r w:rsidRPr="00136FE8" w:rsidR="00136FE8">
        <w:rPr>
          <w:sz w:val="24"/>
          <w:szCs w:val="24"/>
        </w:rPr>
        <w:t xml:space="preserve">Therefore, the total annual estimated burden is </w:t>
      </w:r>
      <w:r w:rsidRPr="000D512E" w:rsidR="000D512E">
        <w:rPr>
          <w:b/>
          <w:bCs/>
          <w:sz w:val="24"/>
          <w:szCs w:val="24"/>
        </w:rPr>
        <w:t>2,654</w:t>
      </w:r>
      <w:r w:rsidR="000D512E">
        <w:rPr>
          <w:sz w:val="24"/>
          <w:szCs w:val="24"/>
        </w:rPr>
        <w:t xml:space="preserve"> </w:t>
      </w:r>
      <w:r w:rsidRPr="00136FE8" w:rsidR="00136FE8">
        <w:rPr>
          <w:sz w:val="24"/>
          <w:szCs w:val="24"/>
        </w:rPr>
        <w:t>hours equivalent to</w:t>
      </w:r>
      <w:r w:rsidR="00136FE8">
        <w:rPr>
          <w:sz w:val="24"/>
          <w:szCs w:val="24"/>
        </w:rPr>
        <w:t xml:space="preserve"> </w:t>
      </w:r>
      <w:r w:rsidRPr="000D512E" w:rsidR="00136FE8">
        <w:rPr>
          <w:b/>
          <w:bCs/>
          <w:sz w:val="24"/>
          <w:szCs w:val="24"/>
        </w:rPr>
        <w:t>$199,183</w:t>
      </w:r>
      <w:r w:rsidRPr="000D512E" w:rsidR="000D512E">
        <w:rPr>
          <w:b/>
          <w:bCs/>
          <w:sz w:val="24"/>
          <w:szCs w:val="24"/>
        </w:rPr>
        <w:t>.</w:t>
      </w:r>
    </w:p>
    <w:p w:rsidR="000326C2" w:rsidP="000326C2" w:rsidRDefault="000326C2" w14:paraId="5B0EF1BE" w14:textId="675CDBAA">
      <w:pPr>
        <w:spacing w:line="231" w:lineRule="auto"/>
        <w:rPr>
          <w:sz w:val="24"/>
          <w:szCs w:val="24"/>
        </w:rPr>
      </w:pPr>
    </w:p>
    <w:p w:rsidRPr="00F30BA1" w:rsidR="00FD1B40" w:rsidP="00FD1B40" w:rsidRDefault="00FD1B40" w14:paraId="49E12B0F" w14:textId="72C9666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w:t>
      </w:r>
      <w:r>
        <w:rPr>
          <w:sz w:val="24"/>
          <w:szCs w:val="24"/>
        </w:rPr>
        <w:t>below</w:t>
      </w:r>
      <w:r w:rsidRPr="00F30BA1">
        <w:rPr>
          <w:sz w:val="24"/>
          <w:szCs w:val="24"/>
        </w:rPr>
        <w:t xml:space="preserve"> estimates are averages.  DOI sometimes requires a lender to perform a greater level of due diligence on a proposed borrower when the lender submits a loan guarantee application that, in DOI’s experience, is not up to the industry norm.  For instance, DOI has seen applications involving construction loans from lenders that clearly have little experience in construction lending.  DOI may correspondingly ask to see copies of loan construction contracts, plans and specifications, performance bonds, etc., to ascertain that the lender has adequately considered the greatest risks to repayment.  By statute, IA is required to gather sufficient information to assure that there is a reasonable prospect for repayment.  As a general matter, though, if there is a </w:t>
      </w:r>
      <w:r w:rsidRPr="00F30BA1">
        <w:rPr>
          <w:sz w:val="24"/>
          <w:szCs w:val="24"/>
        </w:rPr>
        <w:lastRenderedPageBreak/>
        <w:t>greater than average risk associated with a loan, or if a loan’s structure is unavoidably complex, lenders tend to take more precautions and gather more information without any prior request from IA – lenders often automatically supply IA with more information than usual, at virtually no additional burden to itself.</w:t>
      </w:r>
    </w:p>
    <w:p w:rsidR="000326C2" w:rsidP="000326C2" w:rsidRDefault="000326C2" w14:paraId="7063FA32" w14:textId="77777777">
      <w:pPr>
        <w:spacing w:line="231" w:lineRule="auto"/>
        <w:rPr>
          <w:sz w:val="24"/>
          <w:szCs w:val="24"/>
        </w:rPr>
      </w:pPr>
    </w:p>
    <w:tbl>
      <w:tblPr>
        <w:tblW w:w="9481" w:type="dxa"/>
        <w:tblInd w:w="120" w:type="dxa"/>
        <w:tblLayout w:type="fixed"/>
        <w:tblCellMar>
          <w:left w:w="120" w:type="dxa"/>
          <w:right w:w="120" w:type="dxa"/>
        </w:tblCellMar>
        <w:tblLook w:val="0000" w:firstRow="0" w:lastRow="0" w:firstColumn="0" w:lastColumn="0" w:noHBand="0" w:noVBand="0"/>
      </w:tblPr>
      <w:tblGrid>
        <w:gridCol w:w="1928"/>
        <w:gridCol w:w="918"/>
        <w:gridCol w:w="1101"/>
        <w:gridCol w:w="918"/>
        <w:gridCol w:w="643"/>
        <w:gridCol w:w="826"/>
        <w:gridCol w:w="760"/>
        <w:gridCol w:w="918"/>
        <w:gridCol w:w="1469"/>
      </w:tblGrid>
      <w:tr w:rsidRPr="00F30BA1" w:rsidR="00D510C5" w:rsidTr="00A27F68" w14:paraId="353D48C6" w14:textId="77777777">
        <w:trPr>
          <w:cantSplit/>
          <w:trHeight w:val="1380"/>
        </w:trPr>
        <w:tc>
          <w:tcPr>
            <w:tcW w:w="1928" w:type="dxa"/>
            <w:tcBorders>
              <w:top w:val="single" w:color="000000" w:sz="6" w:space="0"/>
              <w:left w:val="single" w:color="000000" w:sz="6" w:space="0"/>
              <w:bottom w:val="single" w:color="000000" w:sz="6" w:space="0"/>
              <w:right w:val="single" w:color="000000" w:sz="6" w:space="0"/>
            </w:tcBorders>
            <w:shd w:val="pct10" w:color="000000" w:fill="FFFFFF"/>
            <w:vAlign w:val="center"/>
          </w:tcPr>
          <w:p w:rsidRPr="00D46EBD" w:rsidR="00D510C5" w:rsidP="00095CBF" w:rsidRDefault="00D510C5" w14:paraId="3517E608" w14:textId="77777777">
            <w:pPr>
              <w:contextualSpacing/>
              <w:rPr>
                <w:color w:val="000000"/>
                <w:sz w:val="22"/>
                <w:szCs w:val="22"/>
              </w:rPr>
            </w:pPr>
            <w:r w:rsidRPr="00D46EBD">
              <w:rPr>
                <w:color w:val="000000"/>
                <w:sz w:val="22"/>
                <w:szCs w:val="22"/>
              </w:rPr>
              <w:t>Description</w:t>
            </w:r>
          </w:p>
        </w:tc>
        <w:tc>
          <w:tcPr>
            <w:tcW w:w="918" w:type="dxa"/>
            <w:tcBorders>
              <w:top w:val="single" w:color="000000" w:sz="6" w:space="0"/>
              <w:left w:val="single" w:color="000000" w:sz="6" w:space="0"/>
              <w:bottom w:val="single" w:color="000000" w:sz="6" w:space="0"/>
              <w:right w:val="single" w:color="000000" w:sz="6" w:space="0"/>
            </w:tcBorders>
            <w:shd w:val="pct10" w:color="000000" w:fill="FFFFFF"/>
            <w:vAlign w:val="center"/>
          </w:tcPr>
          <w:p w:rsidRPr="00D46EBD" w:rsidR="00D510C5" w:rsidP="00095CBF" w:rsidRDefault="00D510C5" w14:paraId="70E0A0A9" w14:textId="77777777">
            <w:pPr>
              <w:contextualSpacing/>
              <w:rPr>
                <w:color w:val="000000"/>
                <w:sz w:val="22"/>
                <w:szCs w:val="22"/>
              </w:rPr>
            </w:pPr>
            <w:r w:rsidRPr="00D46EBD">
              <w:rPr>
                <w:color w:val="000000"/>
                <w:sz w:val="22"/>
                <w:szCs w:val="22"/>
              </w:rPr>
              <w:t>CFR</w:t>
            </w:r>
          </w:p>
          <w:p w:rsidRPr="00D46EBD" w:rsidR="00D510C5" w:rsidP="00095CBF" w:rsidRDefault="00D510C5" w14:paraId="748078D7" w14:textId="77777777">
            <w:pPr>
              <w:contextualSpacing/>
              <w:rPr>
                <w:color w:val="000000"/>
                <w:sz w:val="22"/>
                <w:szCs w:val="22"/>
              </w:rPr>
            </w:pPr>
            <w:r w:rsidRPr="00D46EBD">
              <w:rPr>
                <w:color w:val="000000"/>
                <w:sz w:val="22"/>
                <w:szCs w:val="22"/>
              </w:rPr>
              <w:t>§§</w:t>
            </w:r>
          </w:p>
        </w:tc>
        <w:tc>
          <w:tcPr>
            <w:tcW w:w="1101"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7FA8BD46" w14:textId="77777777">
            <w:pPr>
              <w:ind w:left="144"/>
              <w:contextualSpacing/>
              <w:rPr>
                <w:color w:val="000000"/>
                <w:sz w:val="22"/>
                <w:szCs w:val="22"/>
              </w:rPr>
            </w:pPr>
          </w:p>
          <w:p w:rsidRPr="00D46EBD" w:rsidR="00D510C5" w:rsidP="00095CBF" w:rsidRDefault="00D510C5" w14:paraId="0772194C" w14:textId="77777777">
            <w:pPr>
              <w:ind w:left="144"/>
              <w:contextualSpacing/>
              <w:rPr>
                <w:color w:val="000000"/>
                <w:sz w:val="22"/>
                <w:szCs w:val="22"/>
              </w:rPr>
            </w:pPr>
            <w:r w:rsidRPr="00D46EBD">
              <w:rPr>
                <w:color w:val="000000"/>
                <w:sz w:val="22"/>
                <w:szCs w:val="22"/>
              </w:rPr>
              <w:t>IA</w:t>
            </w:r>
          </w:p>
          <w:p w:rsidRPr="00D46EBD" w:rsidR="00D510C5" w:rsidP="00095CBF" w:rsidRDefault="00D510C5" w14:paraId="3F413D9E" w14:textId="77777777">
            <w:pPr>
              <w:ind w:left="144"/>
              <w:contextualSpacing/>
              <w:rPr>
                <w:color w:val="000000"/>
                <w:sz w:val="22"/>
                <w:szCs w:val="22"/>
              </w:rPr>
            </w:pPr>
            <w:r w:rsidRPr="00D46EBD">
              <w:rPr>
                <w:color w:val="000000"/>
                <w:sz w:val="22"/>
                <w:szCs w:val="22"/>
              </w:rPr>
              <w:t>Forms</w:t>
            </w:r>
          </w:p>
        </w:tc>
        <w:tc>
          <w:tcPr>
            <w:tcW w:w="918"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44E5BB67" w14:textId="77777777">
            <w:pPr>
              <w:ind w:left="144"/>
              <w:contextualSpacing/>
              <w:rPr>
                <w:color w:val="000000"/>
                <w:sz w:val="22"/>
                <w:szCs w:val="22"/>
              </w:rPr>
            </w:pPr>
            <w:r w:rsidRPr="00D46EBD">
              <w:rPr>
                <w:color w:val="000000"/>
                <w:sz w:val="22"/>
                <w:szCs w:val="22"/>
              </w:rPr>
              <w:t>Number</w:t>
            </w:r>
          </w:p>
          <w:p w:rsidRPr="00D46EBD" w:rsidR="00D510C5" w:rsidP="00095CBF" w:rsidRDefault="00D510C5" w14:paraId="3C533290" w14:textId="77777777">
            <w:pPr>
              <w:ind w:left="144"/>
              <w:contextualSpacing/>
              <w:rPr>
                <w:color w:val="000000"/>
                <w:sz w:val="22"/>
                <w:szCs w:val="22"/>
              </w:rPr>
            </w:pPr>
            <w:r w:rsidRPr="00D46EBD">
              <w:rPr>
                <w:color w:val="000000"/>
                <w:sz w:val="22"/>
                <w:szCs w:val="22"/>
              </w:rPr>
              <w:t>of Respondents</w:t>
            </w:r>
          </w:p>
        </w:tc>
        <w:tc>
          <w:tcPr>
            <w:tcW w:w="643"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5EC7977A" w14:textId="77777777">
            <w:pPr>
              <w:ind w:left="144"/>
              <w:contextualSpacing/>
              <w:rPr>
                <w:color w:val="000000"/>
                <w:sz w:val="22"/>
                <w:szCs w:val="22"/>
              </w:rPr>
            </w:pPr>
            <w:r w:rsidRPr="00D46EBD">
              <w:rPr>
                <w:color w:val="000000"/>
                <w:sz w:val="22"/>
                <w:szCs w:val="22"/>
              </w:rPr>
              <w:t>Frequency of Responses</w:t>
            </w:r>
          </w:p>
        </w:tc>
        <w:tc>
          <w:tcPr>
            <w:tcW w:w="826"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2A0B0301" w14:textId="77777777">
            <w:pPr>
              <w:ind w:left="144"/>
              <w:contextualSpacing/>
              <w:rPr>
                <w:color w:val="000000"/>
                <w:sz w:val="22"/>
                <w:szCs w:val="22"/>
              </w:rPr>
            </w:pPr>
            <w:r w:rsidRPr="00D46EBD">
              <w:rPr>
                <w:color w:val="000000"/>
                <w:sz w:val="22"/>
                <w:szCs w:val="22"/>
              </w:rPr>
              <w:t>Total Annual Responses</w:t>
            </w:r>
          </w:p>
        </w:tc>
        <w:tc>
          <w:tcPr>
            <w:tcW w:w="760"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037F157C" w14:textId="77777777">
            <w:pPr>
              <w:ind w:left="144"/>
              <w:contextualSpacing/>
              <w:rPr>
                <w:color w:val="000000"/>
                <w:sz w:val="22"/>
                <w:szCs w:val="22"/>
              </w:rPr>
            </w:pPr>
            <w:r w:rsidRPr="00D46EBD">
              <w:rPr>
                <w:color w:val="000000"/>
                <w:sz w:val="22"/>
                <w:szCs w:val="22"/>
              </w:rPr>
              <w:t>Hour Burden per Response</w:t>
            </w:r>
          </w:p>
        </w:tc>
        <w:tc>
          <w:tcPr>
            <w:tcW w:w="918"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3D67DA8A" w14:textId="77777777">
            <w:pPr>
              <w:ind w:left="144"/>
              <w:contextualSpacing/>
              <w:rPr>
                <w:color w:val="000000"/>
                <w:sz w:val="22"/>
                <w:szCs w:val="22"/>
              </w:rPr>
            </w:pPr>
            <w:r w:rsidRPr="00D46EBD">
              <w:rPr>
                <w:color w:val="000000"/>
                <w:sz w:val="22"/>
                <w:szCs w:val="22"/>
              </w:rPr>
              <w:t>Annual Burden Hours</w:t>
            </w:r>
          </w:p>
        </w:tc>
        <w:tc>
          <w:tcPr>
            <w:tcW w:w="1469"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D510C5" w:rsidP="00095CBF" w:rsidRDefault="00D510C5" w14:paraId="5437A537" w14:textId="77777777">
            <w:pPr>
              <w:ind w:left="144"/>
              <w:contextualSpacing/>
              <w:rPr>
                <w:color w:val="000000"/>
                <w:sz w:val="22"/>
                <w:szCs w:val="22"/>
              </w:rPr>
            </w:pPr>
          </w:p>
          <w:p w:rsidRPr="00D46EBD" w:rsidR="00D510C5" w:rsidP="00095CBF" w:rsidRDefault="00D510C5" w14:paraId="75CA1AF3" w14:textId="77777777">
            <w:pPr>
              <w:ind w:left="144"/>
              <w:contextualSpacing/>
              <w:rPr>
                <w:color w:val="000000"/>
                <w:sz w:val="22"/>
                <w:szCs w:val="22"/>
              </w:rPr>
            </w:pPr>
            <w:r w:rsidRPr="00D46EBD">
              <w:rPr>
                <w:color w:val="000000"/>
                <w:sz w:val="22"/>
                <w:szCs w:val="22"/>
              </w:rPr>
              <w:t>Salary Cost</w:t>
            </w:r>
          </w:p>
          <w:p w:rsidRPr="00D46EBD" w:rsidR="00D510C5" w:rsidP="00095CBF" w:rsidRDefault="00D510C5" w14:paraId="6578D2A9" w14:textId="77777777">
            <w:pPr>
              <w:ind w:left="144"/>
              <w:contextualSpacing/>
              <w:rPr>
                <w:color w:val="000000"/>
                <w:sz w:val="22"/>
                <w:szCs w:val="22"/>
              </w:rPr>
            </w:pPr>
            <w:r w:rsidRPr="00D46EBD">
              <w:rPr>
                <w:color w:val="000000"/>
                <w:sz w:val="22"/>
                <w:szCs w:val="22"/>
              </w:rPr>
              <w:t>to</w:t>
            </w:r>
          </w:p>
          <w:p w:rsidRPr="00D46EBD" w:rsidR="00D510C5" w:rsidP="00751EB7" w:rsidRDefault="00D510C5" w14:paraId="67369D4C" w14:textId="1D5A93D6">
            <w:pPr>
              <w:ind w:left="144"/>
              <w:contextualSpacing/>
              <w:rPr>
                <w:color w:val="000000"/>
                <w:sz w:val="22"/>
                <w:szCs w:val="22"/>
              </w:rPr>
            </w:pPr>
            <w:r w:rsidRPr="00D46EBD">
              <w:rPr>
                <w:color w:val="000000"/>
                <w:sz w:val="22"/>
                <w:szCs w:val="22"/>
              </w:rPr>
              <w:t>Respondents</w:t>
            </w:r>
          </w:p>
        </w:tc>
      </w:tr>
      <w:tr w:rsidRPr="00F30BA1" w:rsidR="00207D60" w:rsidTr="00997EB3" w14:paraId="6F32FA9B" w14:textId="77777777">
        <w:tc>
          <w:tcPr>
            <w:tcW w:w="1928" w:type="dxa"/>
            <w:vMerge w:val="restart"/>
            <w:tcBorders>
              <w:top w:val="single" w:color="000000" w:sz="6" w:space="0"/>
              <w:left w:val="single" w:color="000000" w:sz="6" w:space="0"/>
              <w:right w:val="single" w:color="000000" w:sz="6" w:space="0"/>
            </w:tcBorders>
          </w:tcPr>
          <w:p w:rsidRPr="00F30BA1" w:rsidR="00207D60" w:rsidP="00207D60" w:rsidRDefault="00207D60" w14:paraId="0B1D9772" w14:textId="77777777">
            <w:pPr>
              <w:keepNext/>
              <w:keepLines/>
              <w:contextualSpacing/>
              <w:rPr>
                <w:sz w:val="24"/>
                <w:szCs w:val="24"/>
              </w:rPr>
            </w:pPr>
            <w:r w:rsidRPr="00F30BA1">
              <w:rPr>
                <w:sz w:val="24"/>
                <w:szCs w:val="24"/>
              </w:rPr>
              <w:t>Program agreement</w:t>
            </w:r>
          </w:p>
        </w:tc>
        <w:tc>
          <w:tcPr>
            <w:tcW w:w="918" w:type="dxa"/>
            <w:vMerge w:val="restart"/>
            <w:tcBorders>
              <w:top w:val="single" w:color="000000" w:sz="6" w:space="0"/>
              <w:left w:val="single" w:color="000000" w:sz="6" w:space="0"/>
              <w:right w:val="single" w:color="000000" w:sz="6" w:space="0"/>
            </w:tcBorders>
            <w:vAlign w:val="center"/>
          </w:tcPr>
          <w:p w:rsidRPr="00F30BA1" w:rsidR="00207D60" w:rsidP="00207D60" w:rsidRDefault="00207D60" w14:paraId="094796C8" w14:textId="77777777">
            <w:pPr>
              <w:keepNext/>
              <w:keepLines/>
              <w:contextualSpacing/>
              <w:rPr>
                <w:sz w:val="24"/>
                <w:szCs w:val="24"/>
              </w:rPr>
            </w:pPr>
            <w:r w:rsidRPr="00F30BA1">
              <w:rPr>
                <w:sz w:val="24"/>
                <w:szCs w:val="24"/>
              </w:rPr>
              <w:t>103.11</w:t>
            </w:r>
          </w:p>
          <w:p w:rsidRPr="00F30BA1" w:rsidR="00207D60" w:rsidP="00207D60" w:rsidRDefault="00207D60" w14:paraId="1A702A22" w14:textId="77777777">
            <w:pPr>
              <w:keepNext/>
              <w:keepLines/>
              <w:contextualSpacing/>
              <w:rPr>
                <w:sz w:val="24"/>
                <w:szCs w:val="24"/>
              </w:rPr>
            </w:pP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5C0D2C06" w14:textId="77777777">
            <w:pPr>
              <w:keepNext/>
              <w:keepLines/>
              <w:contextualSpacing/>
              <w:rPr>
                <w:sz w:val="24"/>
                <w:szCs w:val="24"/>
              </w:rPr>
            </w:pPr>
            <w:r w:rsidRPr="00F30BA1">
              <w:rPr>
                <w:sz w:val="24"/>
                <w:szCs w:val="24"/>
              </w:rPr>
              <w:t>LGA10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05EBB93" w14:textId="77777777">
            <w:pPr>
              <w:keepNext/>
              <w:keepLines/>
              <w:contextualSpacing/>
              <w:jc w:val="right"/>
              <w:rPr>
                <w:sz w:val="24"/>
                <w:szCs w:val="24"/>
              </w:rPr>
            </w:pPr>
            <w:r w:rsidRPr="00207D60">
              <w:rPr>
                <w:sz w:val="24"/>
                <w:szCs w:val="24"/>
              </w:rPr>
              <w:t>20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4D4E9E44"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C1A6275" w14:textId="77777777">
            <w:pPr>
              <w:keepNext/>
              <w:keepLines/>
              <w:contextualSpacing/>
              <w:jc w:val="right"/>
              <w:rPr>
                <w:sz w:val="24"/>
                <w:szCs w:val="24"/>
              </w:rPr>
            </w:pPr>
            <w:r w:rsidRPr="00207D60">
              <w:rPr>
                <w:sz w:val="24"/>
                <w:szCs w:val="24"/>
              </w:rPr>
              <w:t>20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7B3FFCDD"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60D4ACBC" w14:textId="77777777">
            <w:pPr>
              <w:keepNext/>
              <w:keepLines/>
              <w:contextualSpacing/>
              <w:jc w:val="right"/>
              <w:rPr>
                <w:sz w:val="24"/>
                <w:szCs w:val="24"/>
              </w:rPr>
            </w:pPr>
            <w:r w:rsidRPr="00207D60">
              <w:rPr>
                <w:sz w:val="24"/>
                <w:szCs w:val="24"/>
              </w:rPr>
              <w:t>40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9F38B47" w14:textId="7F720EE3">
            <w:pPr>
              <w:jc w:val="right"/>
              <w:rPr>
                <w:color w:val="000000"/>
                <w:sz w:val="24"/>
                <w:szCs w:val="24"/>
              </w:rPr>
            </w:pPr>
            <w:r w:rsidRPr="00207D60">
              <w:rPr>
                <w:sz w:val="24"/>
                <w:szCs w:val="24"/>
              </w:rPr>
              <w:t xml:space="preserve">$3,002 </w:t>
            </w:r>
          </w:p>
        </w:tc>
      </w:tr>
      <w:tr w:rsidRPr="00F30BA1" w:rsidR="00207D60" w:rsidTr="00997EB3" w14:paraId="25C9821E" w14:textId="77777777">
        <w:trPr>
          <w:trHeight w:val="327"/>
        </w:trPr>
        <w:tc>
          <w:tcPr>
            <w:tcW w:w="1928" w:type="dxa"/>
            <w:vMerge/>
            <w:tcBorders>
              <w:left w:val="single" w:color="000000" w:sz="6" w:space="0"/>
              <w:bottom w:val="single" w:color="000000" w:sz="6" w:space="0"/>
              <w:right w:val="single" w:color="000000" w:sz="6" w:space="0"/>
            </w:tcBorders>
          </w:tcPr>
          <w:p w:rsidRPr="00F30BA1" w:rsidR="00207D60" w:rsidP="00207D60" w:rsidRDefault="00207D60" w14:paraId="11C50805" w14:textId="77777777">
            <w:pPr>
              <w:contextualSpacing/>
              <w:jc w:val="center"/>
              <w:rPr>
                <w:sz w:val="24"/>
                <w:szCs w:val="24"/>
              </w:rPr>
            </w:pPr>
          </w:p>
        </w:tc>
        <w:tc>
          <w:tcPr>
            <w:tcW w:w="918" w:type="dxa"/>
            <w:vMerge/>
            <w:tcBorders>
              <w:left w:val="single" w:color="000000" w:sz="6" w:space="0"/>
              <w:bottom w:val="single" w:color="000000" w:sz="6" w:space="0"/>
              <w:right w:val="single" w:color="000000" w:sz="6" w:space="0"/>
            </w:tcBorders>
            <w:vAlign w:val="center"/>
          </w:tcPr>
          <w:p w:rsidRPr="00F30BA1" w:rsidR="00207D60" w:rsidP="00207D60" w:rsidRDefault="00207D60" w14:paraId="4ED15718" w14:textId="77777777">
            <w:pPr>
              <w:contextualSpacing/>
              <w:jc w:val="center"/>
              <w:rPr>
                <w:sz w:val="24"/>
                <w:szCs w:val="24"/>
              </w:rPr>
            </w:pP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50072529" w14:textId="77777777">
            <w:pPr>
              <w:contextualSpacing/>
              <w:jc w:val="center"/>
              <w:rPr>
                <w:sz w:val="24"/>
                <w:szCs w:val="24"/>
              </w:rPr>
            </w:pPr>
            <w:r w:rsidRPr="00F30BA1">
              <w:rPr>
                <w:sz w:val="24"/>
                <w:szCs w:val="24"/>
              </w:rPr>
              <w:t>LIA10</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D296FE2" w14:textId="77777777">
            <w:pPr>
              <w:contextualSpacing/>
              <w:jc w:val="right"/>
              <w:rPr>
                <w:sz w:val="24"/>
                <w:szCs w:val="24"/>
              </w:rPr>
            </w:pPr>
            <w:r w:rsidRPr="00207D60">
              <w:rPr>
                <w:sz w:val="24"/>
                <w:szCs w:val="24"/>
              </w:rPr>
              <w:t>10</w:t>
            </w:r>
          </w:p>
        </w:tc>
        <w:tc>
          <w:tcPr>
            <w:tcW w:w="643"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79B610B5" w14:textId="77777777">
            <w:pPr>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8ABE743" w14:textId="77777777">
            <w:pPr>
              <w:contextualSpacing/>
              <w:jc w:val="right"/>
              <w:rPr>
                <w:sz w:val="24"/>
                <w:szCs w:val="24"/>
              </w:rPr>
            </w:pPr>
            <w:r w:rsidRPr="00207D60">
              <w:rPr>
                <w:sz w:val="24"/>
                <w:szCs w:val="24"/>
              </w:rPr>
              <w:t>10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5D3EAC0"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DE1B9CB" w14:textId="77777777">
            <w:pPr>
              <w:contextualSpacing/>
              <w:jc w:val="right"/>
              <w:rPr>
                <w:sz w:val="24"/>
                <w:szCs w:val="24"/>
              </w:rPr>
            </w:pPr>
            <w:r w:rsidRPr="00207D60">
              <w:rPr>
                <w:sz w:val="24"/>
                <w:szCs w:val="24"/>
              </w:rPr>
              <w:t>20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7A165C2" w14:textId="2C93656C">
            <w:pPr>
              <w:jc w:val="right"/>
              <w:rPr>
                <w:color w:val="000000"/>
                <w:sz w:val="24"/>
                <w:szCs w:val="24"/>
              </w:rPr>
            </w:pPr>
            <w:r w:rsidRPr="00207D60">
              <w:rPr>
                <w:sz w:val="24"/>
                <w:szCs w:val="24"/>
              </w:rPr>
              <w:t xml:space="preserve">$1,501 </w:t>
            </w:r>
          </w:p>
        </w:tc>
      </w:tr>
      <w:tr w:rsidRPr="00F30BA1" w:rsidR="00207D60" w:rsidTr="00997EB3" w14:paraId="1B3D0181" w14:textId="77777777">
        <w:tc>
          <w:tcPr>
            <w:tcW w:w="1928" w:type="dxa"/>
            <w:tcBorders>
              <w:top w:val="single" w:color="000000" w:sz="6" w:space="0"/>
              <w:left w:val="single" w:color="000000" w:sz="6" w:space="0"/>
              <w:right w:val="single" w:color="000000" w:sz="6" w:space="0"/>
            </w:tcBorders>
          </w:tcPr>
          <w:p w:rsidRPr="00F30BA1" w:rsidR="00207D60" w:rsidP="00207D60" w:rsidRDefault="00207D60" w14:paraId="3E918D0B" w14:textId="77777777">
            <w:pPr>
              <w:keepNext/>
              <w:keepLines/>
              <w:contextualSpacing/>
              <w:rPr>
                <w:sz w:val="24"/>
                <w:szCs w:val="24"/>
              </w:rPr>
            </w:pPr>
            <w:r w:rsidRPr="00F30BA1">
              <w:rPr>
                <w:sz w:val="24"/>
                <w:szCs w:val="24"/>
              </w:rPr>
              <w:t>Program application</w:t>
            </w:r>
          </w:p>
        </w:tc>
        <w:tc>
          <w:tcPr>
            <w:tcW w:w="918" w:type="dxa"/>
            <w:tcBorders>
              <w:top w:val="single" w:color="000000" w:sz="6" w:space="0"/>
              <w:left w:val="single" w:color="000000" w:sz="6" w:space="0"/>
              <w:right w:val="single" w:color="000000" w:sz="6" w:space="0"/>
            </w:tcBorders>
            <w:vAlign w:val="center"/>
          </w:tcPr>
          <w:p w:rsidRPr="00F30BA1" w:rsidR="00207D60" w:rsidP="00207D60" w:rsidRDefault="00207D60" w14:paraId="70DCB828" w14:textId="77777777">
            <w:pPr>
              <w:keepNext/>
              <w:keepLines/>
              <w:contextualSpacing/>
              <w:rPr>
                <w:sz w:val="24"/>
                <w:szCs w:val="24"/>
              </w:rPr>
            </w:pPr>
            <w:r w:rsidRPr="00F30BA1">
              <w:rPr>
                <w:sz w:val="24"/>
                <w:szCs w:val="24"/>
              </w:rPr>
              <w:t>103.12103.13</w:t>
            </w:r>
          </w:p>
          <w:p w:rsidRPr="00F30BA1" w:rsidR="00207D60" w:rsidP="00207D60" w:rsidRDefault="00207D60" w14:paraId="5E91DC94" w14:textId="77777777">
            <w:pPr>
              <w:keepNext/>
              <w:keepLines/>
              <w:contextualSpacing/>
              <w:jc w:val="center"/>
              <w:rPr>
                <w:sz w:val="24"/>
                <w:szCs w:val="24"/>
              </w:rPr>
            </w:pPr>
            <w:r w:rsidRPr="00F30BA1">
              <w:rPr>
                <w:sz w:val="24"/>
                <w:szCs w:val="24"/>
              </w:rPr>
              <w:t>103.14</w:t>
            </w:r>
          </w:p>
          <w:p w:rsidRPr="00F30BA1" w:rsidR="00207D60" w:rsidP="00207D60" w:rsidRDefault="00207D60" w14:paraId="1CC7F1F5" w14:textId="77777777">
            <w:pPr>
              <w:keepNext/>
              <w:keepLines/>
              <w:contextualSpacing/>
              <w:rPr>
                <w:sz w:val="24"/>
                <w:szCs w:val="24"/>
              </w:rPr>
            </w:pPr>
            <w:r w:rsidRPr="00F30BA1">
              <w:rPr>
                <w:sz w:val="24"/>
                <w:szCs w:val="24"/>
              </w:rPr>
              <w:t>103.21</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3D9A15D3" w14:textId="77777777">
            <w:pPr>
              <w:keepNext/>
              <w:keepLines/>
              <w:contextualSpacing/>
              <w:rPr>
                <w:sz w:val="24"/>
                <w:szCs w:val="24"/>
              </w:rPr>
            </w:pPr>
            <w:r w:rsidRPr="00F30BA1">
              <w:rPr>
                <w:sz w:val="24"/>
                <w:szCs w:val="24"/>
              </w:rPr>
              <w:t>RGI10</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B4426FA" w14:textId="77777777">
            <w:pPr>
              <w:keepNext/>
              <w:keepLines/>
              <w:contextualSpacing/>
              <w:jc w:val="right"/>
              <w:rPr>
                <w:sz w:val="24"/>
                <w:szCs w:val="24"/>
              </w:rPr>
            </w:pPr>
            <w:r w:rsidRPr="00207D60">
              <w:rPr>
                <w:sz w:val="24"/>
                <w:szCs w:val="24"/>
              </w:rPr>
              <w:t>65</w:t>
            </w:r>
          </w:p>
        </w:tc>
        <w:tc>
          <w:tcPr>
            <w:tcW w:w="643"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6098312A"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49A30B1F" w14:textId="77777777">
            <w:pPr>
              <w:keepNext/>
              <w:keepLines/>
              <w:contextualSpacing/>
              <w:jc w:val="right"/>
              <w:rPr>
                <w:sz w:val="24"/>
                <w:szCs w:val="24"/>
              </w:rPr>
            </w:pPr>
            <w:r w:rsidRPr="00207D60">
              <w:rPr>
                <w:sz w:val="24"/>
                <w:szCs w:val="24"/>
              </w:rPr>
              <w:t>65</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0EEE8F90"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71063EFB" w14:textId="77777777">
            <w:pPr>
              <w:keepNext/>
              <w:keepLines/>
              <w:contextualSpacing/>
              <w:jc w:val="right"/>
              <w:rPr>
                <w:sz w:val="24"/>
                <w:szCs w:val="24"/>
              </w:rPr>
            </w:pPr>
            <w:r w:rsidRPr="00207D60">
              <w:rPr>
                <w:sz w:val="24"/>
                <w:szCs w:val="24"/>
              </w:rPr>
              <w:t>130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7AB21D1" w14:textId="6D210065">
            <w:pPr>
              <w:jc w:val="right"/>
              <w:rPr>
                <w:color w:val="000000"/>
                <w:sz w:val="24"/>
                <w:szCs w:val="24"/>
              </w:rPr>
            </w:pPr>
            <w:r w:rsidRPr="00207D60">
              <w:rPr>
                <w:sz w:val="24"/>
                <w:szCs w:val="24"/>
              </w:rPr>
              <w:t xml:space="preserve">$9,757 </w:t>
            </w:r>
          </w:p>
        </w:tc>
      </w:tr>
      <w:tr w:rsidRPr="00F30BA1" w:rsidR="00207D60" w:rsidTr="00997EB3" w14:paraId="29B0E003" w14:textId="77777777">
        <w:tc>
          <w:tcPr>
            <w:tcW w:w="1928" w:type="dxa"/>
            <w:tcBorders>
              <w:top w:val="single" w:color="000000" w:sz="6" w:space="0"/>
              <w:left w:val="single" w:color="000000" w:sz="6" w:space="0"/>
              <w:right w:val="single" w:color="000000" w:sz="6" w:space="0"/>
            </w:tcBorders>
          </w:tcPr>
          <w:p w:rsidRPr="00F30BA1" w:rsidR="00207D60" w:rsidP="00207D60" w:rsidRDefault="00207D60" w14:paraId="0E6F7CA5" w14:textId="77777777">
            <w:pPr>
              <w:keepNext/>
              <w:keepLines/>
              <w:contextualSpacing/>
              <w:rPr>
                <w:sz w:val="24"/>
                <w:szCs w:val="24"/>
              </w:rPr>
            </w:pPr>
            <w:r w:rsidRPr="00F30BA1">
              <w:rPr>
                <w:sz w:val="24"/>
                <w:szCs w:val="24"/>
              </w:rPr>
              <w:t>Closing procedures</w:t>
            </w:r>
          </w:p>
        </w:tc>
        <w:tc>
          <w:tcPr>
            <w:tcW w:w="918" w:type="dxa"/>
            <w:tcBorders>
              <w:top w:val="single" w:color="000000" w:sz="6" w:space="0"/>
              <w:left w:val="single" w:color="000000" w:sz="6" w:space="0"/>
              <w:right w:val="single" w:color="000000" w:sz="6" w:space="0"/>
            </w:tcBorders>
            <w:vAlign w:val="center"/>
          </w:tcPr>
          <w:p w:rsidRPr="00F30BA1" w:rsidR="00207D60" w:rsidP="00207D60" w:rsidRDefault="00207D60" w14:paraId="660D840E" w14:textId="77777777">
            <w:pPr>
              <w:keepNext/>
              <w:keepLines/>
              <w:contextualSpacing/>
              <w:rPr>
                <w:sz w:val="24"/>
                <w:szCs w:val="24"/>
              </w:rPr>
            </w:pPr>
            <w:r w:rsidRPr="00F30BA1">
              <w:rPr>
                <w:sz w:val="24"/>
                <w:szCs w:val="24"/>
              </w:rPr>
              <w:t>103.17</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2F8FFD2E" w14:textId="77777777">
            <w:pPr>
              <w:keepNext/>
              <w:keepLines/>
              <w:contextualSpacing/>
              <w:jc w:val="center"/>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41F09D5C" w14:textId="77777777">
            <w:pPr>
              <w:keepNext/>
              <w:keepLines/>
              <w:contextualSpacing/>
              <w:jc w:val="right"/>
              <w:rPr>
                <w:sz w:val="24"/>
                <w:szCs w:val="24"/>
              </w:rPr>
            </w:pPr>
            <w:r w:rsidRPr="00207D60">
              <w:rPr>
                <w:sz w:val="24"/>
                <w:szCs w:val="24"/>
              </w:rPr>
              <w:t>64</w:t>
            </w:r>
          </w:p>
        </w:tc>
        <w:tc>
          <w:tcPr>
            <w:tcW w:w="643"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46D1AF7C"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7545F273" w14:textId="77777777">
            <w:pPr>
              <w:keepNext/>
              <w:keepLines/>
              <w:contextualSpacing/>
              <w:jc w:val="right"/>
              <w:rPr>
                <w:sz w:val="24"/>
                <w:szCs w:val="24"/>
              </w:rPr>
            </w:pPr>
            <w:r w:rsidRPr="00207D60">
              <w:rPr>
                <w:sz w:val="24"/>
                <w:szCs w:val="24"/>
              </w:rPr>
              <w:t>64</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17730DC8"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3E469A1" w14:textId="77777777">
            <w:pPr>
              <w:keepNext/>
              <w:keepLines/>
              <w:contextualSpacing/>
              <w:jc w:val="right"/>
              <w:rPr>
                <w:sz w:val="24"/>
                <w:szCs w:val="24"/>
              </w:rPr>
            </w:pPr>
            <w:r w:rsidRPr="00207D60">
              <w:rPr>
                <w:sz w:val="24"/>
                <w:szCs w:val="24"/>
              </w:rPr>
              <w:t>128</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CB51343" w14:textId="2BE3EDCE">
            <w:pPr>
              <w:jc w:val="right"/>
              <w:rPr>
                <w:color w:val="000000"/>
                <w:sz w:val="24"/>
                <w:szCs w:val="24"/>
              </w:rPr>
            </w:pPr>
            <w:r w:rsidRPr="00207D60">
              <w:rPr>
                <w:sz w:val="24"/>
                <w:szCs w:val="24"/>
              </w:rPr>
              <w:t xml:space="preserve">$9,606 </w:t>
            </w:r>
          </w:p>
        </w:tc>
      </w:tr>
      <w:tr w:rsidRPr="00F30BA1" w:rsidR="00207D60" w:rsidTr="00997EB3" w14:paraId="7E494FED" w14:textId="77777777">
        <w:trPr>
          <w:trHeight w:val="615"/>
        </w:trPr>
        <w:tc>
          <w:tcPr>
            <w:tcW w:w="1928" w:type="dxa"/>
            <w:tcBorders>
              <w:top w:val="single" w:color="000000" w:sz="6" w:space="0"/>
              <w:left w:val="single" w:color="000000" w:sz="6" w:space="0"/>
              <w:right w:val="single" w:color="000000" w:sz="6" w:space="0"/>
            </w:tcBorders>
          </w:tcPr>
          <w:p w:rsidRPr="00F30BA1" w:rsidR="00207D60" w:rsidP="00207D60" w:rsidRDefault="00207D60" w14:paraId="018E916F" w14:textId="77777777">
            <w:pPr>
              <w:keepNext/>
              <w:keepLines/>
              <w:contextualSpacing/>
              <w:rPr>
                <w:sz w:val="24"/>
                <w:szCs w:val="24"/>
              </w:rPr>
            </w:pPr>
            <w:r w:rsidRPr="00F30BA1">
              <w:rPr>
                <w:sz w:val="24"/>
                <w:szCs w:val="24"/>
              </w:rPr>
              <w:t>Interest subsidy reports</w:t>
            </w:r>
          </w:p>
        </w:tc>
        <w:tc>
          <w:tcPr>
            <w:tcW w:w="918" w:type="dxa"/>
            <w:tcBorders>
              <w:top w:val="single" w:color="000000" w:sz="6" w:space="0"/>
              <w:left w:val="single" w:color="000000" w:sz="6" w:space="0"/>
              <w:right w:val="single" w:color="000000" w:sz="6" w:space="0"/>
            </w:tcBorders>
            <w:vAlign w:val="center"/>
          </w:tcPr>
          <w:p w:rsidRPr="00F30BA1" w:rsidR="00207D60" w:rsidP="00207D60" w:rsidRDefault="00207D60" w14:paraId="556E0798" w14:textId="77777777">
            <w:pPr>
              <w:keepNext/>
              <w:keepLines/>
              <w:contextualSpacing/>
              <w:rPr>
                <w:sz w:val="24"/>
                <w:szCs w:val="24"/>
              </w:rPr>
            </w:pPr>
            <w:r w:rsidRPr="00F30BA1">
              <w:rPr>
                <w:sz w:val="24"/>
                <w:szCs w:val="24"/>
              </w:rPr>
              <w:t>103.23</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79263BDE" w14:textId="77777777">
            <w:pPr>
              <w:keepNext/>
              <w:keepLines/>
              <w:contextualSpacing/>
              <w:rPr>
                <w:sz w:val="24"/>
                <w:szCs w:val="24"/>
              </w:rPr>
            </w:pPr>
            <w:r w:rsidRPr="00F30BA1">
              <w:rPr>
                <w:sz w:val="24"/>
                <w:szCs w:val="24"/>
              </w:rPr>
              <w:t>ISR10</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4AD39D4C" w14:textId="77777777">
            <w:pPr>
              <w:keepNext/>
              <w:keepLines/>
              <w:contextualSpacing/>
              <w:jc w:val="right"/>
              <w:rPr>
                <w:sz w:val="24"/>
                <w:szCs w:val="24"/>
              </w:rPr>
            </w:pPr>
            <w:r w:rsidRPr="00207D60">
              <w:rPr>
                <w:sz w:val="24"/>
                <w:szCs w:val="24"/>
              </w:rPr>
              <w:t>45</w:t>
            </w:r>
          </w:p>
        </w:tc>
        <w:tc>
          <w:tcPr>
            <w:tcW w:w="643"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3464AF2" w14:textId="77777777">
            <w:pPr>
              <w:keepNext/>
              <w:keepLines/>
              <w:contextualSpacing/>
              <w:jc w:val="right"/>
              <w:rPr>
                <w:sz w:val="24"/>
                <w:szCs w:val="24"/>
              </w:rPr>
            </w:pPr>
            <w:r w:rsidRPr="00207D60">
              <w:rPr>
                <w:sz w:val="24"/>
                <w:szCs w:val="24"/>
              </w:rPr>
              <w:t>4</w:t>
            </w:r>
          </w:p>
        </w:tc>
        <w:tc>
          <w:tcPr>
            <w:tcW w:w="82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2AB5F3B1" w14:textId="77777777">
            <w:pPr>
              <w:keepNext/>
              <w:keepLines/>
              <w:contextualSpacing/>
              <w:jc w:val="right"/>
              <w:rPr>
                <w:sz w:val="24"/>
                <w:szCs w:val="24"/>
              </w:rPr>
            </w:pPr>
            <w:r w:rsidRPr="00207D60">
              <w:rPr>
                <w:sz w:val="24"/>
                <w:szCs w:val="24"/>
              </w:rPr>
              <w:t>180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2152959C"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78424002" w14:textId="77777777">
            <w:pPr>
              <w:keepNext/>
              <w:keepLines/>
              <w:contextualSpacing/>
              <w:jc w:val="right"/>
              <w:rPr>
                <w:sz w:val="24"/>
                <w:szCs w:val="24"/>
              </w:rPr>
            </w:pPr>
            <w:r w:rsidRPr="00207D60">
              <w:rPr>
                <w:sz w:val="24"/>
                <w:szCs w:val="24"/>
              </w:rPr>
              <w:t>360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09E91BA" w14:textId="069FC784">
            <w:pPr>
              <w:jc w:val="right"/>
              <w:rPr>
                <w:color w:val="000000"/>
                <w:sz w:val="24"/>
                <w:szCs w:val="24"/>
              </w:rPr>
            </w:pPr>
            <w:r w:rsidRPr="00207D60">
              <w:rPr>
                <w:sz w:val="24"/>
                <w:szCs w:val="24"/>
              </w:rPr>
              <w:t xml:space="preserve">$27,018 </w:t>
            </w:r>
          </w:p>
        </w:tc>
      </w:tr>
      <w:tr w:rsidRPr="00F30BA1" w:rsidR="00207D60" w:rsidTr="00997EB3" w14:paraId="72DC5486" w14:textId="77777777">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5D8C429D" w14:textId="77777777">
            <w:pPr>
              <w:keepNext/>
              <w:keepLines/>
              <w:contextualSpacing/>
              <w:rPr>
                <w:sz w:val="24"/>
                <w:szCs w:val="24"/>
              </w:rPr>
            </w:pPr>
            <w:r w:rsidRPr="00F30BA1">
              <w:rPr>
                <w:sz w:val="24"/>
                <w:szCs w:val="24"/>
              </w:rPr>
              <w:t>Loan application</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8E46344" w14:textId="77777777">
            <w:pPr>
              <w:keepNext/>
              <w:keepLines/>
              <w:contextualSpacing/>
              <w:rPr>
                <w:sz w:val="24"/>
                <w:szCs w:val="24"/>
              </w:rPr>
            </w:pPr>
            <w:r w:rsidRPr="00F30BA1">
              <w:rPr>
                <w:sz w:val="24"/>
                <w:szCs w:val="24"/>
              </w:rPr>
              <w:t>103.26</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1CC10691" w14:textId="77777777">
            <w:pPr>
              <w:keepNext/>
              <w:keepLines/>
              <w:contextualSpacing/>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4259A81" w14:textId="77777777">
            <w:pPr>
              <w:keepNext/>
              <w:keepLines/>
              <w:contextualSpacing/>
              <w:jc w:val="right"/>
              <w:rPr>
                <w:sz w:val="24"/>
                <w:szCs w:val="24"/>
              </w:rPr>
            </w:pPr>
            <w:r w:rsidRPr="00207D60">
              <w:rPr>
                <w:sz w:val="24"/>
                <w:szCs w:val="24"/>
              </w:rPr>
              <w:t>64</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1A518B0"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5B0D8E6" w14:textId="77777777">
            <w:pPr>
              <w:keepNext/>
              <w:keepLines/>
              <w:contextualSpacing/>
              <w:jc w:val="right"/>
              <w:rPr>
                <w:sz w:val="24"/>
                <w:szCs w:val="24"/>
              </w:rPr>
            </w:pPr>
            <w:r w:rsidRPr="00207D60">
              <w:rPr>
                <w:sz w:val="24"/>
                <w:szCs w:val="24"/>
              </w:rPr>
              <w:t>64</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C7DDBE6"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369F96C" w14:textId="77777777">
            <w:pPr>
              <w:keepNext/>
              <w:keepLines/>
              <w:contextualSpacing/>
              <w:jc w:val="right"/>
              <w:rPr>
                <w:sz w:val="24"/>
                <w:szCs w:val="24"/>
              </w:rPr>
            </w:pPr>
            <w:r w:rsidRPr="00207D60">
              <w:rPr>
                <w:sz w:val="24"/>
                <w:szCs w:val="24"/>
              </w:rPr>
              <w:t>128</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392693F" w14:textId="68933243">
            <w:pPr>
              <w:jc w:val="right"/>
              <w:rPr>
                <w:color w:val="000000"/>
                <w:sz w:val="24"/>
                <w:szCs w:val="24"/>
              </w:rPr>
            </w:pPr>
            <w:r w:rsidRPr="00207D60">
              <w:rPr>
                <w:sz w:val="24"/>
                <w:szCs w:val="24"/>
              </w:rPr>
              <w:t xml:space="preserve">$9,606 </w:t>
            </w:r>
          </w:p>
        </w:tc>
      </w:tr>
      <w:tr w:rsidRPr="00F30BA1" w:rsidR="00207D60" w:rsidTr="00997EB3" w14:paraId="4E7E9FAD" w14:textId="77777777">
        <w:trPr>
          <w:trHeight w:val="363"/>
        </w:trPr>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09A39331" w14:textId="77777777">
            <w:pPr>
              <w:keepNext/>
              <w:keepLines/>
              <w:contextualSpacing/>
              <w:rPr>
                <w:sz w:val="24"/>
                <w:szCs w:val="24"/>
              </w:rPr>
            </w:pPr>
            <w:r w:rsidRPr="00F30BA1">
              <w:rPr>
                <w:sz w:val="24"/>
                <w:szCs w:val="24"/>
              </w:rPr>
              <w:t>Loan records</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35271AD" w14:textId="77777777">
            <w:pPr>
              <w:keepNext/>
              <w:keepLines/>
              <w:contextualSpacing/>
              <w:rPr>
                <w:sz w:val="24"/>
                <w:szCs w:val="24"/>
              </w:rPr>
            </w:pPr>
            <w:r w:rsidRPr="00F30BA1">
              <w:rPr>
                <w:sz w:val="24"/>
                <w:szCs w:val="24"/>
              </w:rPr>
              <w:t>103.32</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CDFE07F" w14:textId="77777777">
            <w:pPr>
              <w:keepNext/>
              <w:keepLines/>
              <w:contextualSpacing/>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3B4627E" w14:textId="77777777">
            <w:pPr>
              <w:keepNext/>
              <w:keepLines/>
              <w:contextualSpacing/>
              <w:jc w:val="right"/>
              <w:rPr>
                <w:sz w:val="24"/>
                <w:szCs w:val="24"/>
              </w:rPr>
            </w:pPr>
            <w:r w:rsidRPr="00207D60">
              <w:rPr>
                <w:sz w:val="24"/>
                <w:szCs w:val="24"/>
              </w:rPr>
              <w:t>64</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A336D71"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41FA5095" w14:textId="77777777">
            <w:pPr>
              <w:keepNext/>
              <w:keepLines/>
              <w:contextualSpacing/>
              <w:jc w:val="right"/>
              <w:rPr>
                <w:sz w:val="24"/>
                <w:szCs w:val="24"/>
              </w:rPr>
            </w:pPr>
            <w:r w:rsidRPr="00207D60">
              <w:rPr>
                <w:sz w:val="24"/>
                <w:szCs w:val="24"/>
              </w:rPr>
              <w:t>64</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AF23760"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9433025" w14:textId="77777777">
            <w:pPr>
              <w:keepNext/>
              <w:keepLines/>
              <w:contextualSpacing/>
              <w:jc w:val="right"/>
              <w:rPr>
                <w:sz w:val="24"/>
                <w:szCs w:val="24"/>
              </w:rPr>
            </w:pPr>
            <w:r w:rsidRPr="00207D60">
              <w:rPr>
                <w:sz w:val="24"/>
                <w:szCs w:val="24"/>
              </w:rPr>
              <w:t>128</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19AE637" w14:textId="723F3843">
            <w:pPr>
              <w:jc w:val="right"/>
              <w:rPr>
                <w:color w:val="000000"/>
                <w:sz w:val="24"/>
                <w:szCs w:val="24"/>
              </w:rPr>
            </w:pPr>
            <w:r w:rsidRPr="00207D60">
              <w:rPr>
                <w:sz w:val="24"/>
                <w:szCs w:val="24"/>
              </w:rPr>
              <w:t xml:space="preserve">$9,606 </w:t>
            </w:r>
          </w:p>
        </w:tc>
      </w:tr>
      <w:tr w:rsidRPr="00F30BA1" w:rsidR="00207D60" w:rsidTr="00997EB3" w14:paraId="4062A1ED" w14:textId="77777777">
        <w:trPr>
          <w:trHeight w:val="615"/>
        </w:trPr>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6AC08590" w14:textId="77777777">
            <w:pPr>
              <w:keepNext/>
              <w:keepLines/>
              <w:contextualSpacing/>
              <w:rPr>
                <w:sz w:val="24"/>
                <w:szCs w:val="24"/>
              </w:rPr>
            </w:pPr>
            <w:r w:rsidRPr="00F30BA1">
              <w:rPr>
                <w:sz w:val="24"/>
                <w:szCs w:val="24"/>
              </w:rPr>
              <w:t>Loan reporting</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76D0DDB8" w14:textId="77777777">
            <w:pPr>
              <w:keepNext/>
              <w:keepLines/>
              <w:contextualSpacing/>
              <w:rPr>
                <w:sz w:val="24"/>
                <w:szCs w:val="24"/>
              </w:rPr>
            </w:pPr>
            <w:r w:rsidRPr="00F30BA1">
              <w:rPr>
                <w:sz w:val="24"/>
                <w:szCs w:val="24"/>
              </w:rPr>
              <w:t>103.33</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45D6D813" w14:textId="77777777">
            <w:pPr>
              <w:keepNext/>
              <w:keepLines/>
              <w:contextualSpacing/>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E2C3109" w14:textId="77777777">
            <w:pPr>
              <w:keepNext/>
              <w:keepLines/>
              <w:contextualSpacing/>
              <w:jc w:val="right"/>
              <w:rPr>
                <w:sz w:val="24"/>
                <w:szCs w:val="24"/>
              </w:rPr>
            </w:pPr>
            <w:r w:rsidRPr="00207D60">
              <w:rPr>
                <w:sz w:val="24"/>
                <w:szCs w:val="24"/>
              </w:rPr>
              <w:t>200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06201D5" w14:textId="77777777">
            <w:pPr>
              <w:keepNext/>
              <w:keepLines/>
              <w:contextualSpacing/>
              <w:jc w:val="right"/>
              <w:rPr>
                <w:sz w:val="24"/>
                <w:szCs w:val="24"/>
              </w:rPr>
            </w:pPr>
            <w:r w:rsidRPr="00207D60">
              <w:rPr>
                <w:sz w:val="24"/>
                <w:szCs w:val="24"/>
              </w:rPr>
              <w:t>4</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AED20DF" w14:textId="77777777">
            <w:pPr>
              <w:keepNext/>
              <w:keepLines/>
              <w:contextualSpacing/>
              <w:jc w:val="right"/>
              <w:rPr>
                <w:sz w:val="24"/>
                <w:szCs w:val="24"/>
              </w:rPr>
            </w:pPr>
            <w:r w:rsidRPr="00207D60">
              <w:rPr>
                <w:sz w:val="24"/>
                <w:szCs w:val="24"/>
              </w:rPr>
              <w:t>800</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612D257"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B1C50CF" w14:textId="77777777">
            <w:pPr>
              <w:keepNext/>
              <w:keepLines/>
              <w:contextualSpacing/>
              <w:jc w:val="right"/>
              <w:rPr>
                <w:sz w:val="24"/>
                <w:szCs w:val="24"/>
              </w:rPr>
            </w:pPr>
            <w:r w:rsidRPr="00207D60">
              <w:rPr>
                <w:sz w:val="24"/>
                <w:szCs w:val="24"/>
              </w:rPr>
              <w:t>1,600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855030C" w14:textId="043C942A">
            <w:pPr>
              <w:jc w:val="right"/>
              <w:rPr>
                <w:color w:val="000000"/>
                <w:sz w:val="24"/>
                <w:szCs w:val="24"/>
              </w:rPr>
            </w:pPr>
            <w:r w:rsidRPr="00207D60">
              <w:rPr>
                <w:sz w:val="24"/>
                <w:szCs w:val="24"/>
              </w:rPr>
              <w:t xml:space="preserve">$120,080 </w:t>
            </w:r>
          </w:p>
        </w:tc>
      </w:tr>
      <w:tr w:rsidRPr="00F30BA1" w:rsidR="00207D60" w:rsidTr="00997EB3" w14:paraId="0CFFBF86" w14:textId="77777777">
        <w:trPr>
          <w:trHeight w:val="588"/>
        </w:trPr>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22EACE47" w14:textId="77777777">
            <w:pPr>
              <w:keepNext/>
              <w:keepLines/>
              <w:contextualSpacing/>
              <w:rPr>
                <w:sz w:val="24"/>
                <w:szCs w:val="24"/>
              </w:rPr>
            </w:pPr>
            <w:r w:rsidRPr="00F30BA1">
              <w:rPr>
                <w:sz w:val="24"/>
                <w:szCs w:val="24"/>
              </w:rPr>
              <w:t>Loan modification</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24F830B8" w14:textId="77777777">
            <w:pPr>
              <w:keepNext/>
              <w:keepLines/>
              <w:contextualSpacing/>
              <w:rPr>
                <w:sz w:val="24"/>
                <w:szCs w:val="24"/>
              </w:rPr>
            </w:pPr>
            <w:r w:rsidRPr="00F30BA1">
              <w:rPr>
                <w:sz w:val="24"/>
                <w:szCs w:val="24"/>
              </w:rPr>
              <w:t>103.34</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071BBCA" w14:textId="77777777">
            <w:pPr>
              <w:keepNext/>
              <w:keepLines/>
              <w:contextualSpacing/>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63E1006" w14:textId="77777777">
            <w:pPr>
              <w:keepNext/>
              <w:keepLines/>
              <w:contextualSpacing/>
              <w:jc w:val="right"/>
              <w:rPr>
                <w:sz w:val="24"/>
                <w:szCs w:val="24"/>
              </w:rPr>
            </w:pPr>
            <w:r w:rsidRPr="00207D60">
              <w:rPr>
                <w:sz w:val="24"/>
                <w:szCs w:val="24"/>
              </w:rPr>
              <w:t>10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5F96F47"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D2EBA02" w14:textId="77777777">
            <w:pPr>
              <w:keepNext/>
              <w:keepLines/>
              <w:contextualSpacing/>
              <w:jc w:val="right"/>
              <w:rPr>
                <w:sz w:val="24"/>
                <w:szCs w:val="24"/>
              </w:rPr>
            </w:pPr>
            <w:r w:rsidRPr="00207D60">
              <w:rPr>
                <w:sz w:val="24"/>
                <w:szCs w:val="24"/>
              </w:rPr>
              <w:t>10</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4A28F95"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B6B0B18" w14:textId="77777777">
            <w:pPr>
              <w:keepNext/>
              <w:keepLines/>
              <w:contextualSpacing/>
              <w:jc w:val="right"/>
              <w:rPr>
                <w:sz w:val="24"/>
                <w:szCs w:val="24"/>
              </w:rPr>
            </w:pPr>
            <w:r w:rsidRPr="00207D60">
              <w:rPr>
                <w:sz w:val="24"/>
                <w:szCs w:val="24"/>
              </w:rPr>
              <w:t>20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4954188" w14:textId="39F3CADA">
            <w:pPr>
              <w:jc w:val="right"/>
              <w:rPr>
                <w:color w:val="000000"/>
                <w:sz w:val="24"/>
                <w:szCs w:val="24"/>
              </w:rPr>
            </w:pPr>
            <w:r w:rsidRPr="00207D60">
              <w:rPr>
                <w:sz w:val="24"/>
                <w:szCs w:val="24"/>
              </w:rPr>
              <w:t xml:space="preserve">$1,501 </w:t>
            </w:r>
          </w:p>
        </w:tc>
      </w:tr>
      <w:tr w:rsidRPr="00F30BA1" w:rsidR="00207D60" w:rsidTr="00997EB3" w14:paraId="755A5DD9" w14:textId="77777777">
        <w:trPr>
          <w:trHeight w:val="588"/>
        </w:trPr>
        <w:tc>
          <w:tcPr>
            <w:tcW w:w="1928" w:type="dxa"/>
            <w:tcBorders>
              <w:top w:val="single" w:color="000000" w:sz="6" w:space="0"/>
              <w:left w:val="single" w:color="000000" w:sz="6" w:space="0"/>
              <w:bottom w:val="single" w:color="000000" w:sz="6" w:space="0"/>
              <w:right w:val="single" w:color="000000" w:sz="6" w:space="0"/>
            </w:tcBorders>
          </w:tcPr>
          <w:p w:rsidRPr="00284030" w:rsidR="00207D60" w:rsidP="00207D60" w:rsidRDefault="00207D60" w14:paraId="4A63253C" w14:textId="77777777">
            <w:pPr>
              <w:keepNext/>
              <w:keepLines/>
              <w:contextualSpacing/>
              <w:rPr>
                <w:sz w:val="24"/>
                <w:szCs w:val="24"/>
              </w:rPr>
            </w:pPr>
            <w:r w:rsidRPr="00F30BA1">
              <w:rPr>
                <w:sz w:val="24"/>
                <w:szCs w:val="24"/>
              </w:rPr>
              <w:t>Default notices</w:t>
            </w:r>
            <w:r>
              <w:rPr>
                <w:sz w:val="24"/>
                <w:szCs w:val="24"/>
              </w:rPr>
              <w:t xml:space="preserve"> 103.35(a)</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5898596B" w14:textId="77777777">
            <w:pPr>
              <w:keepNext/>
              <w:keepLines/>
              <w:contextualSpacing/>
              <w:rPr>
                <w:sz w:val="24"/>
                <w:szCs w:val="24"/>
              </w:rPr>
            </w:pPr>
            <w:r>
              <w:rPr>
                <w:sz w:val="24"/>
                <w:szCs w:val="24"/>
              </w:rPr>
              <w:t>103.35 (a)</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7AB49EA" w14:textId="77777777">
            <w:pPr>
              <w:keepNext/>
              <w:keepLines/>
              <w:contextualSpacing/>
              <w:rPr>
                <w:sz w:val="24"/>
                <w:szCs w:val="24"/>
              </w:rPr>
            </w:pPr>
            <w:r>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13F935D" w14:textId="77777777">
            <w:pPr>
              <w:keepNext/>
              <w:keepLines/>
              <w:contextualSpacing/>
              <w:jc w:val="right"/>
              <w:rPr>
                <w:sz w:val="24"/>
                <w:szCs w:val="24"/>
              </w:rPr>
            </w:pPr>
            <w:r w:rsidRPr="00207D60">
              <w:rPr>
                <w:sz w:val="24"/>
                <w:szCs w:val="24"/>
              </w:rPr>
              <w:t>20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F052C33"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47DA36E" w14:textId="77777777">
            <w:pPr>
              <w:keepNext/>
              <w:keepLines/>
              <w:contextualSpacing/>
              <w:jc w:val="right"/>
              <w:rPr>
                <w:sz w:val="24"/>
                <w:szCs w:val="24"/>
              </w:rPr>
            </w:pPr>
            <w:r w:rsidRPr="00207D60">
              <w:rPr>
                <w:sz w:val="24"/>
                <w:szCs w:val="24"/>
              </w:rPr>
              <w:t>20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2F37306" w14:textId="77777777">
            <w:pPr>
              <w:keepNext/>
              <w:keepLines/>
              <w:contextualSpacing/>
              <w:jc w:val="right"/>
              <w:rPr>
                <w:sz w:val="24"/>
                <w:szCs w:val="24"/>
              </w:rPr>
            </w:pPr>
            <w:r w:rsidRPr="00207D60">
              <w:rPr>
                <w:sz w:val="24"/>
                <w:szCs w:val="24"/>
              </w:rPr>
              <w:t>0. 5</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609092A2" w14:textId="77777777">
            <w:pPr>
              <w:keepNext/>
              <w:keepLines/>
              <w:contextualSpacing/>
              <w:jc w:val="right"/>
              <w:rPr>
                <w:sz w:val="24"/>
                <w:szCs w:val="24"/>
              </w:rPr>
            </w:pPr>
            <w:r w:rsidRPr="00207D60">
              <w:rPr>
                <w:sz w:val="24"/>
                <w:szCs w:val="24"/>
              </w:rPr>
              <w:t>10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5562872" w14:textId="6CFE2BAA">
            <w:pPr>
              <w:jc w:val="right"/>
              <w:rPr>
                <w:color w:val="000000"/>
                <w:sz w:val="24"/>
                <w:szCs w:val="24"/>
              </w:rPr>
            </w:pPr>
            <w:r w:rsidRPr="00207D60">
              <w:rPr>
                <w:sz w:val="24"/>
                <w:szCs w:val="24"/>
              </w:rPr>
              <w:t xml:space="preserve">$751 </w:t>
            </w:r>
          </w:p>
        </w:tc>
      </w:tr>
      <w:tr w:rsidRPr="00F30BA1" w:rsidR="00207D60" w:rsidTr="00997EB3" w14:paraId="49107085" w14:textId="77777777">
        <w:trPr>
          <w:trHeight w:val="372"/>
        </w:trPr>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26CF5621" w14:textId="77777777">
            <w:pPr>
              <w:keepNext/>
              <w:keepLines/>
              <w:contextualSpacing/>
              <w:rPr>
                <w:sz w:val="24"/>
                <w:szCs w:val="24"/>
              </w:rPr>
            </w:pPr>
            <w:r>
              <w:rPr>
                <w:sz w:val="24"/>
                <w:szCs w:val="24"/>
              </w:rPr>
              <w:t>Default notices 103.35(b)</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7B27F30C" w14:textId="77777777">
            <w:pPr>
              <w:keepNext/>
              <w:keepLines/>
              <w:contextualSpacing/>
              <w:rPr>
                <w:sz w:val="24"/>
                <w:szCs w:val="24"/>
              </w:rPr>
            </w:pPr>
            <w:r w:rsidRPr="00F30BA1">
              <w:rPr>
                <w:sz w:val="24"/>
                <w:szCs w:val="24"/>
              </w:rPr>
              <w:t>103.35</w:t>
            </w:r>
            <w:r>
              <w:rPr>
                <w:sz w:val="24"/>
                <w:szCs w:val="24"/>
              </w:rPr>
              <w:t>(b)</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46A40301" w14:textId="77777777">
            <w:pPr>
              <w:keepNext/>
              <w:keepLines/>
              <w:contextualSpacing/>
              <w:rPr>
                <w:sz w:val="24"/>
                <w:szCs w:val="24"/>
              </w:rPr>
            </w:pPr>
            <w:r w:rsidRPr="00F30BA1">
              <w:rPr>
                <w:sz w:val="24"/>
                <w:szCs w:val="24"/>
              </w:rPr>
              <w:t>NOD10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D1409B8" w14:textId="77777777">
            <w:pPr>
              <w:keepNext/>
              <w:keepLines/>
              <w:contextualSpacing/>
              <w:jc w:val="right"/>
              <w:rPr>
                <w:sz w:val="24"/>
                <w:szCs w:val="24"/>
              </w:rPr>
            </w:pPr>
            <w:r w:rsidRPr="00207D60">
              <w:rPr>
                <w:sz w:val="24"/>
                <w:szCs w:val="24"/>
              </w:rPr>
              <w:t>20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4C58ED8"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4A05B462" w14:textId="77777777">
            <w:pPr>
              <w:keepNext/>
              <w:keepLines/>
              <w:contextualSpacing/>
              <w:jc w:val="right"/>
              <w:rPr>
                <w:sz w:val="24"/>
                <w:szCs w:val="24"/>
              </w:rPr>
            </w:pPr>
            <w:r w:rsidRPr="00207D60">
              <w:rPr>
                <w:sz w:val="24"/>
                <w:szCs w:val="24"/>
              </w:rPr>
              <w:t>20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57E5EB1E" w14:textId="77777777">
            <w:pPr>
              <w:keepNext/>
              <w:keepLines/>
              <w:contextualSpacing/>
              <w:jc w:val="right"/>
              <w:rPr>
                <w:sz w:val="24"/>
                <w:szCs w:val="24"/>
              </w:rPr>
            </w:pPr>
            <w:r w:rsidRPr="00207D60">
              <w:rPr>
                <w:sz w:val="24"/>
                <w:szCs w:val="24"/>
              </w:rPr>
              <w:t>0.5</w:t>
            </w:r>
          </w:p>
        </w:tc>
        <w:tc>
          <w:tcPr>
            <w:tcW w:w="91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2A79BDBC" w14:textId="77777777">
            <w:pPr>
              <w:keepNext/>
              <w:keepLines/>
              <w:contextualSpacing/>
              <w:jc w:val="right"/>
              <w:rPr>
                <w:sz w:val="24"/>
                <w:szCs w:val="24"/>
              </w:rPr>
            </w:pPr>
            <w:r w:rsidRPr="00207D60">
              <w:rPr>
                <w:sz w:val="24"/>
                <w:szCs w:val="24"/>
              </w:rPr>
              <w:t>10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B7094FD" w14:textId="7CA424C8">
            <w:pPr>
              <w:jc w:val="right"/>
              <w:rPr>
                <w:color w:val="000000"/>
                <w:sz w:val="24"/>
                <w:szCs w:val="24"/>
              </w:rPr>
            </w:pPr>
            <w:r w:rsidRPr="00207D60">
              <w:rPr>
                <w:sz w:val="24"/>
                <w:szCs w:val="24"/>
              </w:rPr>
              <w:t xml:space="preserve">$751 </w:t>
            </w:r>
          </w:p>
        </w:tc>
      </w:tr>
      <w:tr w:rsidRPr="00F30BA1" w:rsidR="00207D60" w:rsidTr="00997EB3" w14:paraId="6A64C0E2" w14:textId="77777777">
        <w:trPr>
          <w:trHeight w:val="435"/>
        </w:trPr>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16B98A84" w14:textId="77777777">
            <w:pPr>
              <w:keepNext/>
              <w:keepLines/>
              <w:contextualSpacing/>
              <w:rPr>
                <w:sz w:val="24"/>
                <w:szCs w:val="24"/>
              </w:rPr>
            </w:pPr>
            <w:r>
              <w:rPr>
                <w:sz w:val="24"/>
                <w:szCs w:val="24"/>
              </w:rPr>
              <w:t>Default notices 103.36</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703A884" w14:textId="77777777">
            <w:pPr>
              <w:keepNext/>
              <w:keepLines/>
              <w:contextualSpacing/>
              <w:rPr>
                <w:sz w:val="24"/>
                <w:szCs w:val="24"/>
              </w:rPr>
            </w:pPr>
            <w:r w:rsidRPr="00F30BA1">
              <w:rPr>
                <w:sz w:val="24"/>
                <w:szCs w:val="24"/>
              </w:rPr>
              <w:t>103.36</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1264C37F" w14:textId="77777777">
            <w:pPr>
              <w:keepNext/>
              <w:keepLines/>
              <w:contextualSpacing/>
              <w:rPr>
                <w:sz w:val="24"/>
                <w:szCs w:val="24"/>
              </w:rPr>
            </w:pPr>
            <w:r w:rsidRPr="00F30BA1">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EAC960F" w14:textId="77777777">
            <w:pPr>
              <w:keepNext/>
              <w:keepLines/>
              <w:contextualSpacing/>
              <w:jc w:val="right"/>
              <w:rPr>
                <w:sz w:val="24"/>
                <w:szCs w:val="24"/>
              </w:rPr>
            </w:pPr>
            <w:r w:rsidRPr="00207D60">
              <w:rPr>
                <w:sz w:val="24"/>
                <w:szCs w:val="24"/>
              </w:rPr>
              <w:t>20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E059CC1"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85B9A1D" w14:textId="77777777">
            <w:pPr>
              <w:keepNext/>
              <w:keepLines/>
              <w:contextualSpacing/>
              <w:jc w:val="right"/>
              <w:rPr>
                <w:sz w:val="24"/>
                <w:szCs w:val="24"/>
              </w:rPr>
            </w:pPr>
            <w:r w:rsidRPr="00207D60">
              <w:rPr>
                <w:sz w:val="24"/>
                <w:szCs w:val="24"/>
              </w:rPr>
              <w:t>20</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D342A12"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453EBEB8" w14:textId="77777777">
            <w:pPr>
              <w:keepNext/>
              <w:keepLines/>
              <w:contextualSpacing/>
              <w:jc w:val="right"/>
              <w:rPr>
                <w:sz w:val="24"/>
                <w:szCs w:val="24"/>
              </w:rPr>
            </w:pPr>
            <w:r w:rsidRPr="00207D60">
              <w:rPr>
                <w:sz w:val="24"/>
                <w:szCs w:val="24"/>
              </w:rPr>
              <w:t>40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3276BF1" w14:textId="436CD5E4">
            <w:pPr>
              <w:jc w:val="right"/>
              <w:rPr>
                <w:color w:val="000000"/>
                <w:sz w:val="24"/>
                <w:szCs w:val="24"/>
              </w:rPr>
            </w:pPr>
            <w:r w:rsidRPr="00207D60">
              <w:rPr>
                <w:sz w:val="24"/>
                <w:szCs w:val="24"/>
              </w:rPr>
              <w:t xml:space="preserve">$3,002 </w:t>
            </w:r>
          </w:p>
        </w:tc>
      </w:tr>
      <w:tr w:rsidRPr="00F30BA1" w:rsidR="00207D60" w:rsidTr="00997EB3" w14:paraId="12F03476" w14:textId="77777777">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3648911E" w14:textId="77777777">
            <w:pPr>
              <w:keepNext/>
              <w:keepLines/>
              <w:contextualSpacing/>
              <w:rPr>
                <w:sz w:val="24"/>
                <w:szCs w:val="24"/>
              </w:rPr>
            </w:pPr>
            <w:r w:rsidRPr="00F30BA1">
              <w:rPr>
                <w:sz w:val="24"/>
                <w:szCs w:val="24"/>
              </w:rPr>
              <w:t>Claim for loss</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18F3FEC6" w14:textId="77777777">
            <w:pPr>
              <w:keepNext/>
              <w:keepLines/>
              <w:contextualSpacing/>
              <w:rPr>
                <w:sz w:val="24"/>
                <w:szCs w:val="24"/>
              </w:rPr>
            </w:pPr>
            <w:r w:rsidRPr="00F30BA1">
              <w:rPr>
                <w:sz w:val="24"/>
                <w:szCs w:val="24"/>
              </w:rPr>
              <w:t>103.37</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381A15C" w14:textId="77777777">
            <w:pPr>
              <w:keepNext/>
              <w:keepLines/>
              <w:contextualSpacing/>
              <w:rPr>
                <w:sz w:val="24"/>
                <w:szCs w:val="24"/>
              </w:rPr>
            </w:pPr>
            <w:r w:rsidRPr="00F30BA1">
              <w:rPr>
                <w:sz w:val="24"/>
                <w:szCs w:val="24"/>
              </w:rPr>
              <w:t>CFL10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F181F6F" w14:textId="77777777">
            <w:pPr>
              <w:keepNext/>
              <w:keepLines/>
              <w:contextualSpacing/>
              <w:jc w:val="right"/>
              <w:rPr>
                <w:sz w:val="24"/>
                <w:szCs w:val="24"/>
              </w:rPr>
            </w:pPr>
            <w:r w:rsidRPr="00207D60">
              <w:rPr>
                <w:sz w:val="24"/>
                <w:szCs w:val="24"/>
              </w:rPr>
              <w:t>10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B7ADD6F"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38DCBC3" w14:textId="77777777">
            <w:pPr>
              <w:keepNext/>
              <w:keepLines/>
              <w:contextualSpacing/>
              <w:jc w:val="right"/>
              <w:rPr>
                <w:sz w:val="24"/>
                <w:szCs w:val="24"/>
              </w:rPr>
            </w:pPr>
            <w:r w:rsidRPr="00207D60">
              <w:rPr>
                <w:sz w:val="24"/>
                <w:szCs w:val="24"/>
              </w:rPr>
              <w:t>10</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41CEA28D" w14:textId="77777777">
            <w:pPr>
              <w:keepNext/>
              <w:keepLines/>
              <w:contextualSpacing/>
              <w:jc w:val="right"/>
              <w:rPr>
                <w:sz w:val="24"/>
                <w:szCs w:val="24"/>
              </w:rPr>
            </w:pPr>
            <w:r w:rsidRPr="00207D60">
              <w:rPr>
                <w:sz w:val="24"/>
                <w:szCs w:val="24"/>
              </w:rPr>
              <w:t>2</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F3EC33B" w14:textId="77777777">
            <w:pPr>
              <w:keepNext/>
              <w:keepLines/>
              <w:contextualSpacing/>
              <w:jc w:val="right"/>
              <w:rPr>
                <w:sz w:val="24"/>
                <w:szCs w:val="24"/>
              </w:rPr>
            </w:pPr>
            <w:r w:rsidRPr="00207D60">
              <w:rPr>
                <w:sz w:val="24"/>
                <w:szCs w:val="24"/>
              </w:rPr>
              <w:t>20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5D47744" w14:textId="2AE5FE87">
            <w:pPr>
              <w:jc w:val="right"/>
              <w:rPr>
                <w:color w:val="000000"/>
                <w:sz w:val="24"/>
                <w:szCs w:val="24"/>
              </w:rPr>
            </w:pPr>
            <w:r w:rsidRPr="00207D60">
              <w:rPr>
                <w:sz w:val="24"/>
                <w:szCs w:val="24"/>
              </w:rPr>
              <w:t xml:space="preserve">$1,501 </w:t>
            </w:r>
          </w:p>
        </w:tc>
      </w:tr>
      <w:tr w:rsidRPr="00F30BA1" w:rsidR="00207D60" w:rsidTr="00997EB3" w14:paraId="744BCCA6" w14:textId="77777777">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241954A8" w14:textId="77777777">
            <w:pPr>
              <w:keepNext/>
              <w:keepLines/>
              <w:contextualSpacing/>
              <w:rPr>
                <w:sz w:val="24"/>
                <w:szCs w:val="24"/>
              </w:rPr>
            </w:pPr>
            <w:r w:rsidRPr="00F30BA1">
              <w:rPr>
                <w:sz w:val="24"/>
                <w:szCs w:val="24"/>
              </w:rPr>
              <w:t>Assignment of Rights</w:t>
            </w:r>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7AD176F0" w14:textId="77777777">
            <w:pPr>
              <w:keepNext/>
              <w:keepLines/>
              <w:contextualSpacing/>
              <w:rPr>
                <w:sz w:val="24"/>
                <w:szCs w:val="24"/>
              </w:rPr>
            </w:pPr>
            <w:r w:rsidRPr="00F30BA1">
              <w:rPr>
                <w:sz w:val="24"/>
                <w:szCs w:val="24"/>
              </w:rPr>
              <w:t>103.38</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50CCC115" w14:textId="77777777">
            <w:pPr>
              <w:keepNext/>
              <w:keepLines/>
              <w:contextualSpacing/>
              <w:rPr>
                <w:sz w:val="24"/>
                <w:szCs w:val="24"/>
              </w:rPr>
            </w:pPr>
            <w:r w:rsidRPr="00F30BA1">
              <w:rPr>
                <w:sz w:val="24"/>
                <w:szCs w:val="24"/>
              </w:rPr>
              <w:t>ALD10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A18320C" w14:textId="77777777">
            <w:pPr>
              <w:keepNext/>
              <w:keepLines/>
              <w:contextualSpacing/>
              <w:jc w:val="right"/>
              <w:rPr>
                <w:sz w:val="24"/>
                <w:szCs w:val="24"/>
              </w:rPr>
            </w:pPr>
            <w:r w:rsidRPr="00207D60">
              <w:rPr>
                <w:sz w:val="24"/>
                <w:szCs w:val="24"/>
              </w:rPr>
              <w:t>10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D44D404" w14:textId="77777777">
            <w:pPr>
              <w:keepNext/>
              <w:keepLines/>
              <w:contextualSpacing/>
              <w:jc w:val="right"/>
              <w:rPr>
                <w:sz w:val="24"/>
                <w:szCs w:val="24"/>
              </w:rPr>
            </w:pPr>
            <w:r w:rsidRPr="00207D60">
              <w:rPr>
                <w:sz w:val="24"/>
                <w:szCs w:val="24"/>
              </w:rPr>
              <w:t>1</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4869F9C" w14:textId="77777777">
            <w:pPr>
              <w:keepNext/>
              <w:keepLines/>
              <w:contextualSpacing/>
              <w:jc w:val="right"/>
              <w:rPr>
                <w:sz w:val="24"/>
                <w:szCs w:val="24"/>
              </w:rPr>
            </w:pPr>
            <w:r w:rsidRPr="00207D60">
              <w:rPr>
                <w:sz w:val="24"/>
                <w:szCs w:val="24"/>
              </w:rPr>
              <w:t>10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BA5C46B" w14:textId="77777777">
            <w:pPr>
              <w:keepNext/>
              <w:keepLines/>
              <w:contextualSpacing/>
              <w:jc w:val="right"/>
              <w:rPr>
                <w:sz w:val="24"/>
                <w:szCs w:val="24"/>
              </w:rPr>
            </w:pPr>
            <w:r w:rsidRPr="00207D60">
              <w:rPr>
                <w:sz w:val="24"/>
                <w:szCs w:val="24"/>
              </w:rPr>
              <w:t>1</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16CFECE" w14:textId="77777777">
            <w:pPr>
              <w:keepNext/>
              <w:keepLines/>
              <w:contextualSpacing/>
              <w:jc w:val="right"/>
              <w:rPr>
                <w:sz w:val="24"/>
                <w:szCs w:val="24"/>
              </w:rPr>
            </w:pPr>
            <w:r w:rsidRPr="00207D60">
              <w:rPr>
                <w:sz w:val="24"/>
                <w:szCs w:val="24"/>
              </w:rPr>
              <w:t>10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D781F0C" w14:textId="591226A1">
            <w:pPr>
              <w:jc w:val="right"/>
              <w:rPr>
                <w:color w:val="000000"/>
                <w:sz w:val="24"/>
                <w:szCs w:val="24"/>
              </w:rPr>
            </w:pPr>
            <w:r w:rsidRPr="00207D60">
              <w:rPr>
                <w:sz w:val="24"/>
                <w:szCs w:val="24"/>
              </w:rPr>
              <w:t xml:space="preserve">$751 </w:t>
            </w:r>
          </w:p>
        </w:tc>
      </w:tr>
      <w:tr w:rsidRPr="00F30BA1" w:rsidR="00207D60" w:rsidTr="00997EB3" w14:paraId="4DA7186A" w14:textId="77777777">
        <w:trPr>
          <w:trHeight w:val="507"/>
        </w:trPr>
        <w:tc>
          <w:tcPr>
            <w:tcW w:w="1928" w:type="dxa"/>
            <w:vMerge w:val="restart"/>
            <w:tcBorders>
              <w:top w:val="single" w:color="000000" w:sz="6" w:space="0"/>
              <w:left w:val="single" w:color="000000" w:sz="6" w:space="0"/>
              <w:right w:val="single" w:color="000000" w:sz="6" w:space="0"/>
            </w:tcBorders>
          </w:tcPr>
          <w:p w:rsidRPr="00F30BA1" w:rsidR="00207D60" w:rsidP="00207D60" w:rsidRDefault="00207D60" w14:paraId="1AF6EC7A" w14:textId="77777777">
            <w:pPr>
              <w:keepNext/>
              <w:keepLines/>
              <w:contextualSpacing/>
              <w:rPr>
                <w:sz w:val="24"/>
                <w:szCs w:val="24"/>
              </w:rPr>
            </w:pPr>
            <w:r w:rsidRPr="00F30BA1">
              <w:rPr>
                <w:sz w:val="24"/>
                <w:szCs w:val="24"/>
              </w:rPr>
              <w:t>Notice of individual loan guarantee or insurance</w:t>
            </w:r>
          </w:p>
        </w:tc>
        <w:tc>
          <w:tcPr>
            <w:tcW w:w="918" w:type="dxa"/>
            <w:vMerge w:val="restart"/>
            <w:tcBorders>
              <w:top w:val="single" w:color="000000" w:sz="6" w:space="0"/>
              <w:left w:val="single" w:color="000000" w:sz="6" w:space="0"/>
              <w:right w:val="single" w:color="000000" w:sz="6" w:space="0"/>
            </w:tcBorders>
            <w:vAlign w:val="center"/>
          </w:tcPr>
          <w:p w:rsidRPr="00F30BA1" w:rsidR="00207D60" w:rsidP="00207D60" w:rsidRDefault="00207D60" w14:paraId="0DDAB4A7" w14:textId="77777777">
            <w:pPr>
              <w:keepNext/>
              <w:keepLines/>
              <w:contextualSpacing/>
              <w:rPr>
                <w:sz w:val="24"/>
                <w:szCs w:val="24"/>
              </w:rPr>
            </w:pPr>
            <w:r>
              <w:rPr>
                <w:sz w:val="24"/>
                <w:szCs w:val="24"/>
              </w:rPr>
              <w:t>103.18</w:t>
            </w: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1A512437" w14:textId="77777777">
            <w:pPr>
              <w:keepNext/>
              <w:keepLines/>
              <w:contextualSpacing/>
              <w:rPr>
                <w:sz w:val="24"/>
                <w:szCs w:val="24"/>
              </w:rPr>
            </w:pPr>
            <w:r w:rsidRPr="00F30BA1">
              <w:rPr>
                <w:sz w:val="24"/>
                <w:szCs w:val="24"/>
              </w:rPr>
              <w:t>NIL10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35E718A4" w14:textId="77777777">
            <w:pPr>
              <w:keepNext/>
              <w:keepLines/>
              <w:contextualSpacing/>
              <w:jc w:val="right"/>
              <w:rPr>
                <w:sz w:val="24"/>
                <w:szCs w:val="24"/>
              </w:rPr>
            </w:pPr>
            <w:r w:rsidRPr="00207D60">
              <w:rPr>
                <w:sz w:val="24"/>
                <w:szCs w:val="24"/>
              </w:rPr>
              <w:t>10</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DA90A11" w14:textId="77777777">
            <w:pPr>
              <w:keepNext/>
              <w:keepLines/>
              <w:contextualSpacing/>
              <w:jc w:val="right"/>
              <w:rPr>
                <w:sz w:val="24"/>
                <w:szCs w:val="24"/>
              </w:rPr>
            </w:pPr>
            <w:r w:rsidRPr="00207D60">
              <w:rPr>
                <w:sz w:val="24"/>
                <w:szCs w:val="24"/>
              </w:rPr>
              <w:t>2</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8F41ABF" w14:textId="77777777">
            <w:pPr>
              <w:keepNext/>
              <w:keepLines/>
              <w:contextualSpacing/>
              <w:jc w:val="right"/>
              <w:rPr>
                <w:sz w:val="24"/>
                <w:szCs w:val="24"/>
              </w:rPr>
            </w:pPr>
            <w:r w:rsidRPr="00207D60">
              <w:rPr>
                <w:sz w:val="24"/>
                <w:szCs w:val="24"/>
              </w:rPr>
              <w:t>20</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27B2F2DF" w14:textId="77777777">
            <w:pPr>
              <w:keepNext/>
              <w:keepLines/>
              <w:contextualSpacing/>
              <w:jc w:val="right"/>
              <w:rPr>
                <w:sz w:val="24"/>
                <w:szCs w:val="24"/>
              </w:rPr>
            </w:pPr>
            <w:r w:rsidRPr="00207D60">
              <w:rPr>
                <w:sz w:val="24"/>
                <w:szCs w:val="24"/>
              </w:rPr>
              <w:t>0.5</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171C148E" w14:textId="77777777">
            <w:pPr>
              <w:keepNext/>
              <w:keepLines/>
              <w:contextualSpacing/>
              <w:jc w:val="right"/>
              <w:rPr>
                <w:sz w:val="24"/>
                <w:szCs w:val="24"/>
              </w:rPr>
            </w:pPr>
            <w:r w:rsidRPr="00207D60">
              <w:rPr>
                <w:sz w:val="24"/>
                <w:szCs w:val="24"/>
              </w:rPr>
              <w:t>10</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B4D4043" w14:textId="276A483A">
            <w:pPr>
              <w:jc w:val="right"/>
              <w:rPr>
                <w:color w:val="000000"/>
                <w:sz w:val="24"/>
                <w:szCs w:val="24"/>
              </w:rPr>
            </w:pPr>
            <w:r w:rsidRPr="00207D60">
              <w:rPr>
                <w:sz w:val="24"/>
                <w:szCs w:val="24"/>
              </w:rPr>
              <w:t xml:space="preserve">$751 </w:t>
            </w:r>
          </w:p>
        </w:tc>
      </w:tr>
      <w:tr w:rsidRPr="00F30BA1" w:rsidR="00207D60" w:rsidTr="00997EB3" w14:paraId="2B6FF5E5" w14:textId="77777777">
        <w:tc>
          <w:tcPr>
            <w:tcW w:w="1928" w:type="dxa"/>
            <w:vMerge/>
            <w:tcBorders>
              <w:left w:val="single" w:color="000000" w:sz="6" w:space="0"/>
              <w:bottom w:val="single" w:color="000000" w:sz="6" w:space="0"/>
              <w:right w:val="single" w:color="000000" w:sz="6" w:space="0"/>
            </w:tcBorders>
          </w:tcPr>
          <w:p w:rsidRPr="00F30BA1" w:rsidR="00207D60" w:rsidP="00207D60" w:rsidRDefault="00207D60" w14:paraId="1E607EB0" w14:textId="77777777">
            <w:pPr>
              <w:keepNext/>
              <w:keepLines/>
              <w:contextualSpacing/>
              <w:rPr>
                <w:sz w:val="24"/>
                <w:szCs w:val="24"/>
              </w:rPr>
            </w:pPr>
          </w:p>
        </w:tc>
        <w:tc>
          <w:tcPr>
            <w:tcW w:w="918" w:type="dxa"/>
            <w:vMerge/>
            <w:tcBorders>
              <w:left w:val="single" w:color="000000" w:sz="6" w:space="0"/>
              <w:bottom w:val="single" w:color="000000" w:sz="6" w:space="0"/>
              <w:right w:val="single" w:color="000000" w:sz="6" w:space="0"/>
            </w:tcBorders>
            <w:vAlign w:val="center"/>
          </w:tcPr>
          <w:p w:rsidRPr="00F30BA1" w:rsidR="00207D60" w:rsidP="00207D60" w:rsidRDefault="00207D60" w14:paraId="76E8FA27" w14:textId="77777777">
            <w:pPr>
              <w:keepNext/>
              <w:keepLines/>
              <w:contextualSpacing/>
              <w:rPr>
                <w:sz w:val="24"/>
                <w:szCs w:val="24"/>
              </w:rPr>
            </w:pPr>
          </w:p>
        </w:tc>
        <w:tc>
          <w:tcPr>
            <w:tcW w:w="1101"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62D1B0AA" w14:textId="77777777">
            <w:pPr>
              <w:keepNext/>
              <w:keepLines/>
              <w:contextualSpacing/>
              <w:rPr>
                <w:sz w:val="24"/>
                <w:szCs w:val="24"/>
              </w:rPr>
            </w:pPr>
            <w:r w:rsidRPr="00F30BA1">
              <w:rPr>
                <w:sz w:val="24"/>
                <w:szCs w:val="24"/>
              </w:rPr>
              <w:t>LGC10</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1734566" w14:textId="77777777">
            <w:pPr>
              <w:keepNext/>
              <w:keepLines/>
              <w:contextualSpacing/>
              <w:jc w:val="right"/>
              <w:rPr>
                <w:sz w:val="24"/>
                <w:szCs w:val="24"/>
              </w:rPr>
            </w:pPr>
            <w:r w:rsidRPr="00207D60">
              <w:rPr>
                <w:sz w:val="24"/>
                <w:szCs w:val="24"/>
              </w:rPr>
              <w:t>--</w:t>
            </w:r>
          </w:p>
        </w:tc>
        <w:tc>
          <w:tcPr>
            <w:tcW w:w="643"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E3A1326" w14:textId="77777777">
            <w:pPr>
              <w:keepNext/>
              <w:keepLines/>
              <w:contextualSpacing/>
              <w:jc w:val="right"/>
              <w:rPr>
                <w:sz w:val="24"/>
                <w:szCs w:val="24"/>
              </w:rPr>
            </w:pPr>
            <w:r w:rsidRPr="00207D60">
              <w:rPr>
                <w:sz w:val="24"/>
                <w:szCs w:val="24"/>
              </w:rPr>
              <w:t>--</w:t>
            </w: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4FD8260" w14:textId="77777777">
            <w:pPr>
              <w:keepNext/>
              <w:keepLines/>
              <w:contextualSpacing/>
              <w:jc w:val="right"/>
              <w:rPr>
                <w:sz w:val="24"/>
                <w:szCs w:val="24"/>
              </w:rPr>
            </w:pPr>
            <w:r w:rsidRPr="00207D60">
              <w:rPr>
                <w:sz w:val="24"/>
                <w:szCs w:val="24"/>
              </w:rPr>
              <w:t>--</w:t>
            </w:r>
          </w:p>
        </w:tc>
        <w:tc>
          <w:tcPr>
            <w:tcW w:w="76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207D60" w:rsidR="00207D60" w:rsidP="00997EB3" w:rsidRDefault="00207D60" w14:paraId="3C7F9A75" w14:textId="77777777">
            <w:pPr>
              <w:keepNext/>
              <w:keepLines/>
              <w:contextualSpacing/>
              <w:jc w:val="right"/>
              <w:rPr>
                <w:sz w:val="24"/>
                <w:szCs w:val="24"/>
              </w:rPr>
            </w:pPr>
            <w:r w:rsidRPr="00207D60">
              <w:rPr>
                <w:sz w:val="24"/>
                <w:szCs w:val="24"/>
              </w:rPr>
              <w:t>--</w:t>
            </w: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6553E78" w14:textId="77777777">
            <w:pPr>
              <w:keepNext/>
              <w:keepLines/>
              <w:contextualSpacing/>
              <w:jc w:val="right"/>
              <w:rPr>
                <w:sz w:val="24"/>
                <w:szCs w:val="24"/>
              </w:rPr>
            </w:pPr>
            <w:r w:rsidRPr="00207D60">
              <w:rPr>
                <w:sz w:val="24"/>
                <w:szCs w:val="24"/>
              </w:rPr>
              <w:t>--</w:t>
            </w:r>
          </w:p>
        </w:tc>
        <w:tc>
          <w:tcPr>
            <w:tcW w:w="1469"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0F4A2B68" w14:textId="4DFC8296">
            <w:pPr>
              <w:jc w:val="right"/>
              <w:rPr>
                <w:color w:val="000000"/>
                <w:sz w:val="24"/>
                <w:szCs w:val="24"/>
              </w:rPr>
            </w:pPr>
          </w:p>
        </w:tc>
      </w:tr>
      <w:tr w:rsidRPr="00F30BA1" w:rsidR="00207D60" w:rsidTr="00997EB3" w14:paraId="6051AA6E" w14:textId="77777777">
        <w:tc>
          <w:tcPr>
            <w:tcW w:w="1928" w:type="dxa"/>
            <w:tcBorders>
              <w:top w:val="single" w:color="000000" w:sz="6" w:space="0"/>
              <w:left w:val="single" w:color="000000" w:sz="6" w:space="0"/>
              <w:bottom w:val="single" w:color="000000" w:sz="6" w:space="0"/>
              <w:right w:val="single" w:color="000000" w:sz="6" w:space="0"/>
            </w:tcBorders>
          </w:tcPr>
          <w:p w:rsidRPr="00F30BA1" w:rsidR="00207D60" w:rsidP="00207D60" w:rsidRDefault="00207D60" w14:paraId="0139261E" w14:textId="77777777">
            <w:pPr>
              <w:contextualSpacing/>
              <w:jc w:val="center"/>
              <w:rPr>
                <w:b/>
                <w:sz w:val="24"/>
                <w:szCs w:val="24"/>
              </w:rPr>
            </w:pPr>
            <w:bookmarkStart w:name="_Hlk95153745" w:id="1"/>
          </w:p>
        </w:tc>
        <w:tc>
          <w:tcPr>
            <w:tcW w:w="918" w:type="dxa"/>
            <w:tcBorders>
              <w:top w:val="single" w:color="000000" w:sz="6" w:space="0"/>
              <w:left w:val="single" w:color="000000" w:sz="6" w:space="0"/>
              <w:bottom w:val="single" w:color="000000" w:sz="6" w:space="0"/>
              <w:right w:val="single" w:color="000000" w:sz="6" w:space="0"/>
            </w:tcBorders>
            <w:vAlign w:val="center"/>
          </w:tcPr>
          <w:p w:rsidRPr="00F30BA1" w:rsidR="00207D60" w:rsidP="00207D60" w:rsidRDefault="00207D60" w14:paraId="0877EACC" w14:textId="77777777">
            <w:pPr>
              <w:contextualSpacing/>
              <w:rPr>
                <w:b/>
                <w:sz w:val="24"/>
                <w:szCs w:val="24"/>
              </w:rPr>
            </w:pPr>
            <w:r w:rsidRPr="00F30BA1">
              <w:rPr>
                <w:b/>
                <w:sz w:val="24"/>
                <w:szCs w:val="24"/>
              </w:rPr>
              <w:t>Totals</w:t>
            </w:r>
          </w:p>
        </w:tc>
        <w:tc>
          <w:tcPr>
            <w:tcW w:w="1101" w:type="dxa"/>
            <w:tcBorders>
              <w:top w:val="single" w:color="000000" w:sz="6" w:space="0"/>
              <w:left w:val="single" w:color="000000" w:sz="6" w:space="0"/>
              <w:bottom w:val="single" w:color="000000" w:sz="6" w:space="0"/>
              <w:right w:val="single" w:color="000000" w:sz="6" w:space="0"/>
            </w:tcBorders>
            <w:shd w:val="clear" w:color="auto" w:fill="CCCCCC"/>
            <w:vAlign w:val="center"/>
          </w:tcPr>
          <w:p w:rsidRPr="00F30BA1" w:rsidR="00207D60" w:rsidP="00207D60" w:rsidRDefault="00207D60" w14:paraId="7B7759CA" w14:textId="77777777">
            <w:pPr>
              <w:contextualSpacing/>
              <w:jc w:val="center"/>
              <w:rPr>
                <w:b/>
                <w:sz w:val="24"/>
                <w:szCs w:val="24"/>
              </w:rPr>
            </w:pPr>
          </w:p>
          <w:p w:rsidRPr="00F30BA1" w:rsidR="00207D60" w:rsidP="00207D60" w:rsidRDefault="00207D60" w14:paraId="2CBCA33E" w14:textId="77777777">
            <w:pPr>
              <w:contextualSpacing/>
              <w:jc w:val="center"/>
              <w:rPr>
                <w:b/>
                <w:sz w:val="24"/>
                <w:szCs w:val="24"/>
              </w:rPr>
            </w:pP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5BCF3F57" w14:textId="3DAF6C77">
            <w:pPr>
              <w:contextualSpacing/>
              <w:jc w:val="right"/>
              <w:rPr>
                <w:b/>
                <w:sz w:val="24"/>
                <w:szCs w:val="24"/>
              </w:rPr>
            </w:pPr>
            <w:r w:rsidRPr="00207D60">
              <w:rPr>
                <w:b/>
                <w:sz w:val="24"/>
                <w:szCs w:val="24"/>
              </w:rPr>
              <w:t>632</w:t>
            </w:r>
          </w:p>
        </w:tc>
        <w:tc>
          <w:tcPr>
            <w:tcW w:w="643" w:type="dxa"/>
            <w:tcBorders>
              <w:top w:val="single" w:color="000000" w:sz="6" w:space="0"/>
              <w:left w:val="single" w:color="000000" w:sz="6" w:space="0"/>
              <w:bottom w:val="single" w:color="000000" w:sz="6" w:space="0"/>
              <w:right w:val="single" w:color="000000" w:sz="6" w:space="0"/>
            </w:tcBorders>
            <w:shd w:val="clear" w:color="auto" w:fill="CCCCCC"/>
            <w:vAlign w:val="center"/>
          </w:tcPr>
          <w:p w:rsidRPr="00207D60" w:rsidR="00207D60" w:rsidP="00997EB3" w:rsidRDefault="00207D60" w14:paraId="38BDC0D3" w14:textId="77777777">
            <w:pPr>
              <w:contextualSpacing/>
              <w:jc w:val="right"/>
              <w:rPr>
                <w:b/>
                <w:sz w:val="24"/>
                <w:szCs w:val="24"/>
              </w:rPr>
            </w:pPr>
          </w:p>
        </w:tc>
        <w:tc>
          <w:tcPr>
            <w:tcW w:w="826"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629B3EC9" w14:textId="77777777">
            <w:pPr>
              <w:contextualSpacing/>
              <w:jc w:val="right"/>
              <w:rPr>
                <w:b/>
                <w:sz w:val="24"/>
                <w:szCs w:val="24"/>
              </w:rPr>
            </w:pPr>
            <w:r w:rsidRPr="00207D60">
              <w:rPr>
                <w:b/>
                <w:sz w:val="24"/>
                <w:szCs w:val="24"/>
              </w:rPr>
              <w:t>1,377</w:t>
            </w:r>
          </w:p>
        </w:tc>
        <w:tc>
          <w:tcPr>
            <w:tcW w:w="760"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78C48094" w14:textId="77777777">
            <w:pPr>
              <w:contextualSpacing/>
              <w:jc w:val="right"/>
              <w:rPr>
                <w:b/>
                <w:sz w:val="24"/>
                <w:szCs w:val="24"/>
              </w:rPr>
            </w:pPr>
          </w:p>
        </w:tc>
        <w:tc>
          <w:tcPr>
            <w:tcW w:w="918" w:type="dxa"/>
            <w:tcBorders>
              <w:top w:val="single" w:color="000000" w:sz="6" w:space="0"/>
              <w:left w:val="single" w:color="000000" w:sz="6" w:space="0"/>
              <w:bottom w:val="single" w:color="000000" w:sz="6" w:space="0"/>
              <w:right w:val="single" w:color="000000" w:sz="6" w:space="0"/>
            </w:tcBorders>
            <w:vAlign w:val="center"/>
          </w:tcPr>
          <w:p w:rsidRPr="00207D60" w:rsidR="00207D60" w:rsidP="00997EB3" w:rsidRDefault="00207D60" w14:paraId="2585AC9F" w14:textId="77777777">
            <w:pPr>
              <w:contextualSpacing/>
              <w:jc w:val="right"/>
              <w:rPr>
                <w:b/>
                <w:sz w:val="24"/>
                <w:szCs w:val="24"/>
              </w:rPr>
            </w:pPr>
            <w:r w:rsidRPr="00207D60">
              <w:rPr>
                <w:b/>
                <w:sz w:val="24"/>
                <w:szCs w:val="24"/>
              </w:rPr>
              <w:t>2,654</w:t>
            </w:r>
          </w:p>
        </w:tc>
        <w:tc>
          <w:tcPr>
            <w:tcW w:w="1469" w:type="dxa"/>
            <w:tcBorders>
              <w:top w:val="single" w:color="000000" w:sz="6" w:space="0"/>
              <w:left w:val="single" w:color="000000" w:sz="6" w:space="0"/>
              <w:bottom w:val="single" w:color="000000" w:sz="6" w:space="0"/>
              <w:right w:val="single" w:color="000000" w:sz="6" w:space="0"/>
            </w:tcBorders>
            <w:vAlign w:val="center"/>
          </w:tcPr>
          <w:p w:rsidRPr="00997EB3" w:rsidR="00207D60" w:rsidP="00997EB3" w:rsidRDefault="00207D60" w14:paraId="143C172C" w14:textId="44EB93E5">
            <w:pPr>
              <w:contextualSpacing/>
              <w:jc w:val="right"/>
              <w:rPr>
                <w:b/>
                <w:bCs/>
                <w:sz w:val="24"/>
                <w:szCs w:val="24"/>
              </w:rPr>
            </w:pPr>
            <w:r w:rsidRPr="00997EB3">
              <w:rPr>
                <w:b/>
                <w:bCs/>
                <w:sz w:val="24"/>
                <w:szCs w:val="24"/>
              </w:rPr>
              <w:t xml:space="preserve">$199,183 </w:t>
            </w:r>
          </w:p>
        </w:tc>
      </w:tr>
      <w:bookmarkEnd w:id="1"/>
    </w:tbl>
    <w:p w:rsidRPr="00F30BA1" w:rsidR="00D510C5" w:rsidP="00D510C5" w:rsidRDefault="00D510C5" w14:paraId="380427B0" w14:textId="77777777">
      <w:pPr>
        <w:spacing w:line="231" w:lineRule="auto"/>
        <w:rPr>
          <w:b/>
          <w:bCs/>
          <w:color w:val="000000"/>
          <w:sz w:val="24"/>
          <w:szCs w:val="24"/>
        </w:rPr>
      </w:pPr>
    </w:p>
    <w:p w:rsidRPr="00F30BA1" w:rsidR="00D510C5" w:rsidP="00D510C5" w:rsidRDefault="00D510C5" w14:paraId="6BE046A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BA1" w:rsidR="00D510C5" w:rsidP="00D510C5" w:rsidRDefault="00D510C5" w14:paraId="16034598" w14:textId="36E6379C">
      <w:pPr>
        <w:widowControl/>
        <w:rPr>
          <w:i/>
          <w:sz w:val="24"/>
          <w:szCs w:val="24"/>
        </w:rPr>
      </w:pPr>
    </w:p>
    <w:p w:rsidRPr="00E504F9" w:rsidR="00D510C5" w:rsidP="004763FD" w:rsidRDefault="00D510C5" w14:paraId="1E400C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012FA5" w:rsidP="00012FA5" w:rsidRDefault="00012FA5" w14:paraId="1A1997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Provide an estimate of the total annual non-hour cost burden to respondents or recordkeepers resulting from the collection of information.  (Do not include the cost of any hour burden already reflected in item 12.)</w:t>
      </w:r>
    </w:p>
    <w:p w:rsidRPr="00B665EB" w:rsidR="00012FA5" w:rsidP="00012FA5" w:rsidRDefault="00012FA5" w14:paraId="62E60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665EB" w:rsidR="00012FA5" w:rsidP="00012FA5" w:rsidRDefault="00012FA5" w14:paraId="2CD40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45D69" w:rsidR="00012FA5" w:rsidP="00012FA5" w:rsidRDefault="00012FA5" w14:paraId="5C265A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P="00012FA5" w:rsidRDefault="00012FA5" w14:paraId="466002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BA1" w:rsidR="00D510C5" w:rsidP="00D510C5" w:rsidRDefault="00D510C5" w14:paraId="6C42CD93" w14:textId="77777777">
      <w:pPr>
        <w:spacing w:line="231" w:lineRule="auto"/>
        <w:rPr>
          <w:color w:val="000000"/>
          <w:sz w:val="24"/>
          <w:szCs w:val="24"/>
        </w:rPr>
      </w:pPr>
      <w:r w:rsidRPr="00F30BA1">
        <w:rPr>
          <w:color w:val="000000"/>
          <w:sz w:val="24"/>
          <w:szCs w:val="24"/>
        </w:rPr>
        <w:t xml:space="preserve">No separate capital and </w:t>
      </w:r>
      <w:proofErr w:type="spellStart"/>
      <w:r w:rsidRPr="00F30BA1">
        <w:rPr>
          <w:color w:val="000000"/>
          <w:sz w:val="24"/>
          <w:szCs w:val="24"/>
        </w:rPr>
        <w:t>start up</w:t>
      </w:r>
      <w:proofErr w:type="spellEnd"/>
      <w:r w:rsidRPr="00F30BA1">
        <w:rPr>
          <w:color w:val="000000"/>
          <w:sz w:val="24"/>
          <w:szCs w:val="24"/>
        </w:rPr>
        <w:t xml:space="preserve"> costs are required because the information is fundamentally the same sort that lenders collect and maintain whether or not they use the Program.  Program information is gathered, stored, and processed using the same kinds of equipment lenders already possess.  DOI supplies the forms if lenders wish to use them.  No special personnel or expertise is required to meet the Program information collection and storage requirements; lender personnel simply meet Program requirements in the ordinary course of their daily work.</w:t>
      </w:r>
    </w:p>
    <w:p w:rsidR="00B1793E" w:rsidP="00012FA5" w:rsidRDefault="00B1793E" w14:paraId="59D584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P="00012FA5" w:rsidRDefault="00012FA5" w14:paraId="6F4625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10C5" w:rsidP="00012FA5" w:rsidRDefault="00D510C5" w14:paraId="711AC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809C8" w:rsidR="009809C8" w:rsidP="009809C8" w:rsidRDefault="00D510C5" w14:paraId="3DB483F7" w14:textId="700DBEF0">
      <w:pPr>
        <w:widowControl/>
        <w:autoSpaceDE/>
        <w:autoSpaceDN/>
        <w:adjustRightInd/>
        <w:rPr>
          <w:sz w:val="24"/>
          <w:szCs w:val="24"/>
          <w:vertAlign w:val="superscript"/>
        </w:rPr>
      </w:pPr>
      <w:r w:rsidRPr="00F30BA1">
        <w:rPr>
          <w:color w:val="000000"/>
          <w:sz w:val="24"/>
          <w:szCs w:val="24"/>
        </w:rPr>
        <w:t xml:space="preserve">The estimated annual cost to the government for salaries and supplies relating to processing loan guarantee, insurance, and interest subsidy forms is </w:t>
      </w:r>
      <w:r w:rsidRPr="004063C8" w:rsidR="004063C8">
        <w:rPr>
          <w:b/>
          <w:color w:val="000000"/>
          <w:sz w:val="24"/>
          <w:szCs w:val="24"/>
        </w:rPr>
        <w:t>$46,965</w:t>
      </w:r>
      <w:r w:rsidR="004063C8">
        <w:rPr>
          <w:b/>
          <w:color w:val="000000"/>
          <w:sz w:val="24"/>
          <w:szCs w:val="24"/>
        </w:rPr>
        <w:t>.</w:t>
      </w:r>
      <w:r w:rsidRPr="009809C8" w:rsidR="009809C8">
        <w:rPr>
          <w:sz w:val="24"/>
          <w:szCs w:val="24"/>
          <w:vertAlign w:val="superscript"/>
        </w:rPr>
        <w:t xml:space="preserve"> </w:t>
      </w:r>
      <w:r w:rsidR="009809C8">
        <w:rPr>
          <w:sz w:val="24"/>
          <w:szCs w:val="24"/>
          <w:vertAlign w:val="superscript"/>
        </w:rPr>
        <w:t xml:space="preserve"> </w:t>
      </w:r>
      <w:r w:rsidRPr="00F30BA1" w:rsidR="009809C8">
        <w:rPr>
          <w:sz w:val="24"/>
          <w:szCs w:val="24"/>
        </w:rPr>
        <w:t xml:space="preserve">The current estimated annual cost to the government has been calculated by using the </w:t>
      </w:r>
      <w:r w:rsidR="009809C8">
        <w:rPr>
          <w:sz w:val="24"/>
          <w:szCs w:val="24"/>
        </w:rPr>
        <w:t xml:space="preserve">hourly rate provided by the </w:t>
      </w:r>
      <w:hyperlink w:history="1" r:id="rId16">
        <w:r w:rsidRPr="00970B48" w:rsidR="009809C8">
          <w:rPr>
            <w:rStyle w:val="Hyperlink"/>
            <w:sz w:val="24"/>
            <w:szCs w:val="24"/>
          </w:rPr>
          <w:t xml:space="preserve">2022 General </w:t>
        </w:r>
        <w:r w:rsidRPr="00970B48" w:rsidR="009809C8">
          <w:rPr>
            <w:rStyle w:val="Hyperlink"/>
            <w:sz w:val="24"/>
            <w:szCs w:val="24"/>
          </w:rPr>
          <w:lastRenderedPageBreak/>
          <w:t>Schedule DC-MD-VA-WV-PA</w:t>
        </w:r>
      </w:hyperlink>
      <w:r w:rsidR="009809C8">
        <w:rPr>
          <w:sz w:val="24"/>
          <w:szCs w:val="24"/>
        </w:rPr>
        <w:t xml:space="preserve"> Hourly</w:t>
      </w:r>
      <w:r w:rsidRPr="00F30BA1" w:rsidR="009809C8">
        <w:rPr>
          <w:sz w:val="24"/>
          <w:szCs w:val="24"/>
        </w:rPr>
        <w:t xml:space="preserve"> Rates by Grade and Step GS </w:t>
      </w:r>
      <w:r w:rsidR="009809C8">
        <w:rPr>
          <w:sz w:val="24"/>
          <w:szCs w:val="24"/>
        </w:rPr>
        <w:t>10, Step 1 ($</w:t>
      </w:r>
      <w:r w:rsidRPr="007B0F2F" w:rsidR="009809C8">
        <w:rPr>
          <w:sz w:val="24"/>
          <w:szCs w:val="24"/>
        </w:rPr>
        <w:t>3</w:t>
      </w:r>
      <w:r w:rsidR="009809C8">
        <w:rPr>
          <w:sz w:val="24"/>
          <w:szCs w:val="24"/>
        </w:rPr>
        <w:t>2</w:t>
      </w:r>
      <w:r w:rsidRPr="007B0F2F" w:rsidR="009809C8">
        <w:rPr>
          <w:sz w:val="24"/>
          <w:szCs w:val="24"/>
        </w:rPr>
        <w:t>.</w:t>
      </w:r>
      <w:r w:rsidR="009809C8">
        <w:rPr>
          <w:sz w:val="24"/>
          <w:szCs w:val="24"/>
        </w:rPr>
        <w:t>69</w:t>
      </w:r>
      <w:r w:rsidRPr="00F30BA1" w:rsidR="009809C8">
        <w:rPr>
          <w:sz w:val="24"/>
          <w:szCs w:val="24"/>
        </w:rPr>
        <w:t>), and a multiplier of 1.</w:t>
      </w:r>
      <w:r w:rsidR="009809C8">
        <w:rPr>
          <w:sz w:val="24"/>
          <w:szCs w:val="24"/>
        </w:rPr>
        <w:t>6</w:t>
      </w:r>
      <w:r w:rsidRPr="00F30BA1" w:rsidR="009809C8">
        <w:rPr>
          <w:sz w:val="24"/>
          <w:szCs w:val="24"/>
        </w:rPr>
        <w:t xml:space="preserve"> for benefits for a total of </w:t>
      </w:r>
      <w:r w:rsidRPr="00F30BA1" w:rsidR="009809C8">
        <w:rPr>
          <w:b/>
          <w:sz w:val="24"/>
          <w:szCs w:val="24"/>
        </w:rPr>
        <w:t>$</w:t>
      </w:r>
      <w:r w:rsidRPr="007B0F2F" w:rsidR="009809C8">
        <w:rPr>
          <w:b/>
          <w:sz w:val="24"/>
          <w:szCs w:val="24"/>
        </w:rPr>
        <w:t>5</w:t>
      </w:r>
      <w:r w:rsidR="009809C8">
        <w:rPr>
          <w:b/>
          <w:sz w:val="24"/>
          <w:szCs w:val="24"/>
        </w:rPr>
        <w:t>2</w:t>
      </w:r>
      <w:r w:rsidRPr="007B0F2F" w:rsidR="009809C8">
        <w:rPr>
          <w:b/>
          <w:sz w:val="24"/>
          <w:szCs w:val="24"/>
        </w:rPr>
        <w:t>.</w:t>
      </w:r>
      <w:r w:rsidR="009809C8">
        <w:rPr>
          <w:b/>
          <w:sz w:val="24"/>
          <w:szCs w:val="24"/>
        </w:rPr>
        <w:t>30</w:t>
      </w:r>
      <w:r w:rsidRPr="00F30BA1" w:rsidR="009809C8">
        <w:rPr>
          <w:sz w:val="24"/>
          <w:szCs w:val="24"/>
        </w:rPr>
        <w:t xml:space="preserve">. </w:t>
      </w:r>
    </w:p>
    <w:p w:rsidR="00D46EBD" w:rsidP="00D510C5" w:rsidRDefault="00D46EBD" w14:paraId="0B638156" w14:textId="77777777">
      <w:pPr>
        <w:spacing w:line="231" w:lineRule="auto"/>
        <w:rPr>
          <w:b/>
          <w:color w:val="000000"/>
          <w:sz w:val="24"/>
          <w:szCs w:val="24"/>
        </w:rPr>
      </w:pPr>
    </w:p>
    <w:tbl>
      <w:tblPr>
        <w:tblW w:w="7740" w:type="dxa"/>
        <w:tblInd w:w="128" w:type="dxa"/>
        <w:tblLayout w:type="fixed"/>
        <w:tblCellMar>
          <w:left w:w="120" w:type="dxa"/>
          <w:right w:w="120" w:type="dxa"/>
        </w:tblCellMar>
        <w:tblLook w:val="0000" w:firstRow="0" w:lastRow="0" w:firstColumn="0" w:lastColumn="0" w:noHBand="0" w:noVBand="0"/>
      </w:tblPr>
      <w:tblGrid>
        <w:gridCol w:w="1890"/>
        <w:gridCol w:w="900"/>
        <w:gridCol w:w="1080"/>
        <w:gridCol w:w="810"/>
        <w:gridCol w:w="720"/>
        <w:gridCol w:w="944"/>
        <w:gridCol w:w="1396"/>
      </w:tblGrid>
      <w:tr w:rsidRPr="00F30BA1" w:rsidR="007C0D96" w:rsidTr="008A2272" w14:paraId="76DA0B13" w14:textId="77777777">
        <w:trPr>
          <w:cantSplit/>
          <w:trHeight w:val="1380"/>
        </w:trPr>
        <w:tc>
          <w:tcPr>
            <w:tcW w:w="1890" w:type="dxa"/>
            <w:tcBorders>
              <w:top w:val="single" w:color="000000" w:sz="6" w:space="0"/>
              <w:left w:val="single" w:color="000000" w:sz="6" w:space="0"/>
              <w:bottom w:val="single" w:color="000000" w:sz="6" w:space="0"/>
              <w:right w:val="single" w:color="000000" w:sz="6" w:space="0"/>
            </w:tcBorders>
            <w:shd w:val="pct10" w:color="000000" w:fill="FFFFFF"/>
            <w:vAlign w:val="center"/>
          </w:tcPr>
          <w:p w:rsidRPr="00D46EBD" w:rsidR="00AA171C" w:rsidP="00095CBF" w:rsidRDefault="00AA171C" w14:paraId="036583D5" w14:textId="77777777">
            <w:pPr>
              <w:contextualSpacing/>
              <w:rPr>
                <w:color w:val="000000"/>
                <w:sz w:val="22"/>
                <w:szCs w:val="22"/>
              </w:rPr>
            </w:pPr>
            <w:r w:rsidRPr="00D46EBD">
              <w:rPr>
                <w:color w:val="000000"/>
                <w:sz w:val="22"/>
                <w:szCs w:val="22"/>
              </w:rPr>
              <w:t>Description</w:t>
            </w:r>
          </w:p>
        </w:tc>
        <w:tc>
          <w:tcPr>
            <w:tcW w:w="900" w:type="dxa"/>
            <w:tcBorders>
              <w:top w:val="single" w:color="000000" w:sz="6" w:space="0"/>
              <w:left w:val="single" w:color="000000" w:sz="6" w:space="0"/>
              <w:bottom w:val="single" w:color="000000" w:sz="6" w:space="0"/>
              <w:right w:val="single" w:color="000000" w:sz="6" w:space="0"/>
            </w:tcBorders>
            <w:shd w:val="pct10" w:color="000000" w:fill="FFFFFF"/>
            <w:vAlign w:val="center"/>
          </w:tcPr>
          <w:p w:rsidRPr="00D46EBD" w:rsidR="00AA171C" w:rsidP="00095CBF" w:rsidRDefault="00AA171C" w14:paraId="687F2FB5" w14:textId="77777777">
            <w:pPr>
              <w:contextualSpacing/>
              <w:rPr>
                <w:color w:val="000000"/>
                <w:sz w:val="22"/>
                <w:szCs w:val="22"/>
              </w:rPr>
            </w:pPr>
            <w:r w:rsidRPr="00D46EBD">
              <w:rPr>
                <w:color w:val="000000"/>
                <w:sz w:val="22"/>
                <w:szCs w:val="22"/>
              </w:rPr>
              <w:t>CFR</w:t>
            </w:r>
          </w:p>
          <w:p w:rsidRPr="00D46EBD" w:rsidR="00AA171C" w:rsidP="00095CBF" w:rsidRDefault="00AA171C" w14:paraId="72562ED5" w14:textId="77777777">
            <w:pPr>
              <w:contextualSpacing/>
              <w:rPr>
                <w:color w:val="000000"/>
                <w:sz w:val="22"/>
                <w:szCs w:val="22"/>
              </w:rPr>
            </w:pPr>
            <w:r w:rsidRPr="00D46EBD">
              <w:rPr>
                <w:color w:val="000000"/>
                <w:sz w:val="22"/>
                <w:szCs w:val="22"/>
              </w:rPr>
              <w:t>§§</w:t>
            </w:r>
          </w:p>
        </w:tc>
        <w:tc>
          <w:tcPr>
            <w:tcW w:w="1080"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AA171C" w:rsidP="00095CBF" w:rsidRDefault="00AA171C" w14:paraId="6F4F99C9" w14:textId="77777777">
            <w:pPr>
              <w:ind w:left="144"/>
              <w:contextualSpacing/>
              <w:rPr>
                <w:color w:val="000000"/>
                <w:sz w:val="22"/>
                <w:szCs w:val="22"/>
              </w:rPr>
            </w:pPr>
          </w:p>
          <w:p w:rsidRPr="00D46EBD" w:rsidR="00AA171C" w:rsidP="00095CBF" w:rsidRDefault="00AA171C" w14:paraId="5BCBB053" w14:textId="77777777">
            <w:pPr>
              <w:ind w:left="144"/>
              <w:contextualSpacing/>
              <w:rPr>
                <w:color w:val="000000"/>
                <w:sz w:val="22"/>
                <w:szCs w:val="22"/>
              </w:rPr>
            </w:pPr>
            <w:r w:rsidRPr="00D46EBD">
              <w:rPr>
                <w:color w:val="000000"/>
                <w:sz w:val="22"/>
                <w:szCs w:val="22"/>
              </w:rPr>
              <w:t>IA</w:t>
            </w:r>
          </w:p>
          <w:p w:rsidRPr="00D46EBD" w:rsidR="00AA171C" w:rsidP="00095CBF" w:rsidRDefault="00AA171C" w14:paraId="3038472E" w14:textId="77777777">
            <w:pPr>
              <w:ind w:left="144"/>
              <w:contextualSpacing/>
              <w:rPr>
                <w:color w:val="000000"/>
                <w:sz w:val="22"/>
                <w:szCs w:val="22"/>
              </w:rPr>
            </w:pPr>
            <w:r w:rsidRPr="00D46EBD">
              <w:rPr>
                <w:color w:val="000000"/>
                <w:sz w:val="22"/>
                <w:szCs w:val="22"/>
              </w:rPr>
              <w:t>Forms</w:t>
            </w:r>
          </w:p>
        </w:tc>
        <w:tc>
          <w:tcPr>
            <w:tcW w:w="810"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AA171C" w:rsidP="00095CBF" w:rsidRDefault="00AA171C" w14:paraId="7A0F802E" w14:textId="77777777">
            <w:pPr>
              <w:ind w:left="144"/>
              <w:contextualSpacing/>
              <w:rPr>
                <w:color w:val="000000"/>
                <w:sz w:val="22"/>
                <w:szCs w:val="22"/>
              </w:rPr>
            </w:pPr>
            <w:r w:rsidRPr="00D46EBD">
              <w:rPr>
                <w:color w:val="000000"/>
                <w:sz w:val="22"/>
                <w:szCs w:val="22"/>
              </w:rPr>
              <w:t>Total Annual Responses</w:t>
            </w:r>
          </w:p>
        </w:tc>
        <w:tc>
          <w:tcPr>
            <w:tcW w:w="720"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AA171C" w:rsidP="00095CBF" w:rsidRDefault="00AA171C" w14:paraId="3FB56810" w14:textId="77777777">
            <w:pPr>
              <w:ind w:left="144"/>
              <w:contextualSpacing/>
              <w:rPr>
                <w:color w:val="000000"/>
                <w:sz w:val="22"/>
                <w:szCs w:val="22"/>
              </w:rPr>
            </w:pPr>
            <w:r w:rsidRPr="00D46EBD">
              <w:rPr>
                <w:color w:val="000000"/>
                <w:sz w:val="22"/>
                <w:szCs w:val="22"/>
              </w:rPr>
              <w:t>Hour Burden per Response</w:t>
            </w:r>
          </w:p>
        </w:tc>
        <w:tc>
          <w:tcPr>
            <w:tcW w:w="944"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AA171C" w:rsidP="00095CBF" w:rsidRDefault="00AA171C" w14:paraId="2D65F153" w14:textId="77777777">
            <w:pPr>
              <w:ind w:left="144"/>
              <w:contextualSpacing/>
              <w:rPr>
                <w:color w:val="000000"/>
                <w:sz w:val="22"/>
                <w:szCs w:val="22"/>
              </w:rPr>
            </w:pPr>
            <w:r w:rsidRPr="00D46EBD">
              <w:rPr>
                <w:color w:val="000000"/>
                <w:sz w:val="22"/>
                <w:szCs w:val="22"/>
              </w:rPr>
              <w:t>Annual Burden Hours</w:t>
            </w:r>
          </w:p>
        </w:tc>
        <w:tc>
          <w:tcPr>
            <w:tcW w:w="1396" w:type="dxa"/>
            <w:tcBorders>
              <w:top w:val="single" w:color="000000" w:sz="6" w:space="0"/>
              <w:left w:val="single" w:color="000000" w:sz="6" w:space="0"/>
              <w:bottom w:val="single" w:color="000000" w:sz="6" w:space="0"/>
              <w:right w:val="single" w:color="000000" w:sz="6" w:space="0"/>
            </w:tcBorders>
            <w:shd w:val="pct10" w:color="000000" w:fill="FFFFFF"/>
            <w:textDirection w:val="btLr"/>
            <w:vAlign w:val="center"/>
          </w:tcPr>
          <w:p w:rsidRPr="00D46EBD" w:rsidR="00AA171C" w:rsidP="00095CBF" w:rsidRDefault="00AA171C" w14:paraId="3AE7C9E1" w14:textId="77777777">
            <w:pPr>
              <w:ind w:left="144"/>
              <w:contextualSpacing/>
              <w:rPr>
                <w:color w:val="000000"/>
                <w:sz w:val="22"/>
                <w:szCs w:val="22"/>
              </w:rPr>
            </w:pPr>
          </w:p>
          <w:p w:rsidRPr="00D46EBD" w:rsidR="00AA171C" w:rsidP="00751EB7" w:rsidRDefault="00AA171C" w14:paraId="69389693" w14:textId="5A62FF09">
            <w:pPr>
              <w:ind w:left="144"/>
              <w:contextualSpacing/>
              <w:rPr>
                <w:color w:val="000000"/>
                <w:sz w:val="22"/>
                <w:szCs w:val="22"/>
              </w:rPr>
            </w:pPr>
            <w:r w:rsidRPr="00D46EBD">
              <w:rPr>
                <w:color w:val="000000"/>
                <w:sz w:val="22"/>
                <w:szCs w:val="22"/>
              </w:rPr>
              <w:t>Federal Salary Cost</w:t>
            </w:r>
          </w:p>
        </w:tc>
      </w:tr>
      <w:tr w:rsidRPr="00F30BA1" w:rsidR="00D730A5" w:rsidTr="00D730A5" w14:paraId="06436474" w14:textId="77777777">
        <w:tc>
          <w:tcPr>
            <w:tcW w:w="1890" w:type="dxa"/>
            <w:vMerge w:val="restart"/>
            <w:tcBorders>
              <w:top w:val="single" w:color="000000" w:sz="6" w:space="0"/>
              <w:left w:val="single" w:color="000000" w:sz="6" w:space="0"/>
              <w:right w:val="single" w:color="000000" w:sz="6" w:space="0"/>
            </w:tcBorders>
          </w:tcPr>
          <w:p w:rsidRPr="00F30BA1" w:rsidR="00D730A5" w:rsidP="00D730A5" w:rsidRDefault="00D730A5" w14:paraId="25E7CC7E" w14:textId="328619A7">
            <w:pPr>
              <w:keepNext/>
              <w:keepLines/>
              <w:contextualSpacing/>
              <w:rPr>
                <w:sz w:val="24"/>
                <w:szCs w:val="24"/>
              </w:rPr>
            </w:pPr>
            <w:proofErr w:type="spellStart"/>
            <w:r>
              <w:rPr>
                <w:sz w:val="24"/>
                <w:szCs w:val="24"/>
              </w:rPr>
              <w:t>Program</w:t>
            </w:r>
            <w:r w:rsidRPr="00F30BA1">
              <w:rPr>
                <w:sz w:val="24"/>
                <w:szCs w:val="24"/>
              </w:rPr>
              <w:t>ement</w:t>
            </w:r>
            <w:proofErr w:type="spellEnd"/>
          </w:p>
        </w:tc>
        <w:tc>
          <w:tcPr>
            <w:tcW w:w="900" w:type="dxa"/>
            <w:vMerge w:val="restart"/>
            <w:tcBorders>
              <w:top w:val="single" w:color="000000" w:sz="6" w:space="0"/>
              <w:left w:val="single" w:color="000000" w:sz="6" w:space="0"/>
              <w:right w:val="single" w:color="000000" w:sz="6" w:space="0"/>
            </w:tcBorders>
            <w:vAlign w:val="center"/>
          </w:tcPr>
          <w:p w:rsidRPr="00F30BA1" w:rsidR="00D730A5" w:rsidP="00D730A5" w:rsidRDefault="00D730A5" w14:paraId="489CC987" w14:textId="77777777">
            <w:pPr>
              <w:keepNext/>
              <w:keepLines/>
              <w:contextualSpacing/>
              <w:rPr>
                <w:sz w:val="24"/>
                <w:szCs w:val="24"/>
              </w:rPr>
            </w:pPr>
            <w:r w:rsidRPr="00F30BA1">
              <w:rPr>
                <w:sz w:val="24"/>
                <w:szCs w:val="24"/>
              </w:rPr>
              <w:t>103.11</w:t>
            </w:r>
          </w:p>
          <w:p w:rsidRPr="00F30BA1" w:rsidR="00D730A5" w:rsidP="00D730A5" w:rsidRDefault="00D730A5" w14:paraId="41EC0C05" w14:textId="77777777">
            <w:pPr>
              <w:keepNext/>
              <w:keepLines/>
              <w:contextualSpacing/>
              <w:rPr>
                <w:sz w:val="24"/>
                <w:szCs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795FCB4" w14:textId="77777777">
            <w:pPr>
              <w:keepNext/>
              <w:keepLines/>
              <w:contextualSpacing/>
              <w:rPr>
                <w:sz w:val="24"/>
                <w:szCs w:val="24"/>
              </w:rPr>
            </w:pPr>
            <w:r w:rsidRPr="00F30BA1">
              <w:rPr>
                <w:sz w:val="24"/>
                <w:szCs w:val="24"/>
              </w:rPr>
              <w:t>LGA10</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700C338B" w14:textId="77777777">
            <w:pPr>
              <w:keepNext/>
              <w:keepLines/>
              <w:contextualSpacing/>
              <w:jc w:val="right"/>
              <w:rPr>
                <w:sz w:val="24"/>
                <w:szCs w:val="24"/>
              </w:rPr>
            </w:pPr>
            <w:r w:rsidRPr="00F30BA1">
              <w:rPr>
                <w:sz w:val="24"/>
                <w:szCs w:val="24"/>
              </w:rPr>
              <w:t>20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1F225781" w14:textId="77777777">
            <w:pPr>
              <w:keepNext/>
              <w:keepLines/>
              <w:contextualSpacing/>
              <w:jc w:val="right"/>
              <w:rPr>
                <w:sz w:val="24"/>
                <w:szCs w:val="24"/>
              </w:rPr>
            </w:pPr>
            <w:r w:rsidRPr="00F30BA1">
              <w:rPr>
                <w:sz w:val="24"/>
                <w:szCs w:val="24"/>
              </w:rPr>
              <w:t>0.5</w:t>
            </w: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0383BB05" w14:textId="77777777">
            <w:pPr>
              <w:keepNext/>
              <w:keepLines/>
              <w:contextualSpacing/>
              <w:jc w:val="right"/>
              <w:rPr>
                <w:sz w:val="24"/>
                <w:szCs w:val="24"/>
              </w:rPr>
            </w:pPr>
            <w:r w:rsidRPr="00F30BA1">
              <w:rPr>
                <w:sz w:val="24"/>
                <w:szCs w:val="24"/>
              </w:rPr>
              <w:t>10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6FAA6968" w14:textId="4747B8DF">
            <w:pPr>
              <w:jc w:val="right"/>
              <w:rPr>
                <w:color w:val="000000"/>
                <w:sz w:val="22"/>
                <w:szCs w:val="22"/>
              </w:rPr>
            </w:pPr>
            <w:r w:rsidRPr="00D730A5">
              <w:rPr>
                <w:sz w:val="22"/>
                <w:szCs w:val="22"/>
              </w:rPr>
              <w:t>$523</w:t>
            </w:r>
          </w:p>
        </w:tc>
      </w:tr>
      <w:tr w:rsidRPr="00F30BA1" w:rsidR="00D730A5" w:rsidTr="00D730A5" w14:paraId="0EDC687A" w14:textId="77777777">
        <w:trPr>
          <w:trHeight w:val="327"/>
        </w:trPr>
        <w:tc>
          <w:tcPr>
            <w:tcW w:w="1890" w:type="dxa"/>
            <w:vMerge/>
            <w:tcBorders>
              <w:left w:val="single" w:color="000000" w:sz="6" w:space="0"/>
              <w:bottom w:val="single" w:color="000000" w:sz="6" w:space="0"/>
              <w:right w:val="single" w:color="000000" w:sz="6" w:space="0"/>
            </w:tcBorders>
          </w:tcPr>
          <w:p w:rsidRPr="00F30BA1" w:rsidR="00D730A5" w:rsidP="00D730A5" w:rsidRDefault="00D730A5" w14:paraId="62716246" w14:textId="77777777">
            <w:pPr>
              <w:contextualSpacing/>
              <w:jc w:val="center"/>
              <w:rPr>
                <w:sz w:val="24"/>
                <w:szCs w:val="24"/>
              </w:rPr>
            </w:pPr>
          </w:p>
        </w:tc>
        <w:tc>
          <w:tcPr>
            <w:tcW w:w="900" w:type="dxa"/>
            <w:vMerge/>
            <w:tcBorders>
              <w:left w:val="single" w:color="000000" w:sz="6" w:space="0"/>
              <w:bottom w:val="single" w:color="000000" w:sz="6" w:space="0"/>
              <w:right w:val="single" w:color="000000" w:sz="6" w:space="0"/>
            </w:tcBorders>
            <w:vAlign w:val="center"/>
          </w:tcPr>
          <w:p w:rsidRPr="00F30BA1" w:rsidR="00D730A5" w:rsidP="00D730A5" w:rsidRDefault="00D730A5" w14:paraId="32D3F0BF" w14:textId="77777777">
            <w:pPr>
              <w:contextualSpacing/>
              <w:jc w:val="center"/>
              <w:rPr>
                <w:sz w:val="24"/>
                <w:szCs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7C796A6" w14:textId="77777777">
            <w:pPr>
              <w:contextualSpacing/>
              <w:jc w:val="center"/>
              <w:rPr>
                <w:sz w:val="24"/>
                <w:szCs w:val="24"/>
              </w:rPr>
            </w:pPr>
            <w:r w:rsidRPr="00F30BA1">
              <w:rPr>
                <w:sz w:val="24"/>
                <w:szCs w:val="24"/>
              </w:rPr>
              <w:t>LIA10</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0EEB07D1" w14:textId="77777777">
            <w:pPr>
              <w:contextualSpacing/>
              <w:jc w:val="right"/>
              <w:rPr>
                <w:sz w:val="24"/>
                <w:szCs w:val="24"/>
              </w:rPr>
            </w:pPr>
            <w:r w:rsidRPr="00F30BA1">
              <w:rPr>
                <w:sz w:val="24"/>
                <w:szCs w:val="24"/>
              </w:rPr>
              <w:t>10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6997A887"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7A292772" w14:textId="77777777">
            <w:pPr>
              <w:contextualSpacing/>
              <w:jc w:val="right"/>
              <w:rPr>
                <w:sz w:val="24"/>
                <w:szCs w:val="24"/>
              </w:rPr>
            </w:pPr>
            <w:r w:rsidRPr="00F30BA1">
              <w:rPr>
                <w:sz w:val="24"/>
                <w:szCs w:val="24"/>
              </w:rPr>
              <w:t>10</w:t>
            </w:r>
          </w:p>
        </w:tc>
        <w:tc>
          <w:tcPr>
            <w:tcW w:w="1396"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D730A5" w:rsidR="00D730A5" w:rsidP="00D730A5" w:rsidRDefault="00D730A5" w14:paraId="17DB298B" w14:textId="0958BE99">
            <w:pPr>
              <w:jc w:val="right"/>
              <w:rPr>
                <w:color w:val="000000"/>
                <w:sz w:val="22"/>
                <w:szCs w:val="22"/>
              </w:rPr>
            </w:pPr>
            <w:r w:rsidRPr="00D730A5">
              <w:rPr>
                <w:sz w:val="22"/>
                <w:szCs w:val="22"/>
              </w:rPr>
              <w:t>$523</w:t>
            </w:r>
          </w:p>
        </w:tc>
      </w:tr>
      <w:tr w:rsidRPr="00F30BA1" w:rsidR="00D730A5" w:rsidTr="00D730A5" w14:paraId="1BEE5615"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38A0DA20" w14:textId="77777777">
            <w:pPr>
              <w:keepNext/>
              <w:keepLines/>
              <w:contextualSpacing/>
              <w:rPr>
                <w:sz w:val="24"/>
                <w:szCs w:val="24"/>
              </w:rPr>
            </w:pPr>
            <w:r w:rsidRPr="00F30BA1">
              <w:rPr>
                <w:sz w:val="24"/>
                <w:szCs w:val="24"/>
              </w:rPr>
              <w:t>Program application</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DDCD43F" w14:textId="77777777">
            <w:pPr>
              <w:keepNext/>
              <w:keepLines/>
              <w:contextualSpacing/>
              <w:rPr>
                <w:sz w:val="24"/>
                <w:szCs w:val="24"/>
              </w:rPr>
            </w:pPr>
            <w:r w:rsidRPr="00F30BA1">
              <w:rPr>
                <w:sz w:val="24"/>
                <w:szCs w:val="24"/>
              </w:rPr>
              <w:t>103.12103.13</w:t>
            </w:r>
          </w:p>
          <w:p w:rsidRPr="00F30BA1" w:rsidR="00D730A5" w:rsidP="00D730A5" w:rsidRDefault="00D730A5" w14:paraId="6BC72776" w14:textId="77777777">
            <w:pPr>
              <w:keepNext/>
              <w:keepLines/>
              <w:contextualSpacing/>
              <w:jc w:val="center"/>
              <w:rPr>
                <w:sz w:val="24"/>
                <w:szCs w:val="24"/>
              </w:rPr>
            </w:pPr>
            <w:r w:rsidRPr="00F30BA1">
              <w:rPr>
                <w:sz w:val="24"/>
                <w:szCs w:val="24"/>
              </w:rPr>
              <w:t>103.14</w:t>
            </w:r>
          </w:p>
          <w:p w:rsidRPr="00F30BA1" w:rsidR="00D730A5" w:rsidP="00D730A5" w:rsidRDefault="00D730A5" w14:paraId="5241CB02" w14:textId="77777777">
            <w:pPr>
              <w:keepNext/>
              <w:keepLines/>
              <w:contextualSpacing/>
              <w:jc w:val="center"/>
              <w:rPr>
                <w:sz w:val="24"/>
                <w:szCs w:val="24"/>
              </w:rPr>
            </w:pPr>
            <w:r w:rsidRPr="00F30BA1">
              <w:rPr>
                <w:sz w:val="24"/>
                <w:szCs w:val="24"/>
              </w:rPr>
              <w:t>103.21</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115F05B" w14:textId="77777777">
            <w:pPr>
              <w:keepNext/>
              <w:keepLines/>
              <w:contextualSpacing/>
              <w:rPr>
                <w:sz w:val="24"/>
                <w:szCs w:val="24"/>
              </w:rPr>
            </w:pPr>
            <w:r w:rsidRPr="00F30BA1">
              <w:rPr>
                <w:sz w:val="24"/>
                <w:szCs w:val="24"/>
              </w:rPr>
              <w:t>RGI10</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1B2AABB" w14:textId="77777777">
            <w:pPr>
              <w:keepNext/>
              <w:keepLines/>
              <w:contextualSpacing/>
              <w:jc w:val="right"/>
              <w:rPr>
                <w:sz w:val="24"/>
                <w:szCs w:val="24"/>
              </w:rPr>
            </w:pPr>
            <w:r w:rsidRPr="00F30BA1">
              <w:rPr>
                <w:sz w:val="24"/>
                <w:szCs w:val="24"/>
              </w:rPr>
              <w:t>65</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3E4C68FA"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4641CA3" w14:textId="77777777">
            <w:pPr>
              <w:keepNext/>
              <w:keepLines/>
              <w:contextualSpacing/>
              <w:jc w:val="right"/>
              <w:rPr>
                <w:sz w:val="24"/>
                <w:szCs w:val="24"/>
              </w:rPr>
            </w:pPr>
            <w:r w:rsidRPr="00F30BA1">
              <w:rPr>
                <w:sz w:val="24"/>
                <w:szCs w:val="24"/>
              </w:rPr>
              <w:t>65</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5FAB4D37" w14:textId="5E0D79CB">
            <w:pPr>
              <w:jc w:val="right"/>
              <w:rPr>
                <w:color w:val="000000"/>
                <w:sz w:val="22"/>
                <w:szCs w:val="22"/>
              </w:rPr>
            </w:pPr>
            <w:r w:rsidRPr="00D730A5">
              <w:rPr>
                <w:sz w:val="22"/>
                <w:szCs w:val="22"/>
              </w:rPr>
              <w:t>$3,400</w:t>
            </w:r>
          </w:p>
        </w:tc>
      </w:tr>
      <w:tr w:rsidRPr="00F30BA1" w:rsidR="00D730A5" w:rsidTr="00D730A5" w14:paraId="3B90455B"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2169347B" w14:textId="77777777">
            <w:pPr>
              <w:keepNext/>
              <w:keepLines/>
              <w:contextualSpacing/>
              <w:rPr>
                <w:sz w:val="24"/>
                <w:szCs w:val="24"/>
              </w:rPr>
            </w:pPr>
            <w:r w:rsidRPr="00F30BA1">
              <w:rPr>
                <w:sz w:val="24"/>
                <w:szCs w:val="24"/>
              </w:rPr>
              <w:t>Closing procedures</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5C0F05C9" w14:textId="77777777">
            <w:pPr>
              <w:keepNext/>
              <w:keepLines/>
              <w:contextualSpacing/>
              <w:rPr>
                <w:sz w:val="24"/>
                <w:szCs w:val="24"/>
              </w:rPr>
            </w:pPr>
            <w:r w:rsidRPr="00F30BA1">
              <w:rPr>
                <w:sz w:val="24"/>
                <w:szCs w:val="24"/>
              </w:rPr>
              <w:t>103.17</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75DC536"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7363969C" w14:textId="77777777">
            <w:pPr>
              <w:keepNext/>
              <w:keepLines/>
              <w:contextualSpacing/>
              <w:jc w:val="right"/>
              <w:rPr>
                <w:sz w:val="24"/>
                <w:szCs w:val="24"/>
              </w:rPr>
            </w:pPr>
            <w:r w:rsidRPr="00F30BA1">
              <w:rPr>
                <w:sz w:val="24"/>
                <w:szCs w:val="24"/>
              </w:rPr>
              <w:t>64</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E95D163" w14:textId="77777777">
            <w:pPr>
              <w:keepNext/>
              <w:keepLines/>
              <w:contextualSpacing/>
              <w:jc w:val="right"/>
              <w:rPr>
                <w:sz w:val="24"/>
                <w:szCs w:val="24"/>
              </w:rPr>
            </w:pPr>
            <w:r w:rsidRPr="00F30BA1">
              <w:rPr>
                <w:sz w:val="24"/>
                <w:szCs w:val="24"/>
              </w:rPr>
              <w:t>2</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648EA066" w14:textId="77777777">
            <w:pPr>
              <w:keepNext/>
              <w:keepLines/>
              <w:contextualSpacing/>
              <w:jc w:val="right"/>
              <w:rPr>
                <w:sz w:val="24"/>
                <w:szCs w:val="24"/>
              </w:rPr>
            </w:pPr>
            <w:r w:rsidRPr="00F30BA1">
              <w:rPr>
                <w:sz w:val="24"/>
                <w:szCs w:val="24"/>
              </w:rPr>
              <w:t>188</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4EAC564D" w14:textId="7852DA8A">
            <w:pPr>
              <w:jc w:val="right"/>
              <w:rPr>
                <w:color w:val="000000"/>
                <w:sz w:val="22"/>
                <w:szCs w:val="22"/>
              </w:rPr>
            </w:pPr>
            <w:r w:rsidRPr="00D730A5">
              <w:rPr>
                <w:sz w:val="22"/>
                <w:szCs w:val="22"/>
              </w:rPr>
              <w:t>$9,832</w:t>
            </w:r>
          </w:p>
        </w:tc>
      </w:tr>
      <w:tr w:rsidRPr="00F30BA1" w:rsidR="00D730A5" w:rsidTr="00D730A5" w14:paraId="188D32A0"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28C19697" w14:textId="77777777">
            <w:pPr>
              <w:keepNext/>
              <w:keepLines/>
              <w:contextualSpacing/>
              <w:rPr>
                <w:sz w:val="24"/>
                <w:szCs w:val="24"/>
              </w:rPr>
            </w:pPr>
            <w:r w:rsidRPr="00F30BA1">
              <w:rPr>
                <w:sz w:val="24"/>
                <w:szCs w:val="24"/>
              </w:rPr>
              <w:t>Interest subsidy reports</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25BAF33A" w14:textId="77777777">
            <w:pPr>
              <w:keepNext/>
              <w:keepLines/>
              <w:contextualSpacing/>
              <w:rPr>
                <w:sz w:val="24"/>
                <w:szCs w:val="24"/>
              </w:rPr>
            </w:pPr>
            <w:r w:rsidRPr="00F30BA1">
              <w:rPr>
                <w:sz w:val="24"/>
                <w:szCs w:val="24"/>
              </w:rPr>
              <w:t>103.23</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011BFC8" w14:textId="77777777">
            <w:pPr>
              <w:keepNext/>
              <w:keepLines/>
              <w:contextualSpacing/>
              <w:rPr>
                <w:sz w:val="24"/>
                <w:szCs w:val="24"/>
              </w:rPr>
            </w:pPr>
            <w:r w:rsidRPr="00F30BA1">
              <w:rPr>
                <w:sz w:val="24"/>
                <w:szCs w:val="24"/>
              </w:rPr>
              <w:t>ISR10</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3F7089E" w14:textId="77777777">
            <w:pPr>
              <w:keepNext/>
              <w:keepLines/>
              <w:contextualSpacing/>
              <w:jc w:val="right"/>
              <w:rPr>
                <w:sz w:val="24"/>
                <w:szCs w:val="24"/>
              </w:rPr>
            </w:pPr>
            <w:r w:rsidRPr="00F30BA1">
              <w:rPr>
                <w:sz w:val="24"/>
                <w:szCs w:val="24"/>
              </w:rPr>
              <w:t>180</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7124847" w14:textId="77777777">
            <w:pPr>
              <w:keepNext/>
              <w:keepLines/>
              <w:contextualSpacing/>
              <w:jc w:val="right"/>
              <w:rPr>
                <w:sz w:val="24"/>
                <w:szCs w:val="24"/>
              </w:rPr>
            </w:pPr>
            <w:r w:rsidRPr="00F30BA1">
              <w:rPr>
                <w:sz w:val="24"/>
                <w:szCs w:val="24"/>
              </w:rPr>
              <w:t>0.25</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636B8C14" w14:textId="77777777">
            <w:pPr>
              <w:keepNext/>
              <w:keepLines/>
              <w:contextualSpacing/>
              <w:jc w:val="right"/>
              <w:rPr>
                <w:sz w:val="24"/>
                <w:szCs w:val="24"/>
              </w:rPr>
            </w:pPr>
            <w:r w:rsidRPr="00F30BA1">
              <w:rPr>
                <w:sz w:val="24"/>
                <w:szCs w:val="24"/>
              </w:rPr>
              <w:t>45</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2FE9D5A0" w14:textId="400C5648">
            <w:pPr>
              <w:jc w:val="right"/>
              <w:rPr>
                <w:color w:val="000000"/>
                <w:sz w:val="22"/>
                <w:szCs w:val="22"/>
              </w:rPr>
            </w:pPr>
            <w:r w:rsidRPr="00D730A5">
              <w:rPr>
                <w:sz w:val="22"/>
                <w:szCs w:val="22"/>
              </w:rPr>
              <w:t>$2,354</w:t>
            </w:r>
          </w:p>
        </w:tc>
      </w:tr>
      <w:tr w:rsidRPr="00F30BA1" w:rsidR="004063C8" w:rsidTr="00BD0D04" w14:paraId="19382044"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4063C8" w:rsidP="004063C8" w:rsidRDefault="004063C8" w14:paraId="7BDBD520" w14:textId="77777777">
            <w:pPr>
              <w:keepNext/>
              <w:keepLines/>
              <w:contextualSpacing/>
              <w:rPr>
                <w:sz w:val="24"/>
                <w:szCs w:val="24"/>
              </w:rPr>
            </w:pPr>
            <w:r w:rsidRPr="00F30BA1">
              <w:rPr>
                <w:sz w:val="24"/>
                <w:szCs w:val="24"/>
              </w:rPr>
              <w:t>Loan application</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3B8C24E3" w14:textId="77777777">
            <w:pPr>
              <w:keepNext/>
              <w:keepLines/>
              <w:contextualSpacing/>
              <w:rPr>
                <w:sz w:val="24"/>
                <w:szCs w:val="24"/>
              </w:rPr>
            </w:pPr>
            <w:r w:rsidRPr="00F30BA1">
              <w:rPr>
                <w:sz w:val="24"/>
                <w:szCs w:val="24"/>
              </w:rPr>
              <w:t>103.26</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0A6FE079"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01034ACB" w14:textId="77777777">
            <w:pPr>
              <w:keepNext/>
              <w:keepLines/>
              <w:contextualSpacing/>
              <w:jc w:val="right"/>
              <w:rPr>
                <w:sz w:val="24"/>
                <w:szCs w:val="24"/>
              </w:rPr>
            </w:pPr>
            <w:r w:rsidRPr="00F30BA1">
              <w:rPr>
                <w:sz w:val="24"/>
                <w:szCs w:val="24"/>
              </w:rPr>
              <w:t>64</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7658F023" w14:textId="77777777">
            <w:pPr>
              <w:jc w:val="right"/>
              <w:rPr>
                <w:sz w:val="24"/>
                <w:szCs w:val="24"/>
              </w:rPr>
            </w:pPr>
            <w:r w:rsidRPr="00F30BA1">
              <w:rPr>
                <w:sz w:val="24"/>
                <w:szCs w:val="24"/>
              </w:rPr>
              <w:t>--</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4D0156DE" w14:textId="77777777">
            <w:pPr>
              <w:jc w:val="right"/>
              <w:rPr>
                <w:sz w:val="24"/>
                <w:szCs w:val="24"/>
              </w:rPr>
            </w:pPr>
            <w:r w:rsidRPr="00F30BA1">
              <w:rPr>
                <w:sz w:val="24"/>
                <w:szCs w:val="24"/>
              </w:rPr>
              <w:t>--</w:t>
            </w:r>
          </w:p>
        </w:tc>
        <w:tc>
          <w:tcPr>
            <w:tcW w:w="1396" w:type="dxa"/>
            <w:tcBorders>
              <w:top w:val="single" w:color="000000" w:sz="6" w:space="0"/>
              <w:left w:val="single" w:color="000000" w:sz="6" w:space="0"/>
              <w:bottom w:val="single" w:color="000000" w:sz="6" w:space="0"/>
              <w:right w:val="single" w:color="000000" w:sz="6" w:space="0"/>
            </w:tcBorders>
          </w:tcPr>
          <w:p w:rsidRPr="00D730A5" w:rsidR="004063C8" w:rsidP="004063C8" w:rsidRDefault="004063C8" w14:paraId="476E5418" w14:textId="7D9D17AA">
            <w:pPr>
              <w:jc w:val="right"/>
              <w:rPr>
                <w:color w:val="000000"/>
                <w:sz w:val="22"/>
                <w:szCs w:val="22"/>
              </w:rPr>
            </w:pPr>
            <w:r w:rsidRPr="00633DCA">
              <w:rPr>
                <w:sz w:val="24"/>
                <w:szCs w:val="24"/>
              </w:rPr>
              <w:t>--</w:t>
            </w:r>
          </w:p>
        </w:tc>
      </w:tr>
      <w:tr w:rsidRPr="00F30BA1" w:rsidR="004063C8" w:rsidTr="00BD0D04" w14:paraId="7A413D96" w14:textId="77777777">
        <w:trPr>
          <w:trHeight w:val="363"/>
        </w:trPr>
        <w:tc>
          <w:tcPr>
            <w:tcW w:w="1890" w:type="dxa"/>
            <w:tcBorders>
              <w:top w:val="single" w:color="000000" w:sz="6" w:space="0"/>
              <w:left w:val="single" w:color="000000" w:sz="6" w:space="0"/>
              <w:bottom w:val="single" w:color="000000" w:sz="6" w:space="0"/>
              <w:right w:val="single" w:color="000000" w:sz="6" w:space="0"/>
            </w:tcBorders>
          </w:tcPr>
          <w:p w:rsidRPr="00F30BA1" w:rsidR="004063C8" w:rsidP="004063C8" w:rsidRDefault="004063C8" w14:paraId="193A9B69" w14:textId="77777777">
            <w:pPr>
              <w:keepNext/>
              <w:keepLines/>
              <w:contextualSpacing/>
              <w:rPr>
                <w:sz w:val="24"/>
                <w:szCs w:val="24"/>
              </w:rPr>
            </w:pPr>
            <w:r w:rsidRPr="00F30BA1">
              <w:rPr>
                <w:sz w:val="24"/>
                <w:szCs w:val="24"/>
              </w:rPr>
              <w:t>Loan records</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7868C24A" w14:textId="77777777">
            <w:pPr>
              <w:keepNext/>
              <w:keepLines/>
              <w:contextualSpacing/>
              <w:rPr>
                <w:sz w:val="24"/>
                <w:szCs w:val="24"/>
              </w:rPr>
            </w:pPr>
            <w:r w:rsidRPr="00F30BA1">
              <w:rPr>
                <w:sz w:val="24"/>
                <w:szCs w:val="24"/>
              </w:rPr>
              <w:t>103.32</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65F28518"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23E8DF6F" w14:textId="77777777">
            <w:pPr>
              <w:keepNext/>
              <w:keepLines/>
              <w:contextualSpacing/>
              <w:jc w:val="right"/>
              <w:rPr>
                <w:sz w:val="24"/>
                <w:szCs w:val="24"/>
              </w:rPr>
            </w:pPr>
            <w:r w:rsidRPr="00F30BA1">
              <w:rPr>
                <w:sz w:val="24"/>
                <w:szCs w:val="24"/>
              </w:rPr>
              <w:t>64</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37D06683" w14:textId="77777777">
            <w:pPr>
              <w:keepNext/>
              <w:keepLines/>
              <w:contextualSpacing/>
              <w:jc w:val="right"/>
              <w:rPr>
                <w:sz w:val="24"/>
                <w:szCs w:val="24"/>
              </w:rPr>
            </w:pPr>
            <w:r w:rsidRPr="00F30BA1">
              <w:rPr>
                <w:sz w:val="24"/>
                <w:szCs w:val="24"/>
              </w:rPr>
              <w:t>--</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4063C8" w:rsidP="004063C8" w:rsidRDefault="004063C8" w14:paraId="50F98A7A" w14:textId="77777777">
            <w:pPr>
              <w:keepNext/>
              <w:keepLines/>
              <w:contextualSpacing/>
              <w:jc w:val="right"/>
              <w:rPr>
                <w:sz w:val="24"/>
                <w:szCs w:val="24"/>
              </w:rPr>
            </w:pPr>
            <w:r w:rsidRPr="00F30BA1">
              <w:rPr>
                <w:sz w:val="24"/>
                <w:szCs w:val="24"/>
              </w:rPr>
              <w:t>--</w:t>
            </w:r>
          </w:p>
        </w:tc>
        <w:tc>
          <w:tcPr>
            <w:tcW w:w="1396" w:type="dxa"/>
            <w:tcBorders>
              <w:top w:val="single" w:color="000000" w:sz="6" w:space="0"/>
              <w:left w:val="single" w:color="000000" w:sz="6" w:space="0"/>
              <w:bottom w:val="single" w:color="000000" w:sz="6" w:space="0"/>
              <w:right w:val="single" w:color="000000" w:sz="6" w:space="0"/>
            </w:tcBorders>
          </w:tcPr>
          <w:p w:rsidRPr="00D730A5" w:rsidR="004063C8" w:rsidP="004063C8" w:rsidRDefault="004063C8" w14:paraId="104250D3" w14:textId="0EA1D2DE">
            <w:pPr>
              <w:jc w:val="right"/>
              <w:rPr>
                <w:color w:val="000000"/>
                <w:sz w:val="22"/>
                <w:szCs w:val="22"/>
              </w:rPr>
            </w:pPr>
            <w:r w:rsidRPr="00633DCA">
              <w:rPr>
                <w:sz w:val="24"/>
                <w:szCs w:val="24"/>
              </w:rPr>
              <w:t>--</w:t>
            </w:r>
          </w:p>
        </w:tc>
      </w:tr>
      <w:tr w:rsidRPr="00F30BA1" w:rsidR="00D730A5" w:rsidTr="00D730A5" w14:paraId="73B1C3D1" w14:textId="77777777">
        <w:trPr>
          <w:trHeight w:val="417"/>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33E48AAB" w14:textId="77777777">
            <w:pPr>
              <w:keepNext/>
              <w:keepLines/>
              <w:contextualSpacing/>
              <w:rPr>
                <w:sz w:val="24"/>
                <w:szCs w:val="24"/>
              </w:rPr>
            </w:pPr>
            <w:r w:rsidRPr="00F30BA1">
              <w:rPr>
                <w:sz w:val="24"/>
                <w:szCs w:val="24"/>
              </w:rPr>
              <w:t>Loan reporting</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61A8A09B" w14:textId="77777777">
            <w:pPr>
              <w:keepNext/>
              <w:keepLines/>
              <w:contextualSpacing/>
              <w:rPr>
                <w:sz w:val="24"/>
                <w:szCs w:val="24"/>
              </w:rPr>
            </w:pPr>
            <w:r w:rsidRPr="00F30BA1">
              <w:rPr>
                <w:sz w:val="24"/>
                <w:szCs w:val="24"/>
              </w:rPr>
              <w:t>103.33</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D263606"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5DF3443E" w14:textId="77777777">
            <w:pPr>
              <w:keepNext/>
              <w:keepLines/>
              <w:contextualSpacing/>
              <w:jc w:val="right"/>
              <w:rPr>
                <w:sz w:val="24"/>
                <w:szCs w:val="24"/>
              </w:rPr>
            </w:pPr>
            <w:r w:rsidRPr="00F30BA1">
              <w:rPr>
                <w:sz w:val="24"/>
                <w:szCs w:val="24"/>
              </w:rPr>
              <w:t>800</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588DE3FA" w14:textId="77777777">
            <w:pPr>
              <w:keepNext/>
              <w:keepLines/>
              <w:contextualSpacing/>
              <w:jc w:val="right"/>
              <w:rPr>
                <w:sz w:val="24"/>
                <w:szCs w:val="24"/>
              </w:rPr>
            </w:pPr>
            <w:r w:rsidRPr="00F30BA1">
              <w:rPr>
                <w:sz w:val="24"/>
                <w:szCs w:val="24"/>
              </w:rPr>
              <w:t>0.5</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566FC569" w14:textId="77777777">
            <w:pPr>
              <w:keepNext/>
              <w:keepLines/>
              <w:contextualSpacing/>
              <w:jc w:val="right"/>
              <w:rPr>
                <w:sz w:val="24"/>
                <w:szCs w:val="24"/>
              </w:rPr>
            </w:pPr>
            <w:r w:rsidRPr="00F30BA1">
              <w:rPr>
                <w:sz w:val="24"/>
                <w:szCs w:val="24"/>
              </w:rPr>
              <w:t>400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18F533F3" w14:textId="05901526">
            <w:pPr>
              <w:jc w:val="right"/>
              <w:rPr>
                <w:color w:val="000000"/>
                <w:sz w:val="22"/>
                <w:szCs w:val="22"/>
              </w:rPr>
            </w:pPr>
            <w:r w:rsidRPr="00D730A5">
              <w:rPr>
                <w:sz w:val="22"/>
                <w:szCs w:val="22"/>
              </w:rPr>
              <w:t>$20,920</w:t>
            </w:r>
          </w:p>
        </w:tc>
      </w:tr>
      <w:tr w:rsidRPr="00F30BA1" w:rsidR="00D730A5" w:rsidTr="00D730A5" w14:paraId="10F9EB11" w14:textId="77777777">
        <w:trPr>
          <w:trHeight w:val="588"/>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05B2119B" w14:textId="77777777">
            <w:pPr>
              <w:keepNext/>
              <w:keepLines/>
              <w:contextualSpacing/>
              <w:rPr>
                <w:sz w:val="24"/>
                <w:szCs w:val="24"/>
              </w:rPr>
            </w:pPr>
            <w:r w:rsidRPr="00F30BA1">
              <w:rPr>
                <w:sz w:val="24"/>
                <w:szCs w:val="24"/>
              </w:rPr>
              <w:t>Loan modification</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B5A1159" w14:textId="77777777">
            <w:pPr>
              <w:keepNext/>
              <w:keepLines/>
              <w:contextualSpacing/>
              <w:rPr>
                <w:sz w:val="24"/>
                <w:szCs w:val="24"/>
              </w:rPr>
            </w:pPr>
            <w:r w:rsidRPr="00F30BA1">
              <w:rPr>
                <w:sz w:val="24"/>
                <w:szCs w:val="24"/>
              </w:rPr>
              <w:t>103.34</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695832FC"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77A8DB77" w14:textId="77777777">
            <w:pPr>
              <w:keepNext/>
              <w:keepLines/>
              <w:contextualSpacing/>
              <w:jc w:val="right"/>
              <w:rPr>
                <w:sz w:val="24"/>
                <w:szCs w:val="24"/>
              </w:rPr>
            </w:pPr>
            <w:r w:rsidRPr="00F30BA1">
              <w:rPr>
                <w:sz w:val="24"/>
                <w:szCs w:val="24"/>
              </w:rPr>
              <w:t>10</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23F84FFB"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8210B75" w14:textId="77777777">
            <w:pPr>
              <w:keepNext/>
              <w:keepLines/>
              <w:contextualSpacing/>
              <w:jc w:val="right"/>
              <w:rPr>
                <w:sz w:val="24"/>
                <w:szCs w:val="24"/>
              </w:rPr>
            </w:pPr>
            <w:r w:rsidRPr="00F30BA1">
              <w:rPr>
                <w:sz w:val="24"/>
                <w:szCs w:val="24"/>
              </w:rPr>
              <w:t>10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76C12E9D" w14:textId="11DF06EE">
            <w:pPr>
              <w:jc w:val="right"/>
              <w:rPr>
                <w:color w:val="000000"/>
                <w:sz w:val="22"/>
                <w:szCs w:val="22"/>
              </w:rPr>
            </w:pPr>
            <w:r w:rsidRPr="00D730A5">
              <w:rPr>
                <w:sz w:val="22"/>
                <w:szCs w:val="22"/>
              </w:rPr>
              <w:t>$523</w:t>
            </w:r>
          </w:p>
        </w:tc>
      </w:tr>
      <w:tr w:rsidRPr="00F30BA1" w:rsidR="00D730A5" w:rsidTr="00D730A5" w14:paraId="5309538D" w14:textId="77777777">
        <w:trPr>
          <w:trHeight w:val="372"/>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5EBBA8FD" w14:textId="77777777">
            <w:pPr>
              <w:keepNext/>
              <w:keepLines/>
              <w:contextualSpacing/>
              <w:rPr>
                <w:sz w:val="24"/>
                <w:szCs w:val="24"/>
              </w:rPr>
            </w:pPr>
            <w:r w:rsidRPr="00F30BA1">
              <w:rPr>
                <w:sz w:val="24"/>
                <w:szCs w:val="24"/>
              </w:rPr>
              <w:t>Default notices</w:t>
            </w:r>
            <w:r>
              <w:rPr>
                <w:sz w:val="24"/>
                <w:szCs w:val="24"/>
              </w:rPr>
              <w:t xml:space="preserve"> 103.35(a)</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604EEC7E" w14:textId="77777777">
            <w:pPr>
              <w:keepNext/>
              <w:keepLines/>
              <w:contextualSpacing/>
              <w:rPr>
                <w:sz w:val="24"/>
                <w:szCs w:val="24"/>
              </w:rPr>
            </w:pPr>
            <w:r>
              <w:rPr>
                <w:sz w:val="24"/>
                <w:szCs w:val="24"/>
              </w:rPr>
              <w:t>103.35(a)</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ED37DE8" w14:textId="77777777">
            <w:pPr>
              <w:keepNext/>
              <w:keepLines/>
              <w:contextualSpacing/>
              <w:rPr>
                <w:sz w:val="24"/>
                <w:szCs w:val="24"/>
              </w:rPr>
            </w:pPr>
            <w:r>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229208D9" w14:textId="77777777">
            <w:pPr>
              <w:keepNext/>
              <w:keepLines/>
              <w:contextualSpacing/>
              <w:jc w:val="right"/>
              <w:rPr>
                <w:sz w:val="24"/>
                <w:szCs w:val="24"/>
              </w:rPr>
            </w:pPr>
            <w:r>
              <w:rPr>
                <w:sz w:val="24"/>
                <w:szCs w:val="24"/>
              </w:rPr>
              <w:t>20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576A1EF5" w14:textId="77777777">
            <w:pPr>
              <w:keepNext/>
              <w:keepLines/>
              <w:contextualSpacing/>
              <w:jc w:val="right"/>
              <w:rPr>
                <w:sz w:val="24"/>
                <w:szCs w:val="24"/>
              </w:rPr>
            </w:pPr>
            <w:r>
              <w:rPr>
                <w:sz w:val="24"/>
                <w:szCs w:val="24"/>
              </w:rPr>
              <w:t>--</w:t>
            </w: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1D328AB4" w14:textId="77777777">
            <w:pPr>
              <w:keepNext/>
              <w:keepLines/>
              <w:contextualSpacing/>
              <w:jc w:val="right"/>
              <w:rPr>
                <w:sz w:val="24"/>
                <w:szCs w:val="24"/>
              </w:rPr>
            </w:pPr>
            <w:r>
              <w:rPr>
                <w:sz w:val="24"/>
                <w:szCs w:val="24"/>
              </w:rPr>
              <w:t>--</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4063C8" w14:paraId="36FFCBDF" w14:textId="2DB74BEB">
            <w:pPr>
              <w:jc w:val="right"/>
              <w:rPr>
                <w:color w:val="000000"/>
                <w:sz w:val="22"/>
                <w:szCs w:val="22"/>
              </w:rPr>
            </w:pPr>
            <w:r>
              <w:rPr>
                <w:sz w:val="24"/>
                <w:szCs w:val="24"/>
              </w:rPr>
              <w:t>--</w:t>
            </w:r>
          </w:p>
        </w:tc>
      </w:tr>
      <w:tr w:rsidRPr="00F30BA1" w:rsidR="00D730A5" w:rsidTr="00D730A5" w14:paraId="399D9EBF" w14:textId="77777777">
        <w:trPr>
          <w:trHeight w:val="372"/>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27D72DD4" w14:textId="77777777">
            <w:pPr>
              <w:keepNext/>
              <w:keepLines/>
              <w:contextualSpacing/>
              <w:rPr>
                <w:sz w:val="24"/>
                <w:szCs w:val="24"/>
              </w:rPr>
            </w:pPr>
            <w:r>
              <w:rPr>
                <w:sz w:val="24"/>
                <w:szCs w:val="24"/>
              </w:rPr>
              <w:t>Default notices 103.35(b)</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505DD2F" w14:textId="77777777">
            <w:pPr>
              <w:keepNext/>
              <w:keepLines/>
              <w:contextualSpacing/>
              <w:rPr>
                <w:sz w:val="24"/>
                <w:szCs w:val="24"/>
              </w:rPr>
            </w:pPr>
            <w:r w:rsidRPr="00F30BA1">
              <w:rPr>
                <w:sz w:val="24"/>
                <w:szCs w:val="24"/>
              </w:rPr>
              <w:t>103.35</w:t>
            </w:r>
            <w:r>
              <w:rPr>
                <w:sz w:val="24"/>
                <w:szCs w:val="24"/>
              </w:rPr>
              <w:t>(b)</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D030C45" w14:textId="77777777">
            <w:pPr>
              <w:keepNext/>
              <w:keepLines/>
              <w:contextualSpacing/>
              <w:rPr>
                <w:sz w:val="24"/>
                <w:szCs w:val="24"/>
              </w:rPr>
            </w:pPr>
            <w:r w:rsidRPr="00F30BA1">
              <w:rPr>
                <w:sz w:val="24"/>
                <w:szCs w:val="24"/>
              </w:rPr>
              <w:t>NOD10</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8FA95C0" w14:textId="77777777">
            <w:pPr>
              <w:keepNext/>
              <w:keepLines/>
              <w:contextualSpacing/>
              <w:jc w:val="right"/>
              <w:rPr>
                <w:sz w:val="24"/>
                <w:szCs w:val="24"/>
              </w:rPr>
            </w:pPr>
            <w:r w:rsidRPr="00F30BA1">
              <w:rPr>
                <w:sz w:val="24"/>
                <w:szCs w:val="24"/>
              </w:rPr>
              <w:t>20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104FA2B2"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5A214621" w14:textId="77777777">
            <w:pPr>
              <w:keepNext/>
              <w:keepLines/>
              <w:contextualSpacing/>
              <w:jc w:val="right"/>
              <w:rPr>
                <w:sz w:val="24"/>
                <w:szCs w:val="24"/>
              </w:rPr>
            </w:pPr>
            <w:r w:rsidRPr="00F30BA1">
              <w:rPr>
                <w:sz w:val="24"/>
                <w:szCs w:val="24"/>
              </w:rPr>
              <w:t>20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498C340F" w14:textId="54031D62">
            <w:pPr>
              <w:jc w:val="right"/>
              <w:rPr>
                <w:color w:val="000000"/>
                <w:sz w:val="22"/>
                <w:szCs w:val="22"/>
              </w:rPr>
            </w:pPr>
            <w:r w:rsidRPr="00D730A5">
              <w:rPr>
                <w:sz w:val="22"/>
                <w:szCs w:val="22"/>
              </w:rPr>
              <w:t>$1,046</w:t>
            </w:r>
          </w:p>
        </w:tc>
      </w:tr>
      <w:tr w:rsidRPr="00F30BA1" w:rsidR="00D730A5" w:rsidTr="00D730A5" w14:paraId="7A5C55BD" w14:textId="77777777">
        <w:trPr>
          <w:trHeight w:val="435"/>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6EDFDD20" w14:textId="77777777">
            <w:pPr>
              <w:keepNext/>
              <w:keepLines/>
              <w:contextualSpacing/>
              <w:rPr>
                <w:sz w:val="24"/>
                <w:szCs w:val="24"/>
              </w:rPr>
            </w:pPr>
            <w:r>
              <w:rPr>
                <w:sz w:val="24"/>
                <w:szCs w:val="24"/>
              </w:rPr>
              <w:t>Default notices 103.36</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D33095E" w14:textId="77777777">
            <w:pPr>
              <w:keepNext/>
              <w:keepLines/>
              <w:contextualSpacing/>
              <w:rPr>
                <w:sz w:val="24"/>
                <w:szCs w:val="24"/>
              </w:rPr>
            </w:pPr>
            <w:r w:rsidRPr="00F30BA1">
              <w:rPr>
                <w:sz w:val="24"/>
                <w:szCs w:val="24"/>
              </w:rPr>
              <w:t>103.36</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9FB0EA0" w14:textId="77777777">
            <w:pPr>
              <w:keepNext/>
              <w:keepLines/>
              <w:contextualSpacing/>
              <w:rPr>
                <w:sz w:val="24"/>
                <w:szCs w:val="24"/>
              </w:rPr>
            </w:pPr>
            <w:r w:rsidRPr="00F30BA1">
              <w:rPr>
                <w:sz w:val="24"/>
                <w:szCs w:val="24"/>
              </w:rPr>
              <w:t>--</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3F6CE1CC" w14:textId="77777777">
            <w:pPr>
              <w:keepNext/>
              <w:keepLines/>
              <w:contextualSpacing/>
              <w:jc w:val="right"/>
              <w:rPr>
                <w:sz w:val="24"/>
                <w:szCs w:val="24"/>
              </w:rPr>
            </w:pPr>
            <w:r w:rsidRPr="00F30BA1">
              <w:rPr>
                <w:sz w:val="24"/>
                <w:szCs w:val="24"/>
              </w:rPr>
              <w:t>20</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F1F2880"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796184B9" w14:textId="77777777">
            <w:pPr>
              <w:keepNext/>
              <w:keepLines/>
              <w:contextualSpacing/>
              <w:jc w:val="right"/>
              <w:rPr>
                <w:sz w:val="24"/>
                <w:szCs w:val="24"/>
              </w:rPr>
            </w:pPr>
            <w:r w:rsidRPr="00F30BA1">
              <w:rPr>
                <w:sz w:val="24"/>
                <w:szCs w:val="24"/>
              </w:rPr>
              <w:t>20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2D2D9F53" w14:textId="71F5D7B6">
            <w:pPr>
              <w:jc w:val="right"/>
              <w:rPr>
                <w:color w:val="000000"/>
                <w:sz w:val="22"/>
                <w:szCs w:val="22"/>
              </w:rPr>
            </w:pPr>
            <w:r w:rsidRPr="00D730A5">
              <w:rPr>
                <w:sz w:val="22"/>
                <w:szCs w:val="22"/>
              </w:rPr>
              <w:t>$1,046</w:t>
            </w:r>
          </w:p>
        </w:tc>
      </w:tr>
      <w:tr w:rsidRPr="00F30BA1" w:rsidR="00D730A5" w:rsidTr="00D730A5" w14:paraId="38AB6CCF"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43522A6C" w14:textId="77777777">
            <w:pPr>
              <w:keepNext/>
              <w:keepLines/>
              <w:contextualSpacing/>
              <w:rPr>
                <w:sz w:val="24"/>
                <w:szCs w:val="24"/>
              </w:rPr>
            </w:pPr>
            <w:r w:rsidRPr="00F30BA1">
              <w:rPr>
                <w:sz w:val="24"/>
                <w:szCs w:val="24"/>
              </w:rPr>
              <w:t>Claim for loss</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2324754" w14:textId="77777777">
            <w:pPr>
              <w:keepNext/>
              <w:keepLines/>
              <w:contextualSpacing/>
              <w:rPr>
                <w:sz w:val="24"/>
                <w:szCs w:val="24"/>
              </w:rPr>
            </w:pPr>
            <w:r w:rsidRPr="00F30BA1">
              <w:rPr>
                <w:sz w:val="24"/>
                <w:szCs w:val="24"/>
              </w:rPr>
              <w:t>103.37</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DE7300B" w14:textId="77777777">
            <w:pPr>
              <w:keepNext/>
              <w:keepLines/>
              <w:contextualSpacing/>
              <w:rPr>
                <w:sz w:val="24"/>
                <w:szCs w:val="24"/>
              </w:rPr>
            </w:pPr>
            <w:r w:rsidRPr="00F30BA1">
              <w:rPr>
                <w:sz w:val="24"/>
                <w:szCs w:val="24"/>
              </w:rPr>
              <w:t>CFL10</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92AD742" w14:textId="77777777">
            <w:pPr>
              <w:keepNext/>
              <w:keepLines/>
              <w:contextualSpacing/>
              <w:jc w:val="right"/>
              <w:rPr>
                <w:sz w:val="24"/>
                <w:szCs w:val="24"/>
              </w:rPr>
            </w:pPr>
            <w:r w:rsidRPr="00F30BA1">
              <w:rPr>
                <w:sz w:val="24"/>
                <w:szCs w:val="24"/>
              </w:rPr>
              <w:t>10</w:t>
            </w:r>
          </w:p>
        </w:tc>
        <w:tc>
          <w:tcPr>
            <w:tcW w:w="72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B90E0D6" w14:textId="77777777">
            <w:pPr>
              <w:keepNext/>
              <w:keepLines/>
              <w:contextualSpacing/>
              <w:jc w:val="right"/>
              <w:rPr>
                <w:sz w:val="24"/>
                <w:szCs w:val="24"/>
              </w:rPr>
            </w:pPr>
            <w:r w:rsidRPr="00F30BA1">
              <w:rPr>
                <w:sz w:val="24"/>
                <w:szCs w:val="24"/>
              </w:rPr>
              <w:t>3</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500E2DC2" w14:textId="77777777">
            <w:pPr>
              <w:keepNext/>
              <w:keepLines/>
              <w:contextualSpacing/>
              <w:jc w:val="right"/>
              <w:rPr>
                <w:sz w:val="24"/>
                <w:szCs w:val="24"/>
              </w:rPr>
            </w:pPr>
            <w:r w:rsidRPr="00F30BA1">
              <w:rPr>
                <w:sz w:val="24"/>
                <w:szCs w:val="24"/>
              </w:rPr>
              <w:t>30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4AFE5846" w14:textId="5141ED9D">
            <w:pPr>
              <w:jc w:val="right"/>
              <w:rPr>
                <w:color w:val="000000"/>
                <w:sz w:val="22"/>
                <w:szCs w:val="22"/>
              </w:rPr>
            </w:pPr>
            <w:r w:rsidRPr="00D730A5">
              <w:rPr>
                <w:sz w:val="22"/>
                <w:szCs w:val="22"/>
              </w:rPr>
              <w:t>$1,569</w:t>
            </w:r>
          </w:p>
        </w:tc>
      </w:tr>
      <w:tr w:rsidRPr="00F30BA1" w:rsidR="00D730A5" w:rsidTr="00D730A5" w14:paraId="10556854" w14:textId="77777777">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237A217C" w14:textId="77777777">
            <w:pPr>
              <w:keepNext/>
              <w:keepLines/>
              <w:contextualSpacing/>
              <w:rPr>
                <w:sz w:val="24"/>
                <w:szCs w:val="24"/>
              </w:rPr>
            </w:pPr>
            <w:r w:rsidRPr="00F30BA1">
              <w:rPr>
                <w:sz w:val="24"/>
                <w:szCs w:val="24"/>
              </w:rPr>
              <w:t>Assignment of Rights</w:t>
            </w: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F63552F" w14:textId="77777777">
            <w:pPr>
              <w:keepNext/>
              <w:keepLines/>
              <w:contextualSpacing/>
              <w:rPr>
                <w:sz w:val="24"/>
                <w:szCs w:val="24"/>
              </w:rPr>
            </w:pPr>
            <w:r w:rsidRPr="00F30BA1">
              <w:rPr>
                <w:sz w:val="24"/>
                <w:szCs w:val="24"/>
              </w:rPr>
              <w:t>103.38</w:t>
            </w:r>
          </w:p>
        </w:tc>
        <w:tc>
          <w:tcPr>
            <w:tcW w:w="108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0C7BC53" w14:textId="77777777">
            <w:pPr>
              <w:keepNext/>
              <w:keepLines/>
              <w:contextualSpacing/>
              <w:rPr>
                <w:sz w:val="24"/>
                <w:szCs w:val="24"/>
              </w:rPr>
            </w:pPr>
            <w:r w:rsidRPr="00F30BA1">
              <w:rPr>
                <w:sz w:val="24"/>
                <w:szCs w:val="24"/>
              </w:rPr>
              <w:t>ALD10</w:t>
            </w: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4990843C" w14:textId="77777777">
            <w:pPr>
              <w:keepNext/>
              <w:keepLines/>
              <w:contextualSpacing/>
              <w:jc w:val="right"/>
              <w:rPr>
                <w:sz w:val="24"/>
                <w:szCs w:val="24"/>
              </w:rPr>
            </w:pPr>
            <w:r w:rsidRPr="00F30BA1">
              <w:rPr>
                <w:sz w:val="24"/>
                <w:szCs w:val="24"/>
              </w:rPr>
              <w:t>10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482DC198" w14:textId="77777777">
            <w:pPr>
              <w:keepNext/>
              <w:keepLines/>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1E68CF38" w14:textId="77777777">
            <w:pPr>
              <w:keepNext/>
              <w:keepLines/>
              <w:contextualSpacing/>
              <w:jc w:val="right"/>
              <w:rPr>
                <w:sz w:val="24"/>
                <w:szCs w:val="24"/>
              </w:rPr>
            </w:pPr>
            <w:r w:rsidRPr="00F30BA1">
              <w:rPr>
                <w:sz w:val="24"/>
                <w:szCs w:val="24"/>
              </w:rPr>
              <w:t>10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35E25982" w14:textId="2A304EBD">
            <w:pPr>
              <w:jc w:val="right"/>
              <w:rPr>
                <w:color w:val="000000"/>
                <w:sz w:val="22"/>
                <w:szCs w:val="22"/>
              </w:rPr>
            </w:pPr>
            <w:r w:rsidRPr="00D730A5">
              <w:rPr>
                <w:sz w:val="22"/>
                <w:szCs w:val="22"/>
              </w:rPr>
              <w:t>$523</w:t>
            </w:r>
          </w:p>
        </w:tc>
      </w:tr>
      <w:tr w:rsidRPr="00F30BA1" w:rsidR="00D730A5" w:rsidTr="00D730A5" w14:paraId="3BB75BE3" w14:textId="77777777">
        <w:trPr>
          <w:trHeight w:val="282"/>
        </w:trPr>
        <w:tc>
          <w:tcPr>
            <w:tcW w:w="1890" w:type="dxa"/>
            <w:vMerge w:val="restart"/>
            <w:tcBorders>
              <w:top w:val="single" w:color="000000" w:sz="6" w:space="0"/>
              <w:left w:val="single" w:color="000000" w:sz="6" w:space="0"/>
              <w:right w:val="single" w:color="000000" w:sz="6" w:space="0"/>
            </w:tcBorders>
          </w:tcPr>
          <w:p w:rsidRPr="00F30BA1" w:rsidR="00D730A5" w:rsidP="00D730A5" w:rsidRDefault="00D730A5" w14:paraId="37902972" w14:textId="77777777">
            <w:pPr>
              <w:contextualSpacing/>
              <w:rPr>
                <w:b/>
                <w:sz w:val="24"/>
                <w:szCs w:val="24"/>
              </w:rPr>
            </w:pPr>
            <w:r w:rsidRPr="00F30BA1">
              <w:rPr>
                <w:sz w:val="24"/>
                <w:szCs w:val="24"/>
              </w:rPr>
              <w:t>Notice of individual loan guarantee or insurance</w:t>
            </w:r>
          </w:p>
        </w:tc>
        <w:tc>
          <w:tcPr>
            <w:tcW w:w="900" w:type="dxa"/>
            <w:vMerge w:val="restart"/>
            <w:tcBorders>
              <w:top w:val="single" w:color="000000" w:sz="6" w:space="0"/>
              <w:left w:val="single" w:color="000000" w:sz="6" w:space="0"/>
              <w:right w:val="single" w:color="000000" w:sz="6" w:space="0"/>
            </w:tcBorders>
            <w:vAlign w:val="center"/>
          </w:tcPr>
          <w:p w:rsidRPr="00A3686A" w:rsidR="00D730A5" w:rsidP="00D730A5" w:rsidRDefault="00D730A5" w14:paraId="3092C678" w14:textId="77777777">
            <w:pPr>
              <w:contextualSpacing/>
              <w:rPr>
                <w:sz w:val="24"/>
                <w:szCs w:val="24"/>
              </w:rPr>
            </w:pPr>
            <w:r w:rsidRPr="00A3686A">
              <w:rPr>
                <w:sz w:val="24"/>
                <w:szCs w:val="24"/>
              </w:rPr>
              <w:t>130.18</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30BA1" w:rsidR="00D730A5" w:rsidP="00D730A5" w:rsidRDefault="00D730A5" w14:paraId="09D4AB16" w14:textId="77777777">
            <w:pPr>
              <w:keepNext/>
              <w:keepLines/>
              <w:contextualSpacing/>
              <w:rPr>
                <w:sz w:val="24"/>
                <w:szCs w:val="24"/>
              </w:rPr>
            </w:pPr>
            <w:r w:rsidRPr="00F30BA1">
              <w:rPr>
                <w:sz w:val="24"/>
                <w:szCs w:val="24"/>
              </w:rPr>
              <w:t>NIL10</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3686A" w:rsidR="00D730A5" w:rsidP="00D730A5" w:rsidRDefault="00D730A5" w14:paraId="3EB41507" w14:textId="77777777">
            <w:pPr>
              <w:contextualSpacing/>
              <w:jc w:val="right"/>
              <w:rPr>
                <w:sz w:val="24"/>
                <w:szCs w:val="24"/>
              </w:rPr>
            </w:pPr>
            <w:r w:rsidRPr="00F30BA1">
              <w:rPr>
                <w:sz w:val="24"/>
                <w:szCs w:val="24"/>
              </w:rPr>
              <w:t>20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3686A" w:rsidR="00D730A5" w:rsidP="00D730A5" w:rsidRDefault="00D730A5" w14:paraId="1D978390" w14:textId="77777777">
            <w:pPr>
              <w:contextualSpacing/>
              <w:jc w:val="right"/>
              <w:rPr>
                <w:sz w:val="24"/>
                <w:szCs w:val="24"/>
              </w:rPr>
            </w:pPr>
            <w:r w:rsidRPr="00F30BA1">
              <w:rPr>
                <w:sz w:val="24"/>
                <w:szCs w:val="24"/>
              </w:rPr>
              <w:t>0.5</w:t>
            </w:r>
          </w:p>
        </w:tc>
        <w:tc>
          <w:tcPr>
            <w:tcW w:w="944" w:type="dxa"/>
            <w:tcBorders>
              <w:top w:val="single" w:color="000000" w:sz="6" w:space="0"/>
              <w:left w:val="single" w:color="000000" w:sz="6" w:space="0"/>
              <w:bottom w:val="single" w:color="000000" w:sz="6" w:space="0"/>
              <w:right w:val="single" w:color="000000" w:sz="6" w:space="0"/>
            </w:tcBorders>
            <w:vAlign w:val="center"/>
          </w:tcPr>
          <w:p w:rsidRPr="00A3686A" w:rsidR="00D730A5" w:rsidP="00D730A5" w:rsidRDefault="00D730A5" w14:paraId="589EF2DE" w14:textId="77777777">
            <w:pPr>
              <w:contextualSpacing/>
              <w:jc w:val="right"/>
              <w:rPr>
                <w:sz w:val="24"/>
                <w:szCs w:val="24"/>
              </w:rPr>
            </w:pPr>
            <w:r w:rsidRPr="00F30BA1">
              <w:rPr>
                <w:sz w:val="24"/>
                <w:szCs w:val="24"/>
              </w:rPr>
              <w:t>10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64D81A65" w14:textId="0CD62B94">
            <w:pPr>
              <w:jc w:val="right"/>
              <w:rPr>
                <w:color w:val="000000"/>
                <w:sz w:val="22"/>
                <w:szCs w:val="22"/>
              </w:rPr>
            </w:pPr>
            <w:r w:rsidRPr="00D730A5">
              <w:rPr>
                <w:sz w:val="22"/>
                <w:szCs w:val="22"/>
              </w:rPr>
              <w:t>$523</w:t>
            </w:r>
          </w:p>
        </w:tc>
      </w:tr>
      <w:tr w:rsidRPr="00F30BA1" w:rsidR="00D730A5" w:rsidTr="00D730A5" w14:paraId="05E43F31" w14:textId="77777777">
        <w:trPr>
          <w:trHeight w:val="282"/>
        </w:trPr>
        <w:tc>
          <w:tcPr>
            <w:tcW w:w="1890" w:type="dxa"/>
            <w:vMerge/>
            <w:tcBorders>
              <w:left w:val="single" w:color="000000" w:sz="6" w:space="0"/>
              <w:bottom w:val="single" w:color="000000" w:sz="6" w:space="0"/>
              <w:right w:val="single" w:color="000000" w:sz="6" w:space="0"/>
            </w:tcBorders>
          </w:tcPr>
          <w:p w:rsidRPr="00F30BA1" w:rsidR="00D730A5" w:rsidP="00D730A5" w:rsidRDefault="00D730A5" w14:paraId="044CEE82" w14:textId="77777777">
            <w:pPr>
              <w:contextualSpacing/>
              <w:jc w:val="center"/>
              <w:rPr>
                <w:b/>
                <w:sz w:val="24"/>
                <w:szCs w:val="24"/>
              </w:rPr>
            </w:pPr>
          </w:p>
        </w:tc>
        <w:tc>
          <w:tcPr>
            <w:tcW w:w="900" w:type="dxa"/>
            <w:vMerge/>
            <w:tcBorders>
              <w:left w:val="single" w:color="000000" w:sz="6" w:space="0"/>
              <w:bottom w:val="single" w:color="000000" w:sz="6" w:space="0"/>
              <w:right w:val="single" w:color="000000" w:sz="6" w:space="0"/>
            </w:tcBorders>
            <w:vAlign w:val="center"/>
          </w:tcPr>
          <w:p w:rsidRPr="00A3686A" w:rsidR="00D730A5" w:rsidP="00D730A5" w:rsidRDefault="00D730A5" w14:paraId="166698F1" w14:textId="77777777">
            <w:pPr>
              <w:contextualSpacing/>
              <w:rPr>
                <w:sz w:val="24"/>
                <w:szCs w:val="24"/>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3686A" w:rsidR="00D730A5" w:rsidP="00D730A5" w:rsidRDefault="00D730A5" w14:paraId="7906135D" w14:textId="77777777">
            <w:pPr>
              <w:contextualSpacing/>
              <w:jc w:val="center"/>
              <w:rPr>
                <w:sz w:val="24"/>
                <w:szCs w:val="24"/>
              </w:rPr>
            </w:pPr>
            <w:r w:rsidRPr="00F30BA1">
              <w:rPr>
                <w:sz w:val="24"/>
                <w:szCs w:val="24"/>
              </w:rPr>
              <w:t>LGC10</w:t>
            </w:r>
          </w:p>
        </w:tc>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3686A" w:rsidR="00D730A5" w:rsidP="00D730A5" w:rsidRDefault="00D730A5" w14:paraId="7921D15D" w14:textId="77777777">
            <w:pPr>
              <w:contextualSpacing/>
              <w:jc w:val="right"/>
              <w:rPr>
                <w:sz w:val="24"/>
                <w:szCs w:val="24"/>
              </w:rPr>
            </w:pPr>
            <w:r w:rsidRPr="00F30BA1">
              <w:rPr>
                <w:sz w:val="24"/>
                <w:szCs w:val="24"/>
              </w:rPr>
              <w:t>80</w:t>
            </w: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3686A" w:rsidR="00D730A5" w:rsidP="00D730A5" w:rsidRDefault="00D730A5" w14:paraId="2169E349" w14:textId="77777777">
            <w:pPr>
              <w:contextualSpacing/>
              <w:jc w:val="right"/>
              <w:rPr>
                <w:sz w:val="24"/>
                <w:szCs w:val="24"/>
              </w:rPr>
            </w:pPr>
            <w:r w:rsidRPr="00F30BA1">
              <w:rPr>
                <w:sz w:val="24"/>
                <w:szCs w:val="24"/>
              </w:rPr>
              <w:t>1</w:t>
            </w:r>
          </w:p>
        </w:tc>
        <w:tc>
          <w:tcPr>
            <w:tcW w:w="944" w:type="dxa"/>
            <w:tcBorders>
              <w:top w:val="single" w:color="000000" w:sz="6" w:space="0"/>
              <w:left w:val="single" w:color="000000" w:sz="6" w:space="0"/>
              <w:bottom w:val="single" w:color="000000" w:sz="6" w:space="0"/>
              <w:right w:val="single" w:color="000000" w:sz="6" w:space="0"/>
            </w:tcBorders>
            <w:vAlign w:val="center"/>
          </w:tcPr>
          <w:p w:rsidRPr="00A3686A" w:rsidR="00D730A5" w:rsidP="00D730A5" w:rsidRDefault="00D730A5" w14:paraId="76411CCA" w14:textId="77777777">
            <w:pPr>
              <w:contextualSpacing/>
              <w:jc w:val="right"/>
              <w:rPr>
                <w:sz w:val="24"/>
                <w:szCs w:val="24"/>
              </w:rPr>
            </w:pPr>
            <w:r w:rsidRPr="00F30BA1">
              <w:rPr>
                <w:sz w:val="24"/>
                <w:szCs w:val="24"/>
              </w:rPr>
              <w:t>80</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3AFA7735" w14:textId="6B311AA4">
            <w:pPr>
              <w:jc w:val="right"/>
              <w:rPr>
                <w:color w:val="000000"/>
                <w:sz w:val="22"/>
                <w:szCs w:val="22"/>
              </w:rPr>
            </w:pPr>
            <w:r w:rsidRPr="00D730A5">
              <w:rPr>
                <w:sz w:val="22"/>
                <w:szCs w:val="22"/>
              </w:rPr>
              <w:t>$4,184</w:t>
            </w:r>
          </w:p>
        </w:tc>
      </w:tr>
      <w:tr w:rsidRPr="00F30BA1" w:rsidR="00D730A5" w:rsidTr="00D730A5" w14:paraId="01903775" w14:textId="77777777">
        <w:trPr>
          <w:trHeight w:val="84"/>
        </w:trPr>
        <w:tc>
          <w:tcPr>
            <w:tcW w:w="1890" w:type="dxa"/>
            <w:tcBorders>
              <w:top w:val="single" w:color="000000" w:sz="6" w:space="0"/>
              <w:left w:val="single" w:color="000000" w:sz="6" w:space="0"/>
              <w:bottom w:val="single" w:color="000000" w:sz="6" w:space="0"/>
              <w:right w:val="single" w:color="000000" w:sz="6" w:space="0"/>
            </w:tcBorders>
          </w:tcPr>
          <w:p w:rsidRPr="00F30BA1" w:rsidR="00D730A5" w:rsidP="00D730A5" w:rsidRDefault="00D730A5" w14:paraId="2058F685" w14:textId="77777777">
            <w:pPr>
              <w:contextualSpacing/>
              <w:jc w:val="right"/>
              <w:rPr>
                <w:b/>
                <w:sz w:val="24"/>
                <w:szCs w:val="24"/>
              </w:rPr>
            </w:pPr>
          </w:p>
        </w:tc>
        <w:tc>
          <w:tcPr>
            <w:tcW w:w="90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0FF61D3E" w14:textId="77777777">
            <w:pPr>
              <w:contextualSpacing/>
              <w:jc w:val="right"/>
              <w:rPr>
                <w:b/>
                <w:sz w:val="24"/>
                <w:szCs w:val="24"/>
              </w:rPr>
            </w:pPr>
            <w:r w:rsidRPr="00F30BA1">
              <w:rPr>
                <w:b/>
                <w:sz w:val="24"/>
                <w:szCs w:val="24"/>
              </w:rPr>
              <w:t>Totals</w:t>
            </w:r>
          </w:p>
        </w:tc>
        <w:tc>
          <w:tcPr>
            <w:tcW w:w="1080" w:type="dxa"/>
            <w:tcBorders>
              <w:top w:val="single" w:color="000000" w:sz="6" w:space="0"/>
              <w:left w:val="single" w:color="000000" w:sz="6" w:space="0"/>
              <w:bottom w:val="single" w:color="000000" w:sz="6" w:space="0"/>
              <w:right w:val="single" w:color="000000" w:sz="6" w:space="0"/>
            </w:tcBorders>
            <w:shd w:val="clear" w:color="auto" w:fill="CCCCCC"/>
            <w:vAlign w:val="center"/>
          </w:tcPr>
          <w:p w:rsidRPr="00F30BA1" w:rsidR="00D730A5" w:rsidP="00D730A5" w:rsidRDefault="00D730A5" w14:paraId="1560D14B" w14:textId="77777777">
            <w:pPr>
              <w:contextualSpacing/>
              <w:rPr>
                <w:b/>
                <w:sz w:val="24"/>
                <w:szCs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3E49F267" w14:textId="77777777">
            <w:pPr>
              <w:contextualSpacing/>
              <w:jc w:val="right"/>
              <w:rPr>
                <w:b/>
                <w:sz w:val="24"/>
                <w:szCs w:val="24"/>
              </w:rPr>
            </w:pPr>
            <w:r w:rsidRPr="00F30BA1">
              <w:rPr>
                <w:b/>
                <w:sz w:val="24"/>
                <w:szCs w:val="24"/>
              </w:rPr>
              <w:t>1,4</w:t>
            </w:r>
            <w:r>
              <w:rPr>
                <w:b/>
                <w:sz w:val="24"/>
                <w:szCs w:val="24"/>
              </w:rPr>
              <w:t>5</w:t>
            </w:r>
            <w:r w:rsidRPr="00F30BA1">
              <w:rPr>
                <w:b/>
                <w:sz w:val="24"/>
                <w:szCs w:val="24"/>
              </w:rPr>
              <w:t>7</w:t>
            </w:r>
          </w:p>
        </w:tc>
        <w:tc>
          <w:tcPr>
            <w:tcW w:w="720"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vAlign w:val="center"/>
          </w:tcPr>
          <w:p w:rsidRPr="00F30BA1" w:rsidR="00D730A5" w:rsidP="00D730A5" w:rsidRDefault="00D730A5" w14:paraId="35E53030" w14:textId="77777777">
            <w:pPr>
              <w:contextualSpacing/>
              <w:jc w:val="right"/>
              <w:rPr>
                <w:b/>
                <w:sz w:val="24"/>
                <w:szCs w:val="24"/>
              </w:rPr>
            </w:pPr>
          </w:p>
        </w:tc>
        <w:tc>
          <w:tcPr>
            <w:tcW w:w="944" w:type="dxa"/>
            <w:tcBorders>
              <w:top w:val="single" w:color="000000" w:sz="6" w:space="0"/>
              <w:left w:val="single" w:color="000000" w:sz="6" w:space="0"/>
              <w:bottom w:val="single" w:color="000000" w:sz="6" w:space="0"/>
              <w:right w:val="single" w:color="000000" w:sz="6" w:space="0"/>
            </w:tcBorders>
            <w:vAlign w:val="center"/>
          </w:tcPr>
          <w:p w:rsidRPr="00F30BA1" w:rsidR="00D730A5" w:rsidP="00D730A5" w:rsidRDefault="00D730A5" w14:paraId="347661F4" w14:textId="3C383FC3">
            <w:pPr>
              <w:contextualSpacing/>
              <w:jc w:val="right"/>
              <w:rPr>
                <w:b/>
                <w:sz w:val="24"/>
                <w:szCs w:val="24"/>
              </w:rPr>
            </w:pPr>
            <w:r w:rsidRPr="00FE413B">
              <w:rPr>
                <w:b/>
                <w:sz w:val="24"/>
                <w:szCs w:val="24"/>
              </w:rPr>
              <w:t>898</w:t>
            </w:r>
          </w:p>
        </w:tc>
        <w:tc>
          <w:tcPr>
            <w:tcW w:w="1396" w:type="dxa"/>
            <w:tcBorders>
              <w:top w:val="single" w:color="000000" w:sz="6" w:space="0"/>
              <w:left w:val="single" w:color="000000" w:sz="6" w:space="0"/>
              <w:bottom w:val="single" w:color="000000" w:sz="6" w:space="0"/>
              <w:right w:val="single" w:color="000000" w:sz="6" w:space="0"/>
            </w:tcBorders>
            <w:vAlign w:val="center"/>
          </w:tcPr>
          <w:p w:rsidRPr="00D730A5" w:rsidR="00D730A5" w:rsidP="00D730A5" w:rsidRDefault="00D730A5" w14:paraId="3C98902D" w14:textId="55D7FA3E">
            <w:pPr>
              <w:contextualSpacing/>
              <w:jc w:val="right"/>
              <w:rPr>
                <w:b/>
                <w:sz w:val="24"/>
                <w:szCs w:val="24"/>
              </w:rPr>
            </w:pPr>
            <w:r w:rsidRPr="00D730A5">
              <w:rPr>
                <w:b/>
                <w:sz w:val="24"/>
                <w:szCs w:val="24"/>
              </w:rPr>
              <w:t>$46,965</w:t>
            </w:r>
          </w:p>
        </w:tc>
      </w:tr>
    </w:tbl>
    <w:p w:rsidR="00012FA5" w:rsidP="009809C8" w:rsidRDefault="00012FA5" w14:paraId="2E0C19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P="00751EB7" w:rsidRDefault="00012FA5" w14:paraId="213A1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rsidR="00586D82" w:rsidP="4D37C57D" w:rsidRDefault="00586D82" w14:paraId="05CC899D" w14:textId="225749BA">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hd w:val="clear" w:color="auto" w:fill="FFFFFF"/>
        </w:rPr>
      </w:pPr>
    </w:p>
    <w:p w:rsidR="00586D82" w:rsidP="4D37C57D" w:rsidRDefault="00586D82" w14:paraId="1B6EAF9D" w14:textId="5B1B0C52">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E26524">
        <w:rPr>
          <w:sz w:val="24"/>
          <w:szCs w:val="24"/>
          <w:shd w:val="clear" w:color="auto" w:fill="FFFFFF"/>
        </w:rPr>
        <w:t>IA Form</w:t>
      </w:r>
      <w:r w:rsidRPr="00E26524" w:rsidR="00400622">
        <w:rPr>
          <w:sz w:val="24"/>
          <w:szCs w:val="24"/>
          <w:shd w:val="clear" w:color="auto" w:fill="FFFFFF"/>
        </w:rPr>
        <w:t>s</w:t>
      </w:r>
      <w:r w:rsidRPr="00E26524">
        <w:rPr>
          <w:sz w:val="24"/>
          <w:szCs w:val="24"/>
          <w:shd w:val="clear" w:color="auto" w:fill="FFFFFF"/>
        </w:rPr>
        <w:t xml:space="preserve"> </w:t>
      </w:r>
      <w:r w:rsidRPr="00E26524" w:rsidR="00721488">
        <w:rPr>
          <w:sz w:val="24"/>
          <w:szCs w:val="24"/>
          <w:shd w:val="clear" w:color="auto" w:fill="FFFFFF"/>
        </w:rPr>
        <w:t xml:space="preserve">RGI10, </w:t>
      </w:r>
      <w:r w:rsidRPr="00E26524">
        <w:rPr>
          <w:sz w:val="24"/>
          <w:szCs w:val="24"/>
          <w:shd w:val="clear" w:color="auto" w:fill="FFFFFF"/>
        </w:rPr>
        <w:t xml:space="preserve">LGA10, LIA10, </w:t>
      </w:r>
      <w:r w:rsidRPr="00E26524" w:rsidR="00680671">
        <w:rPr>
          <w:sz w:val="24"/>
          <w:szCs w:val="24"/>
          <w:shd w:val="clear" w:color="auto" w:fill="FFFFFF"/>
        </w:rPr>
        <w:t>Exhibit A to ISR10</w:t>
      </w:r>
      <w:r w:rsidRPr="00E26524" w:rsidR="0079426C">
        <w:rPr>
          <w:sz w:val="24"/>
          <w:szCs w:val="24"/>
          <w:shd w:val="clear" w:color="auto" w:fill="FFFFFF"/>
        </w:rPr>
        <w:t xml:space="preserve">, </w:t>
      </w:r>
      <w:r w:rsidRPr="00E26524" w:rsidR="00B54FE3">
        <w:rPr>
          <w:sz w:val="24"/>
          <w:szCs w:val="24"/>
          <w:shd w:val="clear" w:color="auto" w:fill="FFFFFF"/>
        </w:rPr>
        <w:t>NLD10</w:t>
      </w:r>
      <w:r w:rsidRPr="00E26524" w:rsidR="006646D0">
        <w:rPr>
          <w:sz w:val="24"/>
          <w:szCs w:val="24"/>
          <w:shd w:val="clear" w:color="auto" w:fill="FFFFFF"/>
        </w:rPr>
        <w:t xml:space="preserve"> </w:t>
      </w:r>
      <w:r w:rsidRPr="00E26524" w:rsidR="0079426C">
        <w:rPr>
          <w:sz w:val="24"/>
          <w:szCs w:val="24"/>
          <w:shd w:val="clear" w:color="auto" w:fill="FFFFFF"/>
        </w:rPr>
        <w:t>and NIL10</w:t>
      </w:r>
      <w:r w:rsidRPr="00E26524" w:rsidR="00680671">
        <w:rPr>
          <w:sz w:val="24"/>
          <w:szCs w:val="24"/>
          <w:shd w:val="clear" w:color="auto" w:fill="FFFFFF"/>
        </w:rPr>
        <w:t xml:space="preserve"> have changed since the last renewal. </w:t>
      </w:r>
      <w:r w:rsidR="00E64F63">
        <w:rPr>
          <w:sz w:val="24"/>
          <w:szCs w:val="24"/>
          <w:shd w:val="clear" w:color="auto" w:fill="FFFFFF"/>
        </w:rPr>
        <w:t xml:space="preserve"> </w:t>
      </w:r>
      <w:r w:rsidRPr="00E26524" w:rsidR="00E70044">
        <w:rPr>
          <w:sz w:val="24"/>
          <w:szCs w:val="24"/>
          <w:shd w:val="clear" w:color="auto" w:fill="FFFFFF"/>
        </w:rPr>
        <w:t>A duplicate request for a respondents ABA No. has been removed from RGI10, and the use of “Guaranty” has been changed to “Guarantee.”</w:t>
      </w:r>
      <w:r w:rsidRPr="00E26524" w:rsidR="00D171C8">
        <w:rPr>
          <w:sz w:val="24"/>
          <w:szCs w:val="24"/>
          <w:shd w:val="clear" w:color="auto" w:fill="FFFFFF"/>
        </w:rPr>
        <w:t xml:space="preserve"> </w:t>
      </w:r>
      <w:r w:rsidR="00E64F63">
        <w:rPr>
          <w:sz w:val="24"/>
          <w:szCs w:val="24"/>
          <w:shd w:val="clear" w:color="auto" w:fill="FFFFFF"/>
        </w:rPr>
        <w:t xml:space="preserve"> </w:t>
      </w:r>
      <w:r w:rsidRPr="00E26524" w:rsidR="00680671">
        <w:rPr>
          <w:sz w:val="24"/>
          <w:szCs w:val="24"/>
          <w:shd w:val="clear" w:color="auto" w:fill="FFFFFF"/>
        </w:rPr>
        <w:t xml:space="preserve">Lender award criteria has been </w:t>
      </w:r>
      <w:r w:rsidRPr="00E26524" w:rsidR="00E60740">
        <w:rPr>
          <w:sz w:val="24"/>
          <w:szCs w:val="24"/>
          <w:shd w:val="clear" w:color="auto" w:fill="FFFFFF"/>
        </w:rPr>
        <w:t xml:space="preserve">edited in LGA10 and added in LIA10. </w:t>
      </w:r>
      <w:r w:rsidR="00E64F63">
        <w:rPr>
          <w:sz w:val="24"/>
          <w:szCs w:val="24"/>
          <w:shd w:val="clear" w:color="auto" w:fill="FFFFFF"/>
        </w:rPr>
        <w:t xml:space="preserve"> </w:t>
      </w:r>
      <w:r w:rsidRPr="00E26524" w:rsidR="00E60740">
        <w:rPr>
          <w:sz w:val="24"/>
          <w:szCs w:val="24"/>
          <w:shd w:val="clear" w:color="auto" w:fill="FFFFFF"/>
        </w:rPr>
        <w:t xml:space="preserve">The added information does not place any new </w:t>
      </w:r>
      <w:r w:rsidRPr="00E26524" w:rsidR="006A19F9">
        <w:rPr>
          <w:sz w:val="24"/>
          <w:szCs w:val="24"/>
          <w:shd w:val="clear" w:color="auto" w:fill="FFFFFF"/>
        </w:rPr>
        <w:t xml:space="preserve">burdens </w:t>
      </w:r>
      <w:r w:rsidRPr="00E26524" w:rsidR="006A19F9">
        <w:rPr>
          <w:sz w:val="24"/>
          <w:szCs w:val="24"/>
          <w:shd w:val="clear" w:color="auto" w:fill="FFFFFF"/>
        </w:rPr>
        <w:lastRenderedPageBreak/>
        <w:t xml:space="preserve">on respondents, it is presented to inform them of potential designations they may use while participating in the Program. </w:t>
      </w:r>
      <w:r w:rsidR="00E64F63">
        <w:rPr>
          <w:sz w:val="24"/>
          <w:szCs w:val="24"/>
          <w:shd w:val="clear" w:color="auto" w:fill="FFFFFF"/>
        </w:rPr>
        <w:t xml:space="preserve"> </w:t>
      </w:r>
      <w:r w:rsidRPr="00E26524" w:rsidR="00EA780A">
        <w:rPr>
          <w:sz w:val="24"/>
          <w:szCs w:val="24"/>
          <w:shd w:val="clear" w:color="auto" w:fill="FFFFFF"/>
        </w:rPr>
        <w:t>Additionally, a</w:t>
      </w:r>
      <w:r w:rsidRPr="00E26524" w:rsidR="003B707A">
        <w:rPr>
          <w:sz w:val="24"/>
          <w:szCs w:val="24"/>
          <w:shd w:val="clear" w:color="auto" w:fill="FFFFFF"/>
        </w:rPr>
        <w:t xml:space="preserve"> space for the address, phone number, and email for respondents designated contact has been added to LGA10 and LIA10. </w:t>
      </w:r>
      <w:r w:rsidR="00E64F63">
        <w:rPr>
          <w:sz w:val="24"/>
          <w:szCs w:val="24"/>
          <w:shd w:val="clear" w:color="auto" w:fill="FFFFFF"/>
        </w:rPr>
        <w:t xml:space="preserve"> </w:t>
      </w:r>
      <w:r w:rsidRPr="00E26524" w:rsidR="005148AF">
        <w:rPr>
          <w:sz w:val="24"/>
          <w:szCs w:val="24"/>
          <w:shd w:val="clear" w:color="auto" w:fill="FFFFFF"/>
        </w:rPr>
        <w:t xml:space="preserve">Previously, a program employee would obtain the information by calling the respondent and asking them to provide the information. </w:t>
      </w:r>
      <w:r w:rsidR="00E64F63">
        <w:rPr>
          <w:sz w:val="24"/>
          <w:szCs w:val="24"/>
          <w:shd w:val="clear" w:color="auto" w:fill="FFFFFF"/>
        </w:rPr>
        <w:t xml:space="preserve"> </w:t>
      </w:r>
      <w:r w:rsidRPr="00E26524" w:rsidR="0064235F">
        <w:rPr>
          <w:sz w:val="24"/>
          <w:szCs w:val="24"/>
          <w:shd w:val="clear" w:color="auto" w:fill="FFFFFF"/>
        </w:rPr>
        <w:t>Now the information is requested on the form</w:t>
      </w:r>
      <w:r w:rsidRPr="00E26524" w:rsidR="00792E02">
        <w:rPr>
          <w:sz w:val="24"/>
          <w:szCs w:val="24"/>
          <w:shd w:val="clear" w:color="auto" w:fill="FFFFFF"/>
        </w:rPr>
        <w:t xml:space="preserve"> to ensure the program has </w:t>
      </w:r>
      <w:r w:rsidRPr="00E26524" w:rsidR="00DF4308">
        <w:rPr>
          <w:sz w:val="24"/>
          <w:szCs w:val="24"/>
          <w:shd w:val="clear" w:color="auto" w:fill="FFFFFF"/>
        </w:rPr>
        <w:t xml:space="preserve">the proper information for a respondent contact. </w:t>
      </w:r>
      <w:r w:rsidR="00E64F63">
        <w:rPr>
          <w:sz w:val="24"/>
          <w:szCs w:val="24"/>
          <w:shd w:val="clear" w:color="auto" w:fill="FFFFFF"/>
        </w:rPr>
        <w:t xml:space="preserve"> </w:t>
      </w:r>
      <w:r w:rsidRPr="00E26524" w:rsidR="00DF4308">
        <w:rPr>
          <w:sz w:val="24"/>
          <w:szCs w:val="24"/>
          <w:shd w:val="clear" w:color="auto" w:fill="FFFFFF"/>
        </w:rPr>
        <w:t>Exhibit A to ISR10</w:t>
      </w:r>
      <w:r w:rsidRPr="00E26524" w:rsidR="00C3339E">
        <w:rPr>
          <w:sz w:val="24"/>
          <w:szCs w:val="24"/>
          <w:shd w:val="clear" w:color="auto" w:fill="FFFFFF"/>
        </w:rPr>
        <w:t xml:space="preserve"> has been revised to reflect the </w:t>
      </w:r>
      <w:r w:rsidR="00E64F63">
        <w:rPr>
          <w:sz w:val="24"/>
          <w:szCs w:val="24"/>
          <w:shd w:val="clear" w:color="auto" w:fill="FFFFFF"/>
        </w:rPr>
        <w:t xml:space="preserve">method of </w:t>
      </w:r>
      <w:r w:rsidRPr="00E26524" w:rsidR="00C3339E">
        <w:rPr>
          <w:sz w:val="24"/>
          <w:szCs w:val="24"/>
          <w:shd w:val="clear" w:color="auto" w:fill="FFFFFF"/>
        </w:rPr>
        <w:t>calculation outline</w:t>
      </w:r>
      <w:r w:rsidR="00E64F63">
        <w:rPr>
          <w:sz w:val="24"/>
          <w:szCs w:val="24"/>
          <w:shd w:val="clear" w:color="auto" w:fill="FFFFFF"/>
        </w:rPr>
        <w:t>d</w:t>
      </w:r>
      <w:r w:rsidRPr="00E26524" w:rsidR="00C3339E">
        <w:rPr>
          <w:sz w:val="24"/>
          <w:szCs w:val="24"/>
          <w:shd w:val="clear" w:color="auto" w:fill="FFFFFF"/>
        </w:rPr>
        <w:t xml:space="preserve"> in 25 CFR 103.22. </w:t>
      </w:r>
      <w:r w:rsidR="00E64F63">
        <w:rPr>
          <w:sz w:val="24"/>
          <w:szCs w:val="24"/>
          <w:shd w:val="clear" w:color="auto" w:fill="FFFFFF"/>
        </w:rPr>
        <w:t xml:space="preserve"> </w:t>
      </w:r>
      <w:r w:rsidRPr="00E26524" w:rsidR="00C3339E">
        <w:rPr>
          <w:sz w:val="24"/>
          <w:szCs w:val="24"/>
          <w:shd w:val="clear" w:color="auto" w:fill="FFFFFF"/>
        </w:rPr>
        <w:t>Previously, Zone Managers would instruct respondents to ignore Exhibit A</w:t>
      </w:r>
      <w:r w:rsidRPr="00E26524" w:rsidR="00884AE5">
        <w:rPr>
          <w:sz w:val="24"/>
          <w:szCs w:val="24"/>
          <w:shd w:val="clear" w:color="auto" w:fill="FFFFFF"/>
        </w:rPr>
        <w:t>.</w:t>
      </w:r>
      <w:r w:rsidR="0007584F">
        <w:rPr>
          <w:sz w:val="24"/>
          <w:szCs w:val="24"/>
          <w:shd w:val="clear" w:color="auto" w:fill="FFFFFF"/>
        </w:rPr>
        <w:t xml:space="preserve">  </w:t>
      </w:r>
      <w:r w:rsidRPr="00E26524" w:rsidR="00884AE5">
        <w:rPr>
          <w:sz w:val="24"/>
          <w:szCs w:val="24"/>
          <w:shd w:val="clear" w:color="auto" w:fill="FFFFFF"/>
        </w:rPr>
        <w:t xml:space="preserve">The changes will correct the </w:t>
      </w:r>
      <w:r w:rsidR="0007584F">
        <w:rPr>
          <w:sz w:val="24"/>
          <w:szCs w:val="24"/>
          <w:shd w:val="clear" w:color="auto" w:fill="FFFFFF"/>
        </w:rPr>
        <w:t xml:space="preserve">method of </w:t>
      </w:r>
      <w:r w:rsidRPr="00E26524" w:rsidR="00884AE5">
        <w:rPr>
          <w:sz w:val="24"/>
          <w:szCs w:val="24"/>
          <w:shd w:val="clear" w:color="auto" w:fill="FFFFFF"/>
        </w:rPr>
        <w:t>calculation on the form and save respondents time trying to figure out the proper way to calculate interest subsidy on their own.</w:t>
      </w:r>
      <w:r w:rsidRPr="00E26524" w:rsidR="00AD5220">
        <w:rPr>
          <w:sz w:val="24"/>
          <w:szCs w:val="24"/>
          <w:shd w:val="clear" w:color="auto" w:fill="FFFFFF"/>
        </w:rPr>
        <w:t xml:space="preserve"> </w:t>
      </w:r>
      <w:r w:rsidR="0007584F">
        <w:rPr>
          <w:sz w:val="24"/>
          <w:szCs w:val="24"/>
          <w:shd w:val="clear" w:color="auto" w:fill="FFFFFF"/>
        </w:rPr>
        <w:t xml:space="preserve"> </w:t>
      </w:r>
      <w:r w:rsidRPr="00E26524" w:rsidR="00152959">
        <w:rPr>
          <w:sz w:val="24"/>
          <w:szCs w:val="24"/>
          <w:shd w:val="clear" w:color="auto" w:fill="FFFFFF"/>
        </w:rPr>
        <w:t xml:space="preserve">Editorial changes have been made to NLD10. </w:t>
      </w:r>
      <w:r w:rsidRPr="00E26524" w:rsidR="000942AE">
        <w:rPr>
          <w:sz w:val="24"/>
          <w:szCs w:val="24"/>
          <w:shd w:val="clear" w:color="auto" w:fill="FFFFFF"/>
        </w:rPr>
        <w:t xml:space="preserve">Following a request from a respondent, </w:t>
      </w:r>
      <w:r w:rsidRPr="00E26524" w:rsidR="00313484">
        <w:rPr>
          <w:sz w:val="24"/>
          <w:szCs w:val="24"/>
          <w:shd w:val="clear" w:color="auto" w:fill="FFFFFF"/>
        </w:rPr>
        <w:t xml:space="preserve">a category for “Alaska Village or Regional Corporation” has been added under “Borrower Type” </w:t>
      </w:r>
      <w:r w:rsidR="002121FB">
        <w:rPr>
          <w:sz w:val="24"/>
          <w:szCs w:val="24"/>
          <w:shd w:val="clear" w:color="auto" w:fill="FFFFFF"/>
        </w:rPr>
        <w:t xml:space="preserve">on NIL10. </w:t>
      </w:r>
      <w:r w:rsidRPr="00E26524" w:rsidR="00313484">
        <w:rPr>
          <w:sz w:val="24"/>
          <w:szCs w:val="24"/>
          <w:shd w:val="clear" w:color="auto" w:fill="FFFFFF"/>
        </w:rPr>
        <w:t xml:space="preserve">This will not </w:t>
      </w:r>
      <w:proofErr w:type="spellStart"/>
      <w:r w:rsidRPr="00E26524" w:rsidR="00313484">
        <w:rPr>
          <w:sz w:val="24"/>
          <w:szCs w:val="24"/>
          <w:shd w:val="clear" w:color="auto" w:fill="FFFFFF"/>
        </w:rPr>
        <w:t>materaily</w:t>
      </w:r>
      <w:proofErr w:type="spellEnd"/>
      <w:r w:rsidRPr="00E26524" w:rsidR="00313484">
        <w:rPr>
          <w:sz w:val="24"/>
          <w:szCs w:val="24"/>
          <w:shd w:val="clear" w:color="auto" w:fill="FFFFFF"/>
        </w:rPr>
        <w:t xml:space="preserve"> add to the time it take respondents </w:t>
      </w:r>
      <w:r w:rsidRPr="00E26524" w:rsidR="002938DE">
        <w:rPr>
          <w:sz w:val="24"/>
          <w:szCs w:val="24"/>
          <w:shd w:val="clear" w:color="auto" w:fill="FFFFFF"/>
        </w:rPr>
        <w:t xml:space="preserve">to fill out NIL10, but may save them time </w:t>
      </w:r>
      <w:r w:rsidRPr="00E26524" w:rsidR="00FB37A3">
        <w:rPr>
          <w:sz w:val="24"/>
          <w:szCs w:val="24"/>
          <w:shd w:val="clear" w:color="auto" w:fill="FFFFFF"/>
        </w:rPr>
        <w:t>trying to determine which category certain Alaskan borrowers should be listed under.</w:t>
      </w:r>
    </w:p>
    <w:p w:rsidR="0045510E" w:rsidP="4D37C57D" w:rsidRDefault="0045510E" w14:paraId="0FC6D1CF"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Pr="00E26524" w:rsidR="0045510E" w:rsidP="4D37C57D" w:rsidRDefault="00CD2CB0" w14:paraId="1232AA59" w14:textId="33194E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In response to feedback from respondents, a</w:t>
      </w:r>
      <w:r w:rsidR="0045510E">
        <w:rPr>
          <w:sz w:val="24"/>
          <w:szCs w:val="24"/>
          <w:shd w:val="clear" w:color="auto" w:fill="FFFFFF"/>
        </w:rPr>
        <w:t>ll forms have been updated to an electronically fillable format</w:t>
      </w:r>
      <w:r>
        <w:rPr>
          <w:sz w:val="24"/>
          <w:szCs w:val="24"/>
          <w:shd w:val="clear" w:color="auto" w:fill="FFFFFF"/>
        </w:rPr>
        <w:t xml:space="preserve"> which will save respondents </w:t>
      </w:r>
      <w:r w:rsidR="00405082">
        <w:rPr>
          <w:sz w:val="24"/>
          <w:szCs w:val="24"/>
          <w:shd w:val="clear" w:color="auto" w:fill="FFFFFF"/>
        </w:rPr>
        <w:t xml:space="preserve">time spent having to print and fill out the forms by hand. </w:t>
      </w:r>
    </w:p>
    <w:p w:rsidR="00B470BA" w:rsidP="4D37C57D" w:rsidRDefault="00B470BA" w14:paraId="5D7D7994"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hd w:val="clear" w:color="auto" w:fill="FFFFFF"/>
        </w:rPr>
      </w:pPr>
    </w:p>
    <w:tbl>
      <w:tblPr>
        <w:tblStyle w:val="TableGrid"/>
        <w:tblW w:w="0" w:type="auto"/>
        <w:tblInd w:w="265" w:type="dxa"/>
        <w:tblLook w:val="04A0" w:firstRow="1" w:lastRow="0" w:firstColumn="1" w:lastColumn="0" w:noHBand="0" w:noVBand="1"/>
      </w:tblPr>
      <w:tblGrid>
        <w:gridCol w:w="2851"/>
        <w:gridCol w:w="4349"/>
        <w:gridCol w:w="1885"/>
      </w:tblGrid>
      <w:tr w:rsidR="00B470BA" w:rsidTr="00657B92" w14:paraId="7E48BDAA" w14:textId="77777777">
        <w:tc>
          <w:tcPr>
            <w:tcW w:w="2851" w:type="dxa"/>
            <w:shd w:val="clear" w:color="auto" w:fill="D9D9D9" w:themeFill="background1" w:themeFillShade="D9"/>
          </w:tcPr>
          <w:p w:rsidRPr="009878C9" w:rsidR="00B470BA" w:rsidP="003B4071" w:rsidRDefault="00B470BA" w14:paraId="44EBBDB2" w14:textId="77777777">
            <w:pPr>
              <w:rPr>
                <w:b/>
                <w:bCs/>
                <w:sz w:val="24"/>
                <w:szCs w:val="24"/>
              </w:rPr>
            </w:pPr>
            <w:r w:rsidRPr="009878C9">
              <w:rPr>
                <w:b/>
                <w:bCs/>
                <w:sz w:val="24"/>
                <w:szCs w:val="24"/>
              </w:rPr>
              <w:t>Form</w:t>
            </w:r>
          </w:p>
        </w:tc>
        <w:tc>
          <w:tcPr>
            <w:tcW w:w="4349" w:type="dxa"/>
            <w:shd w:val="clear" w:color="auto" w:fill="D9D9D9" w:themeFill="background1" w:themeFillShade="D9"/>
          </w:tcPr>
          <w:p w:rsidRPr="009878C9" w:rsidR="00B470BA" w:rsidP="003B4071" w:rsidRDefault="00B470BA" w14:paraId="22D9404A" w14:textId="77777777">
            <w:pPr>
              <w:rPr>
                <w:b/>
                <w:bCs/>
                <w:sz w:val="24"/>
                <w:szCs w:val="24"/>
              </w:rPr>
            </w:pPr>
            <w:r w:rsidRPr="009878C9">
              <w:rPr>
                <w:b/>
                <w:bCs/>
                <w:sz w:val="24"/>
                <w:szCs w:val="24"/>
              </w:rPr>
              <w:t>Proposed Revision</w:t>
            </w:r>
          </w:p>
        </w:tc>
        <w:tc>
          <w:tcPr>
            <w:tcW w:w="1885" w:type="dxa"/>
            <w:shd w:val="clear" w:color="auto" w:fill="D9D9D9" w:themeFill="background1" w:themeFillShade="D9"/>
          </w:tcPr>
          <w:p w:rsidRPr="009878C9" w:rsidR="00B470BA" w:rsidP="003B4071" w:rsidRDefault="00B470BA" w14:paraId="03841C92" w14:textId="77777777">
            <w:pPr>
              <w:rPr>
                <w:b/>
                <w:bCs/>
                <w:sz w:val="24"/>
                <w:szCs w:val="24"/>
              </w:rPr>
            </w:pPr>
            <w:r w:rsidRPr="009878C9">
              <w:rPr>
                <w:b/>
                <w:bCs/>
                <w:sz w:val="24"/>
                <w:szCs w:val="24"/>
              </w:rPr>
              <w:t>Burden &amp; Cost</w:t>
            </w:r>
          </w:p>
        </w:tc>
      </w:tr>
      <w:tr w:rsidR="00B470BA" w:rsidTr="00657B92" w14:paraId="35CE9E71" w14:textId="77777777">
        <w:tc>
          <w:tcPr>
            <w:tcW w:w="2851" w:type="dxa"/>
          </w:tcPr>
          <w:p w:rsidR="00B470BA" w:rsidP="003B4071" w:rsidRDefault="00B470BA" w14:paraId="47A11E8A" w14:textId="77777777">
            <w:pPr>
              <w:rPr>
                <w:sz w:val="24"/>
                <w:szCs w:val="24"/>
              </w:rPr>
            </w:pPr>
            <w:r w:rsidRPr="00600470">
              <w:rPr>
                <w:sz w:val="24"/>
                <w:szCs w:val="24"/>
              </w:rPr>
              <w:t xml:space="preserve">LGA10, </w:t>
            </w:r>
            <w:r w:rsidRPr="009878C9">
              <w:rPr>
                <w:i/>
                <w:iCs/>
                <w:sz w:val="24"/>
                <w:szCs w:val="24"/>
              </w:rPr>
              <w:t>Loan Guarantee Agreement</w:t>
            </w:r>
          </w:p>
        </w:tc>
        <w:tc>
          <w:tcPr>
            <w:tcW w:w="4349" w:type="dxa"/>
          </w:tcPr>
          <w:p w:rsidR="00B470BA" w:rsidP="003B4071" w:rsidRDefault="00E13B53" w14:paraId="0B1D70AC" w14:textId="3D1C365E">
            <w:pPr>
              <w:rPr>
                <w:sz w:val="24"/>
                <w:szCs w:val="24"/>
              </w:rPr>
            </w:pPr>
            <w:r w:rsidRPr="00E13B53">
              <w:rPr>
                <w:sz w:val="24"/>
                <w:szCs w:val="24"/>
              </w:rPr>
              <w:t xml:space="preserve">Revise </w:t>
            </w:r>
            <w:r w:rsidR="00180196">
              <w:rPr>
                <w:sz w:val="24"/>
                <w:szCs w:val="24"/>
              </w:rPr>
              <w:t>criteria</w:t>
            </w:r>
            <w:r w:rsidRPr="00E13B53">
              <w:rPr>
                <w:sz w:val="24"/>
                <w:szCs w:val="24"/>
              </w:rPr>
              <w:t xml:space="preserve"> for lender awards; </w:t>
            </w:r>
            <w:r>
              <w:rPr>
                <w:sz w:val="24"/>
                <w:szCs w:val="24"/>
              </w:rPr>
              <w:t xml:space="preserve">Add space for </w:t>
            </w:r>
            <w:r w:rsidRPr="00E13B53">
              <w:rPr>
                <w:sz w:val="24"/>
                <w:szCs w:val="24"/>
              </w:rPr>
              <w:t xml:space="preserve">address, phone number and email </w:t>
            </w:r>
            <w:r>
              <w:rPr>
                <w:sz w:val="24"/>
                <w:szCs w:val="24"/>
              </w:rPr>
              <w:t>of</w:t>
            </w:r>
            <w:r w:rsidRPr="00E13B53">
              <w:rPr>
                <w:sz w:val="24"/>
                <w:szCs w:val="24"/>
              </w:rPr>
              <w:t xml:space="preserve"> bank contact on the signature page</w:t>
            </w:r>
          </w:p>
        </w:tc>
        <w:tc>
          <w:tcPr>
            <w:tcW w:w="1885" w:type="dxa"/>
          </w:tcPr>
          <w:p w:rsidR="00B470BA" w:rsidP="003B4071" w:rsidRDefault="00B470BA" w14:paraId="0378367A" w14:textId="77777777">
            <w:pPr>
              <w:rPr>
                <w:sz w:val="24"/>
                <w:szCs w:val="24"/>
              </w:rPr>
            </w:pPr>
            <w:r>
              <w:rPr>
                <w:sz w:val="24"/>
                <w:szCs w:val="24"/>
              </w:rPr>
              <w:t>No change.</w:t>
            </w:r>
          </w:p>
        </w:tc>
      </w:tr>
      <w:tr w:rsidR="00B470BA" w:rsidTr="00657B92" w14:paraId="08551B20" w14:textId="77777777">
        <w:tc>
          <w:tcPr>
            <w:tcW w:w="2851" w:type="dxa"/>
          </w:tcPr>
          <w:p w:rsidR="00B470BA" w:rsidP="003B4071" w:rsidRDefault="00B470BA" w14:paraId="52A130C3" w14:textId="77777777">
            <w:pPr>
              <w:rPr>
                <w:sz w:val="24"/>
                <w:szCs w:val="24"/>
              </w:rPr>
            </w:pPr>
            <w:r w:rsidRPr="00600470">
              <w:rPr>
                <w:sz w:val="24"/>
                <w:szCs w:val="24"/>
              </w:rPr>
              <w:t xml:space="preserve">LIA10, </w:t>
            </w:r>
            <w:r w:rsidRPr="009878C9">
              <w:rPr>
                <w:i/>
                <w:iCs/>
                <w:sz w:val="24"/>
                <w:szCs w:val="24"/>
              </w:rPr>
              <w:t>Loan Insurance Agreement</w:t>
            </w:r>
          </w:p>
        </w:tc>
        <w:tc>
          <w:tcPr>
            <w:tcW w:w="4349" w:type="dxa"/>
          </w:tcPr>
          <w:p w:rsidR="00B470BA" w:rsidP="003B4071" w:rsidRDefault="00180196" w14:paraId="0CD88F45" w14:textId="1D72A999">
            <w:pPr>
              <w:rPr>
                <w:sz w:val="24"/>
                <w:szCs w:val="24"/>
              </w:rPr>
            </w:pPr>
            <w:r w:rsidRPr="00180196">
              <w:rPr>
                <w:sz w:val="24"/>
                <w:szCs w:val="24"/>
              </w:rPr>
              <w:t xml:space="preserve">Add </w:t>
            </w:r>
            <w:r>
              <w:rPr>
                <w:sz w:val="24"/>
                <w:szCs w:val="24"/>
              </w:rPr>
              <w:t>criteria</w:t>
            </w:r>
            <w:r w:rsidRPr="00180196">
              <w:rPr>
                <w:sz w:val="24"/>
                <w:szCs w:val="24"/>
              </w:rPr>
              <w:t xml:space="preserve"> for lender awards; </w:t>
            </w:r>
            <w:r>
              <w:rPr>
                <w:sz w:val="24"/>
                <w:szCs w:val="24"/>
              </w:rPr>
              <w:t xml:space="preserve">Add space for </w:t>
            </w:r>
            <w:r w:rsidRPr="00180196">
              <w:rPr>
                <w:sz w:val="24"/>
                <w:szCs w:val="24"/>
              </w:rPr>
              <w:t>address, phone number and email for bank contact on the signature page</w:t>
            </w:r>
          </w:p>
        </w:tc>
        <w:tc>
          <w:tcPr>
            <w:tcW w:w="1885" w:type="dxa"/>
          </w:tcPr>
          <w:p w:rsidR="00B470BA" w:rsidP="003B4071" w:rsidRDefault="00B470BA" w14:paraId="6AFD0927" w14:textId="77777777">
            <w:pPr>
              <w:rPr>
                <w:sz w:val="24"/>
                <w:szCs w:val="24"/>
              </w:rPr>
            </w:pPr>
            <w:r>
              <w:rPr>
                <w:sz w:val="24"/>
                <w:szCs w:val="24"/>
              </w:rPr>
              <w:t>No change.</w:t>
            </w:r>
          </w:p>
        </w:tc>
      </w:tr>
      <w:tr w:rsidR="00B470BA" w:rsidTr="00657B92" w14:paraId="2C759564" w14:textId="77777777">
        <w:tc>
          <w:tcPr>
            <w:tcW w:w="2851" w:type="dxa"/>
          </w:tcPr>
          <w:p w:rsidR="00B470BA" w:rsidP="003B4071" w:rsidRDefault="00B470BA" w14:paraId="43FE5B23" w14:textId="77777777">
            <w:pPr>
              <w:rPr>
                <w:sz w:val="24"/>
                <w:szCs w:val="24"/>
              </w:rPr>
            </w:pPr>
            <w:r w:rsidRPr="00600470">
              <w:rPr>
                <w:sz w:val="24"/>
                <w:szCs w:val="24"/>
              </w:rPr>
              <w:t xml:space="preserve">RGI10, </w:t>
            </w:r>
            <w:r w:rsidRPr="009878C9">
              <w:rPr>
                <w:i/>
                <w:iCs/>
                <w:sz w:val="24"/>
                <w:szCs w:val="24"/>
              </w:rPr>
              <w:t>Request for Loan Guarantee, Loan Insurance, and/or Interest Subsidy</w:t>
            </w:r>
          </w:p>
        </w:tc>
        <w:tc>
          <w:tcPr>
            <w:tcW w:w="4349" w:type="dxa"/>
          </w:tcPr>
          <w:p w:rsidR="00B470BA" w:rsidP="003B4071" w:rsidRDefault="00F06ED0" w14:paraId="0FFB369E" w14:textId="5C08F532">
            <w:pPr>
              <w:rPr>
                <w:sz w:val="24"/>
                <w:szCs w:val="24"/>
              </w:rPr>
            </w:pPr>
            <w:r w:rsidRPr="00F06ED0">
              <w:rPr>
                <w:sz w:val="24"/>
                <w:szCs w:val="24"/>
              </w:rPr>
              <w:t xml:space="preserve">Take out </w:t>
            </w:r>
            <w:r>
              <w:rPr>
                <w:sz w:val="24"/>
                <w:szCs w:val="24"/>
              </w:rPr>
              <w:t>second</w:t>
            </w:r>
            <w:r w:rsidRPr="00F06ED0">
              <w:rPr>
                <w:sz w:val="24"/>
                <w:szCs w:val="24"/>
              </w:rPr>
              <w:t xml:space="preserve"> Lender ABA No. </w:t>
            </w:r>
            <w:r>
              <w:rPr>
                <w:sz w:val="24"/>
                <w:szCs w:val="24"/>
              </w:rPr>
              <w:t>s</w:t>
            </w:r>
            <w:r w:rsidRPr="00F06ED0">
              <w:rPr>
                <w:sz w:val="24"/>
                <w:szCs w:val="24"/>
              </w:rPr>
              <w:t xml:space="preserve">pace; </w:t>
            </w:r>
            <w:r>
              <w:rPr>
                <w:sz w:val="24"/>
                <w:szCs w:val="24"/>
              </w:rPr>
              <w:t>C</w:t>
            </w:r>
            <w:r w:rsidRPr="00F06ED0">
              <w:rPr>
                <w:sz w:val="24"/>
                <w:szCs w:val="24"/>
              </w:rPr>
              <w:t>hange "Loan Guaranty, Loan Insurance and Interest Subsidy Program" to "Loan Guarantee, Insurance and Interest Subsidy Program."</w:t>
            </w:r>
          </w:p>
        </w:tc>
        <w:tc>
          <w:tcPr>
            <w:tcW w:w="1885" w:type="dxa"/>
          </w:tcPr>
          <w:p w:rsidR="00B470BA" w:rsidP="003B4071" w:rsidRDefault="00B470BA" w14:paraId="336B0A44" w14:textId="77777777">
            <w:pPr>
              <w:rPr>
                <w:sz w:val="24"/>
                <w:szCs w:val="24"/>
              </w:rPr>
            </w:pPr>
            <w:r>
              <w:rPr>
                <w:sz w:val="24"/>
                <w:szCs w:val="24"/>
              </w:rPr>
              <w:t>No change.</w:t>
            </w:r>
          </w:p>
        </w:tc>
      </w:tr>
      <w:tr w:rsidR="00B470BA" w:rsidTr="00657B92" w14:paraId="238E243C" w14:textId="77777777">
        <w:tc>
          <w:tcPr>
            <w:tcW w:w="2851" w:type="dxa"/>
          </w:tcPr>
          <w:p w:rsidR="00B470BA" w:rsidP="003B4071" w:rsidRDefault="00B470BA" w14:paraId="35F0EA21" w14:textId="77777777">
            <w:pPr>
              <w:rPr>
                <w:sz w:val="24"/>
                <w:szCs w:val="24"/>
              </w:rPr>
            </w:pPr>
            <w:r w:rsidRPr="00600470">
              <w:rPr>
                <w:sz w:val="24"/>
                <w:szCs w:val="24"/>
              </w:rPr>
              <w:t xml:space="preserve">Exhibit A </w:t>
            </w:r>
            <w:r>
              <w:rPr>
                <w:sz w:val="24"/>
                <w:szCs w:val="24"/>
              </w:rPr>
              <w:t xml:space="preserve">-- </w:t>
            </w:r>
            <w:r w:rsidRPr="00600470">
              <w:rPr>
                <w:sz w:val="24"/>
                <w:szCs w:val="24"/>
              </w:rPr>
              <w:t xml:space="preserve">ISR10, </w:t>
            </w:r>
            <w:r w:rsidRPr="009878C9">
              <w:rPr>
                <w:i/>
                <w:iCs/>
                <w:sz w:val="24"/>
                <w:szCs w:val="24"/>
              </w:rPr>
              <w:t>Indian Affairs Interest Subsidy Report</w:t>
            </w:r>
          </w:p>
        </w:tc>
        <w:tc>
          <w:tcPr>
            <w:tcW w:w="4349" w:type="dxa"/>
          </w:tcPr>
          <w:p w:rsidR="00B470BA" w:rsidP="003B4071" w:rsidRDefault="00B470BA" w14:paraId="7652D4CB" w14:textId="77777777">
            <w:pPr>
              <w:rPr>
                <w:sz w:val="24"/>
                <w:szCs w:val="24"/>
              </w:rPr>
            </w:pPr>
            <w:r>
              <w:rPr>
                <w:sz w:val="24"/>
                <w:szCs w:val="24"/>
              </w:rPr>
              <w:t>M</w:t>
            </w:r>
            <w:r w:rsidRPr="009878C9">
              <w:rPr>
                <w:sz w:val="24"/>
                <w:szCs w:val="24"/>
              </w:rPr>
              <w:t xml:space="preserve">ethodology </w:t>
            </w:r>
            <w:r>
              <w:rPr>
                <w:sz w:val="24"/>
                <w:szCs w:val="24"/>
              </w:rPr>
              <w:t xml:space="preserve">for Exhibit A calculation revised </w:t>
            </w:r>
            <w:r w:rsidRPr="009878C9">
              <w:rPr>
                <w:sz w:val="24"/>
                <w:szCs w:val="24"/>
              </w:rPr>
              <w:t>to match 25 CFR 103.22</w:t>
            </w:r>
          </w:p>
        </w:tc>
        <w:tc>
          <w:tcPr>
            <w:tcW w:w="1885" w:type="dxa"/>
          </w:tcPr>
          <w:p w:rsidR="00B470BA" w:rsidP="003B4071" w:rsidRDefault="00B470BA" w14:paraId="62BA63A9" w14:textId="77777777">
            <w:pPr>
              <w:rPr>
                <w:sz w:val="24"/>
                <w:szCs w:val="24"/>
              </w:rPr>
            </w:pPr>
            <w:r>
              <w:rPr>
                <w:sz w:val="24"/>
                <w:szCs w:val="24"/>
              </w:rPr>
              <w:t>No change.</w:t>
            </w:r>
          </w:p>
        </w:tc>
      </w:tr>
      <w:tr w:rsidR="00B470BA" w:rsidTr="00657B92" w14:paraId="1D7407AF" w14:textId="77777777">
        <w:tc>
          <w:tcPr>
            <w:tcW w:w="2851" w:type="dxa"/>
          </w:tcPr>
          <w:p w:rsidR="00B470BA" w:rsidP="003B4071" w:rsidRDefault="00493715" w14:paraId="1F10E379" w14:textId="799343F4">
            <w:pPr>
              <w:rPr>
                <w:sz w:val="24"/>
                <w:szCs w:val="24"/>
              </w:rPr>
            </w:pPr>
            <w:r w:rsidRPr="00493715">
              <w:rPr>
                <w:sz w:val="24"/>
                <w:szCs w:val="24"/>
              </w:rPr>
              <w:t xml:space="preserve">NOD10, </w:t>
            </w:r>
            <w:r w:rsidRPr="00E26524">
              <w:rPr>
                <w:i/>
                <w:sz w:val="24"/>
                <w:szCs w:val="24"/>
              </w:rPr>
              <w:t>Notice of Default</w:t>
            </w:r>
          </w:p>
        </w:tc>
        <w:tc>
          <w:tcPr>
            <w:tcW w:w="4349" w:type="dxa"/>
          </w:tcPr>
          <w:p w:rsidR="00B470BA" w:rsidP="003B4071" w:rsidRDefault="00493715" w14:paraId="65F34BFB" w14:textId="6B16347E">
            <w:pPr>
              <w:rPr>
                <w:sz w:val="24"/>
                <w:szCs w:val="24"/>
              </w:rPr>
            </w:pPr>
            <w:proofErr w:type="spellStart"/>
            <w:r>
              <w:rPr>
                <w:sz w:val="24"/>
                <w:szCs w:val="24"/>
              </w:rPr>
              <w:t>Editioral</w:t>
            </w:r>
            <w:proofErr w:type="spellEnd"/>
            <w:r>
              <w:rPr>
                <w:sz w:val="24"/>
                <w:szCs w:val="24"/>
              </w:rPr>
              <w:t xml:space="preserve"> change to </w:t>
            </w:r>
            <w:r w:rsidR="00A805FC">
              <w:rPr>
                <w:sz w:val="24"/>
                <w:szCs w:val="24"/>
              </w:rPr>
              <w:t>layout.</w:t>
            </w:r>
          </w:p>
        </w:tc>
        <w:tc>
          <w:tcPr>
            <w:tcW w:w="1885" w:type="dxa"/>
          </w:tcPr>
          <w:p w:rsidR="00B470BA" w:rsidP="003B4071" w:rsidRDefault="00A805FC" w14:paraId="41B6D0C6" w14:textId="3ACF39E0">
            <w:pPr>
              <w:rPr>
                <w:sz w:val="24"/>
                <w:szCs w:val="24"/>
              </w:rPr>
            </w:pPr>
            <w:r>
              <w:rPr>
                <w:sz w:val="24"/>
                <w:szCs w:val="24"/>
              </w:rPr>
              <w:t>No change.</w:t>
            </w:r>
          </w:p>
        </w:tc>
      </w:tr>
      <w:tr w:rsidR="00B470BA" w:rsidTr="00657B92" w14:paraId="15DE2E29" w14:textId="77777777">
        <w:tc>
          <w:tcPr>
            <w:tcW w:w="2851" w:type="dxa"/>
          </w:tcPr>
          <w:p w:rsidR="00B470BA" w:rsidP="003B4071" w:rsidRDefault="00C756E7" w14:paraId="0757908E" w14:textId="41E03CDF">
            <w:pPr>
              <w:rPr>
                <w:sz w:val="24"/>
                <w:szCs w:val="24"/>
              </w:rPr>
            </w:pPr>
            <w:r>
              <w:rPr>
                <w:sz w:val="24"/>
                <w:szCs w:val="24"/>
              </w:rPr>
              <w:t>NIL10</w:t>
            </w:r>
            <w:r w:rsidR="004A13E3">
              <w:rPr>
                <w:sz w:val="24"/>
                <w:szCs w:val="24"/>
              </w:rPr>
              <w:t xml:space="preserve">, </w:t>
            </w:r>
            <w:r w:rsidRPr="000135D4" w:rsidR="00443D54">
              <w:rPr>
                <w:i/>
                <w:iCs/>
                <w:sz w:val="24"/>
                <w:szCs w:val="24"/>
              </w:rPr>
              <w:t>Notice of Insured Loan</w:t>
            </w:r>
          </w:p>
        </w:tc>
        <w:tc>
          <w:tcPr>
            <w:tcW w:w="4349" w:type="dxa"/>
          </w:tcPr>
          <w:p w:rsidR="00B470BA" w:rsidP="003B4071" w:rsidRDefault="00C756E7" w14:paraId="4551521B" w14:textId="090A1D69">
            <w:pPr>
              <w:rPr>
                <w:sz w:val="24"/>
                <w:szCs w:val="24"/>
              </w:rPr>
            </w:pPr>
            <w:r>
              <w:rPr>
                <w:sz w:val="24"/>
                <w:szCs w:val="24"/>
              </w:rPr>
              <w:t xml:space="preserve">Add “Alaska </w:t>
            </w:r>
            <w:r w:rsidRPr="000F19FF">
              <w:rPr>
                <w:sz w:val="24"/>
                <w:szCs w:val="24"/>
              </w:rPr>
              <w:t>Village or Regional Corporation</w:t>
            </w:r>
            <w:r>
              <w:rPr>
                <w:sz w:val="24"/>
                <w:szCs w:val="24"/>
              </w:rPr>
              <w:t>” under Borrower Type.</w:t>
            </w:r>
          </w:p>
        </w:tc>
        <w:tc>
          <w:tcPr>
            <w:tcW w:w="1885" w:type="dxa"/>
          </w:tcPr>
          <w:p w:rsidR="00B470BA" w:rsidP="003B4071" w:rsidRDefault="00C756E7" w14:paraId="5BC7AA54" w14:textId="31E62211">
            <w:pPr>
              <w:rPr>
                <w:sz w:val="24"/>
                <w:szCs w:val="24"/>
              </w:rPr>
            </w:pPr>
            <w:r>
              <w:rPr>
                <w:sz w:val="24"/>
                <w:szCs w:val="24"/>
              </w:rPr>
              <w:t>No change.</w:t>
            </w:r>
          </w:p>
        </w:tc>
      </w:tr>
    </w:tbl>
    <w:p w:rsidRPr="00DE568B" w:rsidR="00B470BA" w:rsidP="4D37C57D" w:rsidRDefault="00B470BA" w14:paraId="7F0D8672"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rPr>
      </w:pPr>
    </w:p>
    <w:p w:rsidRPr="00D15C37" w:rsidR="00D510C5" w:rsidP="00012FA5" w:rsidRDefault="00D510C5" w14:paraId="45A9F2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P="00012FA5" w:rsidRDefault="00012FA5" w14:paraId="23BE5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5C37" w:rsidR="00012FA5" w:rsidP="00012FA5" w:rsidRDefault="00012FA5" w14:paraId="586D7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30BA1" w:rsidR="00D510C5" w:rsidP="00D510C5" w:rsidRDefault="00D510C5" w14:paraId="7979E760" w14:textId="77777777">
      <w:pPr>
        <w:spacing w:line="231" w:lineRule="auto"/>
        <w:rPr>
          <w:color w:val="000000"/>
          <w:sz w:val="24"/>
          <w:szCs w:val="24"/>
        </w:rPr>
      </w:pPr>
      <w:r w:rsidRPr="00F30BA1">
        <w:rPr>
          <w:color w:val="000000"/>
          <w:sz w:val="24"/>
          <w:szCs w:val="24"/>
        </w:rPr>
        <w:t>There are no plans to publish any of this information.</w:t>
      </w:r>
    </w:p>
    <w:p w:rsidR="00012FA5" w:rsidP="00012FA5" w:rsidRDefault="00012FA5" w14:paraId="54AE5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Pr="00D15C37" w:rsidR="00012FA5" w:rsidP="00012FA5" w:rsidRDefault="00012FA5" w14:paraId="3E636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rsidR="00012FA5" w:rsidP="00012FA5" w:rsidRDefault="00012FA5" w14:paraId="05B73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012FA5" w:rsidP="00D510C5" w:rsidRDefault="00012FA5" w14:paraId="60AAB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 xml:space="preserve">We </w:t>
      </w:r>
      <w:r w:rsidR="00D510C5">
        <w:rPr>
          <w:sz w:val="24"/>
          <w:szCs w:val="24"/>
        </w:rPr>
        <w:t>will</w:t>
      </w:r>
      <w:r w:rsidRPr="00D36D17">
        <w:rPr>
          <w:sz w:val="24"/>
          <w:szCs w:val="24"/>
        </w:rPr>
        <w:t xml:space="preserve"> display the OMB Control Number and the expiration date</w:t>
      </w:r>
      <w:r w:rsidR="003C6CDA">
        <w:rPr>
          <w:sz w:val="24"/>
          <w:szCs w:val="24"/>
        </w:rPr>
        <w:t xml:space="preserve"> on all of the forms</w:t>
      </w:r>
      <w:r w:rsidRPr="00D36D17">
        <w:rPr>
          <w:sz w:val="24"/>
          <w:szCs w:val="24"/>
        </w:rPr>
        <w:t>.</w:t>
      </w:r>
    </w:p>
    <w:p w:rsidR="00012FA5" w:rsidP="00012FA5" w:rsidRDefault="00012FA5" w14:paraId="0FB86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2F77B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rsidRPr="00D15C37" w:rsidR="00012FA5" w:rsidP="00012FA5" w:rsidRDefault="00012FA5" w14:paraId="1E27B0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P="00D510C5" w:rsidRDefault="00012FA5" w14:paraId="73BD2C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sectPr w:rsidR="00012FA5" w:rsidSect="00D510C5">
      <w:headerReference w:type="default" r:id="rId17"/>
      <w:footerReference w:type="default" r:id="rId18"/>
      <w:type w:val="continuous"/>
      <w:pgSz w:w="12240" w:h="15840"/>
      <w:pgMar w:top="1080" w:right="1440" w:bottom="1440" w:left="1440" w:header="144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4894" w14:textId="77777777" w:rsidR="00781E81" w:rsidRDefault="00781E81" w:rsidP="00F96DEC">
      <w:r>
        <w:separator/>
      </w:r>
    </w:p>
  </w:endnote>
  <w:endnote w:type="continuationSeparator" w:id="0">
    <w:p w14:paraId="3DC587A5" w14:textId="77777777" w:rsidR="00781E81" w:rsidRDefault="00781E81" w:rsidP="00F96DEC">
      <w:r>
        <w:continuationSeparator/>
      </w:r>
    </w:p>
  </w:endnote>
  <w:endnote w:type="continuationNotice" w:id="1">
    <w:p w14:paraId="1A76440B" w14:textId="77777777" w:rsidR="00781E81" w:rsidRDefault="0078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1287" w14:textId="59BBD14B" w:rsidR="0043053A" w:rsidRDefault="0043053A">
    <w:pPr>
      <w:pStyle w:val="Footer"/>
      <w:jc w:val="center"/>
    </w:pPr>
    <w:r>
      <w:fldChar w:fldCharType="begin"/>
    </w:r>
    <w:r>
      <w:instrText xml:space="preserve"> PAGE   \* MERGEFORMAT </w:instrText>
    </w:r>
    <w:r>
      <w:fldChar w:fldCharType="separate"/>
    </w:r>
    <w:r w:rsidR="00994F8A">
      <w:rPr>
        <w:noProof/>
      </w:rPr>
      <w:t>1</w:t>
    </w:r>
    <w:r>
      <w:rPr>
        <w:noProof/>
      </w:rPr>
      <w:fldChar w:fldCharType="end"/>
    </w:r>
  </w:p>
  <w:p w14:paraId="06528F3A" w14:textId="77777777" w:rsidR="0043053A" w:rsidRDefault="0043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6F12" w14:textId="77777777" w:rsidR="00781E81" w:rsidRDefault="00781E81" w:rsidP="00F96DEC">
      <w:r>
        <w:separator/>
      </w:r>
    </w:p>
  </w:footnote>
  <w:footnote w:type="continuationSeparator" w:id="0">
    <w:p w14:paraId="7673E6E8" w14:textId="77777777" w:rsidR="00781E81" w:rsidRDefault="00781E81" w:rsidP="00F96DEC">
      <w:r>
        <w:continuationSeparator/>
      </w:r>
    </w:p>
  </w:footnote>
  <w:footnote w:type="continuationNotice" w:id="1">
    <w:p w14:paraId="3F1448B9" w14:textId="77777777" w:rsidR="00781E81" w:rsidRDefault="00781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48FE" w14:textId="77777777" w:rsidR="0043053A" w:rsidRDefault="0043053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05F"/>
    <w:multiLevelType w:val="hybridMultilevel"/>
    <w:tmpl w:val="809073F2"/>
    <w:lvl w:ilvl="0" w:tplc="898676D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70C70"/>
    <w:multiLevelType w:val="hybridMultilevel"/>
    <w:tmpl w:val="A0F8DF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1307A"/>
    <w:multiLevelType w:val="hybridMultilevel"/>
    <w:tmpl w:val="CAC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1169E"/>
    <w:multiLevelType w:val="hybridMultilevel"/>
    <w:tmpl w:val="6A4A1D8A"/>
    <w:lvl w:ilvl="0" w:tplc="898676D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4080E"/>
    <w:multiLevelType w:val="hybridMultilevel"/>
    <w:tmpl w:val="98382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904D3"/>
    <w:multiLevelType w:val="hybridMultilevel"/>
    <w:tmpl w:val="8EDE4ABC"/>
    <w:lvl w:ilvl="0" w:tplc="04090001">
      <w:start w:val="1"/>
      <w:numFmt w:val="bullet"/>
      <w:lvlText w:val=""/>
      <w:lvlJc w:val="left"/>
      <w:pPr>
        <w:tabs>
          <w:tab w:val="num" w:pos="720"/>
        </w:tabs>
        <w:ind w:left="720" w:hanging="360"/>
      </w:pPr>
      <w:rPr>
        <w:rFonts w:ascii="Symbol" w:hAnsi="Symbol" w:hint="default"/>
      </w:rPr>
    </w:lvl>
    <w:lvl w:ilvl="1" w:tplc="4552D8CC">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3"/>
  </w:num>
  <w:num w:numId="4">
    <w:abstractNumId w:val="11"/>
  </w:num>
  <w:num w:numId="5">
    <w:abstractNumId w:val="6"/>
  </w:num>
  <w:num w:numId="6">
    <w:abstractNumId w:val="3"/>
  </w:num>
  <w:num w:numId="7">
    <w:abstractNumId w:val="2"/>
  </w:num>
  <w:num w:numId="8">
    <w:abstractNumId w:val="19"/>
  </w:num>
  <w:num w:numId="9">
    <w:abstractNumId w:val="17"/>
  </w:num>
  <w:num w:numId="10">
    <w:abstractNumId w:val="1"/>
  </w:num>
  <w:num w:numId="11">
    <w:abstractNumId w:val="14"/>
  </w:num>
  <w:num w:numId="12">
    <w:abstractNumId w:val="22"/>
  </w:num>
  <w:num w:numId="13">
    <w:abstractNumId w:val="16"/>
  </w:num>
  <w:num w:numId="14">
    <w:abstractNumId w:val="10"/>
  </w:num>
  <w:num w:numId="15">
    <w:abstractNumId w:val="18"/>
  </w:num>
  <w:num w:numId="16">
    <w:abstractNumId w:val="7"/>
  </w:num>
  <w:num w:numId="17">
    <w:abstractNumId w:val="23"/>
  </w:num>
  <w:num w:numId="18">
    <w:abstractNumId w:val="15"/>
  </w:num>
  <w:num w:numId="19">
    <w:abstractNumId w:val="12"/>
  </w:num>
  <w:num w:numId="20">
    <w:abstractNumId w:val="4"/>
  </w:num>
  <w:num w:numId="21">
    <w:abstractNumId w:val="5"/>
  </w:num>
  <w:num w:numId="22">
    <w:abstractNumId w:val="8"/>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A7B"/>
    <w:rsid w:val="00002303"/>
    <w:rsid w:val="00004E68"/>
    <w:rsid w:val="00012AE0"/>
    <w:rsid w:val="00012FA5"/>
    <w:rsid w:val="000135D4"/>
    <w:rsid w:val="000158AF"/>
    <w:rsid w:val="00015BB0"/>
    <w:rsid w:val="00022B8C"/>
    <w:rsid w:val="000236F3"/>
    <w:rsid w:val="000257C8"/>
    <w:rsid w:val="00026233"/>
    <w:rsid w:val="000326C2"/>
    <w:rsid w:val="00032B7D"/>
    <w:rsid w:val="00037E7B"/>
    <w:rsid w:val="00040EA2"/>
    <w:rsid w:val="00045704"/>
    <w:rsid w:val="00047C9D"/>
    <w:rsid w:val="000577F5"/>
    <w:rsid w:val="000616FE"/>
    <w:rsid w:val="00061E8E"/>
    <w:rsid w:val="000649F8"/>
    <w:rsid w:val="00072028"/>
    <w:rsid w:val="000736DC"/>
    <w:rsid w:val="00075665"/>
    <w:rsid w:val="00075768"/>
    <w:rsid w:val="0007584F"/>
    <w:rsid w:val="000772A1"/>
    <w:rsid w:val="0008079B"/>
    <w:rsid w:val="00082ED2"/>
    <w:rsid w:val="00087D4A"/>
    <w:rsid w:val="00090115"/>
    <w:rsid w:val="000912C5"/>
    <w:rsid w:val="00091592"/>
    <w:rsid w:val="0009327B"/>
    <w:rsid w:val="000942AE"/>
    <w:rsid w:val="000955AA"/>
    <w:rsid w:val="00095B75"/>
    <w:rsid w:val="00095CBF"/>
    <w:rsid w:val="0009693B"/>
    <w:rsid w:val="000970F5"/>
    <w:rsid w:val="000A1075"/>
    <w:rsid w:val="000A26BE"/>
    <w:rsid w:val="000A404B"/>
    <w:rsid w:val="000B3A33"/>
    <w:rsid w:val="000B51D4"/>
    <w:rsid w:val="000B69DA"/>
    <w:rsid w:val="000B7230"/>
    <w:rsid w:val="000B7769"/>
    <w:rsid w:val="000C6977"/>
    <w:rsid w:val="000C7B81"/>
    <w:rsid w:val="000D161C"/>
    <w:rsid w:val="000D2F68"/>
    <w:rsid w:val="000D512E"/>
    <w:rsid w:val="000D6CB8"/>
    <w:rsid w:val="000D72A9"/>
    <w:rsid w:val="000D73E0"/>
    <w:rsid w:val="000E3486"/>
    <w:rsid w:val="000E5E45"/>
    <w:rsid w:val="000F0873"/>
    <w:rsid w:val="000F0D9D"/>
    <w:rsid w:val="000F19FF"/>
    <w:rsid w:val="000F1C17"/>
    <w:rsid w:val="000F39C8"/>
    <w:rsid w:val="000F3AF1"/>
    <w:rsid w:val="000F5923"/>
    <w:rsid w:val="000F6018"/>
    <w:rsid w:val="000F648F"/>
    <w:rsid w:val="000F77F6"/>
    <w:rsid w:val="0010099A"/>
    <w:rsid w:val="00102EB0"/>
    <w:rsid w:val="00103684"/>
    <w:rsid w:val="001053E9"/>
    <w:rsid w:val="0010683D"/>
    <w:rsid w:val="0011667B"/>
    <w:rsid w:val="00124151"/>
    <w:rsid w:val="00124732"/>
    <w:rsid w:val="001276E4"/>
    <w:rsid w:val="001278B0"/>
    <w:rsid w:val="001301A8"/>
    <w:rsid w:val="0013165E"/>
    <w:rsid w:val="00136FE8"/>
    <w:rsid w:val="00137E28"/>
    <w:rsid w:val="001412D4"/>
    <w:rsid w:val="00141945"/>
    <w:rsid w:val="00141D45"/>
    <w:rsid w:val="00145A64"/>
    <w:rsid w:val="00152959"/>
    <w:rsid w:val="00157303"/>
    <w:rsid w:val="00160BC7"/>
    <w:rsid w:val="0016131B"/>
    <w:rsid w:val="0016216F"/>
    <w:rsid w:val="001624D4"/>
    <w:rsid w:val="00162B02"/>
    <w:rsid w:val="001666E1"/>
    <w:rsid w:val="00175CA6"/>
    <w:rsid w:val="00180196"/>
    <w:rsid w:val="00180544"/>
    <w:rsid w:val="001805CE"/>
    <w:rsid w:val="00182989"/>
    <w:rsid w:val="001840C8"/>
    <w:rsid w:val="00193A15"/>
    <w:rsid w:val="001943D7"/>
    <w:rsid w:val="00195020"/>
    <w:rsid w:val="001951FD"/>
    <w:rsid w:val="001960DF"/>
    <w:rsid w:val="00197C44"/>
    <w:rsid w:val="001A2B4C"/>
    <w:rsid w:val="001A355F"/>
    <w:rsid w:val="001B5919"/>
    <w:rsid w:val="001B62B3"/>
    <w:rsid w:val="001B6550"/>
    <w:rsid w:val="001C1090"/>
    <w:rsid w:val="001C6E4F"/>
    <w:rsid w:val="001D0269"/>
    <w:rsid w:val="001D0EB1"/>
    <w:rsid w:val="001D5FC4"/>
    <w:rsid w:val="001D6794"/>
    <w:rsid w:val="001E141C"/>
    <w:rsid w:val="001E187B"/>
    <w:rsid w:val="001F0E0D"/>
    <w:rsid w:val="002037DC"/>
    <w:rsid w:val="00207D60"/>
    <w:rsid w:val="002121FB"/>
    <w:rsid w:val="00220FF2"/>
    <w:rsid w:val="00227216"/>
    <w:rsid w:val="00231F4A"/>
    <w:rsid w:val="002324AC"/>
    <w:rsid w:val="00235D73"/>
    <w:rsid w:val="002402C3"/>
    <w:rsid w:val="002411B2"/>
    <w:rsid w:val="00243B67"/>
    <w:rsid w:val="00244FB4"/>
    <w:rsid w:val="002458F5"/>
    <w:rsid w:val="002507CA"/>
    <w:rsid w:val="00250F26"/>
    <w:rsid w:val="00253A7B"/>
    <w:rsid w:val="002614FD"/>
    <w:rsid w:val="0026564C"/>
    <w:rsid w:val="00270649"/>
    <w:rsid w:val="002706DC"/>
    <w:rsid w:val="002726A9"/>
    <w:rsid w:val="00272E66"/>
    <w:rsid w:val="0027725C"/>
    <w:rsid w:val="0028306C"/>
    <w:rsid w:val="00284030"/>
    <w:rsid w:val="0029033F"/>
    <w:rsid w:val="002938DE"/>
    <w:rsid w:val="00295103"/>
    <w:rsid w:val="002954B5"/>
    <w:rsid w:val="002A21CE"/>
    <w:rsid w:val="002A707F"/>
    <w:rsid w:val="002B15DB"/>
    <w:rsid w:val="002B2003"/>
    <w:rsid w:val="002B5FCA"/>
    <w:rsid w:val="002B7426"/>
    <w:rsid w:val="002C28AF"/>
    <w:rsid w:val="002C2B54"/>
    <w:rsid w:val="002C5236"/>
    <w:rsid w:val="002C700F"/>
    <w:rsid w:val="002D4784"/>
    <w:rsid w:val="002D7317"/>
    <w:rsid w:val="002E4D4E"/>
    <w:rsid w:val="00301AAF"/>
    <w:rsid w:val="00305F4B"/>
    <w:rsid w:val="003129E9"/>
    <w:rsid w:val="00313484"/>
    <w:rsid w:val="003176AE"/>
    <w:rsid w:val="0032055B"/>
    <w:rsid w:val="0032293D"/>
    <w:rsid w:val="00324FBE"/>
    <w:rsid w:val="003257AF"/>
    <w:rsid w:val="00325E98"/>
    <w:rsid w:val="003278DD"/>
    <w:rsid w:val="00327F2E"/>
    <w:rsid w:val="00330D5F"/>
    <w:rsid w:val="00332C0B"/>
    <w:rsid w:val="00333863"/>
    <w:rsid w:val="003364E8"/>
    <w:rsid w:val="003404DD"/>
    <w:rsid w:val="003438DC"/>
    <w:rsid w:val="0035010B"/>
    <w:rsid w:val="00350EA1"/>
    <w:rsid w:val="00350F11"/>
    <w:rsid w:val="00352210"/>
    <w:rsid w:val="00353625"/>
    <w:rsid w:val="00357CC4"/>
    <w:rsid w:val="00360A73"/>
    <w:rsid w:val="003635DD"/>
    <w:rsid w:val="0036496A"/>
    <w:rsid w:val="003657DC"/>
    <w:rsid w:val="00366276"/>
    <w:rsid w:val="00375794"/>
    <w:rsid w:val="00376505"/>
    <w:rsid w:val="003775BB"/>
    <w:rsid w:val="003824EB"/>
    <w:rsid w:val="00383D28"/>
    <w:rsid w:val="00384187"/>
    <w:rsid w:val="0038451D"/>
    <w:rsid w:val="00385944"/>
    <w:rsid w:val="00386C1C"/>
    <w:rsid w:val="00387B1A"/>
    <w:rsid w:val="00390050"/>
    <w:rsid w:val="003A15C9"/>
    <w:rsid w:val="003A2E7D"/>
    <w:rsid w:val="003A359D"/>
    <w:rsid w:val="003B0B33"/>
    <w:rsid w:val="003B1323"/>
    <w:rsid w:val="003B3403"/>
    <w:rsid w:val="003B3F01"/>
    <w:rsid w:val="003B4071"/>
    <w:rsid w:val="003B6D03"/>
    <w:rsid w:val="003B6D27"/>
    <w:rsid w:val="003B707A"/>
    <w:rsid w:val="003C0DA5"/>
    <w:rsid w:val="003C3292"/>
    <w:rsid w:val="003C432F"/>
    <w:rsid w:val="003C4C65"/>
    <w:rsid w:val="003C6CDA"/>
    <w:rsid w:val="003C769B"/>
    <w:rsid w:val="003D2EAB"/>
    <w:rsid w:val="003D3825"/>
    <w:rsid w:val="003D7ACD"/>
    <w:rsid w:val="003E09CE"/>
    <w:rsid w:val="003E165A"/>
    <w:rsid w:val="003E5E6F"/>
    <w:rsid w:val="003F4509"/>
    <w:rsid w:val="00400030"/>
    <w:rsid w:val="00400201"/>
    <w:rsid w:val="00400622"/>
    <w:rsid w:val="00403C09"/>
    <w:rsid w:val="00405082"/>
    <w:rsid w:val="004063C8"/>
    <w:rsid w:val="00407648"/>
    <w:rsid w:val="00407D22"/>
    <w:rsid w:val="004158B6"/>
    <w:rsid w:val="00415941"/>
    <w:rsid w:val="004207D8"/>
    <w:rsid w:val="004221DC"/>
    <w:rsid w:val="0042258F"/>
    <w:rsid w:val="00427314"/>
    <w:rsid w:val="00427372"/>
    <w:rsid w:val="0043053A"/>
    <w:rsid w:val="00430C94"/>
    <w:rsid w:val="0043307A"/>
    <w:rsid w:val="004342D2"/>
    <w:rsid w:val="004357ED"/>
    <w:rsid w:val="00443D54"/>
    <w:rsid w:val="0045257A"/>
    <w:rsid w:val="00452CA8"/>
    <w:rsid w:val="004549BE"/>
    <w:rsid w:val="0045510E"/>
    <w:rsid w:val="0045688B"/>
    <w:rsid w:val="004630D5"/>
    <w:rsid w:val="004659D4"/>
    <w:rsid w:val="0046676A"/>
    <w:rsid w:val="0047292A"/>
    <w:rsid w:val="004763FD"/>
    <w:rsid w:val="00493715"/>
    <w:rsid w:val="004A0979"/>
    <w:rsid w:val="004A0D44"/>
    <w:rsid w:val="004A115D"/>
    <w:rsid w:val="004A13E3"/>
    <w:rsid w:val="004A3C14"/>
    <w:rsid w:val="004A6DFA"/>
    <w:rsid w:val="004C0B54"/>
    <w:rsid w:val="004C0D62"/>
    <w:rsid w:val="004C103C"/>
    <w:rsid w:val="004D009D"/>
    <w:rsid w:val="004D04A4"/>
    <w:rsid w:val="004D1B5D"/>
    <w:rsid w:val="004D756F"/>
    <w:rsid w:val="004D7F06"/>
    <w:rsid w:val="004E3E0F"/>
    <w:rsid w:val="004E50C6"/>
    <w:rsid w:val="004E61BB"/>
    <w:rsid w:val="004E65CD"/>
    <w:rsid w:val="004F0CA4"/>
    <w:rsid w:val="004F1E75"/>
    <w:rsid w:val="004F21CB"/>
    <w:rsid w:val="004F38F2"/>
    <w:rsid w:val="004F4CE3"/>
    <w:rsid w:val="00500278"/>
    <w:rsid w:val="005024D5"/>
    <w:rsid w:val="005030C9"/>
    <w:rsid w:val="00503504"/>
    <w:rsid w:val="00506524"/>
    <w:rsid w:val="00512898"/>
    <w:rsid w:val="005148AF"/>
    <w:rsid w:val="00525467"/>
    <w:rsid w:val="005316EC"/>
    <w:rsid w:val="00533F96"/>
    <w:rsid w:val="0053555C"/>
    <w:rsid w:val="00535F5C"/>
    <w:rsid w:val="005412EF"/>
    <w:rsid w:val="0054417C"/>
    <w:rsid w:val="00544DF1"/>
    <w:rsid w:val="00545F88"/>
    <w:rsid w:val="005551BC"/>
    <w:rsid w:val="00555D44"/>
    <w:rsid w:val="005625F6"/>
    <w:rsid w:val="005655AB"/>
    <w:rsid w:val="0056701E"/>
    <w:rsid w:val="00567F18"/>
    <w:rsid w:val="005701B8"/>
    <w:rsid w:val="005774BB"/>
    <w:rsid w:val="00583F47"/>
    <w:rsid w:val="0058608B"/>
    <w:rsid w:val="00586D82"/>
    <w:rsid w:val="00587539"/>
    <w:rsid w:val="00593BBC"/>
    <w:rsid w:val="005A1E30"/>
    <w:rsid w:val="005A4A7C"/>
    <w:rsid w:val="005A635D"/>
    <w:rsid w:val="005A66BE"/>
    <w:rsid w:val="005A6A76"/>
    <w:rsid w:val="005A6F97"/>
    <w:rsid w:val="005B5345"/>
    <w:rsid w:val="005B64FD"/>
    <w:rsid w:val="005B7BE0"/>
    <w:rsid w:val="005C0036"/>
    <w:rsid w:val="005C1038"/>
    <w:rsid w:val="005C6649"/>
    <w:rsid w:val="005C6823"/>
    <w:rsid w:val="005D08E8"/>
    <w:rsid w:val="005D1193"/>
    <w:rsid w:val="005D2A5C"/>
    <w:rsid w:val="005D39A7"/>
    <w:rsid w:val="005D5CA8"/>
    <w:rsid w:val="005D693F"/>
    <w:rsid w:val="005D70AC"/>
    <w:rsid w:val="005E0031"/>
    <w:rsid w:val="005E3E9A"/>
    <w:rsid w:val="005E5923"/>
    <w:rsid w:val="005F095B"/>
    <w:rsid w:val="00600CF5"/>
    <w:rsid w:val="00605060"/>
    <w:rsid w:val="0060758B"/>
    <w:rsid w:val="00611822"/>
    <w:rsid w:val="00616799"/>
    <w:rsid w:val="006206BA"/>
    <w:rsid w:val="0063043D"/>
    <w:rsid w:val="0064065E"/>
    <w:rsid w:val="0064235F"/>
    <w:rsid w:val="006513F8"/>
    <w:rsid w:val="00653720"/>
    <w:rsid w:val="00654F7B"/>
    <w:rsid w:val="006555B4"/>
    <w:rsid w:val="00655C46"/>
    <w:rsid w:val="00657B92"/>
    <w:rsid w:val="006604D9"/>
    <w:rsid w:val="006646D0"/>
    <w:rsid w:val="0067086D"/>
    <w:rsid w:val="00680671"/>
    <w:rsid w:val="0068225C"/>
    <w:rsid w:val="0068465B"/>
    <w:rsid w:val="0069132F"/>
    <w:rsid w:val="00694595"/>
    <w:rsid w:val="00695955"/>
    <w:rsid w:val="0069651F"/>
    <w:rsid w:val="006965E7"/>
    <w:rsid w:val="006979C7"/>
    <w:rsid w:val="006A108D"/>
    <w:rsid w:val="006A19F9"/>
    <w:rsid w:val="006A3EF6"/>
    <w:rsid w:val="006B60D9"/>
    <w:rsid w:val="006C55FE"/>
    <w:rsid w:val="006C7B05"/>
    <w:rsid w:val="006D7CEF"/>
    <w:rsid w:val="006E0640"/>
    <w:rsid w:val="006E339F"/>
    <w:rsid w:val="006E5DB2"/>
    <w:rsid w:val="006F1D2C"/>
    <w:rsid w:val="006F2591"/>
    <w:rsid w:val="006F5141"/>
    <w:rsid w:val="006F6023"/>
    <w:rsid w:val="00701C0C"/>
    <w:rsid w:val="007108F5"/>
    <w:rsid w:val="00712978"/>
    <w:rsid w:val="00717094"/>
    <w:rsid w:val="00720A7B"/>
    <w:rsid w:val="00721488"/>
    <w:rsid w:val="00726D62"/>
    <w:rsid w:val="007311DD"/>
    <w:rsid w:val="00731A5E"/>
    <w:rsid w:val="00733679"/>
    <w:rsid w:val="00733CBC"/>
    <w:rsid w:val="00735F9A"/>
    <w:rsid w:val="00737977"/>
    <w:rsid w:val="0074046A"/>
    <w:rsid w:val="00740724"/>
    <w:rsid w:val="00740AAA"/>
    <w:rsid w:val="00741B57"/>
    <w:rsid w:val="00744D2C"/>
    <w:rsid w:val="00750543"/>
    <w:rsid w:val="007510E1"/>
    <w:rsid w:val="00751EB7"/>
    <w:rsid w:val="007776C9"/>
    <w:rsid w:val="00781E81"/>
    <w:rsid w:val="00782EDE"/>
    <w:rsid w:val="007851E9"/>
    <w:rsid w:val="00790780"/>
    <w:rsid w:val="00792E02"/>
    <w:rsid w:val="007931F8"/>
    <w:rsid w:val="0079426C"/>
    <w:rsid w:val="007A2876"/>
    <w:rsid w:val="007A53E1"/>
    <w:rsid w:val="007A62CD"/>
    <w:rsid w:val="007B059D"/>
    <w:rsid w:val="007B0F2F"/>
    <w:rsid w:val="007B1477"/>
    <w:rsid w:val="007B3C42"/>
    <w:rsid w:val="007C0D96"/>
    <w:rsid w:val="007C3A72"/>
    <w:rsid w:val="007C55E5"/>
    <w:rsid w:val="007C7761"/>
    <w:rsid w:val="007D73C6"/>
    <w:rsid w:val="007E0398"/>
    <w:rsid w:val="007E21B5"/>
    <w:rsid w:val="007E3D26"/>
    <w:rsid w:val="007E5219"/>
    <w:rsid w:val="007E6833"/>
    <w:rsid w:val="007E6914"/>
    <w:rsid w:val="007E78D0"/>
    <w:rsid w:val="007F046F"/>
    <w:rsid w:val="007F24D3"/>
    <w:rsid w:val="007F5CDE"/>
    <w:rsid w:val="007F7CC9"/>
    <w:rsid w:val="00805F94"/>
    <w:rsid w:val="0081259F"/>
    <w:rsid w:val="00812E4C"/>
    <w:rsid w:val="00813830"/>
    <w:rsid w:val="008140AD"/>
    <w:rsid w:val="00816DA1"/>
    <w:rsid w:val="008171AF"/>
    <w:rsid w:val="00826D3A"/>
    <w:rsid w:val="008325DE"/>
    <w:rsid w:val="00834960"/>
    <w:rsid w:val="00846DD7"/>
    <w:rsid w:val="00846EFF"/>
    <w:rsid w:val="00847B1A"/>
    <w:rsid w:val="0084821D"/>
    <w:rsid w:val="008511A0"/>
    <w:rsid w:val="00857B00"/>
    <w:rsid w:val="0086463B"/>
    <w:rsid w:val="00871F6E"/>
    <w:rsid w:val="00877AB9"/>
    <w:rsid w:val="008844AD"/>
    <w:rsid w:val="00884AE5"/>
    <w:rsid w:val="00886A6D"/>
    <w:rsid w:val="00896930"/>
    <w:rsid w:val="00897797"/>
    <w:rsid w:val="008A2272"/>
    <w:rsid w:val="008A5459"/>
    <w:rsid w:val="008B3789"/>
    <w:rsid w:val="008B5DD7"/>
    <w:rsid w:val="008C06D3"/>
    <w:rsid w:val="008C08B2"/>
    <w:rsid w:val="008C154A"/>
    <w:rsid w:val="008C3A96"/>
    <w:rsid w:val="008D1EFA"/>
    <w:rsid w:val="008D6C6F"/>
    <w:rsid w:val="008E067F"/>
    <w:rsid w:val="008E1231"/>
    <w:rsid w:val="008E1C35"/>
    <w:rsid w:val="008E62C4"/>
    <w:rsid w:val="008F06B1"/>
    <w:rsid w:val="008F2E2E"/>
    <w:rsid w:val="00901268"/>
    <w:rsid w:val="0090163A"/>
    <w:rsid w:val="009029C2"/>
    <w:rsid w:val="00905577"/>
    <w:rsid w:val="00905D02"/>
    <w:rsid w:val="009065DA"/>
    <w:rsid w:val="00907778"/>
    <w:rsid w:val="00912A0B"/>
    <w:rsid w:val="00913BEF"/>
    <w:rsid w:val="00917B3F"/>
    <w:rsid w:val="00924688"/>
    <w:rsid w:val="00927E36"/>
    <w:rsid w:val="00934C43"/>
    <w:rsid w:val="009368D9"/>
    <w:rsid w:val="00937C00"/>
    <w:rsid w:val="0094258F"/>
    <w:rsid w:val="00943239"/>
    <w:rsid w:val="009442BA"/>
    <w:rsid w:val="00944848"/>
    <w:rsid w:val="00944C21"/>
    <w:rsid w:val="00945696"/>
    <w:rsid w:val="009509EE"/>
    <w:rsid w:val="009520EA"/>
    <w:rsid w:val="009617A7"/>
    <w:rsid w:val="00961C47"/>
    <w:rsid w:val="00966E83"/>
    <w:rsid w:val="009678B3"/>
    <w:rsid w:val="00970B48"/>
    <w:rsid w:val="00971117"/>
    <w:rsid w:val="00974A2C"/>
    <w:rsid w:val="009809C8"/>
    <w:rsid w:val="009833D3"/>
    <w:rsid w:val="009911BE"/>
    <w:rsid w:val="00993793"/>
    <w:rsid w:val="00994F8A"/>
    <w:rsid w:val="00996D71"/>
    <w:rsid w:val="00997EB3"/>
    <w:rsid w:val="009A5075"/>
    <w:rsid w:val="009A69EC"/>
    <w:rsid w:val="009B0070"/>
    <w:rsid w:val="009B359F"/>
    <w:rsid w:val="009C0075"/>
    <w:rsid w:val="009C0CC0"/>
    <w:rsid w:val="009C1B33"/>
    <w:rsid w:val="009C4709"/>
    <w:rsid w:val="009D14AE"/>
    <w:rsid w:val="009D6C82"/>
    <w:rsid w:val="009D719C"/>
    <w:rsid w:val="009E38AF"/>
    <w:rsid w:val="009E4AD4"/>
    <w:rsid w:val="009F26A3"/>
    <w:rsid w:val="009F4579"/>
    <w:rsid w:val="009F6D09"/>
    <w:rsid w:val="00A0696B"/>
    <w:rsid w:val="00A07917"/>
    <w:rsid w:val="00A134C3"/>
    <w:rsid w:val="00A14476"/>
    <w:rsid w:val="00A20EE7"/>
    <w:rsid w:val="00A2109E"/>
    <w:rsid w:val="00A22742"/>
    <w:rsid w:val="00A22BBA"/>
    <w:rsid w:val="00A233EE"/>
    <w:rsid w:val="00A246D0"/>
    <w:rsid w:val="00A24CAD"/>
    <w:rsid w:val="00A2616F"/>
    <w:rsid w:val="00A27828"/>
    <w:rsid w:val="00A27F68"/>
    <w:rsid w:val="00A31CEF"/>
    <w:rsid w:val="00A32AFB"/>
    <w:rsid w:val="00A32C8C"/>
    <w:rsid w:val="00A3686A"/>
    <w:rsid w:val="00A41F1E"/>
    <w:rsid w:val="00A43D43"/>
    <w:rsid w:val="00A460CA"/>
    <w:rsid w:val="00A47272"/>
    <w:rsid w:val="00A51742"/>
    <w:rsid w:val="00A51E5F"/>
    <w:rsid w:val="00A53871"/>
    <w:rsid w:val="00A6577E"/>
    <w:rsid w:val="00A75A42"/>
    <w:rsid w:val="00A76ABC"/>
    <w:rsid w:val="00A777AE"/>
    <w:rsid w:val="00A805FC"/>
    <w:rsid w:val="00A81E5A"/>
    <w:rsid w:val="00A82267"/>
    <w:rsid w:val="00A8335D"/>
    <w:rsid w:val="00A83A71"/>
    <w:rsid w:val="00A84232"/>
    <w:rsid w:val="00A87178"/>
    <w:rsid w:val="00AA111B"/>
    <w:rsid w:val="00AA171C"/>
    <w:rsid w:val="00AA53EE"/>
    <w:rsid w:val="00AA5983"/>
    <w:rsid w:val="00AA7C36"/>
    <w:rsid w:val="00AC039C"/>
    <w:rsid w:val="00AC360C"/>
    <w:rsid w:val="00AC720C"/>
    <w:rsid w:val="00AC7510"/>
    <w:rsid w:val="00AD196D"/>
    <w:rsid w:val="00AD2C31"/>
    <w:rsid w:val="00AD5220"/>
    <w:rsid w:val="00AD604F"/>
    <w:rsid w:val="00AD6D49"/>
    <w:rsid w:val="00AE1E76"/>
    <w:rsid w:val="00AF3FCC"/>
    <w:rsid w:val="00AF777D"/>
    <w:rsid w:val="00B01542"/>
    <w:rsid w:val="00B06864"/>
    <w:rsid w:val="00B06AC4"/>
    <w:rsid w:val="00B1793E"/>
    <w:rsid w:val="00B2167B"/>
    <w:rsid w:val="00B25133"/>
    <w:rsid w:val="00B3362C"/>
    <w:rsid w:val="00B35133"/>
    <w:rsid w:val="00B408C6"/>
    <w:rsid w:val="00B460DB"/>
    <w:rsid w:val="00B470BA"/>
    <w:rsid w:val="00B510BF"/>
    <w:rsid w:val="00B5237C"/>
    <w:rsid w:val="00B54FE3"/>
    <w:rsid w:val="00B55AFE"/>
    <w:rsid w:val="00B72933"/>
    <w:rsid w:val="00B735E1"/>
    <w:rsid w:val="00B73A0C"/>
    <w:rsid w:val="00B75A7C"/>
    <w:rsid w:val="00B8144B"/>
    <w:rsid w:val="00B907C1"/>
    <w:rsid w:val="00B92FD4"/>
    <w:rsid w:val="00B9547F"/>
    <w:rsid w:val="00B95DC7"/>
    <w:rsid w:val="00B97F34"/>
    <w:rsid w:val="00BA01DC"/>
    <w:rsid w:val="00BA15E6"/>
    <w:rsid w:val="00BA1A19"/>
    <w:rsid w:val="00BA234B"/>
    <w:rsid w:val="00BA7572"/>
    <w:rsid w:val="00BB1127"/>
    <w:rsid w:val="00BB3A80"/>
    <w:rsid w:val="00BC2440"/>
    <w:rsid w:val="00BC40EB"/>
    <w:rsid w:val="00BC4FC4"/>
    <w:rsid w:val="00BC5E00"/>
    <w:rsid w:val="00BC7560"/>
    <w:rsid w:val="00BD2C1B"/>
    <w:rsid w:val="00BD6173"/>
    <w:rsid w:val="00BD69C3"/>
    <w:rsid w:val="00BD6B9A"/>
    <w:rsid w:val="00BE0810"/>
    <w:rsid w:val="00BE0E0B"/>
    <w:rsid w:val="00BE422E"/>
    <w:rsid w:val="00BF069F"/>
    <w:rsid w:val="00BF54B1"/>
    <w:rsid w:val="00C01139"/>
    <w:rsid w:val="00C03C56"/>
    <w:rsid w:val="00C10A97"/>
    <w:rsid w:val="00C13157"/>
    <w:rsid w:val="00C13650"/>
    <w:rsid w:val="00C17151"/>
    <w:rsid w:val="00C30585"/>
    <w:rsid w:val="00C3103A"/>
    <w:rsid w:val="00C3339E"/>
    <w:rsid w:val="00C33EB5"/>
    <w:rsid w:val="00C357D0"/>
    <w:rsid w:val="00C42665"/>
    <w:rsid w:val="00C43BF3"/>
    <w:rsid w:val="00C45EE9"/>
    <w:rsid w:val="00C47352"/>
    <w:rsid w:val="00C477B4"/>
    <w:rsid w:val="00C50054"/>
    <w:rsid w:val="00C525EF"/>
    <w:rsid w:val="00C53757"/>
    <w:rsid w:val="00C5459B"/>
    <w:rsid w:val="00C5472E"/>
    <w:rsid w:val="00C55124"/>
    <w:rsid w:val="00C5563B"/>
    <w:rsid w:val="00C57ED5"/>
    <w:rsid w:val="00C60932"/>
    <w:rsid w:val="00C60BBE"/>
    <w:rsid w:val="00C63070"/>
    <w:rsid w:val="00C65790"/>
    <w:rsid w:val="00C6595D"/>
    <w:rsid w:val="00C72A59"/>
    <w:rsid w:val="00C756E7"/>
    <w:rsid w:val="00C77774"/>
    <w:rsid w:val="00C77C65"/>
    <w:rsid w:val="00C821A3"/>
    <w:rsid w:val="00C87AAE"/>
    <w:rsid w:val="00C90631"/>
    <w:rsid w:val="00C96D3A"/>
    <w:rsid w:val="00CA0FEB"/>
    <w:rsid w:val="00CA1285"/>
    <w:rsid w:val="00CA15B9"/>
    <w:rsid w:val="00CA1D44"/>
    <w:rsid w:val="00CA4732"/>
    <w:rsid w:val="00CA58E2"/>
    <w:rsid w:val="00CA5A7A"/>
    <w:rsid w:val="00CA6C2D"/>
    <w:rsid w:val="00CB4DCA"/>
    <w:rsid w:val="00CB568A"/>
    <w:rsid w:val="00CC603D"/>
    <w:rsid w:val="00CD2CB0"/>
    <w:rsid w:val="00CD3362"/>
    <w:rsid w:val="00CD6EFC"/>
    <w:rsid w:val="00CE049F"/>
    <w:rsid w:val="00CE2109"/>
    <w:rsid w:val="00CE21EA"/>
    <w:rsid w:val="00CE6F58"/>
    <w:rsid w:val="00CF0773"/>
    <w:rsid w:val="00CF2D0B"/>
    <w:rsid w:val="00CF2FDB"/>
    <w:rsid w:val="00CF3F03"/>
    <w:rsid w:val="00D013AE"/>
    <w:rsid w:val="00D03D3B"/>
    <w:rsid w:val="00D1028D"/>
    <w:rsid w:val="00D11BC0"/>
    <w:rsid w:val="00D15C37"/>
    <w:rsid w:val="00D171C8"/>
    <w:rsid w:val="00D20260"/>
    <w:rsid w:val="00D21E7B"/>
    <w:rsid w:val="00D2230B"/>
    <w:rsid w:val="00D22310"/>
    <w:rsid w:val="00D2797C"/>
    <w:rsid w:val="00D30C51"/>
    <w:rsid w:val="00D32637"/>
    <w:rsid w:val="00D32E9F"/>
    <w:rsid w:val="00D35897"/>
    <w:rsid w:val="00D36EF6"/>
    <w:rsid w:val="00D412F2"/>
    <w:rsid w:val="00D46768"/>
    <w:rsid w:val="00D46EBD"/>
    <w:rsid w:val="00D510C5"/>
    <w:rsid w:val="00D52500"/>
    <w:rsid w:val="00D550A7"/>
    <w:rsid w:val="00D5597D"/>
    <w:rsid w:val="00D56E35"/>
    <w:rsid w:val="00D574C9"/>
    <w:rsid w:val="00D62E0C"/>
    <w:rsid w:val="00D730A5"/>
    <w:rsid w:val="00D80A33"/>
    <w:rsid w:val="00D8313F"/>
    <w:rsid w:val="00D87007"/>
    <w:rsid w:val="00D87B2A"/>
    <w:rsid w:val="00D87E8C"/>
    <w:rsid w:val="00D92B1C"/>
    <w:rsid w:val="00D933F6"/>
    <w:rsid w:val="00D93BCF"/>
    <w:rsid w:val="00D953AF"/>
    <w:rsid w:val="00DA0C05"/>
    <w:rsid w:val="00DA301F"/>
    <w:rsid w:val="00DA567A"/>
    <w:rsid w:val="00DA60F9"/>
    <w:rsid w:val="00DA7BD5"/>
    <w:rsid w:val="00DB157F"/>
    <w:rsid w:val="00DB22FB"/>
    <w:rsid w:val="00DB4956"/>
    <w:rsid w:val="00DC75D7"/>
    <w:rsid w:val="00DE02EC"/>
    <w:rsid w:val="00DE1FFE"/>
    <w:rsid w:val="00DE3176"/>
    <w:rsid w:val="00DE568B"/>
    <w:rsid w:val="00DE7BFD"/>
    <w:rsid w:val="00DF10D0"/>
    <w:rsid w:val="00DF1D57"/>
    <w:rsid w:val="00DF3632"/>
    <w:rsid w:val="00DF3E4F"/>
    <w:rsid w:val="00DF4308"/>
    <w:rsid w:val="00DF50C2"/>
    <w:rsid w:val="00DF76AE"/>
    <w:rsid w:val="00E0019A"/>
    <w:rsid w:val="00E01322"/>
    <w:rsid w:val="00E01BA7"/>
    <w:rsid w:val="00E033E3"/>
    <w:rsid w:val="00E03B93"/>
    <w:rsid w:val="00E055B8"/>
    <w:rsid w:val="00E138A2"/>
    <w:rsid w:val="00E13B53"/>
    <w:rsid w:val="00E17241"/>
    <w:rsid w:val="00E2117A"/>
    <w:rsid w:val="00E2218D"/>
    <w:rsid w:val="00E24C41"/>
    <w:rsid w:val="00E2516A"/>
    <w:rsid w:val="00E26524"/>
    <w:rsid w:val="00E310C9"/>
    <w:rsid w:val="00E3598C"/>
    <w:rsid w:val="00E36DD7"/>
    <w:rsid w:val="00E37442"/>
    <w:rsid w:val="00E43205"/>
    <w:rsid w:val="00E434B8"/>
    <w:rsid w:val="00E438F4"/>
    <w:rsid w:val="00E454FF"/>
    <w:rsid w:val="00E504F9"/>
    <w:rsid w:val="00E53FE1"/>
    <w:rsid w:val="00E54329"/>
    <w:rsid w:val="00E57665"/>
    <w:rsid w:val="00E57E87"/>
    <w:rsid w:val="00E6013B"/>
    <w:rsid w:val="00E60740"/>
    <w:rsid w:val="00E6286A"/>
    <w:rsid w:val="00E64F63"/>
    <w:rsid w:val="00E70044"/>
    <w:rsid w:val="00E76AB6"/>
    <w:rsid w:val="00E77374"/>
    <w:rsid w:val="00E859DE"/>
    <w:rsid w:val="00E8787F"/>
    <w:rsid w:val="00E932D4"/>
    <w:rsid w:val="00E93EF2"/>
    <w:rsid w:val="00E94BC0"/>
    <w:rsid w:val="00E96FC3"/>
    <w:rsid w:val="00EA74A8"/>
    <w:rsid w:val="00EA780A"/>
    <w:rsid w:val="00EB26C5"/>
    <w:rsid w:val="00EB5F03"/>
    <w:rsid w:val="00EC2C26"/>
    <w:rsid w:val="00EC32B7"/>
    <w:rsid w:val="00EC3D75"/>
    <w:rsid w:val="00EC437C"/>
    <w:rsid w:val="00EC4B16"/>
    <w:rsid w:val="00ED3535"/>
    <w:rsid w:val="00ED5BAF"/>
    <w:rsid w:val="00ED68F8"/>
    <w:rsid w:val="00EE5534"/>
    <w:rsid w:val="00EF1237"/>
    <w:rsid w:val="00EF24EE"/>
    <w:rsid w:val="00EF77C1"/>
    <w:rsid w:val="00EF7BDB"/>
    <w:rsid w:val="00F000F6"/>
    <w:rsid w:val="00F001DA"/>
    <w:rsid w:val="00F0421A"/>
    <w:rsid w:val="00F06ED0"/>
    <w:rsid w:val="00F17AFC"/>
    <w:rsid w:val="00F21532"/>
    <w:rsid w:val="00F2211A"/>
    <w:rsid w:val="00F23093"/>
    <w:rsid w:val="00F249D0"/>
    <w:rsid w:val="00F27465"/>
    <w:rsid w:val="00F30ADD"/>
    <w:rsid w:val="00F31B20"/>
    <w:rsid w:val="00F348C9"/>
    <w:rsid w:val="00F355DC"/>
    <w:rsid w:val="00F36740"/>
    <w:rsid w:val="00F41A11"/>
    <w:rsid w:val="00F42A63"/>
    <w:rsid w:val="00F46FB7"/>
    <w:rsid w:val="00F47727"/>
    <w:rsid w:val="00F52B5A"/>
    <w:rsid w:val="00F576A6"/>
    <w:rsid w:val="00F5788B"/>
    <w:rsid w:val="00F62B66"/>
    <w:rsid w:val="00F6314A"/>
    <w:rsid w:val="00F67D8B"/>
    <w:rsid w:val="00F70175"/>
    <w:rsid w:val="00F72DF0"/>
    <w:rsid w:val="00F73931"/>
    <w:rsid w:val="00F75040"/>
    <w:rsid w:val="00F87F5E"/>
    <w:rsid w:val="00F926D5"/>
    <w:rsid w:val="00F93586"/>
    <w:rsid w:val="00F93633"/>
    <w:rsid w:val="00F9611F"/>
    <w:rsid w:val="00F96DEC"/>
    <w:rsid w:val="00FA3F7F"/>
    <w:rsid w:val="00FA7ADD"/>
    <w:rsid w:val="00FB0CB9"/>
    <w:rsid w:val="00FB166B"/>
    <w:rsid w:val="00FB37A3"/>
    <w:rsid w:val="00FB3C92"/>
    <w:rsid w:val="00FB5A2F"/>
    <w:rsid w:val="00FB6158"/>
    <w:rsid w:val="00FB70B9"/>
    <w:rsid w:val="00FC1429"/>
    <w:rsid w:val="00FC17CC"/>
    <w:rsid w:val="00FC2BE7"/>
    <w:rsid w:val="00FC449F"/>
    <w:rsid w:val="00FC4CA8"/>
    <w:rsid w:val="00FD1B40"/>
    <w:rsid w:val="00FD2115"/>
    <w:rsid w:val="00FD749C"/>
    <w:rsid w:val="00FE1CE7"/>
    <w:rsid w:val="00FE2646"/>
    <w:rsid w:val="00FE413B"/>
    <w:rsid w:val="00FF680F"/>
    <w:rsid w:val="00FF7F6D"/>
    <w:rsid w:val="013C699C"/>
    <w:rsid w:val="018E4544"/>
    <w:rsid w:val="01C5288A"/>
    <w:rsid w:val="022F6246"/>
    <w:rsid w:val="02769167"/>
    <w:rsid w:val="0291E14D"/>
    <w:rsid w:val="02F68C5E"/>
    <w:rsid w:val="03486806"/>
    <w:rsid w:val="03F23BDC"/>
    <w:rsid w:val="0406DB4A"/>
    <w:rsid w:val="054523D7"/>
    <w:rsid w:val="05E89EB9"/>
    <w:rsid w:val="064537D1"/>
    <w:rsid w:val="06785D74"/>
    <w:rsid w:val="067F7150"/>
    <w:rsid w:val="06D5F2E7"/>
    <w:rsid w:val="06FA41D1"/>
    <w:rsid w:val="07C73AFA"/>
    <w:rsid w:val="07DF0196"/>
    <w:rsid w:val="07EDD1F3"/>
    <w:rsid w:val="0867C084"/>
    <w:rsid w:val="08ECCFB7"/>
    <w:rsid w:val="0917BB78"/>
    <w:rsid w:val="099137CD"/>
    <w:rsid w:val="0AD113F1"/>
    <w:rsid w:val="0B820B04"/>
    <w:rsid w:val="0C8B36B3"/>
    <w:rsid w:val="0CAAEAD5"/>
    <w:rsid w:val="0CEFE1C4"/>
    <w:rsid w:val="0D33A9C3"/>
    <w:rsid w:val="0D78A0B2"/>
    <w:rsid w:val="0E48819E"/>
    <w:rsid w:val="0E650D97"/>
    <w:rsid w:val="0E6B995C"/>
    <w:rsid w:val="0EA217FB"/>
    <w:rsid w:val="0EA483F5"/>
    <w:rsid w:val="0EAA0486"/>
    <w:rsid w:val="0EBC499A"/>
    <w:rsid w:val="0F1B9450"/>
    <w:rsid w:val="0F21BA73"/>
    <w:rsid w:val="0F9CFD30"/>
    <w:rsid w:val="1083DB6A"/>
    <w:rsid w:val="10972FCF"/>
    <w:rsid w:val="109D9234"/>
    <w:rsid w:val="112C38A9"/>
    <w:rsid w:val="115DABB7"/>
    <w:rsid w:val="11CD0EBB"/>
    <w:rsid w:val="126277AB"/>
    <w:rsid w:val="1335BC33"/>
    <w:rsid w:val="136D4F07"/>
    <w:rsid w:val="13E77D8F"/>
    <w:rsid w:val="13F5F5DF"/>
    <w:rsid w:val="14B4C487"/>
    <w:rsid w:val="1544AFF5"/>
    <w:rsid w:val="154C9C80"/>
    <w:rsid w:val="15CFCCC3"/>
    <w:rsid w:val="166E8BE5"/>
    <w:rsid w:val="17107330"/>
    <w:rsid w:val="18B2050D"/>
    <w:rsid w:val="18E721EB"/>
    <w:rsid w:val="19004A48"/>
    <w:rsid w:val="1946671C"/>
    <w:rsid w:val="19609E40"/>
    <w:rsid w:val="1ADEE689"/>
    <w:rsid w:val="1AFE67DA"/>
    <w:rsid w:val="1B3A7524"/>
    <w:rsid w:val="1B7F6C13"/>
    <w:rsid w:val="1BA57929"/>
    <w:rsid w:val="1C14AFCA"/>
    <w:rsid w:val="1C2D6DCE"/>
    <w:rsid w:val="1D62ECDF"/>
    <w:rsid w:val="1DD0F8E4"/>
    <w:rsid w:val="1E6AF2A9"/>
    <w:rsid w:val="1E7599AB"/>
    <w:rsid w:val="1F55FEC8"/>
    <w:rsid w:val="1F85B90B"/>
    <w:rsid w:val="1FA2E242"/>
    <w:rsid w:val="20602696"/>
    <w:rsid w:val="211E99DA"/>
    <w:rsid w:val="21EE48F0"/>
    <w:rsid w:val="21F036DC"/>
    <w:rsid w:val="24E05B4B"/>
    <w:rsid w:val="25173E91"/>
    <w:rsid w:val="253A237E"/>
    <w:rsid w:val="25880412"/>
    <w:rsid w:val="25C93EE6"/>
    <w:rsid w:val="263D8DB1"/>
    <w:rsid w:val="2648A265"/>
    <w:rsid w:val="266CE913"/>
    <w:rsid w:val="2776F75A"/>
    <w:rsid w:val="281F5120"/>
    <w:rsid w:val="284E67BD"/>
    <w:rsid w:val="29342D12"/>
    <w:rsid w:val="294964CD"/>
    <w:rsid w:val="2AC48001"/>
    <w:rsid w:val="2D2C435D"/>
    <w:rsid w:val="2E2329F8"/>
    <w:rsid w:val="2FC5CC09"/>
    <w:rsid w:val="315D205C"/>
    <w:rsid w:val="316975DB"/>
    <w:rsid w:val="32372BB8"/>
    <w:rsid w:val="32EF1337"/>
    <w:rsid w:val="384EC74A"/>
    <w:rsid w:val="38FD7F76"/>
    <w:rsid w:val="39472597"/>
    <w:rsid w:val="3B7AC4AE"/>
    <w:rsid w:val="3B824C92"/>
    <w:rsid w:val="3DE4181B"/>
    <w:rsid w:val="3E30FC90"/>
    <w:rsid w:val="3E8C8B2B"/>
    <w:rsid w:val="3F9287A2"/>
    <w:rsid w:val="3FDB4541"/>
    <w:rsid w:val="3FF868B2"/>
    <w:rsid w:val="4002E5EE"/>
    <w:rsid w:val="400FCAA7"/>
    <w:rsid w:val="40B652CE"/>
    <w:rsid w:val="40F9625D"/>
    <w:rsid w:val="41BDEE5D"/>
    <w:rsid w:val="44054735"/>
    <w:rsid w:val="44DBB3E6"/>
    <w:rsid w:val="45008002"/>
    <w:rsid w:val="459A272A"/>
    <w:rsid w:val="45E17BF9"/>
    <w:rsid w:val="465485B9"/>
    <w:rsid w:val="46A9F92D"/>
    <w:rsid w:val="48695498"/>
    <w:rsid w:val="48758F31"/>
    <w:rsid w:val="494AACC9"/>
    <w:rsid w:val="49770990"/>
    <w:rsid w:val="4981900F"/>
    <w:rsid w:val="4C84DE3C"/>
    <w:rsid w:val="4CD84D7B"/>
    <w:rsid w:val="4D37C57D"/>
    <w:rsid w:val="4E832DA4"/>
    <w:rsid w:val="4F76F097"/>
    <w:rsid w:val="503563DB"/>
    <w:rsid w:val="50AEE030"/>
    <w:rsid w:val="50B6CCBB"/>
    <w:rsid w:val="5115D350"/>
    <w:rsid w:val="513F8BA9"/>
    <w:rsid w:val="515D7963"/>
    <w:rsid w:val="51DD7575"/>
    <w:rsid w:val="525C1E39"/>
    <w:rsid w:val="53350859"/>
    <w:rsid w:val="535E597C"/>
    <w:rsid w:val="53BE628A"/>
    <w:rsid w:val="546F0D0F"/>
    <w:rsid w:val="555261FF"/>
    <w:rsid w:val="55AE4878"/>
    <w:rsid w:val="56506BD7"/>
    <w:rsid w:val="56C9E82C"/>
    <w:rsid w:val="57F35F75"/>
    <w:rsid w:val="580C76E3"/>
    <w:rsid w:val="588D8C07"/>
    <w:rsid w:val="5A20A598"/>
    <w:rsid w:val="5A5F265C"/>
    <w:rsid w:val="5A9A21ED"/>
    <w:rsid w:val="5AB0EF08"/>
    <w:rsid w:val="5AFB0D5D"/>
    <w:rsid w:val="5BCB85C1"/>
    <w:rsid w:val="5C4DB8EA"/>
    <w:rsid w:val="5D12B7F3"/>
    <w:rsid w:val="5DCA9F72"/>
    <w:rsid w:val="5DEA5394"/>
    <w:rsid w:val="5EB9AF27"/>
    <w:rsid w:val="5F3FCB45"/>
    <w:rsid w:val="5FA47656"/>
    <w:rsid w:val="6026D345"/>
    <w:rsid w:val="60DFC46C"/>
    <w:rsid w:val="60EBA888"/>
    <w:rsid w:val="61CF5E99"/>
    <w:rsid w:val="61DEA132"/>
    <w:rsid w:val="629D1476"/>
    <w:rsid w:val="62C12639"/>
    <w:rsid w:val="63F7550A"/>
    <w:rsid w:val="64A74FFE"/>
    <w:rsid w:val="6666C272"/>
    <w:rsid w:val="67ADF4A4"/>
    <w:rsid w:val="68B94A0A"/>
    <w:rsid w:val="68EC3D31"/>
    <w:rsid w:val="693920AB"/>
    <w:rsid w:val="69E193BB"/>
    <w:rsid w:val="6B5001F3"/>
    <w:rsid w:val="6B848759"/>
    <w:rsid w:val="6C4ADDE5"/>
    <w:rsid w:val="6C6A9B4A"/>
    <w:rsid w:val="6CBEBF01"/>
    <w:rsid w:val="6D368ABF"/>
    <w:rsid w:val="6D82D6C1"/>
    <w:rsid w:val="6E0B95AF"/>
    <w:rsid w:val="6EC37D2E"/>
    <w:rsid w:val="6F07452D"/>
    <w:rsid w:val="6FD6F443"/>
    <w:rsid w:val="707E0592"/>
    <w:rsid w:val="70AC69AC"/>
    <w:rsid w:val="70E24B01"/>
    <w:rsid w:val="725759A4"/>
    <w:rsid w:val="727DB6BB"/>
    <w:rsid w:val="730DFD8D"/>
    <w:rsid w:val="73BE5D28"/>
    <w:rsid w:val="746605EF"/>
    <w:rsid w:val="749BBA45"/>
    <w:rsid w:val="749E0B0A"/>
    <w:rsid w:val="74D6989F"/>
    <w:rsid w:val="755014F4"/>
    <w:rsid w:val="75B136BB"/>
    <w:rsid w:val="7601D775"/>
    <w:rsid w:val="77D9E6CC"/>
    <w:rsid w:val="78186EF6"/>
    <w:rsid w:val="782D560B"/>
    <w:rsid w:val="78536321"/>
    <w:rsid w:val="78A50BF8"/>
    <w:rsid w:val="78F0F353"/>
    <w:rsid w:val="7911FDF8"/>
    <w:rsid w:val="795EB9DF"/>
    <w:rsid w:val="796B9E98"/>
    <w:rsid w:val="79A281DE"/>
    <w:rsid w:val="79BF4B90"/>
    <w:rsid w:val="79E7F146"/>
    <w:rsid w:val="7A1BFE33"/>
    <w:rsid w:val="7A7EE2DC"/>
    <w:rsid w:val="7B36EF6E"/>
    <w:rsid w:val="7C03E8C0"/>
    <w:rsid w:val="7CE145DD"/>
    <w:rsid w:val="7D43C4E4"/>
    <w:rsid w:val="7DCC83D2"/>
    <w:rsid w:val="7DEC37F4"/>
    <w:rsid w:val="7F96BB8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1F17"/>
  <w15:docId w15:val="{B3E6CCA2-5C69-4887-A841-2BB07668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 w:type="character" w:customStyle="1" w:styleId="normaltextrun">
    <w:name w:val="normaltextrun"/>
    <w:basedOn w:val="DefaultParagraphFont"/>
    <w:rsid w:val="00812E4C"/>
  </w:style>
  <w:style w:type="character" w:customStyle="1" w:styleId="eop">
    <w:name w:val="eop"/>
    <w:basedOn w:val="DefaultParagraphFont"/>
    <w:rsid w:val="00812E4C"/>
  </w:style>
  <w:style w:type="character" w:styleId="UnresolvedMention">
    <w:name w:val="Unresolved Mention"/>
    <w:basedOn w:val="DefaultParagraphFont"/>
    <w:uiPriority w:val="99"/>
    <w:semiHidden/>
    <w:unhideWhenUsed/>
    <w:rsid w:val="0074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083528342">
      <w:bodyDiv w:val="1"/>
      <w:marLeft w:val="0"/>
      <w:marRight w:val="0"/>
      <w:marTop w:val="0"/>
      <w:marBottom w:val="0"/>
      <w:divBdr>
        <w:top w:val="none" w:sz="0" w:space="0" w:color="auto"/>
        <w:left w:val="none" w:sz="0" w:space="0" w:color="auto"/>
        <w:bottom w:val="none" w:sz="0" w:space="0" w:color="auto"/>
        <w:right w:val="none" w:sz="0" w:space="0" w:color="auto"/>
      </w:divBdr>
      <w:divsChild>
        <w:div w:id="19823539">
          <w:marLeft w:val="0"/>
          <w:marRight w:val="0"/>
          <w:marTop w:val="0"/>
          <w:marBottom w:val="0"/>
          <w:divBdr>
            <w:top w:val="none" w:sz="0" w:space="0" w:color="auto"/>
            <w:left w:val="none" w:sz="0" w:space="0" w:color="auto"/>
            <w:bottom w:val="none" w:sz="0" w:space="0" w:color="auto"/>
            <w:right w:val="none" w:sz="0" w:space="0" w:color="auto"/>
          </w:divBdr>
        </w:div>
        <w:div w:id="318727790">
          <w:marLeft w:val="0"/>
          <w:marRight w:val="0"/>
          <w:marTop w:val="0"/>
          <w:marBottom w:val="0"/>
          <w:divBdr>
            <w:top w:val="none" w:sz="0" w:space="0" w:color="auto"/>
            <w:left w:val="none" w:sz="0" w:space="0" w:color="auto"/>
            <w:bottom w:val="none" w:sz="0" w:space="0" w:color="auto"/>
            <w:right w:val="none" w:sz="0" w:space="0" w:color="auto"/>
          </w:divBdr>
        </w:div>
        <w:div w:id="486671184">
          <w:marLeft w:val="0"/>
          <w:marRight w:val="0"/>
          <w:marTop w:val="0"/>
          <w:marBottom w:val="0"/>
          <w:divBdr>
            <w:top w:val="none" w:sz="0" w:space="0" w:color="auto"/>
            <w:left w:val="none" w:sz="0" w:space="0" w:color="auto"/>
            <w:bottom w:val="none" w:sz="0" w:space="0" w:color="auto"/>
            <w:right w:val="none" w:sz="0" w:space="0" w:color="auto"/>
          </w:divBdr>
        </w:div>
        <w:div w:id="593395467">
          <w:marLeft w:val="0"/>
          <w:marRight w:val="0"/>
          <w:marTop w:val="0"/>
          <w:marBottom w:val="0"/>
          <w:divBdr>
            <w:top w:val="none" w:sz="0" w:space="0" w:color="auto"/>
            <w:left w:val="none" w:sz="0" w:space="0" w:color="auto"/>
            <w:bottom w:val="none" w:sz="0" w:space="0" w:color="auto"/>
            <w:right w:val="none" w:sz="0" w:space="0" w:color="auto"/>
          </w:divBdr>
        </w:div>
        <w:div w:id="627130410">
          <w:marLeft w:val="0"/>
          <w:marRight w:val="0"/>
          <w:marTop w:val="0"/>
          <w:marBottom w:val="0"/>
          <w:divBdr>
            <w:top w:val="none" w:sz="0" w:space="0" w:color="auto"/>
            <w:left w:val="none" w:sz="0" w:space="0" w:color="auto"/>
            <w:bottom w:val="none" w:sz="0" w:space="0" w:color="auto"/>
            <w:right w:val="none" w:sz="0" w:space="0" w:color="auto"/>
          </w:divBdr>
        </w:div>
        <w:div w:id="1283878041">
          <w:marLeft w:val="0"/>
          <w:marRight w:val="0"/>
          <w:marTop w:val="0"/>
          <w:marBottom w:val="0"/>
          <w:divBdr>
            <w:top w:val="none" w:sz="0" w:space="0" w:color="auto"/>
            <w:left w:val="none" w:sz="0" w:space="0" w:color="auto"/>
            <w:bottom w:val="none" w:sz="0" w:space="0" w:color="auto"/>
            <w:right w:val="none" w:sz="0" w:space="0" w:color="auto"/>
          </w:divBdr>
        </w:div>
        <w:div w:id="1321739136">
          <w:marLeft w:val="0"/>
          <w:marRight w:val="0"/>
          <w:marTop w:val="0"/>
          <w:marBottom w:val="0"/>
          <w:divBdr>
            <w:top w:val="none" w:sz="0" w:space="0" w:color="auto"/>
            <w:left w:val="none" w:sz="0" w:space="0" w:color="auto"/>
            <w:bottom w:val="none" w:sz="0" w:space="0" w:color="auto"/>
            <w:right w:val="none" w:sz="0" w:space="0" w:color="auto"/>
          </w:divBdr>
        </w:div>
        <w:div w:id="1572037721">
          <w:marLeft w:val="0"/>
          <w:marRight w:val="0"/>
          <w:marTop w:val="0"/>
          <w:marBottom w:val="0"/>
          <w:divBdr>
            <w:top w:val="none" w:sz="0" w:space="0" w:color="auto"/>
            <w:left w:val="none" w:sz="0" w:space="0" w:color="auto"/>
            <w:bottom w:val="none" w:sz="0" w:space="0" w:color="auto"/>
            <w:right w:val="none" w:sz="0" w:space="0" w:color="auto"/>
          </w:divBdr>
        </w:div>
        <w:div w:id="2077625025">
          <w:marLeft w:val="0"/>
          <w:marRight w:val="0"/>
          <w:marTop w:val="0"/>
          <w:marBottom w:val="0"/>
          <w:divBdr>
            <w:top w:val="none" w:sz="0" w:space="0" w:color="auto"/>
            <w:left w:val="none" w:sz="0" w:space="0" w:color="auto"/>
            <w:bottom w:val="none" w:sz="0" w:space="0" w:color="auto"/>
            <w:right w:val="none" w:sz="0" w:space="0" w:color="auto"/>
          </w:divBdr>
        </w:div>
      </w:divsChild>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 w:id="1755735925">
      <w:bodyDiv w:val="1"/>
      <w:marLeft w:val="0"/>
      <w:marRight w:val="0"/>
      <w:marTop w:val="0"/>
      <w:marBottom w:val="0"/>
      <w:divBdr>
        <w:top w:val="none" w:sz="0" w:space="0" w:color="auto"/>
        <w:left w:val="none" w:sz="0" w:space="0" w:color="auto"/>
        <w:bottom w:val="none" w:sz="0" w:space="0" w:color="auto"/>
        <w:right w:val="none" w:sz="0" w:space="0" w:color="auto"/>
      </w:divBdr>
      <w:divsChild>
        <w:div w:id="107428978">
          <w:marLeft w:val="0"/>
          <w:marRight w:val="0"/>
          <w:marTop w:val="0"/>
          <w:marBottom w:val="0"/>
          <w:divBdr>
            <w:top w:val="none" w:sz="0" w:space="0" w:color="auto"/>
            <w:left w:val="none" w:sz="0" w:space="0" w:color="auto"/>
            <w:bottom w:val="none" w:sz="0" w:space="0" w:color="auto"/>
            <w:right w:val="none" w:sz="0" w:space="0" w:color="auto"/>
          </w:divBdr>
        </w:div>
        <w:div w:id="153379979">
          <w:marLeft w:val="0"/>
          <w:marRight w:val="0"/>
          <w:marTop w:val="0"/>
          <w:marBottom w:val="0"/>
          <w:divBdr>
            <w:top w:val="none" w:sz="0" w:space="0" w:color="auto"/>
            <w:left w:val="none" w:sz="0" w:space="0" w:color="auto"/>
            <w:bottom w:val="none" w:sz="0" w:space="0" w:color="auto"/>
            <w:right w:val="none" w:sz="0" w:space="0" w:color="auto"/>
          </w:divBdr>
        </w:div>
        <w:div w:id="103615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a.gov/service/loans/ilgp/what-lenders-need-know-about-ilg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a.gov/service/loans/ilg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2/DCB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a.gov/policy-forms/online-forms" TargetMode="External"/><Relationship Id="rId5" Type="http://schemas.openxmlformats.org/officeDocument/2006/relationships/numbering" Target="numbering.xml"/><Relationship Id="rId15" Type="http://schemas.openxmlformats.org/officeDocument/2006/relationships/hyperlink" Target="http://www.bls.gov/news.release/pdf/ece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a.gov/service/loans/ilgp/how-lenders-can-apply-ilgp-loan-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D82066C-EAD3-4464-B7D8-7E1C1B63067A}">
  <ds:schemaRefs>
    <ds:schemaRef ds:uri="http://schemas.openxmlformats.org/officeDocument/2006/bibliography"/>
  </ds:schemaRefs>
</ds:datastoreItem>
</file>

<file path=customXml/itemProps2.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3.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4.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6009</Words>
  <Characters>34256</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subject/>
  <dc:creator>Mullen, Steven M</dc:creator>
  <cp:keywords/>
  <cp:lastModifiedBy>Mullen, Steven M</cp:lastModifiedBy>
  <cp:revision>2</cp:revision>
  <cp:lastPrinted>2015-10-24T05:21:00Z</cp:lastPrinted>
  <dcterms:created xsi:type="dcterms:W3CDTF">2022-03-05T17:56:00Z</dcterms:created>
  <dcterms:modified xsi:type="dcterms:W3CDTF">2022-03-05T17:56:00Z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