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7540" w:rsidP="006D7540" w:rsidRDefault="00232503" w14:paraId="69A9F870" w14:textId="77777777">
      <w:pPr>
        <w:widowControl/>
        <w:jc w:val="center"/>
        <w:rPr>
          <w:b/>
        </w:rPr>
      </w:pPr>
      <w:bookmarkStart w:name="QuickMark" w:id="0"/>
      <w:bookmarkEnd w:id="0"/>
      <w:r w:rsidRPr="00232503">
        <w:rPr>
          <w:b/>
        </w:rPr>
        <w:t>SUPPORTING STATEMENT FOR PAPERWORK REDUCTION ACT 1995:</w:t>
      </w:r>
      <w:r>
        <w:rPr>
          <w:b/>
        </w:rPr>
        <w:t xml:space="preserve"> </w:t>
      </w:r>
    </w:p>
    <w:p w:rsidR="00BD72D2" w:rsidP="00711A1A" w:rsidRDefault="00BD72D2" w14:paraId="38BD0AC0" w14:textId="0C196FCA">
      <w:pPr>
        <w:widowControl/>
        <w:ind w:left="2160"/>
        <w:rPr>
          <w:b/>
        </w:rPr>
      </w:pPr>
      <w:r w:rsidRPr="00BD72D2">
        <w:rPr>
          <w:b/>
        </w:rPr>
        <w:t>OPT-IN STATE BALANCE BILL PROCESS</w:t>
      </w:r>
    </w:p>
    <w:p w:rsidR="00E812F5" w:rsidP="00711A1A" w:rsidRDefault="00E812F5" w14:paraId="5A7EA509" w14:textId="77777777">
      <w:pPr>
        <w:widowControl/>
        <w:ind w:left="2880"/>
        <w:rPr>
          <w:b/>
          <w:bCs/>
        </w:rPr>
      </w:pPr>
    </w:p>
    <w:p w:rsidR="00860050" w:rsidP="00E45BDB" w:rsidRDefault="00E45BDB" w14:paraId="55FAC351" w14:textId="0947346A">
      <w:pPr>
        <w:widowControl/>
        <w:ind w:firstLine="720"/>
      </w:pPr>
      <w:r>
        <w:t>This ICR seeks approval for an extension of an existing control number.</w:t>
      </w:r>
    </w:p>
    <w:p w:rsidR="00860050" w:rsidP="00E45BDB" w:rsidRDefault="00860050" w14:paraId="668C4C1D" w14:textId="7EEC6427">
      <w:pPr>
        <w:widowControl/>
        <w:ind w:firstLine="720"/>
      </w:pPr>
    </w:p>
    <w:p w:rsidRPr="00860050" w:rsidR="00860050" w:rsidP="00860050" w:rsidRDefault="00860050" w14:paraId="4DCB2494" w14:textId="229D536F">
      <w:pPr>
        <w:pStyle w:val="ListParagraph"/>
        <w:widowControl/>
        <w:numPr>
          <w:ilvl w:val="0"/>
          <w:numId w:val="9"/>
        </w:numPr>
        <w:ind w:hanging="720"/>
        <w:rPr>
          <w:b/>
          <w:bCs/>
        </w:rPr>
      </w:pPr>
      <w:r w:rsidRPr="00860050">
        <w:rPr>
          <w:b/>
          <w:bCs/>
        </w:rPr>
        <w:t>JUSTIFICATION</w:t>
      </w:r>
    </w:p>
    <w:p w:rsidR="00FC2F3E" w:rsidP="00860050" w:rsidRDefault="00FC2F3E" w14:paraId="337F12AC" w14:textId="77777777">
      <w:pPr>
        <w:widowControl/>
      </w:pPr>
    </w:p>
    <w:p w:rsidRPr="009C164D" w:rsidR="00FC2F3E" w:rsidP="0058584C" w:rsidRDefault="00FC2F3E" w14:paraId="2CFC1E7C" w14:textId="77777777">
      <w:pPr>
        <w:pStyle w:val="Quick1"/>
        <w:widowControl/>
        <w:numPr>
          <w:ilvl w:val="0"/>
          <w:numId w:val="1"/>
        </w:numPr>
        <w:tabs>
          <w:tab w:val="left" w:pos="-1440"/>
          <w:tab w:val="num" w:pos="720"/>
        </w:tabs>
        <w:rPr>
          <w:b/>
        </w:rPr>
      </w:pPr>
      <w:r w:rsidRPr="009C164D">
        <w:rPr>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72C4C" w:rsidP="00711A1A" w:rsidRDefault="00A72C4C" w14:paraId="6DF2BC10" w14:textId="77777777">
      <w:pPr>
        <w:widowControl/>
        <w:rPr>
          <w:iCs/>
        </w:rPr>
      </w:pPr>
    </w:p>
    <w:p w:rsidRPr="008045F4" w:rsidR="008045F4" w:rsidP="008045F4" w:rsidRDefault="004E7250" w14:paraId="1425ADBF" w14:textId="34540C80">
      <w:pPr>
        <w:widowControl/>
        <w:ind w:left="720"/>
        <w:rPr>
          <w:iCs/>
        </w:rPr>
      </w:pPr>
      <w:r>
        <w:t xml:space="preserve">The No Surprises Act was enacted as part of the Consolidated Appropriations Act, 2021 </w:t>
      </w:r>
      <w:r w:rsidRPr="00BB72A1">
        <w:t>(Pub. L. 116-260)</w:t>
      </w:r>
      <w:r>
        <w:t xml:space="preserve">.  </w:t>
      </w:r>
      <w:r w:rsidRPr="00EA7948" w:rsidR="00EA7948">
        <w:rPr>
          <w:iCs/>
        </w:rPr>
        <w:t xml:space="preserve">The interim final rules allow </w:t>
      </w:r>
      <w:r w:rsidRPr="008045F4" w:rsidR="008045F4">
        <w:rPr>
          <w:iCs/>
        </w:rPr>
        <w:t xml:space="preserve">plans to voluntarily opt in to state law that provides for a method for determining the cost-sharing amount or total amount payable under such a plan, where a state has chosen to expand access to such plans, to satisfy their obligations under section 9816(a)-(d) of the Code, section 716(a)-(d) of ERISA, and section 2799A-1(a)-(d) of the PHS Act. A plan that has chosen to opt into a state law must prominently display in its plan materials describing the coverage of out-of-network services a statement that the plan has opted into a specified state law, identify the state (or states), and include a general description of the items and services provided by nonparticipating facilities and providers that are covered by the specified state law. </w:t>
      </w:r>
    </w:p>
    <w:p w:rsidR="00383AF6" w:rsidP="00711A1A" w:rsidRDefault="00383AF6" w14:paraId="24317BC8" w14:textId="77777777">
      <w:pPr>
        <w:widowControl/>
      </w:pPr>
    </w:p>
    <w:p w:rsidRPr="009C164D" w:rsidR="00BD72D2" w:rsidP="0058584C" w:rsidRDefault="00FC2F3E" w14:paraId="3A0DFFCF" w14:textId="05107619">
      <w:pPr>
        <w:widowControl/>
        <w:tabs>
          <w:tab w:val="left" w:pos="-1440"/>
        </w:tabs>
        <w:ind w:left="720" w:hanging="720"/>
        <w:rPr>
          <w:b/>
        </w:rPr>
      </w:pPr>
      <w:r w:rsidRPr="009C164D">
        <w:rPr>
          <w:b/>
        </w:rPr>
        <w:t>2.</w:t>
      </w:r>
      <w:r w:rsidRPr="009C164D">
        <w:rPr>
          <w:b/>
        </w:rPr>
        <w:tab/>
      </w:r>
      <w:r w:rsidRPr="009C164D">
        <w:rPr>
          <w:b/>
          <w:iCs/>
        </w:rPr>
        <w:t>Indicate how, by whom, and for what purpose the information is to be used.  Except for a new collection, indicate the actual use the agency has made of the information received from the current collection.</w:t>
      </w:r>
    </w:p>
    <w:p w:rsidR="00EB4F7B" w:rsidP="00711A1A" w:rsidRDefault="00EB4F7B" w14:paraId="4D923974" w14:textId="77777777">
      <w:pPr>
        <w:widowControl/>
        <w:rPr>
          <w:iCs/>
        </w:rPr>
      </w:pPr>
    </w:p>
    <w:p w:rsidR="009D0921" w:rsidP="009D0921" w:rsidRDefault="00654A16" w14:paraId="7DB2F6D2" w14:textId="6D05C251">
      <w:pPr>
        <w:widowControl/>
        <w:ind w:left="720"/>
        <w:rPr>
          <w:iCs/>
        </w:rPr>
      </w:pPr>
      <w:r>
        <w:rPr>
          <w:iCs/>
        </w:rPr>
        <w:t>The</w:t>
      </w:r>
      <w:r w:rsidRPr="00654A16">
        <w:rPr>
          <w:iCs/>
        </w:rPr>
        <w:t xml:space="preserve"> interim final rules allow plans to voluntarily opt into state law that provides for a method for determining the cost-sharing amount or total amount payable under such a plan, where a state has chosen to expand access to such plans, to satisfy their obligations under Code section 9816(a)-(d), ERISA section 716(a)-(d) and PHS Act section 2799A-1(a)-(d). </w:t>
      </w:r>
      <w:r>
        <w:rPr>
          <w:iCs/>
        </w:rPr>
        <w:t xml:space="preserve"> Thus, the </w:t>
      </w:r>
      <w:r w:rsidR="009D0921">
        <w:rPr>
          <w:iCs/>
        </w:rPr>
        <w:t>interim final ru</w:t>
      </w:r>
      <w:r w:rsidR="00D82718">
        <w:rPr>
          <w:iCs/>
        </w:rPr>
        <w:t>le</w:t>
      </w:r>
      <w:r>
        <w:rPr>
          <w:iCs/>
        </w:rPr>
        <w:t>s require</w:t>
      </w:r>
      <w:r w:rsidR="00D82718">
        <w:rPr>
          <w:iCs/>
        </w:rPr>
        <w:t xml:space="preserve"> that </w:t>
      </w:r>
      <w:r w:rsidRPr="00EB4F7B" w:rsidR="00EB4F7B">
        <w:rPr>
          <w:iCs/>
        </w:rPr>
        <w:t>plan</w:t>
      </w:r>
      <w:r w:rsidR="00EB4F7B">
        <w:rPr>
          <w:iCs/>
        </w:rPr>
        <w:t>s</w:t>
      </w:r>
      <w:r w:rsidRPr="00EB4F7B" w:rsidR="00EB4F7B">
        <w:rPr>
          <w:iCs/>
        </w:rPr>
        <w:t xml:space="preserve"> that ha</w:t>
      </w:r>
      <w:r w:rsidR="009D0921">
        <w:rPr>
          <w:iCs/>
        </w:rPr>
        <w:t>ve</w:t>
      </w:r>
      <w:r w:rsidRPr="00EB4F7B" w:rsidR="00EB4F7B">
        <w:rPr>
          <w:iCs/>
        </w:rPr>
        <w:t xml:space="preserve"> chosen to opt into a state law</w:t>
      </w:r>
      <w:r w:rsidR="000C640F">
        <w:rPr>
          <w:iCs/>
        </w:rPr>
        <w:t xml:space="preserve"> </w:t>
      </w:r>
      <w:r w:rsidRPr="00D82718" w:rsidR="00D82718">
        <w:rPr>
          <w:iCs/>
        </w:rPr>
        <w:t>must prominentl</w:t>
      </w:r>
      <w:r w:rsidR="007E72C1">
        <w:rPr>
          <w:iCs/>
        </w:rPr>
        <w:t>y display in its plan materials</w:t>
      </w:r>
      <w:r w:rsidRPr="00D82718" w:rsidR="00D82718">
        <w:rPr>
          <w:iCs/>
        </w:rPr>
        <w:t xml:space="preserve"> </w:t>
      </w:r>
      <w:r w:rsidR="007E72C1">
        <w:rPr>
          <w:iCs/>
        </w:rPr>
        <w:t xml:space="preserve">about </w:t>
      </w:r>
      <w:r w:rsidRPr="00D82718" w:rsidR="00D82718">
        <w:rPr>
          <w:iCs/>
        </w:rPr>
        <w:t xml:space="preserve">the emergency services and/or out-of-network </w:t>
      </w:r>
      <w:r w:rsidR="00D82718">
        <w:rPr>
          <w:iCs/>
        </w:rPr>
        <w:t xml:space="preserve">services </w:t>
      </w:r>
      <w:r w:rsidRPr="00D82718" w:rsidR="00D82718">
        <w:rPr>
          <w:iCs/>
        </w:rPr>
        <w:t>covered by the specified state law.</w:t>
      </w:r>
      <w:r w:rsidR="00D566DD">
        <w:rPr>
          <w:iCs/>
        </w:rPr>
        <w:t xml:space="preserve"> This requirement helps ensure that plan participants and beneficiaries are aware of these protections.</w:t>
      </w:r>
    </w:p>
    <w:p w:rsidR="009D0921" w:rsidP="00711A1A" w:rsidRDefault="009D0921" w14:paraId="39C583E5" w14:textId="77777777">
      <w:pPr>
        <w:widowControl/>
      </w:pPr>
    </w:p>
    <w:p w:rsidRPr="00B60E1C" w:rsidR="00FC2F3E" w:rsidP="00B60E1C" w:rsidRDefault="00FC2F3E" w14:paraId="6961C074" w14:textId="77777777">
      <w:pPr>
        <w:pStyle w:val="Quick1"/>
        <w:widowControl/>
        <w:numPr>
          <w:ilvl w:val="0"/>
          <w:numId w:val="6"/>
        </w:numPr>
        <w:tabs>
          <w:tab w:val="left" w:pos="-1440"/>
        </w:tabs>
        <w:rPr>
          <w:b/>
          <w:iCs/>
        </w:rPr>
      </w:pPr>
      <w:r w:rsidRPr="00B60E1C">
        <w:rPr>
          <w:b/>
          <w:iCs/>
        </w:rPr>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B60E1C">
        <w:rPr>
          <w:b/>
          <w:iCs/>
        </w:rPr>
        <w:lastRenderedPageBreak/>
        <w:t>responses, and the basis for the decision for adopting this means of collection.  Also describe any consideration for using information technology to reduce burden.</w:t>
      </w:r>
    </w:p>
    <w:p w:rsidR="00C46805" w:rsidP="00C46805" w:rsidRDefault="00C46805" w14:paraId="6621214B" w14:textId="77777777">
      <w:pPr>
        <w:pStyle w:val="Quick1"/>
        <w:widowControl/>
        <w:numPr>
          <w:ilvl w:val="0"/>
          <w:numId w:val="0"/>
        </w:numPr>
        <w:tabs>
          <w:tab w:val="left" w:pos="-1440"/>
        </w:tabs>
        <w:ind w:left="720"/>
        <w:rPr>
          <w:b/>
          <w:iCs/>
        </w:rPr>
      </w:pPr>
    </w:p>
    <w:p w:rsidR="00FC2F3E" w:rsidP="00D31765" w:rsidRDefault="006C20E4" w14:paraId="20071D74" w14:textId="77777777">
      <w:pPr>
        <w:widowControl/>
        <w:ind w:left="720"/>
        <w:rPr>
          <w:iCs/>
        </w:rPr>
      </w:pPr>
      <w:r w:rsidRPr="006C20E4">
        <w:rPr>
          <w:iCs/>
        </w:rPr>
        <w:t>The regulation does not restrict plans or issuers from using electronic technology to provide either disclosure.  The Department of Labor’s regulations under 29 C.F.R. § 2520.104b-1(b) provides that, “where certain material, including reports, statements, notices and other documents, is required under Title I of the Act, or regulations issued thereunder, to be furnished either by direct operation of law or on individual request, the plan administrator shall use measures reasonably calculated to ensure actual receipt of the material by plan participants, beneficiaries and other specified individuals”  Section 29 CFR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00415C86" w:rsidP="00E45BDB" w:rsidRDefault="00415C86" w14:paraId="0333320E" w14:textId="77777777">
      <w:pPr>
        <w:pStyle w:val="BodyText"/>
        <w:spacing w:after="0"/>
        <w:contextualSpacing/>
        <w:rPr>
          <w:iCs/>
        </w:rPr>
      </w:pPr>
    </w:p>
    <w:p w:rsidRPr="009C164D" w:rsidR="00FC2F3E" w:rsidP="0058584C" w:rsidRDefault="00FC2F3E" w14:paraId="7979B7DB" w14:textId="77777777">
      <w:pPr>
        <w:widowControl/>
        <w:ind w:left="720" w:hanging="720"/>
        <w:rPr>
          <w:b/>
        </w:rPr>
      </w:pPr>
      <w:r w:rsidRPr="009C164D">
        <w:rPr>
          <w:b/>
        </w:rPr>
        <w:t>4.</w:t>
      </w:r>
      <w:r w:rsidRPr="009C164D">
        <w:rPr>
          <w:b/>
        </w:rPr>
        <w:tab/>
      </w:r>
      <w:r w:rsidRPr="009C164D">
        <w:rPr>
          <w:b/>
          <w:iCs/>
        </w:rPr>
        <w:t xml:space="preserve">Describe efforts to identify duplication.  Show specifically why any similar information already available cannot be used or modified for use for the purposes described in Item 2 above.  </w:t>
      </w:r>
    </w:p>
    <w:p w:rsidR="00FC2F3E" w:rsidP="00D31765" w:rsidRDefault="00FC2F3E" w14:paraId="4D8F408C" w14:textId="77777777">
      <w:pPr>
        <w:widowControl/>
        <w:ind w:left="720"/>
      </w:pPr>
    </w:p>
    <w:p w:rsidR="00FC2F3E" w:rsidP="007C1A81" w:rsidRDefault="00295D3F" w14:paraId="0BAC1B98" w14:textId="06AA1748">
      <w:pPr>
        <w:widowControl/>
        <w:ind w:left="720"/>
      </w:pPr>
      <w:r>
        <w:t xml:space="preserve">The No Surprises Act, which was enacted as part of the Consolidated Appropriations Act, 2021 </w:t>
      </w:r>
      <w:r w:rsidRPr="00BB72A1">
        <w:t>(Pub. L. 116-260)</w:t>
      </w:r>
      <w:r w:rsidR="0010753D">
        <w:t xml:space="preserve"> (December 27, 2020)</w:t>
      </w:r>
      <w:r>
        <w:t xml:space="preserve">. </w:t>
      </w:r>
      <w:r w:rsidR="00D05F7D">
        <w:t xml:space="preserve"> </w:t>
      </w:r>
      <w:r w:rsidRPr="002214AD" w:rsidR="003940EF">
        <w:t>The No Surprises Act</w:t>
      </w:r>
      <w:r w:rsidR="003940EF">
        <w:t xml:space="preserve"> </w:t>
      </w:r>
      <w:r w:rsidR="0010753D">
        <w:t xml:space="preserve">and these interim final rules </w:t>
      </w:r>
      <w:r>
        <w:t>amend and add provisions to existing rules under the Internal Revenue Code,</w:t>
      </w:r>
      <w:r w:rsidRPr="00EC6CE6">
        <w:t xml:space="preserve"> </w:t>
      </w:r>
      <w:r>
        <w:t>the Employee Retirement Income Security Act, and</w:t>
      </w:r>
      <w:r w:rsidRPr="00EC6CE6">
        <w:t xml:space="preserve"> </w:t>
      </w:r>
      <w:r>
        <w:t xml:space="preserve">the Public Health Service Act.  </w:t>
      </w:r>
      <w:r w:rsidRPr="002576E1" w:rsidR="002576E1">
        <w:t>However, only the Department of Health and Human Services has jurisdiction over state and local government pla</w:t>
      </w:r>
      <w:r w:rsidR="002576E1">
        <w:t>ns and individual market plans</w:t>
      </w:r>
      <w:r w:rsidR="007C1A81">
        <w:t xml:space="preserve"> and</w:t>
      </w:r>
      <w:r w:rsidR="002576E1">
        <w:t xml:space="preserve"> </w:t>
      </w:r>
      <w:r w:rsidRPr="00B95CA7" w:rsidR="002576E1">
        <w:t>the Department of Labor oversees ERISA-covered group health plans</w:t>
      </w:r>
      <w:r w:rsidR="002576E1">
        <w:t>.</w:t>
      </w:r>
      <w:r w:rsidR="007C1A81">
        <w:t xml:space="preserve">  Thus, t</w:t>
      </w:r>
      <w:r w:rsidRPr="00B95CA7" w:rsidR="00B95CA7">
        <w:t>here will be no duplication of effort with HHS</w:t>
      </w:r>
      <w:r w:rsidR="007C1A81">
        <w:t xml:space="preserve">. </w:t>
      </w:r>
    </w:p>
    <w:p w:rsidR="00B95CA7" w:rsidP="00D31765" w:rsidRDefault="00B95CA7" w14:paraId="64AB5CCD" w14:textId="77777777">
      <w:pPr>
        <w:widowControl/>
        <w:ind w:left="720"/>
      </w:pPr>
    </w:p>
    <w:p w:rsidRPr="009C164D" w:rsidR="00FC2F3E" w:rsidP="0058584C" w:rsidRDefault="00FC2F3E" w14:paraId="1D14025C" w14:textId="77777777">
      <w:pPr>
        <w:widowControl/>
        <w:tabs>
          <w:tab w:val="left" w:pos="-1440"/>
        </w:tabs>
        <w:ind w:left="720" w:hanging="720"/>
        <w:rPr>
          <w:b/>
        </w:rPr>
      </w:pPr>
      <w:r w:rsidRPr="009C164D">
        <w:rPr>
          <w:b/>
        </w:rPr>
        <w:t>5.</w:t>
      </w:r>
      <w:r w:rsidRPr="009C164D">
        <w:rPr>
          <w:b/>
        </w:rPr>
        <w:tab/>
      </w:r>
      <w:r w:rsidRPr="009C164D">
        <w:rPr>
          <w:b/>
          <w:iCs/>
        </w:rPr>
        <w:t>If the collection of information impacts small businesses or other small entities</w:t>
      </w:r>
      <w:r w:rsidRPr="009C164D" w:rsidR="009875D0">
        <w:rPr>
          <w:b/>
          <w:iCs/>
        </w:rPr>
        <w:t xml:space="preserve"> </w:t>
      </w:r>
      <w:r w:rsidRPr="009C164D">
        <w:rPr>
          <w:b/>
          <w:iCs/>
        </w:rPr>
        <w:t>describe any methods used to minimize burden.</w:t>
      </w:r>
    </w:p>
    <w:p w:rsidR="00FC2F3E" w:rsidP="00D31765" w:rsidRDefault="00FC2F3E" w14:paraId="23AB4DC1" w14:textId="77777777">
      <w:pPr>
        <w:widowControl/>
        <w:ind w:left="720"/>
      </w:pPr>
    </w:p>
    <w:p w:rsidRPr="002214AD" w:rsidR="0095438A" w:rsidP="003C12C5" w:rsidRDefault="00991ADE" w14:paraId="7DD29FC7" w14:textId="350CB12C">
      <w:pPr>
        <w:ind w:left="720"/>
        <w:contextualSpacing/>
        <w:rPr>
          <w:bCs/>
        </w:rPr>
      </w:pPr>
      <w:r>
        <w:rPr>
          <w:rFonts w:eastAsia="Calibri"/>
          <w:iCs/>
          <w:snapToGrid w:val="0"/>
          <w:color w:val="000000"/>
        </w:rPr>
        <w:t xml:space="preserve">The interim final rules require that a </w:t>
      </w:r>
      <w:r w:rsidRPr="008E1E0C">
        <w:rPr>
          <w:rFonts w:eastAsia="Calibri"/>
          <w:iCs/>
          <w:snapToGrid w:val="0"/>
          <w:color w:val="000000"/>
        </w:rPr>
        <w:t>plan that has chosen to opt into a state law must prominently display in its plan materials</w:t>
      </w:r>
      <w:r w:rsidR="007C4E2C">
        <w:rPr>
          <w:rFonts w:eastAsia="Calibri"/>
          <w:iCs/>
          <w:snapToGrid w:val="0"/>
          <w:color w:val="000000"/>
        </w:rPr>
        <w:t xml:space="preserve"> a statement</w:t>
      </w:r>
      <w:r w:rsidRPr="008E1E0C">
        <w:rPr>
          <w:rFonts w:eastAsia="Calibri"/>
          <w:iCs/>
          <w:snapToGrid w:val="0"/>
          <w:color w:val="000000"/>
        </w:rPr>
        <w:t xml:space="preserve"> describing the coverage of emergency services and/or out-of-network services a statement </w:t>
      </w:r>
      <w:r w:rsidR="009362AD">
        <w:rPr>
          <w:rFonts w:eastAsia="Calibri"/>
          <w:iCs/>
          <w:snapToGrid w:val="0"/>
          <w:color w:val="000000"/>
        </w:rPr>
        <w:t xml:space="preserve">and </w:t>
      </w:r>
      <w:r w:rsidRPr="008E1E0C">
        <w:rPr>
          <w:rFonts w:eastAsia="Calibri"/>
          <w:iCs/>
          <w:snapToGrid w:val="0"/>
          <w:color w:val="000000"/>
        </w:rPr>
        <w:t xml:space="preserve">that the plan has opted into a specified state law, identify the state (or states), and include a general description of the emergency services and/or services provided by out-of-network facilities and providers that are covered by the specified state law. </w:t>
      </w:r>
      <w:r w:rsidR="0031755D">
        <w:rPr>
          <w:rFonts w:eastAsia="Calibri"/>
          <w:iCs/>
          <w:snapToGrid w:val="0"/>
          <w:color w:val="000000"/>
        </w:rPr>
        <w:t xml:space="preserve">The Department has not proscribed the specific format for that information allowing plans to </w:t>
      </w:r>
      <w:r w:rsidR="009362AD">
        <w:rPr>
          <w:rFonts w:eastAsia="Calibri"/>
          <w:iCs/>
          <w:snapToGrid w:val="0"/>
          <w:color w:val="000000"/>
        </w:rPr>
        <w:t>use</w:t>
      </w:r>
      <w:r w:rsidR="0031755D">
        <w:rPr>
          <w:rFonts w:eastAsia="Calibri"/>
          <w:iCs/>
          <w:snapToGrid w:val="0"/>
          <w:color w:val="000000"/>
        </w:rPr>
        <w:t xml:space="preserve"> materials </w:t>
      </w:r>
      <w:r w:rsidR="0031755D">
        <w:rPr>
          <w:rFonts w:eastAsia="Calibri"/>
          <w:iCs/>
          <w:snapToGrid w:val="0"/>
          <w:color w:val="000000"/>
        </w:rPr>
        <w:lastRenderedPageBreak/>
        <w:t xml:space="preserve">already on hand to </w:t>
      </w:r>
      <w:r w:rsidR="00D95433">
        <w:rPr>
          <w:rFonts w:eastAsia="Calibri"/>
          <w:iCs/>
          <w:snapToGrid w:val="0"/>
          <w:color w:val="000000"/>
        </w:rPr>
        <w:t xml:space="preserve">satisfy or else compose the notice.  This requirement could not be waved for small businesses as participants need to be notified of their rights </w:t>
      </w:r>
      <w:proofErr w:type="gramStart"/>
      <w:r w:rsidR="00D95433">
        <w:rPr>
          <w:rFonts w:eastAsia="Calibri"/>
          <w:iCs/>
          <w:snapToGrid w:val="0"/>
          <w:color w:val="000000"/>
        </w:rPr>
        <w:t xml:space="preserve">in </w:t>
      </w:r>
      <w:r w:rsidR="008C7359">
        <w:rPr>
          <w:rFonts w:eastAsia="Calibri"/>
          <w:iCs/>
          <w:snapToGrid w:val="0"/>
          <w:color w:val="000000"/>
        </w:rPr>
        <w:t>order to</w:t>
      </w:r>
      <w:proofErr w:type="gramEnd"/>
      <w:r w:rsidR="008C7359">
        <w:rPr>
          <w:rFonts w:eastAsia="Calibri"/>
          <w:iCs/>
          <w:snapToGrid w:val="0"/>
          <w:color w:val="000000"/>
        </w:rPr>
        <w:t xml:space="preserve"> </w:t>
      </w:r>
      <w:r w:rsidR="00F25017">
        <w:rPr>
          <w:rFonts w:eastAsia="Calibri"/>
          <w:iCs/>
          <w:snapToGrid w:val="0"/>
          <w:color w:val="000000"/>
        </w:rPr>
        <w:t xml:space="preserve">be notified of the protections and </w:t>
      </w:r>
      <w:r w:rsidR="008C7359">
        <w:rPr>
          <w:rFonts w:eastAsia="Calibri"/>
          <w:iCs/>
          <w:snapToGrid w:val="0"/>
          <w:color w:val="000000"/>
        </w:rPr>
        <w:t>utilized the provided protections</w:t>
      </w:r>
      <w:r w:rsidR="003765C6">
        <w:rPr>
          <w:rFonts w:eastAsia="Calibri"/>
          <w:iCs/>
          <w:snapToGrid w:val="0"/>
          <w:color w:val="000000"/>
        </w:rPr>
        <w:t xml:space="preserve">.  </w:t>
      </w:r>
      <w:r w:rsidR="00D566DD">
        <w:rPr>
          <w:bCs/>
        </w:rPr>
        <w:t>Also, this requirement is at the discretion of the plan providing them with flexibility and choice.</w:t>
      </w:r>
    </w:p>
    <w:p w:rsidR="00343035" w:rsidP="00115745" w:rsidRDefault="00343035" w14:paraId="14489E1D" w14:textId="00E0C49E">
      <w:pPr>
        <w:pStyle w:val="Quick1"/>
        <w:widowControl/>
        <w:numPr>
          <w:ilvl w:val="0"/>
          <w:numId w:val="0"/>
        </w:numPr>
        <w:tabs>
          <w:tab w:val="right" w:pos="9360"/>
        </w:tabs>
        <w:ind w:left="720"/>
      </w:pPr>
    </w:p>
    <w:p w:rsidRPr="009C164D" w:rsidR="00FC2F3E" w:rsidP="0058584C" w:rsidRDefault="00FC2F3E" w14:paraId="40E68C16" w14:textId="77777777">
      <w:pPr>
        <w:widowControl/>
        <w:tabs>
          <w:tab w:val="left" w:pos="-1440"/>
        </w:tabs>
        <w:ind w:left="720" w:hanging="720"/>
        <w:rPr>
          <w:b/>
        </w:rPr>
      </w:pPr>
      <w:r w:rsidRPr="009C164D">
        <w:rPr>
          <w:b/>
        </w:rPr>
        <w:t>6.</w:t>
      </w:r>
      <w:r w:rsidRPr="009C164D">
        <w:rPr>
          <w:b/>
        </w:rPr>
        <w:tab/>
      </w:r>
      <w:r w:rsidRPr="009C164D">
        <w:rPr>
          <w:b/>
          <w:iCs/>
        </w:rPr>
        <w:t>Describe the consequence to Federal program or policy activities if the collection is not conducted or is conducted less frequently, as well as any technical or legal obstacles to reducing burden.</w:t>
      </w:r>
    </w:p>
    <w:p w:rsidR="00FC2F3E" w:rsidP="00D31765" w:rsidRDefault="00FC2F3E" w14:paraId="679901C1" w14:textId="77777777">
      <w:pPr>
        <w:widowControl/>
        <w:ind w:left="720"/>
      </w:pPr>
    </w:p>
    <w:p w:rsidR="008D6EFD" w:rsidP="00D31765" w:rsidRDefault="005D1EFB" w14:paraId="73E53A2D" w14:textId="54B5796B">
      <w:pPr>
        <w:widowControl/>
        <w:ind w:left="720"/>
      </w:pPr>
      <w:r>
        <w:t xml:space="preserve">Without </w:t>
      </w:r>
      <w:r w:rsidR="00CE6E31">
        <w:t>the required notice</w:t>
      </w:r>
      <w:r>
        <w:t xml:space="preserve">, there would be inadequate </w:t>
      </w:r>
      <w:r w:rsidRPr="005D1EFB">
        <w:t xml:space="preserve">consumer protections </w:t>
      </w:r>
      <w:r>
        <w:t>related to</w:t>
      </w:r>
      <w:r w:rsidRPr="005D1EFB">
        <w:t xml:space="preserve"> balance billing for individuals enrolled in group health plans</w:t>
      </w:r>
      <w:r>
        <w:t xml:space="preserve">. </w:t>
      </w:r>
      <w:r w:rsidR="00516D0E">
        <w:t xml:space="preserve"> Consumers would not be </w:t>
      </w:r>
      <w:r w:rsidR="00CE6E31">
        <w:t>notified of their protections and rights, and less likely t</w:t>
      </w:r>
      <w:r w:rsidR="00516D0E">
        <w:t xml:space="preserve">o </w:t>
      </w:r>
      <w:r w:rsidRPr="00516D0E" w:rsidR="00516D0E">
        <w:t>minimize the amount of a balance bill</w:t>
      </w:r>
      <w:r w:rsidR="00516D0E">
        <w:t xml:space="preserve">. </w:t>
      </w:r>
    </w:p>
    <w:p w:rsidRPr="00C1145E" w:rsidR="00FC2F3E" w:rsidP="00D31765" w:rsidRDefault="00FC2F3E" w14:paraId="5A7AA939" w14:textId="77777777">
      <w:pPr>
        <w:pStyle w:val="Header"/>
        <w:widowControl/>
        <w:tabs>
          <w:tab w:val="clear" w:pos="4320"/>
          <w:tab w:val="clear" w:pos="8640"/>
        </w:tabs>
        <w:ind w:left="720"/>
        <w:rPr>
          <w:b/>
        </w:rPr>
      </w:pPr>
    </w:p>
    <w:p w:rsidRPr="009C164D" w:rsidR="00FC2F3E" w:rsidP="0058584C" w:rsidRDefault="00FC2F3E" w14:paraId="2EBAD04A" w14:textId="77777777">
      <w:pPr>
        <w:widowControl/>
        <w:tabs>
          <w:tab w:val="left" w:pos="-1440"/>
        </w:tabs>
        <w:ind w:left="720" w:hanging="720"/>
        <w:rPr>
          <w:b/>
          <w:iCs/>
        </w:rPr>
      </w:pPr>
      <w:r w:rsidRPr="00C1145E">
        <w:rPr>
          <w:b/>
        </w:rPr>
        <w:t>7.</w:t>
      </w:r>
      <w:r w:rsidRPr="00C1145E">
        <w:rPr>
          <w:b/>
        </w:rPr>
        <w:tab/>
      </w:r>
      <w:r w:rsidRPr="00C1145E">
        <w:rPr>
          <w:b/>
          <w:iCs/>
        </w:rPr>
        <w:t>Explain</w:t>
      </w:r>
      <w:r w:rsidRPr="009C164D">
        <w:rPr>
          <w:b/>
          <w:iCs/>
        </w:rPr>
        <w:t xml:space="preserve"> any special circumstances that would cause an information collection to be conducted in a manner:</w:t>
      </w:r>
    </w:p>
    <w:p w:rsidRPr="009C164D" w:rsidR="00FC2F3E" w:rsidP="00D31765" w:rsidRDefault="00FC2F3E" w14:paraId="4FD585E4" w14:textId="77777777">
      <w:pPr>
        <w:widowControl/>
        <w:ind w:left="1440" w:hanging="720"/>
        <w:rPr>
          <w:b/>
          <w:iCs/>
        </w:rPr>
      </w:pPr>
    </w:p>
    <w:p w:rsidRPr="009C164D" w:rsidR="00FC2F3E" w:rsidP="00C1145E" w:rsidRDefault="00FC2F3E" w14:paraId="4D7E61F4" w14:textId="77777777">
      <w:pPr>
        <w:widowControl/>
        <w:tabs>
          <w:tab w:val="left" w:pos="-1440"/>
        </w:tabs>
        <w:ind w:left="1440" w:hanging="720"/>
        <w:rPr>
          <w:b/>
          <w:iCs/>
        </w:rPr>
      </w:pPr>
      <w:r w:rsidRPr="009C164D">
        <w:rPr>
          <w:b/>
          <w:iCs/>
        </w:rPr>
        <w:t>•</w:t>
      </w:r>
      <w:r w:rsidRPr="009C164D">
        <w:rPr>
          <w:b/>
          <w:iCs/>
        </w:rPr>
        <w:tab/>
        <w:t xml:space="preserve">requiring respondents to report information to the agency more often than </w:t>
      </w:r>
      <w:proofErr w:type="gramStart"/>
      <w:r w:rsidRPr="009C164D">
        <w:rPr>
          <w:b/>
          <w:iCs/>
        </w:rPr>
        <w:t>quarterly;</w:t>
      </w:r>
      <w:proofErr w:type="gramEnd"/>
    </w:p>
    <w:p w:rsidRPr="009C164D" w:rsidR="00FC2F3E" w:rsidP="00C1145E" w:rsidRDefault="00FC2F3E" w14:paraId="0480BD96" w14:textId="77777777">
      <w:pPr>
        <w:widowControl/>
        <w:tabs>
          <w:tab w:val="left" w:pos="-1440"/>
        </w:tabs>
        <w:ind w:left="1440" w:hanging="720"/>
        <w:rPr>
          <w:b/>
          <w:iCs/>
        </w:rPr>
      </w:pPr>
      <w:r w:rsidRPr="009C164D">
        <w:rPr>
          <w:b/>
          <w:iCs/>
        </w:rPr>
        <w:t>•</w:t>
      </w:r>
      <w:r w:rsidRPr="009C164D">
        <w:rPr>
          <w:b/>
          <w:iCs/>
        </w:rPr>
        <w:tab/>
        <w:t xml:space="preserve">requiring respondents to prepare a written response to a collection of information in fewer than 30 days after receipt of </w:t>
      </w:r>
      <w:proofErr w:type="gramStart"/>
      <w:r w:rsidRPr="009C164D">
        <w:rPr>
          <w:b/>
          <w:iCs/>
        </w:rPr>
        <w:t>it;</w:t>
      </w:r>
      <w:proofErr w:type="gramEnd"/>
    </w:p>
    <w:p w:rsidRPr="009C164D" w:rsidR="00FC2F3E" w:rsidP="00C1145E" w:rsidRDefault="00FC2F3E" w14:paraId="59F5E534" w14:textId="77777777">
      <w:pPr>
        <w:widowControl/>
        <w:tabs>
          <w:tab w:val="left" w:pos="-1440"/>
        </w:tabs>
        <w:ind w:left="1440" w:hanging="720"/>
        <w:rPr>
          <w:b/>
          <w:iCs/>
        </w:rPr>
      </w:pPr>
      <w:r w:rsidRPr="009C164D">
        <w:rPr>
          <w:b/>
          <w:iCs/>
        </w:rPr>
        <w:t>•</w:t>
      </w:r>
      <w:r w:rsidRPr="009C164D">
        <w:rPr>
          <w:b/>
          <w:iCs/>
        </w:rPr>
        <w:tab/>
        <w:t xml:space="preserve">requiring respondents to submit more than an original and two copies of any </w:t>
      </w:r>
      <w:proofErr w:type="gramStart"/>
      <w:r w:rsidRPr="009C164D">
        <w:rPr>
          <w:b/>
          <w:iCs/>
        </w:rPr>
        <w:t>document;</w:t>
      </w:r>
      <w:proofErr w:type="gramEnd"/>
    </w:p>
    <w:p w:rsidRPr="009C164D" w:rsidR="00FC2F3E" w:rsidP="00C1145E" w:rsidRDefault="00FC2F3E" w14:paraId="4966E132" w14:textId="77777777">
      <w:pPr>
        <w:widowControl/>
        <w:tabs>
          <w:tab w:val="left" w:pos="-1440"/>
        </w:tabs>
        <w:ind w:left="1440" w:hanging="720"/>
        <w:rPr>
          <w:b/>
          <w:iCs/>
        </w:rPr>
      </w:pPr>
      <w:r w:rsidRPr="009C164D">
        <w:rPr>
          <w:b/>
          <w:iCs/>
        </w:rPr>
        <w:t>•</w:t>
      </w:r>
      <w:r w:rsidRPr="009C164D">
        <w:rPr>
          <w:b/>
          <w:iCs/>
        </w:rPr>
        <w:tab/>
        <w:t xml:space="preserve">requiring respondents to retain records, other than health, medical, government contract, grant-in-aid, or tax records for more than three </w:t>
      </w:r>
      <w:proofErr w:type="gramStart"/>
      <w:r w:rsidRPr="009C164D">
        <w:rPr>
          <w:b/>
          <w:iCs/>
        </w:rPr>
        <w:t>years;</w:t>
      </w:r>
      <w:proofErr w:type="gramEnd"/>
    </w:p>
    <w:p w:rsidRPr="009C164D" w:rsidR="00FC2F3E" w:rsidP="00C1145E" w:rsidRDefault="00FC2F3E" w14:paraId="0ADA04D2" w14:textId="77777777">
      <w:pPr>
        <w:widowControl/>
        <w:tabs>
          <w:tab w:val="left" w:pos="-1440"/>
        </w:tabs>
        <w:ind w:left="1440" w:hanging="720"/>
        <w:rPr>
          <w:b/>
          <w:iCs/>
        </w:rPr>
      </w:pPr>
      <w:r w:rsidRPr="009C164D">
        <w:rPr>
          <w:b/>
          <w:iCs/>
        </w:rPr>
        <w:t>•</w:t>
      </w:r>
      <w:r w:rsidRPr="009C164D">
        <w:rPr>
          <w:b/>
          <w:iCs/>
        </w:rPr>
        <w:tab/>
        <w:t xml:space="preserve">in connection with a statistical survey, that is not designed to produce valid and reliable results that can be generalized to the universe of </w:t>
      </w:r>
      <w:proofErr w:type="gramStart"/>
      <w:r w:rsidRPr="009C164D">
        <w:rPr>
          <w:b/>
          <w:iCs/>
        </w:rPr>
        <w:t>study;</w:t>
      </w:r>
      <w:proofErr w:type="gramEnd"/>
    </w:p>
    <w:p w:rsidRPr="009C164D" w:rsidR="00FC2F3E" w:rsidP="00C1145E" w:rsidRDefault="00FC2F3E" w14:paraId="68F7B4F8" w14:textId="77777777">
      <w:pPr>
        <w:widowControl/>
        <w:tabs>
          <w:tab w:val="left" w:pos="-1440"/>
        </w:tabs>
        <w:ind w:left="1440" w:hanging="720"/>
        <w:rPr>
          <w:b/>
          <w:iCs/>
        </w:rPr>
      </w:pPr>
      <w:r w:rsidRPr="009C164D">
        <w:rPr>
          <w:b/>
          <w:iCs/>
        </w:rPr>
        <w:t>•</w:t>
      </w:r>
      <w:r w:rsidRPr="009C164D">
        <w:rPr>
          <w:b/>
          <w:iCs/>
        </w:rPr>
        <w:tab/>
        <w:t xml:space="preserve">requiring the use of a statistical data classification that has not been reviewed and approved by </w:t>
      </w:r>
      <w:proofErr w:type="gramStart"/>
      <w:r w:rsidRPr="009C164D">
        <w:rPr>
          <w:b/>
          <w:iCs/>
        </w:rPr>
        <w:t>OMB;</w:t>
      </w:r>
      <w:proofErr w:type="gramEnd"/>
    </w:p>
    <w:p w:rsidRPr="009C164D" w:rsidR="00FC2F3E" w:rsidP="00C1145E" w:rsidRDefault="00FC2F3E" w14:paraId="01E66F48" w14:textId="77777777">
      <w:pPr>
        <w:widowControl/>
        <w:tabs>
          <w:tab w:val="left" w:pos="-1440"/>
        </w:tabs>
        <w:ind w:left="1440" w:hanging="720"/>
        <w:rPr>
          <w:b/>
          <w:iCs/>
        </w:rPr>
      </w:pPr>
      <w:r w:rsidRPr="009C164D">
        <w:rPr>
          <w:b/>
          <w:iCs/>
        </w:rPr>
        <w:t>•</w:t>
      </w:r>
      <w:r w:rsidRPr="009C164D">
        <w:rPr>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C164D" w:rsidR="00FC2F3E" w:rsidP="0058584C" w:rsidRDefault="00FC2F3E" w14:paraId="0047C0D4" w14:textId="77777777">
      <w:pPr>
        <w:widowControl/>
        <w:tabs>
          <w:tab w:val="left" w:pos="-1440"/>
        </w:tabs>
        <w:ind w:left="1440" w:hanging="720"/>
        <w:rPr>
          <w:b/>
          <w:iCs/>
        </w:rPr>
      </w:pPr>
      <w:r w:rsidRPr="009C164D">
        <w:rPr>
          <w:b/>
          <w:iCs/>
        </w:rPr>
        <w:t>•</w:t>
      </w:r>
      <w:r w:rsidRPr="009C164D">
        <w:rPr>
          <w:b/>
          <w:iCs/>
        </w:rPr>
        <w:tab/>
        <w:t>requiring respondents to submit proprietary trade secret, or other confidential information unless the agency can demonstrate that it has instituted procedures to protect the information's confidentiality to the extent permitted by law.</w:t>
      </w:r>
    </w:p>
    <w:p w:rsidR="00FC2F3E" w:rsidP="00D31765" w:rsidRDefault="00FC2F3E" w14:paraId="5BBD23D0" w14:textId="77777777">
      <w:pPr>
        <w:widowControl/>
        <w:ind w:left="720"/>
      </w:pPr>
    </w:p>
    <w:p w:rsidRPr="0030388B" w:rsidR="0030388B" w:rsidP="004964B7" w:rsidRDefault="0030388B" w14:paraId="0213C624" w14:textId="77777777">
      <w:pPr>
        <w:pStyle w:val="Header"/>
        <w:widowControl/>
        <w:ind w:left="720"/>
      </w:pPr>
      <w:r w:rsidRPr="0030388B">
        <w:lastRenderedPageBreak/>
        <w:t>There are no special circumstances that require the collection to be conducted in a manner inconsistent with the guidelines in 5 CFR 1320.5.</w:t>
      </w:r>
    </w:p>
    <w:p w:rsidR="00FC2F3E" w:rsidP="00D31765" w:rsidRDefault="00FC2F3E" w14:paraId="4BA505A8" w14:textId="77777777">
      <w:pPr>
        <w:pStyle w:val="Header"/>
        <w:widowControl/>
        <w:tabs>
          <w:tab w:val="clear" w:pos="4320"/>
          <w:tab w:val="clear" w:pos="8640"/>
        </w:tabs>
        <w:ind w:left="720"/>
      </w:pPr>
    </w:p>
    <w:p w:rsidRPr="009C164D" w:rsidR="00FC2F3E" w:rsidP="0058584C" w:rsidRDefault="00FC2F3E" w14:paraId="14D6C8D1" w14:textId="77777777">
      <w:pPr>
        <w:widowControl/>
        <w:tabs>
          <w:tab w:val="left" w:pos="-1440"/>
        </w:tabs>
        <w:ind w:left="720" w:hanging="720"/>
        <w:rPr>
          <w:b/>
          <w:iCs/>
        </w:rPr>
      </w:pPr>
      <w:r w:rsidRPr="009C164D">
        <w:rPr>
          <w:b/>
        </w:rPr>
        <w:t>8.</w:t>
      </w:r>
      <w:r w:rsidRPr="009C164D">
        <w:rPr>
          <w:b/>
        </w:rPr>
        <w:tab/>
      </w:r>
      <w:r w:rsidRPr="009C164D">
        <w:rPr>
          <w:b/>
          <w:iCs/>
        </w:rPr>
        <w:t xml:space="preserve">If applicable, provide a copy and identify the date and page number of </w:t>
      </w:r>
      <w:proofErr w:type="gramStart"/>
      <w:r w:rsidRPr="009C164D">
        <w:rPr>
          <w:b/>
          <w:iCs/>
        </w:rPr>
        <w:t>publication</w:t>
      </w:r>
      <w:proofErr w:type="gramEnd"/>
      <w:r w:rsidRPr="009C164D">
        <w:rPr>
          <w:b/>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C164D" w:rsidR="00FC2F3E" w:rsidP="00D31765" w:rsidRDefault="00FC2F3E" w14:paraId="0EE2A8AF" w14:textId="77777777">
      <w:pPr>
        <w:widowControl/>
        <w:ind w:left="720"/>
        <w:rPr>
          <w:b/>
          <w:iCs/>
        </w:rPr>
      </w:pPr>
    </w:p>
    <w:p w:rsidRPr="009C164D" w:rsidR="00FC2F3E" w:rsidP="0058584C" w:rsidRDefault="00FC2F3E" w14:paraId="286E023D" w14:textId="77777777">
      <w:pPr>
        <w:widowControl/>
        <w:ind w:left="720"/>
        <w:rPr>
          <w:b/>
          <w:iCs/>
        </w:rPr>
      </w:pPr>
      <w:r w:rsidRPr="009C164D">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C164D" w:rsidR="00FC2F3E" w:rsidP="00D31765" w:rsidRDefault="00FC2F3E" w14:paraId="1F58AEA3" w14:textId="77777777">
      <w:pPr>
        <w:widowControl/>
        <w:ind w:left="720"/>
        <w:rPr>
          <w:b/>
          <w:iCs/>
        </w:rPr>
      </w:pPr>
    </w:p>
    <w:p w:rsidRPr="009C164D" w:rsidR="00FC2F3E" w:rsidP="0058584C" w:rsidRDefault="00FC2F3E" w14:paraId="283059D7" w14:textId="77777777">
      <w:pPr>
        <w:widowControl/>
        <w:ind w:left="720"/>
        <w:rPr>
          <w:b/>
          <w:iCs/>
        </w:rPr>
      </w:pPr>
      <w:r w:rsidRPr="009C164D">
        <w:rPr>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2F3E" w:rsidP="00D31765" w:rsidRDefault="00FC2F3E" w14:paraId="61F3508A" w14:textId="77777777">
      <w:pPr>
        <w:widowControl/>
        <w:ind w:left="720"/>
      </w:pPr>
    </w:p>
    <w:p w:rsidRPr="00E821D0" w:rsidR="00DC70F4" w:rsidP="00E45BDB" w:rsidRDefault="00DC70F4" w14:paraId="4CC45A9E" w14:textId="0FAACED5">
      <w:pPr>
        <w:ind w:left="720"/>
        <w:rPr>
          <w:b/>
        </w:rPr>
      </w:pPr>
      <w:r w:rsidRPr="00DC70F4">
        <w:t xml:space="preserve">The Department’s notice required by 5 CFR 1320.8(d), which provided the public with 60 days to comment on the information collection, was published in the Federal Register on November </w:t>
      </w:r>
      <w:r w:rsidR="0046436A">
        <w:t>9,</w:t>
      </w:r>
      <w:r w:rsidRPr="00DC70F4">
        <w:t xml:space="preserve"> 2021 (86 FR </w:t>
      </w:r>
      <w:r w:rsidRPr="0046436A" w:rsidR="0046436A">
        <w:t>62206</w:t>
      </w:r>
      <w:r w:rsidRPr="00DC70F4">
        <w:t>).  No comments were received</w:t>
      </w:r>
      <w:r w:rsidR="000C11F2">
        <w:t xml:space="preserve"> related to the ICR.</w:t>
      </w:r>
      <w:r w:rsidRPr="00DC70F4">
        <w:t xml:space="preserve"> </w:t>
      </w:r>
    </w:p>
    <w:p w:rsidR="007E7C92" w:rsidP="00FC05A3" w:rsidRDefault="007E7C92" w14:paraId="477A21AA" w14:textId="77777777">
      <w:pPr>
        <w:pStyle w:val="Header"/>
        <w:widowControl/>
        <w:ind w:left="720"/>
      </w:pPr>
    </w:p>
    <w:p w:rsidRPr="009C164D" w:rsidR="00FC2F3E" w:rsidP="0058584C" w:rsidRDefault="00FC2F3E" w14:paraId="3FAFA1B3" w14:textId="77777777">
      <w:pPr>
        <w:widowControl/>
        <w:tabs>
          <w:tab w:val="left" w:pos="-1440"/>
        </w:tabs>
        <w:ind w:left="720" w:hanging="720"/>
        <w:rPr>
          <w:b/>
          <w:iCs/>
        </w:rPr>
      </w:pPr>
      <w:r w:rsidRPr="009C164D">
        <w:rPr>
          <w:b/>
        </w:rPr>
        <w:t>9.</w:t>
      </w:r>
      <w:r w:rsidRPr="009C164D">
        <w:rPr>
          <w:b/>
        </w:rPr>
        <w:tab/>
      </w:r>
      <w:r w:rsidRPr="009C164D">
        <w:rPr>
          <w:b/>
          <w:iCs/>
        </w:rPr>
        <w:t>Explain any decision to provide any payment or gift to respondents, other than remuneration of contractors or grantees.</w:t>
      </w:r>
    </w:p>
    <w:p w:rsidR="00FC2F3E" w:rsidP="00D31765" w:rsidRDefault="00FC2F3E" w14:paraId="4FDB2CF0" w14:textId="77777777">
      <w:pPr>
        <w:widowControl/>
        <w:ind w:left="720"/>
      </w:pPr>
    </w:p>
    <w:p w:rsidR="00D118B7" w:rsidP="00D31765" w:rsidRDefault="007F5F8C" w14:paraId="2657D605" w14:textId="77777777">
      <w:pPr>
        <w:pStyle w:val="Header"/>
        <w:widowControl/>
        <w:tabs>
          <w:tab w:val="clear" w:pos="4320"/>
          <w:tab w:val="clear" w:pos="8640"/>
        </w:tabs>
        <w:ind w:left="720"/>
        <w:rPr>
          <w:iCs/>
        </w:rPr>
      </w:pPr>
      <w:r w:rsidRPr="00162FE3">
        <w:rPr>
          <w:iCs/>
        </w:rPr>
        <w:t>No payments or gifts are provided to respondents.</w:t>
      </w:r>
    </w:p>
    <w:p w:rsidR="007F5F8C" w:rsidP="00D31765" w:rsidRDefault="007F5F8C" w14:paraId="12BA47B3" w14:textId="77777777">
      <w:pPr>
        <w:pStyle w:val="Header"/>
        <w:widowControl/>
        <w:tabs>
          <w:tab w:val="clear" w:pos="4320"/>
          <w:tab w:val="clear" w:pos="8640"/>
        </w:tabs>
        <w:ind w:left="720"/>
      </w:pPr>
    </w:p>
    <w:p w:rsidR="00FC2F3E" w:rsidP="0058584C" w:rsidRDefault="00FC2F3E" w14:paraId="0F5D5541" w14:textId="77777777">
      <w:pPr>
        <w:widowControl/>
        <w:tabs>
          <w:tab w:val="left" w:pos="-1440"/>
        </w:tabs>
        <w:ind w:left="720" w:hanging="720"/>
        <w:rPr>
          <w:b/>
          <w:iCs/>
        </w:rPr>
      </w:pPr>
      <w:r w:rsidRPr="009C164D">
        <w:rPr>
          <w:b/>
        </w:rPr>
        <w:t>10.</w:t>
      </w:r>
      <w:r w:rsidRPr="009C164D">
        <w:rPr>
          <w:b/>
        </w:rPr>
        <w:tab/>
      </w:r>
      <w:r w:rsidRPr="009C164D">
        <w:rPr>
          <w:b/>
          <w:iCs/>
        </w:rPr>
        <w:t>Describe any assurance of confidentiality provided to respondents and the basis for the assurance in statute, regulation, or agency policy.</w:t>
      </w:r>
    </w:p>
    <w:p w:rsidR="00162FE3" w:rsidP="0058584C" w:rsidRDefault="00162FE3" w14:paraId="0A9C4D13" w14:textId="77777777">
      <w:pPr>
        <w:widowControl/>
        <w:tabs>
          <w:tab w:val="left" w:pos="-1440"/>
        </w:tabs>
        <w:ind w:left="720" w:hanging="720"/>
        <w:rPr>
          <w:b/>
          <w:iCs/>
        </w:rPr>
      </w:pPr>
    </w:p>
    <w:p w:rsidRPr="00D91963" w:rsidR="007F5F8C" w:rsidP="007F5F8C" w:rsidRDefault="007F5F8C" w14:paraId="294576B2" w14:textId="77777777">
      <w:pPr>
        <w:widowControl/>
        <w:ind w:left="720"/>
      </w:pPr>
      <w:r w:rsidRPr="00D91963">
        <w:t>No assurance of confidentiality has been provided.</w:t>
      </w:r>
    </w:p>
    <w:p w:rsidRPr="007F5F8C" w:rsidR="00FC2F3E" w:rsidP="007F5F8C" w:rsidRDefault="00FC2F3E" w14:paraId="68E74541" w14:textId="77777777">
      <w:pPr>
        <w:widowControl/>
        <w:tabs>
          <w:tab w:val="left" w:pos="-1440"/>
        </w:tabs>
        <w:ind w:left="720" w:hanging="720"/>
        <w:rPr>
          <w:iCs/>
        </w:rPr>
      </w:pPr>
    </w:p>
    <w:p w:rsidRPr="009C164D" w:rsidR="00FC2F3E" w:rsidP="0058584C" w:rsidRDefault="00FC2F3E" w14:paraId="0B58D078" w14:textId="77777777">
      <w:pPr>
        <w:widowControl/>
        <w:tabs>
          <w:tab w:val="left" w:pos="-1440"/>
        </w:tabs>
        <w:ind w:left="720" w:hanging="720"/>
        <w:rPr>
          <w:b/>
          <w:iCs/>
        </w:rPr>
      </w:pPr>
      <w:r w:rsidRPr="009C164D">
        <w:rPr>
          <w:b/>
        </w:rPr>
        <w:t>11.</w:t>
      </w:r>
      <w:r w:rsidRPr="009C164D">
        <w:rPr>
          <w:b/>
        </w:rPr>
        <w:tab/>
      </w:r>
      <w:r w:rsidRPr="009C164D">
        <w:rPr>
          <w:b/>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r w:rsidRPr="009C164D">
        <w:rPr>
          <w:b/>
          <w:iCs/>
        </w:rPr>
        <w:lastRenderedPageBreak/>
        <w:t>information, the explanation to be given to persons from whom the information is requested, and any steps to be taken to obtain their consent.</w:t>
      </w:r>
    </w:p>
    <w:p w:rsidRPr="00D91963" w:rsidR="00D91963" w:rsidP="00D91963" w:rsidRDefault="00D91963" w14:paraId="694236C0" w14:textId="77777777">
      <w:pPr>
        <w:widowControl/>
        <w:rPr>
          <w:b/>
        </w:rPr>
      </w:pPr>
    </w:p>
    <w:p w:rsidRPr="00D26C00" w:rsidR="00D26C00" w:rsidP="00D26C00" w:rsidRDefault="00D26C00" w14:paraId="2C3B5591" w14:textId="77777777">
      <w:pPr>
        <w:widowControl/>
        <w:ind w:left="720"/>
      </w:pPr>
      <w:r w:rsidRPr="00D26C00">
        <w:t>There are no questions of a sensitive nature.</w:t>
      </w:r>
    </w:p>
    <w:p w:rsidRPr="009C164D" w:rsidR="00A90D52" w:rsidP="00D31765" w:rsidRDefault="00A90D52" w14:paraId="7B4E7224" w14:textId="77777777">
      <w:pPr>
        <w:widowControl/>
        <w:ind w:left="720"/>
        <w:rPr>
          <w:b/>
        </w:rPr>
      </w:pPr>
    </w:p>
    <w:p w:rsidRPr="009C164D" w:rsidR="00FC2F3E" w:rsidP="0058584C" w:rsidRDefault="00FC2F3E" w14:paraId="0B7DC073" w14:textId="77777777">
      <w:pPr>
        <w:widowControl/>
        <w:tabs>
          <w:tab w:val="left" w:pos="-1440"/>
        </w:tabs>
        <w:ind w:left="720" w:hanging="720"/>
        <w:rPr>
          <w:b/>
          <w:iCs/>
        </w:rPr>
      </w:pPr>
      <w:r w:rsidRPr="009C164D">
        <w:rPr>
          <w:b/>
        </w:rPr>
        <w:t>12.</w:t>
      </w:r>
      <w:r w:rsidRPr="009C164D">
        <w:rPr>
          <w:b/>
        </w:rPr>
        <w:tab/>
      </w:r>
      <w:r w:rsidRPr="009C164D">
        <w:rPr>
          <w:b/>
          <w:iCs/>
        </w:rPr>
        <w:t>Provide estimates of the hour burden of the collection of information.  The statement should:</w:t>
      </w:r>
    </w:p>
    <w:p w:rsidRPr="009C164D" w:rsidR="00FC2F3E" w:rsidP="00D31765" w:rsidRDefault="00FC2F3E" w14:paraId="724CA882" w14:textId="77777777">
      <w:pPr>
        <w:widowControl/>
        <w:ind w:left="1440" w:hanging="720"/>
        <w:rPr>
          <w:b/>
          <w:iCs/>
        </w:rPr>
      </w:pPr>
    </w:p>
    <w:p w:rsidRPr="009C164D" w:rsidR="00FC2F3E" w:rsidP="007774E8" w:rsidRDefault="00FC2F3E" w14:paraId="01E96DEE" w14:textId="77777777">
      <w:pPr>
        <w:widowControl/>
        <w:tabs>
          <w:tab w:val="left" w:pos="-1440"/>
        </w:tabs>
        <w:ind w:left="1440" w:hanging="720"/>
        <w:rPr>
          <w:b/>
          <w:iCs/>
        </w:rPr>
      </w:pPr>
      <w:r w:rsidRPr="009C164D">
        <w:rPr>
          <w:b/>
          <w:iCs/>
        </w:rPr>
        <w:t>•</w:t>
      </w:r>
      <w:r w:rsidRPr="009C164D">
        <w:rPr>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C164D" w:rsidR="00FC2F3E" w:rsidP="007774E8" w:rsidRDefault="00FC2F3E" w14:paraId="732AE9BF" w14:textId="77777777">
      <w:pPr>
        <w:widowControl/>
        <w:tabs>
          <w:tab w:val="left" w:pos="-1440"/>
        </w:tabs>
        <w:ind w:left="1440" w:hanging="720"/>
        <w:rPr>
          <w:b/>
          <w:iCs/>
        </w:rPr>
      </w:pPr>
      <w:r w:rsidRPr="009C164D">
        <w:rPr>
          <w:b/>
          <w:iCs/>
        </w:rPr>
        <w:t>•</w:t>
      </w:r>
      <w:r w:rsidRPr="009C164D">
        <w:rPr>
          <w:b/>
          <w:iCs/>
        </w:rPr>
        <w:tab/>
        <w:t xml:space="preserve">If this request for approval covers more than one form, provide separate hour burden estimates for each </w:t>
      </w:r>
      <w:proofErr w:type="gramStart"/>
      <w:r w:rsidRPr="009C164D">
        <w:rPr>
          <w:b/>
          <w:iCs/>
        </w:rPr>
        <w:t>form</w:t>
      </w:r>
      <w:proofErr w:type="gramEnd"/>
      <w:r w:rsidRPr="009C164D">
        <w:rPr>
          <w:b/>
          <w:iCs/>
        </w:rPr>
        <w:t xml:space="preserve"> and aggregate the hour burdens in Item 13.</w:t>
      </w:r>
    </w:p>
    <w:p w:rsidR="00FC2F3E" w:rsidP="0058584C" w:rsidRDefault="00FC2F3E" w14:paraId="50563D9F" w14:textId="77777777">
      <w:pPr>
        <w:widowControl/>
        <w:tabs>
          <w:tab w:val="left" w:pos="-1440"/>
        </w:tabs>
        <w:ind w:left="1440" w:hanging="720"/>
        <w:rPr>
          <w:b/>
          <w:iCs/>
        </w:rPr>
      </w:pPr>
      <w:r w:rsidRPr="009C164D">
        <w:rPr>
          <w:b/>
          <w:iCs/>
        </w:rPr>
        <w:t>•</w:t>
      </w:r>
      <w:r w:rsidRPr="009C164D">
        <w:rPr>
          <w:b/>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BD72D2" w:rsidP="0058584C" w:rsidRDefault="00BD72D2" w14:paraId="2A18442D" w14:textId="77777777">
      <w:pPr>
        <w:widowControl/>
        <w:tabs>
          <w:tab w:val="left" w:pos="-1440"/>
        </w:tabs>
        <w:ind w:left="1440" w:hanging="720"/>
        <w:rPr>
          <w:b/>
          <w:iCs/>
          <w:u w:val="single"/>
        </w:rPr>
      </w:pPr>
    </w:p>
    <w:p w:rsidR="008E1E0C" w:rsidP="00DB0BFB" w:rsidRDefault="008E1E0C" w14:paraId="610E399F" w14:textId="07C9D816">
      <w:pPr>
        <w:ind w:left="720"/>
        <w:contextualSpacing/>
        <w:rPr>
          <w:rFonts w:eastAsia="Calibri"/>
          <w:iCs/>
          <w:snapToGrid w:val="0"/>
          <w:color w:val="000000"/>
        </w:rPr>
      </w:pPr>
      <w:r>
        <w:rPr>
          <w:rFonts w:eastAsia="Calibri"/>
          <w:iCs/>
          <w:snapToGrid w:val="0"/>
          <w:color w:val="000000"/>
        </w:rPr>
        <w:t>The interim final rules require that a</w:t>
      </w:r>
      <w:r w:rsidR="008635F4">
        <w:rPr>
          <w:rFonts w:eastAsia="Calibri"/>
          <w:iCs/>
          <w:snapToGrid w:val="0"/>
          <w:color w:val="000000"/>
        </w:rPr>
        <w:t xml:space="preserve"> </w:t>
      </w:r>
      <w:r w:rsidRPr="008E1E0C">
        <w:rPr>
          <w:rFonts w:eastAsia="Calibri"/>
          <w:iCs/>
          <w:snapToGrid w:val="0"/>
          <w:color w:val="000000"/>
        </w:rPr>
        <w:t xml:space="preserve">plan that has chosen to opt into a state law must prominently display in its plan materials describing the coverage of emergency services and/or out-of-network services a statement that the plan has opted into a specified state law, identify the state (or states), and include a general description of the emergency services and/or services provided by out-of-network facilities and providers that are covered by the specified state law. </w:t>
      </w:r>
    </w:p>
    <w:p w:rsidR="00364669" w:rsidP="00364669" w:rsidRDefault="00364669" w14:paraId="79C5721C" w14:textId="77777777">
      <w:pPr>
        <w:ind w:left="720"/>
        <w:contextualSpacing/>
        <w:rPr>
          <w:rFonts w:eastAsia="Calibri"/>
          <w:iCs/>
          <w:snapToGrid w:val="0"/>
          <w:color w:val="000000"/>
        </w:rPr>
      </w:pPr>
    </w:p>
    <w:p w:rsidRPr="005D3D2F" w:rsidR="00364669" w:rsidP="00364669" w:rsidRDefault="00364669" w14:paraId="26B784D9" w14:textId="6967A792">
      <w:pPr>
        <w:ind w:left="720"/>
        <w:contextualSpacing/>
        <w:rPr>
          <w:rFonts w:eastAsia="Calibri"/>
          <w:iCs/>
          <w:snapToGrid w:val="0"/>
          <w:color w:val="000000"/>
        </w:rPr>
      </w:pPr>
      <w:r w:rsidRPr="00364669">
        <w:rPr>
          <w:rFonts w:eastAsia="Calibri"/>
          <w:iCs/>
          <w:snapToGrid w:val="0"/>
          <w:color w:val="000000"/>
        </w:rPr>
        <w:t xml:space="preserve">Currently, there are four states that allow self-funded plans to opt in: Nevada, New Jersey, Washington, and Virginia.  According to the Nevada Department of Health and Human Services’ 2020 Annual Report, 20 private entities or organizations have elected to participate in the state’s balance billing law.  In addition, according to </w:t>
      </w:r>
      <w:r w:rsidR="0035278F">
        <w:rPr>
          <w:rFonts w:eastAsia="Calibri"/>
          <w:iCs/>
          <w:snapToGrid w:val="0"/>
          <w:color w:val="000000"/>
        </w:rPr>
        <w:t xml:space="preserve">the </w:t>
      </w:r>
      <w:r w:rsidRPr="0035278F" w:rsidR="0035278F">
        <w:rPr>
          <w:rFonts w:eastAsia="Calibri"/>
          <w:iCs/>
          <w:snapToGrid w:val="0"/>
          <w:color w:val="000000"/>
        </w:rPr>
        <w:t>Virginia State Corporation Commission</w:t>
      </w:r>
      <w:r w:rsidRPr="00364669">
        <w:rPr>
          <w:rFonts w:eastAsia="Calibri"/>
          <w:iCs/>
          <w:snapToGrid w:val="0"/>
          <w:color w:val="000000"/>
        </w:rPr>
        <w:t xml:space="preserve">, 231 private self-funded plans in Virginia have elected to </w:t>
      </w:r>
      <w:r w:rsidRPr="00364669">
        <w:rPr>
          <w:rFonts w:eastAsia="Calibri"/>
          <w:iCs/>
          <w:snapToGrid w:val="0"/>
          <w:color w:val="000000"/>
        </w:rPr>
        <w:lastRenderedPageBreak/>
        <w:t>participate in the state’s balance billing law.</w:t>
      </w:r>
      <w:r w:rsidRPr="00AA2B7C" w:rsidR="00340298">
        <w:rPr>
          <w:rStyle w:val="FootnoteReference"/>
          <w:rFonts w:eastAsia="Calibri"/>
          <w:iCs/>
          <w:snapToGrid w:val="0"/>
          <w:color w:val="000000"/>
          <w:vertAlign w:val="superscript"/>
        </w:rPr>
        <w:footnoteReference w:id="2"/>
      </w:r>
      <w:r w:rsidRPr="00AA2B7C">
        <w:rPr>
          <w:rFonts w:eastAsia="Calibri"/>
          <w:iCs/>
          <w:snapToGrid w:val="0"/>
          <w:color w:val="000000"/>
          <w:vertAlign w:val="superscript"/>
        </w:rPr>
        <w:t xml:space="preserve"> </w:t>
      </w:r>
      <w:r w:rsidRPr="00364669">
        <w:rPr>
          <w:rFonts w:eastAsia="Calibri"/>
          <w:iCs/>
          <w:snapToGrid w:val="0"/>
          <w:color w:val="000000"/>
        </w:rPr>
        <w:t xml:space="preserve"> Furthermore, according to Washington’s Office of the Insurance Commissioner, 309 private self-funded plans in Washington have elected to participate in the state’s balance billing law.</w:t>
      </w:r>
      <w:r w:rsidRPr="00364669">
        <w:rPr>
          <w:rFonts w:eastAsia="Calibri"/>
          <w:iCs/>
          <w:snapToGrid w:val="0"/>
          <w:color w:val="000000"/>
          <w:vertAlign w:val="superscript"/>
        </w:rPr>
        <w:footnoteReference w:id="3"/>
      </w:r>
      <w:r w:rsidRPr="00364669">
        <w:rPr>
          <w:rFonts w:eastAsia="Calibri"/>
          <w:iCs/>
          <w:snapToGrid w:val="0"/>
          <w:color w:val="000000"/>
          <w:vertAlign w:val="superscript"/>
        </w:rPr>
        <w:t xml:space="preserve"> </w:t>
      </w:r>
      <w:r w:rsidRPr="00364669">
        <w:rPr>
          <w:rFonts w:eastAsia="Calibri"/>
          <w:iCs/>
          <w:snapToGrid w:val="0"/>
          <w:color w:val="000000"/>
        </w:rPr>
        <w:t xml:space="preserve"> The Department does not have data on the number of self-insured plans that have opted in the New Jersey’s balance billing law.  </w:t>
      </w:r>
      <w:proofErr w:type="gramStart"/>
      <w:r w:rsidRPr="00364669">
        <w:rPr>
          <w:rFonts w:eastAsia="Calibri"/>
          <w:iCs/>
          <w:snapToGrid w:val="0"/>
          <w:color w:val="000000"/>
        </w:rPr>
        <w:t>In order to</w:t>
      </w:r>
      <w:proofErr w:type="gramEnd"/>
      <w:r w:rsidRPr="00364669">
        <w:rPr>
          <w:rFonts w:eastAsia="Calibri"/>
          <w:iCs/>
          <w:snapToGrid w:val="0"/>
          <w:color w:val="000000"/>
        </w:rPr>
        <w:t xml:space="preserve"> estimate the number of self-insured plans that have opted into the balance billing law for New Jersey, the Department has scaled Washington’s estimate by the number of participants with self-insured ERISA-covered plans.</w:t>
      </w:r>
      <w:r w:rsidRPr="00364669">
        <w:rPr>
          <w:rFonts w:eastAsia="Calibri"/>
          <w:iCs/>
          <w:snapToGrid w:val="0"/>
          <w:color w:val="000000"/>
          <w:vertAlign w:val="superscript"/>
        </w:rPr>
        <w:t xml:space="preserve"> </w:t>
      </w:r>
      <w:r w:rsidRPr="00364669">
        <w:rPr>
          <w:rFonts w:eastAsia="Calibri"/>
          <w:iCs/>
          <w:snapToGrid w:val="0"/>
          <w:color w:val="000000"/>
        </w:rPr>
        <w:t xml:space="preserve"> According to the </w:t>
      </w:r>
      <w:r w:rsidRPr="00364669" w:rsidR="0068736E">
        <w:rPr>
          <w:rFonts w:eastAsia="Calibri"/>
          <w:iCs/>
          <w:snapToGrid w:val="0"/>
          <w:color w:val="000000"/>
        </w:rPr>
        <w:t>20</w:t>
      </w:r>
      <w:r w:rsidR="0068736E">
        <w:rPr>
          <w:rFonts w:eastAsia="Calibri"/>
          <w:iCs/>
          <w:snapToGrid w:val="0"/>
          <w:color w:val="000000"/>
        </w:rPr>
        <w:t>20</w:t>
      </w:r>
      <w:r w:rsidRPr="00364669" w:rsidR="0068736E">
        <w:rPr>
          <w:rFonts w:eastAsia="Calibri"/>
          <w:iCs/>
          <w:snapToGrid w:val="0"/>
          <w:color w:val="000000"/>
        </w:rPr>
        <w:t xml:space="preserve"> </w:t>
      </w:r>
      <w:r w:rsidRPr="00364669">
        <w:rPr>
          <w:rFonts w:eastAsia="Calibri"/>
          <w:iCs/>
          <w:snapToGrid w:val="0"/>
          <w:color w:val="000000"/>
        </w:rPr>
        <w:t>Health Insurance Coverage Bulletin, there are respectively, 0.</w:t>
      </w:r>
      <w:r w:rsidR="005E64BA">
        <w:rPr>
          <w:rFonts w:eastAsia="Calibri"/>
          <w:iCs/>
          <w:snapToGrid w:val="0"/>
          <w:color w:val="000000"/>
        </w:rPr>
        <w:t>8</w:t>
      </w:r>
      <w:r w:rsidRPr="00364669">
        <w:rPr>
          <w:rFonts w:eastAsia="Calibri"/>
          <w:iCs/>
          <w:snapToGrid w:val="0"/>
          <w:color w:val="000000"/>
        </w:rPr>
        <w:t xml:space="preserve"> million, 2.</w:t>
      </w:r>
      <w:r w:rsidR="00074743">
        <w:rPr>
          <w:rFonts w:eastAsia="Calibri"/>
          <w:iCs/>
          <w:snapToGrid w:val="0"/>
          <w:color w:val="000000"/>
        </w:rPr>
        <w:t>2</w:t>
      </w:r>
      <w:r w:rsidRPr="00364669" w:rsidR="00074743">
        <w:rPr>
          <w:rFonts w:eastAsia="Calibri"/>
          <w:iCs/>
          <w:snapToGrid w:val="0"/>
          <w:color w:val="000000"/>
        </w:rPr>
        <w:t xml:space="preserve"> </w:t>
      </w:r>
      <w:r w:rsidRPr="00364669">
        <w:rPr>
          <w:rFonts w:eastAsia="Calibri"/>
          <w:iCs/>
          <w:snapToGrid w:val="0"/>
          <w:color w:val="000000"/>
        </w:rPr>
        <w:t>million, and 2.</w:t>
      </w:r>
      <w:r w:rsidR="00074743">
        <w:rPr>
          <w:rFonts w:eastAsia="Calibri"/>
          <w:iCs/>
          <w:snapToGrid w:val="0"/>
          <w:color w:val="000000"/>
        </w:rPr>
        <w:t>5</w:t>
      </w:r>
      <w:r w:rsidRPr="00364669" w:rsidR="00074743">
        <w:rPr>
          <w:rFonts w:eastAsia="Calibri"/>
          <w:iCs/>
          <w:snapToGrid w:val="0"/>
          <w:color w:val="000000"/>
        </w:rPr>
        <w:t xml:space="preserve"> </w:t>
      </w:r>
      <w:r w:rsidRPr="00364669">
        <w:rPr>
          <w:rFonts w:eastAsia="Calibri"/>
          <w:iCs/>
          <w:snapToGrid w:val="0"/>
          <w:color w:val="000000"/>
        </w:rPr>
        <w:t>million with self-insured ERISA-covered plans in Nevada, Virginia, and New Jersey.</w:t>
      </w:r>
      <w:r w:rsidRPr="003C12C5" w:rsidR="00B830AA">
        <w:rPr>
          <w:rStyle w:val="FootnoteReference"/>
          <w:rFonts w:eastAsia="Calibri"/>
          <w:iCs/>
          <w:snapToGrid w:val="0"/>
          <w:color w:val="000000"/>
          <w:vertAlign w:val="superscript"/>
        </w:rPr>
        <w:footnoteReference w:id="4"/>
      </w:r>
      <w:r w:rsidRPr="003C12C5">
        <w:rPr>
          <w:rFonts w:eastAsia="Calibri"/>
          <w:iCs/>
          <w:snapToGrid w:val="0"/>
          <w:color w:val="000000"/>
          <w:vertAlign w:val="superscript"/>
        </w:rPr>
        <w:t xml:space="preserve"> </w:t>
      </w:r>
      <w:r w:rsidRPr="00364669">
        <w:rPr>
          <w:rFonts w:eastAsia="Calibri"/>
          <w:iCs/>
          <w:snapToGrid w:val="0"/>
          <w:color w:val="000000"/>
        </w:rPr>
        <w:t xml:space="preserve"> Additionally, according to the Washington’s Office of Insurance Commissioner, about 0.5 million self-funded participants have opted into Washington’s balance billing law.</w:t>
      </w:r>
      <w:r w:rsidRPr="00364669">
        <w:rPr>
          <w:rFonts w:eastAsia="Calibri"/>
          <w:iCs/>
          <w:snapToGrid w:val="0"/>
          <w:color w:val="000000"/>
          <w:vertAlign w:val="superscript"/>
        </w:rPr>
        <w:footnoteReference w:id="5"/>
      </w:r>
      <w:r w:rsidRPr="00364669">
        <w:rPr>
          <w:rFonts w:eastAsia="Calibri"/>
          <w:iCs/>
          <w:snapToGrid w:val="0"/>
          <w:color w:val="000000"/>
        </w:rPr>
        <w:t xml:space="preserve"> </w:t>
      </w:r>
      <w:r w:rsidRPr="00364669">
        <w:rPr>
          <w:rFonts w:eastAsia="Calibri"/>
          <w:iCs/>
          <w:snapToGrid w:val="0"/>
          <w:color w:val="000000"/>
          <w:vertAlign w:val="superscript"/>
        </w:rPr>
        <w:t xml:space="preserve"> </w:t>
      </w:r>
      <w:r w:rsidRPr="00364669">
        <w:rPr>
          <w:rFonts w:eastAsia="Calibri"/>
          <w:iCs/>
          <w:snapToGrid w:val="0"/>
          <w:color w:val="000000"/>
        </w:rPr>
        <w:t>This</w:t>
      </w:r>
      <w:r w:rsidRPr="00364669">
        <w:rPr>
          <w:rFonts w:eastAsia="Calibri"/>
          <w:iCs/>
          <w:snapToGrid w:val="0"/>
          <w:color w:val="000000"/>
          <w:vertAlign w:val="superscript"/>
        </w:rPr>
        <w:t xml:space="preserve"> </w:t>
      </w:r>
      <w:r w:rsidRPr="00364669">
        <w:rPr>
          <w:rFonts w:eastAsia="Calibri"/>
          <w:iCs/>
          <w:snapToGrid w:val="0"/>
          <w:color w:val="000000"/>
        </w:rPr>
        <w:t>results in a total of 6 million participants.</w:t>
      </w:r>
      <w:r w:rsidRPr="00364669">
        <w:rPr>
          <w:rFonts w:eastAsia="Calibri"/>
          <w:iCs/>
          <w:snapToGrid w:val="0"/>
          <w:color w:val="000000"/>
          <w:vertAlign w:val="superscript"/>
        </w:rPr>
        <w:footnoteReference w:id="6"/>
      </w:r>
      <w:r w:rsidRPr="00364669">
        <w:rPr>
          <w:rFonts w:eastAsia="Calibri"/>
          <w:iCs/>
          <w:snapToGrid w:val="0"/>
          <w:color w:val="000000"/>
        </w:rPr>
        <w:t xml:space="preserve">  Thus, the Department estimates that 20, 231, 309, and </w:t>
      </w:r>
      <w:r w:rsidR="001E1BDB">
        <w:rPr>
          <w:rFonts w:eastAsia="Calibri"/>
          <w:iCs/>
          <w:snapToGrid w:val="0"/>
          <w:color w:val="000000"/>
        </w:rPr>
        <w:t xml:space="preserve">62 </w:t>
      </w:r>
      <w:r w:rsidRPr="00364669">
        <w:rPr>
          <w:rFonts w:eastAsia="Calibri"/>
          <w:iCs/>
          <w:snapToGrid w:val="0"/>
          <w:color w:val="000000"/>
        </w:rPr>
        <w:t xml:space="preserve">private self-insured plans will opt in respectively in Nevada, Virginia, Washington, and New Jersey, resulting in a total of </w:t>
      </w:r>
      <w:r w:rsidR="00BB7974">
        <w:rPr>
          <w:rFonts w:eastAsia="Calibri"/>
          <w:iCs/>
          <w:snapToGrid w:val="0"/>
          <w:color w:val="000000"/>
        </w:rPr>
        <w:t>622</w:t>
      </w:r>
      <w:r w:rsidRPr="00364669" w:rsidR="00BB7974">
        <w:rPr>
          <w:rFonts w:eastAsia="Calibri"/>
          <w:iCs/>
          <w:snapToGrid w:val="0"/>
          <w:color w:val="000000"/>
        </w:rPr>
        <w:t xml:space="preserve"> </w:t>
      </w:r>
      <w:r w:rsidRPr="00364669">
        <w:rPr>
          <w:rFonts w:eastAsia="Calibri"/>
          <w:iCs/>
          <w:snapToGrid w:val="0"/>
          <w:color w:val="000000"/>
        </w:rPr>
        <w:t>self-insured plans.</w:t>
      </w:r>
      <w:r w:rsidRPr="00364669">
        <w:rPr>
          <w:rFonts w:eastAsia="Calibri"/>
          <w:iCs/>
          <w:snapToGrid w:val="0"/>
          <w:color w:val="000000"/>
          <w:vertAlign w:val="superscript"/>
        </w:rPr>
        <w:footnoteReference w:id="7"/>
      </w:r>
      <w:r w:rsidRPr="00364669">
        <w:rPr>
          <w:rFonts w:eastAsia="Calibri"/>
          <w:iCs/>
          <w:snapToGrid w:val="0"/>
          <w:color w:val="000000"/>
          <w:vertAlign w:val="superscript"/>
        </w:rPr>
        <w:t xml:space="preserve"> </w:t>
      </w:r>
      <w:r w:rsidR="005D3D2F">
        <w:rPr>
          <w:rFonts w:eastAsia="Calibri"/>
          <w:iCs/>
          <w:snapToGrid w:val="0"/>
          <w:color w:val="000000"/>
          <w:vertAlign w:val="superscript"/>
        </w:rPr>
        <w:t xml:space="preserve"> </w:t>
      </w:r>
      <w:r w:rsidRPr="005D3D2F" w:rsidR="005D3D2F">
        <w:rPr>
          <w:rFonts w:eastAsia="Calibri"/>
          <w:iCs/>
          <w:snapToGrid w:val="0"/>
          <w:color w:val="000000"/>
        </w:rPr>
        <w:t>These plans will incur the one-time burden and cost to include the disclosure in their plan documents in 2022.</w:t>
      </w:r>
    </w:p>
    <w:p w:rsidR="00364669" w:rsidP="00364669" w:rsidRDefault="00364669" w14:paraId="6970493A" w14:textId="77777777">
      <w:pPr>
        <w:ind w:left="720"/>
        <w:contextualSpacing/>
        <w:rPr>
          <w:rFonts w:eastAsia="Calibri"/>
          <w:iCs/>
          <w:snapToGrid w:val="0"/>
          <w:color w:val="000000"/>
        </w:rPr>
      </w:pPr>
    </w:p>
    <w:p w:rsidR="008635F4" w:rsidP="00683A53" w:rsidRDefault="005D3D2F" w14:paraId="13B63274" w14:textId="197CA1E5">
      <w:pPr>
        <w:ind w:left="720"/>
        <w:contextualSpacing/>
        <w:rPr>
          <w:rFonts w:eastAsia="Calibri"/>
          <w:iCs/>
          <w:snapToGrid w:val="0"/>
          <w:color w:val="000000"/>
        </w:rPr>
      </w:pPr>
      <w:r w:rsidRPr="005D3D2F">
        <w:rPr>
          <w:rFonts w:eastAsia="Calibri"/>
          <w:iCs/>
          <w:snapToGrid w:val="0"/>
          <w:color w:val="000000"/>
        </w:rPr>
        <w:t>The Department assumes that it will take 1 hour for a clerical worker, with a wage rate of $55.</w:t>
      </w:r>
      <w:r w:rsidR="00FE108D">
        <w:rPr>
          <w:rFonts w:eastAsia="Calibri"/>
          <w:iCs/>
          <w:snapToGrid w:val="0"/>
          <w:color w:val="000000"/>
        </w:rPr>
        <w:t>23</w:t>
      </w:r>
      <w:r w:rsidRPr="003C12C5" w:rsidR="00CE3936">
        <w:rPr>
          <w:rStyle w:val="FootnoteReference"/>
          <w:rFonts w:eastAsia="Calibri"/>
          <w:iCs/>
          <w:snapToGrid w:val="0"/>
          <w:color w:val="000000"/>
          <w:vertAlign w:val="superscript"/>
        </w:rPr>
        <w:footnoteReference w:id="8"/>
      </w:r>
      <w:r w:rsidRPr="005D3D2F">
        <w:rPr>
          <w:rFonts w:eastAsia="Calibri"/>
          <w:iCs/>
          <w:snapToGrid w:val="0"/>
          <w:color w:val="000000"/>
        </w:rPr>
        <w:t>, to gather inform</w:t>
      </w:r>
      <w:r w:rsidR="00DA32A2">
        <w:rPr>
          <w:rFonts w:eastAsia="Calibri"/>
          <w:iCs/>
          <w:snapToGrid w:val="0"/>
          <w:color w:val="000000"/>
        </w:rPr>
        <w:t xml:space="preserve">ation and review information.  </w:t>
      </w:r>
      <w:r w:rsidRPr="005D3D2F">
        <w:rPr>
          <w:rFonts w:eastAsia="Calibri"/>
          <w:iCs/>
          <w:snapToGrid w:val="0"/>
          <w:color w:val="000000"/>
        </w:rPr>
        <w:t xml:space="preserve">This results in hour burden of </w:t>
      </w:r>
      <w:r w:rsidR="00532AD8">
        <w:rPr>
          <w:rFonts w:eastAsia="Calibri"/>
          <w:iCs/>
          <w:snapToGrid w:val="0"/>
          <w:color w:val="000000"/>
        </w:rPr>
        <w:t>622</w:t>
      </w:r>
      <w:r w:rsidRPr="005D3D2F" w:rsidR="00532AD8">
        <w:rPr>
          <w:rFonts w:eastAsia="Calibri"/>
          <w:iCs/>
          <w:snapToGrid w:val="0"/>
          <w:color w:val="000000"/>
        </w:rPr>
        <w:t xml:space="preserve"> </w:t>
      </w:r>
      <w:r w:rsidRPr="005D3D2F">
        <w:rPr>
          <w:rFonts w:eastAsia="Calibri"/>
          <w:iCs/>
          <w:snapToGrid w:val="0"/>
          <w:color w:val="000000"/>
        </w:rPr>
        <w:t>hours, with an equivalent cost of $34,</w:t>
      </w:r>
      <w:r w:rsidR="00A954A7">
        <w:rPr>
          <w:rFonts w:eastAsia="Calibri"/>
          <w:iCs/>
          <w:snapToGrid w:val="0"/>
          <w:color w:val="000000"/>
        </w:rPr>
        <w:t>353</w:t>
      </w:r>
      <w:r w:rsidRPr="005D3D2F">
        <w:rPr>
          <w:rFonts w:eastAsia="Calibri"/>
          <w:iCs/>
          <w:snapToGrid w:val="0"/>
          <w:color w:val="000000"/>
        </w:rPr>
        <w:t>.  The Department assumes that it will take 30 minutes for a benefits manager, with a wage rate of $</w:t>
      </w:r>
      <w:r w:rsidR="00FE108D">
        <w:rPr>
          <w:rFonts w:eastAsia="Calibri"/>
          <w:iCs/>
          <w:snapToGrid w:val="0"/>
          <w:color w:val="000000"/>
        </w:rPr>
        <w:t>121.78</w:t>
      </w:r>
      <w:r w:rsidRPr="003C12C5" w:rsidR="00CE3936">
        <w:rPr>
          <w:rStyle w:val="FootnoteReference"/>
          <w:rFonts w:eastAsia="Calibri"/>
          <w:iCs/>
          <w:snapToGrid w:val="0"/>
          <w:color w:val="000000"/>
          <w:vertAlign w:val="superscript"/>
        </w:rPr>
        <w:footnoteReference w:id="9"/>
      </w:r>
      <w:r w:rsidRPr="005D3D2F">
        <w:rPr>
          <w:rFonts w:eastAsia="Calibri"/>
          <w:iCs/>
          <w:snapToGrid w:val="0"/>
          <w:color w:val="000000"/>
        </w:rPr>
        <w:t>, to gather inform</w:t>
      </w:r>
      <w:r w:rsidR="00A609EB">
        <w:rPr>
          <w:rFonts w:eastAsia="Calibri"/>
          <w:iCs/>
          <w:snapToGrid w:val="0"/>
          <w:color w:val="000000"/>
        </w:rPr>
        <w:t xml:space="preserve">ation and review information.  </w:t>
      </w:r>
      <w:r w:rsidRPr="005D3D2F">
        <w:rPr>
          <w:rFonts w:eastAsia="Calibri"/>
          <w:iCs/>
          <w:snapToGrid w:val="0"/>
          <w:color w:val="000000"/>
        </w:rPr>
        <w:t xml:space="preserve">This results in hour burden of </w:t>
      </w:r>
      <w:r w:rsidR="00532AD8">
        <w:rPr>
          <w:rFonts w:eastAsia="Calibri"/>
          <w:iCs/>
          <w:snapToGrid w:val="0"/>
          <w:color w:val="000000"/>
        </w:rPr>
        <w:t>311</w:t>
      </w:r>
      <w:r w:rsidRPr="005D3D2F" w:rsidR="00532AD8">
        <w:rPr>
          <w:rFonts w:eastAsia="Calibri"/>
          <w:iCs/>
          <w:snapToGrid w:val="0"/>
          <w:color w:val="000000"/>
        </w:rPr>
        <w:t xml:space="preserve"> </w:t>
      </w:r>
      <w:r w:rsidRPr="005D3D2F">
        <w:rPr>
          <w:rFonts w:eastAsia="Calibri"/>
          <w:iCs/>
          <w:snapToGrid w:val="0"/>
          <w:color w:val="000000"/>
        </w:rPr>
        <w:t xml:space="preserve">hours, with an equivalent cost </w:t>
      </w:r>
      <w:r w:rsidRPr="005D3D2F">
        <w:rPr>
          <w:rFonts w:eastAsia="Calibri"/>
          <w:iCs/>
          <w:snapToGrid w:val="0"/>
          <w:color w:val="000000"/>
        </w:rPr>
        <w:lastRenderedPageBreak/>
        <w:t>of $</w:t>
      </w:r>
      <w:r w:rsidRPr="00601E07" w:rsidR="00601E07">
        <w:rPr>
          <w:rFonts w:eastAsia="Calibri"/>
          <w:iCs/>
          <w:snapToGrid w:val="0"/>
          <w:color w:val="000000"/>
        </w:rPr>
        <w:t>37,874</w:t>
      </w:r>
      <w:r w:rsidRPr="005D3D2F">
        <w:rPr>
          <w:rFonts w:eastAsia="Calibri"/>
          <w:iCs/>
          <w:snapToGrid w:val="0"/>
          <w:color w:val="000000"/>
        </w:rPr>
        <w:t xml:space="preserve">.  In 2022, the total hour burden is </w:t>
      </w:r>
      <w:r w:rsidR="00532AD8">
        <w:rPr>
          <w:rFonts w:eastAsia="Calibri"/>
          <w:iCs/>
          <w:snapToGrid w:val="0"/>
          <w:color w:val="000000"/>
        </w:rPr>
        <w:t>933</w:t>
      </w:r>
      <w:r w:rsidRPr="005D3D2F" w:rsidR="00532AD8">
        <w:rPr>
          <w:rFonts w:eastAsia="Calibri"/>
          <w:iCs/>
          <w:snapToGrid w:val="0"/>
          <w:color w:val="000000"/>
        </w:rPr>
        <w:t xml:space="preserve"> </w:t>
      </w:r>
      <w:r w:rsidRPr="005D3D2F">
        <w:rPr>
          <w:rFonts w:eastAsia="Calibri"/>
          <w:iCs/>
          <w:snapToGrid w:val="0"/>
          <w:color w:val="000000"/>
        </w:rPr>
        <w:t xml:space="preserve">hours, with an equivalent cost of </w:t>
      </w:r>
      <w:r w:rsidRPr="00B2672E" w:rsidR="00B2672E">
        <w:rPr>
          <w:rFonts w:eastAsia="Calibri"/>
          <w:iCs/>
          <w:snapToGrid w:val="0"/>
          <w:color w:val="000000"/>
        </w:rPr>
        <w:t>$72,227</w:t>
      </w:r>
      <w:r w:rsidRPr="005D3D2F" w:rsidR="00C77ED2">
        <w:rPr>
          <w:rFonts w:eastAsia="Calibri"/>
          <w:iCs/>
          <w:snapToGrid w:val="0"/>
          <w:color w:val="000000"/>
        </w:rPr>
        <w:t>.</w:t>
      </w:r>
      <w:r w:rsidRPr="00C77ED2" w:rsidR="00C77ED2">
        <w:rPr>
          <w:rFonts w:eastAsia="Calibri"/>
          <w:iCs/>
        </w:rPr>
        <w:t xml:space="preserve">  </w:t>
      </w:r>
      <w:r w:rsidRPr="00C77ED2" w:rsidR="00C77ED2">
        <w:rPr>
          <w:rFonts w:eastAsia="Calibri"/>
          <w:iCs/>
          <w:snapToGrid w:val="0"/>
          <w:color w:val="000000"/>
        </w:rPr>
        <w:t xml:space="preserve">Thus, the three-year average hour burden is </w:t>
      </w:r>
      <w:r w:rsidR="006B199C">
        <w:rPr>
          <w:rFonts w:eastAsia="Calibri"/>
          <w:iCs/>
          <w:snapToGrid w:val="0"/>
          <w:color w:val="000000"/>
        </w:rPr>
        <w:t>311</w:t>
      </w:r>
      <w:r w:rsidRPr="00C77ED2" w:rsidR="006B199C">
        <w:rPr>
          <w:rFonts w:eastAsia="Calibri"/>
          <w:iCs/>
          <w:snapToGrid w:val="0"/>
          <w:color w:val="000000"/>
        </w:rPr>
        <w:t xml:space="preserve"> </w:t>
      </w:r>
      <w:r w:rsidRPr="00C77ED2" w:rsidR="00C77ED2">
        <w:rPr>
          <w:rFonts w:eastAsia="Calibri"/>
          <w:iCs/>
          <w:snapToGrid w:val="0"/>
          <w:color w:val="000000"/>
        </w:rPr>
        <w:t xml:space="preserve">hours, with an equivalent cost of </w:t>
      </w:r>
      <w:r w:rsidRPr="00B2672E" w:rsidR="00B2672E">
        <w:rPr>
          <w:rFonts w:eastAsia="Calibri"/>
          <w:iCs/>
          <w:snapToGrid w:val="0"/>
          <w:color w:val="000000"/>
        </w:rPr>
        <w:t>$24,076</w:t>
      </w:r>
      <w:r w:rsidR="00DE366B">
        <w:rPr>
          <w:rFonts w:eastAsia="Calibri"/>
          <w:iCs/>
          <w:snapToGrid w:val="0"/>
          <w:color w:val="000000"/>
        </w:rPr>
        <w:t xml:space="preserve">.  </w:t>
      </w:r>
    </w:p>
    <w:p w:rsidR="006F201F" w:rsidP="00173B4A" w:rsidRDefault="006F201F" w14:paraId="0470D028" w14:textId="452546BB">
      <w:pPr>
        <w:rPr>
          <w:b/>
          <w:bCs/>
          <w:iCs/>
        </w:rPr>
      </w:pPr>
    </w:p>
    <w:p w:rsidR="006F201F" w:rsidP="00D247F7" w:rsidRDefault="006F201F" w14:paraId="61611469" w14:textId="77777777">
      <w:pPr>
        <w:ind w:left="1440" w:firstLine="720"/>
        <w:rPr>
          <w:b/>
          <w:bCs/>
          <w:iCs/>
        </w:rPr>
      </w:pPr>
    </w:p>
    <w:p w:rsidRPr="00D247F7" w:rsidR="00644CB6" w:rsidP="00D247F7" w:rsidRDefault="00644CB6" w14:paraId="073DF891" w14:textId="77777777">
      <w:pPr>
        <w:ind w:left="1440" w:firstLine="720"/>
        <w:rPr>
          <w:b/>
          <w:iCs/>
        </w:rPr>
      </w:pPr>
      <w:r w:rsidRPr="00644CB6">
        <w:rPr>
          <w:b/>
          <w:bCs/>
          <w:iCs/>
        </w:rPr>
        <w:t>Estimated Annualized Respondent Cost and Hour Burden</w:t>
      </w:r>
    </w:p>
    <w:p w:rsidR="00644CB6" w:rsidP="00E631C7" w:rsidRDefault="00644CB6" w14:paraId="6F7589E5" w14:textId="77777777">
      <w:pPr>
        <w:rPr>
          <w:b/>
        </w:rPr>
      </w:pPr>
    </w:p>
    <w:tbl>
      <w:tblPr>
        <w:tblW w:w="9795" w:type="dxa"/>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765"/>
        <w:gridCol w:w="1253"/>
        <w:gridCol w:w="1212"/>
        <w:gridCol w:w="990"/>
        <w:gridCol w:w="1204"/>
        <w:gridCol w:w="1015"/>
        <w:gridCol w:w="1094"/>
        <w:gridCol w:w="1262"/>
      </w:tblGrid>
      <w:tr w:rsidRPr="008406D6" w:rsidR="008406D6" w:rsidTr="005442E5" w14:paraId="25748FEE" w14:textId="77777777">
        <w:trPr>
          <w:trHeight w:val="885"/>
        </w:trPr>
        <w:tc>
          <w:tcPr>
            <w:tcW w:w="176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7845F6" w:rsidRDefault="008406D6" w14:paraId="0B381161" w14:textId="77777777">
            <w:pPr>
              <w:jc w:val="center"/>
              <w:textAlignment w:val="baseline"/>
              <w:rPr>
                <w:b/>
                <w:bCs/>
              </w:rPr>
            </w:pPr>
            <w:r w:rsidRPr="008406D6">
              <w:rPr>
                <w:b/>
                <w:bCs/>
                <w:sz w:val="20"/>
                <w:szCs w:val="20"/>
              </w:rPr>
              <w:t>Activity </w:t>
            </w:r>
          </w:p>
        </w:tc>
        <w:tc>
          <w:tcPr>
            <w:tcW w:w="1253"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8406D6" w:rsidRDefault="008406D6" w14:paraId="00FF5B08" w14:textId="77777777">
            <w:pPr>
              <w:jc w:val="center"/>
              <w:textAlignment w:val="baseline"/>
              <w:rPr>
                <w:b/>
                <w:bCs/>
              </w:rPr>
            </w:pPr>
            <w:r w:rsidRPr="008406D6">
              <w:rPr>
                <w:b/>
                <w:bCs/>
                <w:sz w:val="20"/>
                <w:szCs w:val="20"/>
              </w:rPr>
              <w:t>No. of Respondents</w:t>
            </w:r>
          </w:p>
        </w:tc>
        <w:tc>
          <w:tcPr>
            <w:tcW w:w="121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8406D6" w:rsidRDefault="008406D6" w14:paraId="5F53FC80" w14:textId="77777777">
            <w:pPr>
              <w:textAlignment w:val="baseline"/>
              <w:rPr>
                <w:b/>
                <w:bCs/>
                <w:sz w:val="20"/>
                <w:szCs w:val="20"/>
              </w:rPr>
            </w:pPr>
            <w:r w:rsidRPr="008406D6">
              <w:rPr>
                <w:b/>
                <w:bCs/>
                <w:sz w:val="20"/>
                <w:szCs w:val="20"/>
              </w:rPr>
              <w:t xml:space="preserve">      No. of      Responses </w:t>
            </w:r>
          </w:p>
          <w:p w:rsidRPr="008406D6" w:rsidR="008406D6" w:rsidP="008406D6" w:rsidRDefault="008406D6" w14:paraId="340A95FD" w14:textId="77777777">
            <w:pPr>
              <w:jc w:val="center"/>
              <w:textAlignment w:val="baseline"/>
              <w:rPr>
                <w:b/>
                <w:bCs/>
                <w:sz w:val="20"/>
                <w:szCs w:val="20"/>
              </w:rPr>
            </w:pPr>
            <w:r w:rsidRPr="008406D6">
              <w:rPr>
                <w:b/>
                <w:bCs/>
                <w:sz w:val="20"/>
                <w:szCs w:val="20"/>
              </w:rPr>
              <w:t>per </w:t>
            </w:r>
          </w:p>
          <w:p w:rsidRPr="008406D6" w:rsidR="008406D6" w:rsidP="008406D6" w:rsidRDefault="008406D6" w14:paraId="1528E7E6" w14:textId="77777777">
            <w:pPr>
              <w:jc w:val="center"/>
              <w:textAlignment w:val="baseline"/>
              <w:rPr>
                <w:b/>
                <w:bCs/>
              </w:rPr>
            </w:pPr>
            <w:r w:rsidRPr="008406D6">
              <w:rPr>
                <w:b/>
                <w:bCs/>
                <w:sz w:val="20"/>
                <w:szCs w:val="20"/>
              </w:rPr>
              <w:t>Respondent </w:t>
            </w:r>
          </w:p>
        </w:tc>
        <w:tc>
          <w:tcPr>
            <w:tcW w:w="99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8406D6" w:rsidRDefault="008406D6" w14:paraId="5D5525FD" w14:textId="77777777">
            <w:pPr>
              <w:jc w:val="center"/>
              <w:textAlignment w:val="baseline"/>
              <w:rPr>
                <w:b/>
                <w:bCs/>
              </w:rPr>
            </w:pPr>
            <w:r w:rsidRPr="008406D6">
              <w:rPr>
                <w:b/>
                <w:bCs/>
                <w:sz w:val="20"/>
                <w:szCs w:val="20"/>
              </w:rPr>
              <w:t>Total Responses</w:t>
            </w:r>
          </w:p>
        </w:tc>
        <w:tc>
          <w:tcPr>
            <w:tcW w:w="120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8406D6" w:rsidRDefault="008406D6" w14:paraId="269F4709" w14:textId="77777777">
            <w:pPr>
              <w:jc w:val="center"/>
              <w:textAlignment w:val="baseline"/>
              <w:rPr>
                <w:b/>
                <w:bCs/>
              </w:rPr>
            </w:pPr>
            <w:r w:rsidRPr="008406D6">
              <w:rPr>
                <w:b/>
                <w:bCs/>
                <w:sz w:val="20"/>
                <w:szCs w:val="20"/>
              </w:rPr>
              <w:t>Average Burden (Hours) </w:t>
            </w:r>
          </w:p>
        </w:tc>
        <w:tc>
          <w:tcPr>
            <w:tcW w:w="101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8406D6" w:rsidRDefault="008406D6" w14:paraId="4774DBDE" w14:textId="77777777">
            <w:pPr>
              <w:jc w:val="center"/>
              <w:textAlignment w:val="baseline"/>
              <w:rPr>
                <w:b/>
                <w:bCs/>
              </w:rPr>
            </w:pPr>
            <w:r w:rsidRPr="008406D6">
              <w:rPr>
                <w:b/>
                <w:bCs/>
                <w:sz w:val="20"/>
                <w:szCs w:val="20"/>
              </w:rPr>
              <w:t>Total Burden (Hours) </w:t>
            </w:r>
          </w:p>
        </w:tc>
        <w:tc>
          <w:tcPr>
            <w:tcW w:w="109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8406D6" w:rsidRDefault="008406D6" w14:paraId="6923A4F2" w14:textId="77777777">
            <w:pPr>
              <w:jc w:val="center"/>
              <w:textAlignment w:val="baseline"/>
              <w:rPr>
                <w:b/>
                <w:bCs/>
              </w:rPr>
            </w:pPr>
            <w:r w:rsidRPr="008406D6">
              <w:rPr>
                <w:b/>
                <w:bCs/>
                <w:sz w:val="20"/>
                <w:szCs w:val="20"/>
              </w:rPr>
              <w:t>Hourly </w:t>
            </w:r>
          </w:p>
          <w:p w:rsidRPr="008406D6" w:rsidR="008406D6" w:rsidP="008406D6" w:rsidRDefault="008406D6" w14:paraId="177BB4D4" w14:textId="77777777">
            <w:pPr>
              <w:jc w:val="center"/>
              <w:textAlignment w:val="baseline"/>
              <w:rPr>
                <w:b/>
                <w:bCs/>
              </w:rPr>
            </w:pPr>
            <w:r w:rsidRPr="008406D6">
              <w:rPr>
                <w:b/>
                <w:bCs/>
                <w:sz w:val="20"/>
                <w:szCs w:val="20"/>
              </w:rPr>
              <w:t>Wage Rate </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8406D6" w:rsidRDefault="008406D6" w14:paraId="7FD4E57B" w14:textId="77777777">
            <w:pPr>
              <w:jc w:val="center"/>
              <w:textAlignment w:val="baseline"/>
              <w:rPr>
                <w:b/>
                <w:bCs/>
              </w:rPr>
            </w:pPr>
            <w:r w:rsidRPr="008406D6">
              <w:rPr>
                <w:b/>
                <w:bCs/>
                <w:sz w:val="20"/>
                <w:szCs w:val="20"/>
              </w:rPr>
              <w:t>Total Burden Cost </w:t>
            </w:r>
          </w:p>
        </w:tc>
      </w:tr>
      <w:tr w:rsidRPr="008406D6" w:rsidR="00E73376" w:rsidTr="005442E5" w14:paraId="5D834140"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0E59A8" w:rsidR="00E73376" w:rsidP="00356525" w:rsidRDefault="00F65C9A" w14:paraId="5BAF0275" w14:textId="77777777">
            <w:pPr>
              <w:textAlignment w:val="baseline"/>
              <w:rPr>
                <w:bCs/>
                <w:sz w:val="20"/>
                <w:szCs w:val="20"/>
              </w:rPr>
            </w:pPr>
            <w:r>
              <w:rPr>
                <w:bCs/>
                <w:iCs/>
                <w:sz w:val="20"/>
                <w:szCs w:val="20"/>
              </w:rPr>
              <w:t>P</w:t>
            </w:r>
            <w:r w:rsidRPr="00F65C9A">
              <w:rPr>
                <w:bCs/>
                <w:iCs/>
                <w:sz w:val="20"/>
                <w:szCs w:val="20"/>
              </w:rPr>
              <w:t>lan</w:t>
            </w:r>
            <w:r>
              <w:rPr>
                <w:bCs/>
                <w:iCs/>
                <w:sz w:val="20"/>
                <w:szCs w:val="20"/>
              </w:rPr>
              <w:t>s</w:t>
            </w:r>
            <w:r w:rsidRPr="00F65C9A">
              <w:rPr>
                <w:bCs/>
                <w:iCs/>
                <w:sz w:val="20"/>
                <w:szCs w:val="20"/>
              </w:rPr>
              <w:t xml:space="preserve"> that ha</w:t>
            </w:r>
            <w:r>
              <w:rPr>
                <w:bCs/>
                <w:iCs/>
                <w:sz w:val="20"/>
                <w:szCs w:val="20"/>
              </w:rPr>
              <w:t>ve</w:t>
            </w:r>
            <w:r w:rsidRPr="00F65C9A">
              <w:rPr>
                <w:bCs/>
                <w:iCs/>
                <w:sz w:val="20"/>
                <w:szCs w:val="20"/>
              </w:rPr>
              <w:t xml:space="preserve"> chosen to opt into a </w:t>
            </w:r>
            <w:proofErr w:type="gramStart"/>
            <w:r w:rsidRPr="00F65C9A">
              <w:rPr>
                <w:bCs/>
                <w:iCs/>
                <w:sz w:val="20"/>
                <w:szCs w:val="20"/>
              </w:rPr>
              <w:t xml:space="preserve">state law </w:t>
            </w:r>
            <w:r w:rsidR="00356525">
              <w:rPr>
                <w:bCs/>
                <w:iCs/>
                <w:sz w:val="20"/>
                <w:szCs w:val="20"/>
              </w:rPr>
              <w:t>requirements</w:t>
            </w:r>
            <w:proofErr w:type="gramEnd"/>
            <w:r w:rsidR="00356525">
              <w:rPr>
                <w:bCs/>
                <w:iCs/>
                <w:sz w:val="20"/>
                <w:szCs w:val="20"/>
              </w:rPr>
              <w:t xml:space="preserve">- </w:t>
            </w:r>
            <w:r w:rsidR="00B36DD7">
              <w:rPr>
                <w:bCs/>
                <w:iCs/>
                <w:sz w:val="20"/>
                <w:szCs w:val="20"/>
              </w:rPr>
              <w:t xml:space="preserve">Clerical workers </w:t>
            </w:r>
            <w:r w:rsidRPr="00B36DD7" w:rsidR="00B36DD7">
              <w:rPr>
                <w:bCs/>
                <w:iCs/>
                <w:sz w:val="20"/>
                <w:szCs w:val="20"/>
              </w:rPr>
              <w:t>gather information and review information</w:t>
            </w:r>
            <w:r w:rsidR="00EC6A90">
              <w:rPr>
                <w:bCs/>
                <w:iCs/>
                <w:sz w:val="20"/>
                <w:szCs w:val="20"/>
              </w:rPr>
              <w:t xml:space="preserve"> (2022)</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80B0E" w:rsidR="00E73376" w:rsidP="008406D6" w:rsidRDefault="00C3129B" w14:paraId="63FE3AE9" w14:textId="5D5B8783">
            <w:pPr>
              <w:jc w:val="center"/>
              <w:textAlignment w:val="baseline"/>
              <w:rPr>
                <w:bCs/>
                <w:sz w:val="20"/>
                <w:szCs w:val="20"/>
              </w:rPr>
            </w:pPr>
            <w:r>
              <w:rPr>
                <w:bCs/>
                <w:sz w:val="20"/>
                <w:szCs w:val="20"/>
              </w:rPr>
              <w:t>622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E73376" w:rsidP="008406D6" w:rsidRDefault="00E54B03" w14:paraId="2B26F8E1" w14:textId="77777777">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0E59A8" w:rsidR="00E73376" w:rsidP="00B36DD7" w:rsidRDefault="00C3129B" w14:paraId="1126895C" w14:textId="1B6A84B5">
            <w:pPr>
              <w:jc w:val="center"/>
              <w:textAlignment w:val="baseline"/>
              <w:rPr>
                <w:bCs/>
                <w:sz w:val="20"/>
                <w:szCs w:val="20"/>
              </w:rPr>
            </w:pPr>
            <w:r>
              <w:rPr>
                <w:bCs/>
                <w:sz w:val="20"/>
                <w:szCs w:val="20"/>
              </w:rPr>
              <w:t>622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0E59A8" w:rsidR="00E73376" w:rsidP="008406D6" w:rsidRDefault="00B36DD7" w14:paraId="0E705C0D" w14:textId="77777777">
            <w:pPr>
              <w:jc w:val="center"/>
              <w:textAlignment w:val="baseline"/>
              <w:rPr>
                <w:bCs/>
                <w:sz w:val="20"/>
                <w:szCs w:val="20"/>
              </w:rPr>
            </w:pPr>
            <w:r>
              <w:rPr>
                <w:bCs/>
                <w:sz w:val="20"/>
                <w:szCs w:val="20"/>
              </w:rPr>
              <w:t>1</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0E59A8" w:rsidR="00E73376" w:rsidP="008406D6" w:rsidRDefault="00C3129B" w14:paraId="07881918" w14:textId="6071DE9B">
            <w:pPr>
              <w:jc w:val="center"/>
              <w:textAlignment w:val="baseline"/>
              <w:rPr>
                <w:bCs/>
                <w:sz w:val="20"/>
                <w:szCs w:val="20"/>
              </w:rPr>
            </w:pPr>
            <w:r>
              <w:rPr>
                <w:bCs/>
                <w:iCs/>
                <w:sz w:val="20"/>
                <w:szCs w:val="20"/>
              </w:rPr>
              <w:t>622</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0E59A8" w:rsidR="00E73376" w:rsidP="008406D6" w:rsidRDefault="00E54B03" w14:paraId="0B37744E" w14:textId="0B75CBC2">
            <w:pPr>
              <w:jc w:val="center"/>
              <w:textAlignment w:val="baseline"/>
              <w:rPr>
                <w:bCs/>
                <w:sz w:val="20"/>
                <w:szCs w:val="20"/>
              </w:rPr>
            </w:pPr>
            <w:r>
              <w:rPr>
                <w:bCs/>
                <w:sz w:val="20"/>
                <w:szCs w:val="20"/>
              </w:rPr>
              <w:t>$55.</w:t>
            </w:r>
            <w:r w:rsidR="009F2BCB">
              <w:rPr>
                <w:bCs/>
                <w:sz w:val="20"/>
                <w:szCs w:val="20"/>
              </w:rPr>
              <w:t>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0E59A8" w:rsidR="00E73376" w:rsidP="008406D6" w:rsidRDefault="00EA2CAE" w14:paraId="69758BDB" w14:textId="41169716">
            <w:pPr>
              <w:jc w:val="center"/>
              <w:textAlignment w:val="baseline"/>
              <w:rPr>
                <w:bCs/>
                <w:sz w:val="20"/>
                <w:szCs w:val="20"/>
              </w:rPr>
            </w:pPr>
            <w:r w:rsidRPr="00EA2CAE">
              <w:rPr>
                <w:bCs/>
                <w:iCs/>
                <w:sz w:val="20"/>
                <w:szCs w:val="20"/>
              </w:rPr>
              <w:t>$34,</w:t>
            </w:r>
            <w:r w:rsidR="00C3129B">
              <w:rPr>
                <w:bCs/>
                <w:iCs/>
                <w:sz w:val="20"/>
                <w:szCs w:val="20"/>
              </w:rPr>
              <w:t>353</w:t>
            </w:r>
            <w:r w:rsidRPr="00EA2CAE" w:rsidDel="00901C43" w:rsidR="00C3129B">
              <w:rPr>
                <w:bCs/>
                <w:iCs/>
                <w:sz w:val="20"/>
                <w:szCs w:val="20"/>
              </w:rPr>
              <w:t xml:space="preserve"> </w:t>
            </w:r>
          </w:p>
        </w:tc>
      </w:tr>
      <w:tr w:rsidRPr="008406D6" w:rsidR="00B36DD7" w:rsidTr="005442E5" w14:paraId="036B8B8D"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356525" w:rsidP="00356525" w:rsidRDefault="00B36DD7" w14:paraId="0F6B1549" w14:textId="77777777">
            <w:pPr>
              <w:textAlignment w:val="baseline"/>
              <w:rPr>
                <w:bCs/>
                <w:iCs/>
                <w:sz w:val="20"/>
                <w:szCs w:val="20"/>
              </w:rPr>
            </w:pPr>
            <w:r w:rsidRPr="00B36DD7">
              <w:rPr>
                <w:bCs/>
                <w:iCs/>
                <w:sz w:val="20"/>
                <w:szCs w:val="20"/>
              </w:rPr>
              <w:t xml:space="preserve">Plans that have chosen to opt into a state law </w:t>
            </w:r>
            <w:proofErr w:type="gramStart"/>
            <w:r w:rsidR="00356525">
              <w:rPr>
                <w:bCs/>
                <w:iCs/>
                <w:sz w:val="20"/>
                <w:szCs w:val="20"/>
              </w:rPr>
              <w:t>requirements</w:t>
            </w:r>
            <w:proofErr w:type="gramEnd"/>
            <w:r w:rsidR="00356525">
              <w:rPr>
                <w:bCs/>
                <w:iCs/>
                <w:sz w:val="20"/>
                <w:szCs w:val="20"/>
              </w:rPr>
              <w:t xml:space="preserve">- </w:t>
            </w:r>
          </w:p>
          <w:p w:rsidR="00B36DD7" w:rsidP="00356525" w:rsidRDefault="00B36DD7" w14:paraId="1A1C4D9D" w14:textId="77777777">
            <w:pPr>
              <w:textAlignment w:val="baseline"/>
              <w:rPr>
                <w:bCs/>
                <w:iCs/>
                <w:sz w:val="20"/>
                <w:szCs w:val="20"/>
              </w:rPr>
            </w:pPr>
            <w:r>
              <w:rPr>
                <w:bCs/>
                <w:iCs/>
                <w:sz w:val="20"/>
                <w:szCs w:val="20"/>
              </w:rPr>
              <w:t>Benefit managers review information</w:t>
            </w:r>
            <w:r w:rsidR="00EC6A90">
              <w:rPr>
                <w:bCs/>
                <w:iCs/>
                <w:sz w:val="20"/>
                <w:szCs w:val="20"/>
              </w:rPr>
              <w:t xml:space="preserve"> (2022)</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B36DD7" w:rsidP="008406D6" w:rsidRDefault="00C3129B" w14:paraId="4ADA4D70" w14:textId="1AAEF705">
            <w:pPr>
              <w:jc w:val="center"/>
              <w:textAlignment w:val="baseline"/>
              <w:rPr>
                <w:bCs/>
                <w:sz w:val="20"/>
                <w:szCs w:val="20"/>
              </w:rPr>
            </w:pPr>
            <w:r>
              <w:rPr>
                <w:bCs/>
                <w:sz w:val="20"/>
                <w:szCs w:val="20"/>
              </w:rPr>
              <w:t>622</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B36DD7" w:rsidP="008406D6" w:rsidRDefault="00B36DD7" w14:paraId="33D98D84" w14:textId="77777777">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B36DD7" w:rsidP="00B36DD7" w:rsidRDefault="00C3129B" w14:paraId="3C16D3E6" w14:textId="45472DFE">
            <w:pPr>
              <w:jc w:val="center"/>
              <w:textAlignment w:val="baseline"/>
              <w:rPr>
                <w:bCs/>
                <w:sz w:val="20"/>
                <w:szCs w:val="20"/>
              </w:rPr>
            </w:pPr>
            <w:r>
              <w:rPr>
                <w:bCs/>
                <w:sz w:val="20"/>
                <w:szCs w:val="20"/>
              </w:rPr>
              <w:t>622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B36DD7" w:rsidP="008406D6" w:rsidRDefault="000A1A90" w14:paraId="52CBFB51" w14:textId="77777777">
            <w:pPr>
              <w:jc w:val="center"/>
              <w:textAlignment w:val="baseline"/>
              <w:rPr>
                <w:bCs/>
                <w:sz w:val="20"/>
                <w:szCs w:val="20"/>
              </w:rPr>
            </w:pPr>
            <w:r>
              <w:rPr>
                <w:bCs/>
                <w:sz w:val="20"/>
                <w:szCs w:val="20"/>
              </w:rPr>
              <w:t>30/60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B36DD7" w:rsidP="008406D6" w:rsidRDefault="00C3129B" w14:paraId="76752751" w14:textId="56BC456F">
            <w:pPr>
              <w:jc w:val="center"/>
              <w:textAlignment w:val="baseline"/>
              <w:rPr>
                <w:bCs/>
                <w:iCs/>
                <w:sz w:val="20"/>
                <w:szCs w:val="20"/>
              </w:rPr>
            </w:pPr>
            <w:r>
              <w:rPr>
                <w:bCs/>
                <w:iCs/>
                <w:sz w:val="20"/>
                <w:szCs w:val="20"/>
              </w:rPr>
              <w:t>311</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00B36DD7" w:rsidP="008406D6" w:rsidRDefault="00EA2CAE" w14:paraId="077246EA" w14:textId="0FC09D33">
            <w:pPr>
              <w:jc w:val="center"/>
              <w:textAlignment w:val="baseline"/>
              <w:rPr>
                <w:bCs/>
                <w:sz w:val="20"/>
                <w:szCs w:val="20"/>
              </w:rPr>
            </w:pPr>
            <w:r w:rsidRPr="00EA2CAE">
              <w:rPr>
                <w:bCs/>
                <w:sz w:val="20"/>
                <w:szCs w:val="20"/>
              </w:rPr>
              <w:t>$</w:t>
            </w:r>
            <w:r w:rsidR="009F2BCB">
              <w:rPr>
                <w:bCs/>
                <w:sz w:val="20"/>
                <w:szCs w:val="20"/>
              </w:rPr>
              <w:t>121.78</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B36DD7" w:rsidP="008406D6" w:rsidRDefault="00EA2CAE" w14:paraId="4617357B" w14:textId="6B5B7A40">
            <w:pPr>
              <w:jc w:val="center"/>
              <w:textAlignment w:val="baseline"/>
              <w:rPr>
                <w:bCs/>
                <w:iCs/>
                <w:sz w:val="20"/>
                <w:szCs w:val="20"/>
              </w:rPr>
            </w:pPr>
            <w:r w:rsidRPr="00EA2CAE">
              <w:rPr>
                <w:bCs/>
                <w:iCs/>
                <w:sz w:val="20"/>
                <w:szCs w:val="20"/>
              </w:rPr>
              <w:t>$</w:t>
            </w:r>
            <w:r w:rsidR="00C3129B">
              <w:rPr>
                <w:bCs/>
                <w:iCs/>
                <w:sz w:val="20"/>
                <w:szCs w:val="20"/>
              </w:rPr>
              <w:t>37,874</w:t>
            </w:r>
          </w:p>
        </w:tc>
      </w:tr>
      <w:tr w:rsidRPr="008406D6" w:rsidR="008406D6" w:rsidTr="005442E5" w14:paraId="6CFDDC68"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8406D6" w:rsidP="008406D6" w:rsidRDefault="008406D6" w14:paraId="32609078" w14:textId="77777777">
            <w:pPr>
              <w:textAlignment w:val="baseline"/>
              <w:rPr>
                <w:b/>
                <w:bCs/>
                <w:sz w:val="20"/>
                <w:szCs w:val="20"/>
              </w:rPr>
            </w:pPr>
            <w:r w:rsidRPr="008406D6">
              <w:rPr>
                <w:b/>
                <w:bCs/>
                <w:sz w:val="20"/>
                <w:szCs w:val="20"/>
              </w:rPr>
              <w:t xml:space="preserve">Total (3-year </w:t>
            </w:r>
            <w:proofErr w:type="gramStart"/>
            <w:r w:rsidRPr="008406D6">
              <w:rPr>
                <w:b/>
                <w:bCs/>
                <w:sz w:val="20"/>
                <w:szCs w:val="20"/>
              </w:rPr>
              <w:t>average)*</w:t>
            </w:r>
            <w:proofErr w:type="gramEnd"/>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211AE" w:rsidRDefault="002723FD" w14:paraId="3D9328A8" w14:textId="2F6DE974">
            <w:pPr>
              <w:jc w:val="center"/>
              <w:textAlignment w:val="baseline"/>
              <w:rPr>
                <w:bCs/>
                <w:sz w:val="20"/>
                <w:szCs w:val="20"/>
              </w:rPr>
            </w:pPr>
            <w:r>
              <w:rPr>
                <w:bCs/>
                <w:sz w:val="20"/>
                <w:szCs w:val="20"/>
              </w:rPr>
              <w:t>207</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D77325" w:rsidRDefault="002723FD" w14:paraId="518B7F6F" w14:textId="7FAD3224">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2723FD" w14:paraId="6FA4AD52" w14:textId="26A1D8E4">
            <w:pPr>
              <w:jc w:val="center"/>
              <w:textAlignment w:val="baseline"/>
              <w:rPr>
                <w:bCs/>
                <w:sz w:val="20"/>
                <w:szCs w:val="20"/>
              </w:rPr>
            </w:pPr>
            <w:r>
              <w:rPr>
                <w:bCs/>
                <w:sz w:val="20"/>
                <w:szCs w:val="20"/>
              </w:rPr>
              <w:t>207</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5A34AC" w:rsidRDefault="00551CBC" w14:paraId="1B9A277D" w14:textId="21658241">
            <w:pPr>
              <w:jc w:val="center"/>
              <w:textAlignment w:val="baseline"/>
              <w:rPr>
                <w:bCs/>
                <w:sz w:val="20"/>
                <w:szCs w:val="20"/>
              </w:rPr>
            </w:pPr>
            <w:r>
              <w:rPr>
                <w:bCs/>
                <w:sz w:val="20"/>
                <w:szCs w:val="20"/>
              </w:rPr>
              <w:t>1.5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211AE" w:rsidRDefault="00047136" w14:paraId="03E9B444" w14:textId="2A0A5CD3">
            <w:pPr>
              <w:jc w:val="center"/>
              <w:textAlignment w:val="baseline"/>
              <w:rPr>
                <w:bCs/>
                <w:sz w:val="20"/>
                <w:szCs w:val="20"/>
              </w:rPr>
            </w:pPr>
            <w:r>
              <w:rPr>
                <w:bCs/>
                <w:sz w:val="20"/>
                <w:szCs w:val="20"/>
              </w:rPr>
              <w:t>311</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362CA1" w14:paraId="37B53D9D" w14:textId="77777777">
            <w:pPr>
              <w:jc w:val="center"/>
              <w:textAlignment w:val="baseline"/>
              <w:rPr>
                <w:bCs/>
                <w:sz w:val="20"/>
                <w:szCs w:val="20"/>
              </w:rPr>
            </w:pPr>
            <w:r>
              <w:rPr>
                <w:bCs/>
                <w:sz w:val="20"/>
                <w:szCs w:val="20"/>
              </w:rPr>
              <w:t>-</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551CBC" w14:paraId="3F09909E" w14:textId="6A97D4C1">
            <w:pPr>
              <w:jc w:val="center"/>
              <w:textAlignment w:val="baseline"/>
              <w:rPr>
                <w:bCs/>
                <w:sz w:val="20"/>
                <w:szCs w:val="20"/>
              </w:rPr>
            </w:pPr>
            <w:r w:rsidRPr="00551CBC">
              <w:rPr>
                <w:bCs/>
                <w:sz w:val="20"/>
                <w:szCs w:val="20"/>
              </w:rPr>
              <w:t>$</w:t>
            </w:r>
            <w:r w:rsidR="00047136">
              <w:rPr>
                <w:bCs/>
                <w:sz w:val="20"/>
                <w:szCs w:val="20"/>
              </w:rPr>
              <w:t>24,076</w:t>
            </w:r>
          </w:p>
        </w:tc>
      </w:tr>
    </w:tbl>
    <w:p w:rsidRPr="009C164D" w:rsidR="008406D6" w:rsidP="00E631C7" w:rsidRDefault="008406D6" w14:paraId="61FD67E8" w14:textId="77777777">
      <w:pPr>
        <w:rPr>
          <w:b/>
        </w:rPr>
      </w:pPr>
    </w:p>
    <w:p w:rsidRPr="002F69AA" w:rsidR="002F69AA" w:rsidP="002F69AA" w:rsidRDefault="00FC2F3E" w14:paraId="51881F4C" w14:textId="77777777">
      <w:pPr>
        <w:pStyle w:val="Quick1"/>
        <w:widowControl/>
        <w:rPr>
          <w:b/>
        </w:rPr>
      </w:pPr>
      <w:r w:rsidRPr="009C164D">
        <w:rPr>
          <w:b/>
          <w:iCs/>
        </w:rPr>
        <w:t>Provide an estimate of the total annual cost burden to respondents or recordkeepers resulting from the collection of information.  (Do not include the cost of any hour burden shown in Items 12 or 14).</w:t>
      </w:r>
    </w:p>
    <w:p w:rsidRPr="002F69AA" w:rsidR="002F69AA" w:rsidP="002F69AA" w:rsidRDefault="002F69AA" w14:paraId="6E2595A7" w14:textId="77777777">
      <w:pPr>
        <w:pStyle w:val="Quick1"/>
        <w:numPr>
          <w:ilvl w:val="0"/>
          <w:numId w:val="3"/>
        </w:numPr>
        <w:rPr>
          <w:b/>
        </w:rPr>
      </w:pPr>
      <w:r w:rsidRPr="002F69AA">
        <w:rPr>
          <w:b/>
          <w:bCs/>
        </w:rPr>
        <w:t>The cost estimate should be split into two components</w:t>
      </w:r>
      <w:proofErr w:type="gramStart"/>
      <w:r w:rsidRPr="002F69AA">
        <w:rPr>
          <w:b/>
          <w:bCs/>
        </w:rPr>
        <w:t>:  (</w:t>
      </w:r>
      <w:proofErr w:type="gramEnd"/>
      <w:r w:rsidRPr="002F69AA">
        <w:rPr>
          <w:b/>
          <w:bCs/>
        </w:rPr>
        <w:t>a) a total capital</w:t>
      </w:r>
      <w:r w:rsidRPr="002F69AA">
        <w:rPr>
          <w:b/>
        </w:rPr>
        <w:t> </w:t>
      </w:r>
      <w:r w:rsidRPr="002F69AA">
        <w:rPr>
          <w:b/>
          <w:bCs/>
        </w:rPr>
        <w:t>and </w:t>
      </w:r>
      <w:proofErr w:type="spellStart"/>
      <w:r w:rsidRPr="002F69AA">
        <w:rPr>
          <w:b/>
          <w:bCs/>
        </w:rPr>
        <w:t>start up</w:t>
      </w:r>
      <w:proofErr w:type="spellEnd"/>
      <w:r w:rsidRPr="002F69AA">
        <w:rPr>
          <w:b/>
          <w:bCs/>
        </w:rPr>
        <w:t xml:space="preserve"> cost component (annualized over its expected useful life); and (b) a</w:t>
      </w:r>
      <w:r w:rsidRPr="002F69AA">
        <w:rPr>
          <w:b/>
        </w:rPr>
        <w:t> </w:t>
      </w:r>
      <w:r w:rsidRPr="002F69AA">
        <w:rPr>
          <w:b/>
          <w:bCs/>
        </w:rPr>
        <w:t xml:space="preserve">total operation and maintenance and purchase of service component.  The estimates should </w:t>
      </w:r>
      <w:proofErr w:type="gramStart"/>
      <w:r w:rsidRPr="002F69AA">
        <w:rPr>
          <w:b/>
          <w:bCs/>
        </w:rPr>
        <w:t>take into account</w:t>
      </w:r>
      <w:proofErr w:type="gramEnd"/>
      <w:r w:rsidRPr="002F69AA">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2F69AA">
        <w:rPr>
          <w:b/>
          <w:bCs/>
        </w:rPr>
        <w:t>time period</w:t>
      </w:r>
      <w:proofErr w:type="gramEnd"/>
      <w:r w:rsidRPr="002F69AA">
        <w:rPr>
          <w:b/>
          <w:bCs/>
        </w:rPr>
        <w:t xml:space="preserve"> over which costs will be incurred.  Capital and start-up costs include, among other items, preparations for collecting information such as purchasing computers and software; monitoring, sampling, </w:t>
      </w:r>
      <w:proofErr w:type="gramStart"/>
      <w:r w:rsidRPr="002F69AA">
        <w:rPr>
          <w:b/>
          <w:bCs/>
        </w:rPr>
        <w:t>drilling</w:t>
      </w:r>
      <w:proofErr w:type="gramEnd"/>
      <w:r w:rsidRPr="002F69AA">
        <w:rPr>
          <w:b/>
          <w:bCs/>
        </w:rPr>
        <w:t xml:space="preserve"> and testing equipment; and record </w:t>
      </w:r>
      <w:r w:rsidRPr="002F69AA">
        <w:rPr>
          <w:b/>
          <w:bCs/>
        </w:rPr>
        <w:lastRenderedPageBreak/>
        <w:t>storage facilities.</w:t>
      </w:r>
      <w:r w:rsidRPr="002F69AA">
        <w:rPr>
          <w:b/>
        </w:rPr>
        <w:t> </w:t>
      </w:r>
    </w:p>
    <w:p w:rsidRPr="002F69AA" w:rsidR="002F69AA" w:rsidP="002F69AA" w:rsidRDefault="002F69AA" w14:paraId="32EB08DA" w14:textId="77777777">
      <w:pPr>
        <w:pStyle w:val="Quick1"/>
        <w:numPr>
          <w:ilvl w:val="0"/>
          <w:numId w:val="3"/>
        </w:numPr>
        <w:rPr>
          <w:b/>
        </w:rPr>
      </w:pPr>
      <w:r w:rsidRPr="002F69AA">
        <w:rPr>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2F69AA">
        <w:rPr>
          <w:b/>
          <w:bCs/>
        </w:rPr>
        <w:t>process</w:t>
      </w:r>
      <w:proofErr w:type="gramEnd"/>
      <w:r w:rsidRPr="002F69AA">
        <w:rPr>
          <w:b/>
          <w:bCs/>
        </w:rPr>
        <w:t xml:space="preserve"> and use existing economic or regulatory impact analysis associated with the rulemaking containing the information collection, as appropriate.</w:t>
      </w:r>
      <w:r w:rsidRPr="002F69AA">
        <w:rPr>
          <w:b/>
        </w:rPr>
        <w:t> </w:t>
      </w:r>
    </w:p>
    <w:p w:rsidRPr="002F69AA" w:rsidR="002F69AA" w:rsidP="002F69AA" w:rsidRDefault="002F69AA" w14:paraId="7DBF5D4C" w14:textId="77777777">
      <w:pPr>
        <w:pStyle w:val="Quick1"/>
        <w:numPr>
          <w:ilvl w:val="0"/>
          <w:numId w:val="3"/>
        </w:numPr>
        <w:rPr>
          <w:b/>
        </w:rPr>
      </w:pPr>
      <w:r w:rsidRPr="002F69AA">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675D7" w:rsidP="00711A1A" w:rsidRDefault="009675D7" w14:paraId="342196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Pr="00016F20" w:rsidR="009F79EB" w:rsidP="00016F20" w:rsidRDefault="00016F20" w14:paraId="7665852D" w14:textId="3C912F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Cs/>
          <w:vertAlign w:val="superscript"/>
        </w:rPr>
      </w:pPr>
      <w:r w:rsidRPr="00016F20">
        <w:rPr>
          <w:iCs/>
        </w:rPr>
        <w:t xml:space="preserve">The average number of participants in a self-insured ERISA-covered plan that will opt into the four states’ balance billing laws is </w:t>
      </w:r>
      <w:r w:rsidRPr="008A07EE" w:rsidR="008A07EE">
        <w:rPr>
          <w:iCs/>
        </w:rPr>
        <w:t>9,646</w:t>
      </w:r>
      <w:r w:rsidRPr="00016F20">
        <w:rPr>
          <w:iCs/>
        </w:rPr>
        <w:t>.</w:t>
      </w:r>
      <w:r w:rsidRPr="00016F20">
        <w:rPr>
          <w:iCs/>
          <w:vertAlign w:val="superscript"/>
        </w:rPr>
        <w:footnoteReference w:id="10"/>
      </w:r>
      <w:r w:rsidRPr="00016F20">
        <w:rPr>
          <w:iCs/>
        </w:rPr>
        <w:t xml:space="preserve">  The Department assumes that only printing and material costs are associated with the disclosure requirement, because the notice can be incorporated into existing plan documents.  The Department estimates that the disclosure will require one-half of a page, at a cost of $0.05 per page for printing and materials, and 34 percent of plan documents will be delivered electronically at minimal cost.</w:t>
      </w:r>
      <w:r w:rsidRPr="00016F20">
        <w:rPr>
          <w:iCs/>
          <w:vertAlign w:val="superscript"/>
        </w:rPr>
        <w:footnoteReference w:id="11"/>
      </w:r>
      <w:r w:rsidRPr="00016F20">
        <w:rPr>
          <w:iCs/>
          <w:vertAlign w:val="superscript"/>
        </w:rPr>
        <w:t xml:space="preserve">  </w:t>
      </w:r>
      <w:r w:rsidRPr="00016F20">
        <w:rPr>
          <w:iCs/>
        </w:rPr>
        <w:t>Thus, in 2022, the cost to deliver 66 percent of these disclosures in print is estimated to be approximately $</w:t>
      </w:r>
      <w:r w:rsidR="008B083F">
        <w:rPr>
          <w:iCs/>
        </w:rPr>
        <w:t>318</w:t>
      </w:r>
      <w:r w:rsidRPr="00016F20">
        <w:rPr>
          <w:iCs/>
        </w:rPr>
        <w:t>.</w:t>
      </w:r>
      <w:r w:rsidRPr="00016F20">
        <w:rPr>
          <w:iCs/>
          <w:vertAlign w:val="superscript"/>
        </w:rPr>
        <w:footnoteReference w:id="12"/>
      </w:r>
      <w:r w:rsidRPr="00016F20">
        <w:rPr>
          <w:iCs/>
          <w:vertAlign w:val="superscript"/>
        </w:rPr>
        <w:t xml:space="preserve"> </w:t>
      </w:r>
      <w:r w:rsidR="004745A7">
        <w:rPr>
          <w:iCs/>
          <w:vertAlign w:val="superscript"/>
        </w:rPr>
        <w:t xml:space="preserve"> </w:t>
      </w:r>
      <w:r w:rsidRPr="00BD31ED" w:rsidR="00BD31ED">
        <w:rPr>
          <w:iCs/>
        </w:rPr>
        <w:t>The three-year average cost burden is $10</w:t>
      </w:r>
      <w:r w:rsidR="008B083F">
        <w:rPr>
          <w:iCs/>
        </w:rPr>
        <w:t>6</w:t>
      </w:r>
      <w:r w:rsidR="00286A07">
        <w:rPr>
          <w:iCs/>
        </w:rPr>
        <w:t>.</w:t>
      </w:r>
      <w:r w:rsidR="009D2B28">
        <w:rPr>
          <w:iCs/>
        </w:rPr>
        <w:t xml:space="preserve"> </w:t>
      </w:r>
    </w:p>
    <w:p w:rsidRPr="009C164D" w:rsidR="00154982" w:rsidP="00711A1A" w:rsidRDefault="00154982" w14:paraId="1B7CAE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Pr="009C164D" w:rsidR="00FC2F3E" w:rsidP="0058584C" w:rsidRDefault="00FC2F3E" w14:paraId="194812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14.</w:t>
      </w:r>
      <w:r w:rsidRPr="009C164D">
        <w:rPr>
          <w:b/>
        </w:rPr>
        <w:tab/>
      </w:r>
      <w:r w:rsidRPr="009C164D">
        <w:rPr>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C2F3E" w:rsidP="00D31765" w:rsidRDefault="00FC2F3E" w14:paraId="7CF11B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Pr="004D64CD" w:rsidR="004D64CD" w:rsidP="004D64CD" w:rsidRDefault="001A4237" w14:paraId="48BFDAC5" w14:textId="76E57A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There is no annualized cost to the Federal government.</w:t>
      </w:r>
    </w:p>
    <w:p w:rsidRPr="009C164D" w:rsidR="00043562" w:rsidP="00D31765" w:rsidRDefault="00043562" w14:paraId="03389B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FC2F3E" w:rsidP="0058584C" w:rsidRDefault="00FC2F3E" w14:paraId="2DB043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lastRenderedPageBreak/>
        <w:t>15.</w:t>
      </w:r>
      <w:r w:rsidRPr="009C164D">
        <w:rPr>
          <w:b/>
        </w:rPr>
        <w:tab/>
      </w:r>
      <w:r w:rsidRPr="009C164D">
        <w:rPr>
          <w:b/>
          <w:iCs/>
        </w:rPr>
        <w:t>Explain the reasons for any program changes or adjustments reporting in Items 13 or 14.</w:t>
      </w:r>
    </w:p>
    <w:p w:rsidRPr="004B1B51" w:rsidR="00AE466A" w:rsidP="0058584C" w:rsidRDefault="00AE466A" w14:paraId="5E0BEC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Pr="00AE466A" w:rsidR="00AE466A" w:rsidP="00AE466A" w:rsidRDefault="004B1B51" w14:paraId="0A8B64CF" w14:textId="28C81F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tab/>
      </w:r>
      <w:r w:rsidR="0078298C">
        <w:t>The</w:t>
      </w:r>
      <w:r w:rsidR="00776475">
        <w:t xml:space="preserve"> estimates reflect the update in </w:t>
      </w:r>
      <w:r w:rsidR="0078298C">
        <w:t xml:space="preserve">number of </w:t>
      </w:r>
      <w:r w:rsidRPr="00CC3B27" w:rsidR="00CC3B27">
        <w:rPr>
          <w:iCs/>
        </w:rPr>
        <w:t>private self-insured plans will opt in Nevada, Virginia, Washington, and New Jersey</w:t>
      </w:r>
      <w:r w:rsidR="00CC3B27">
        <w:rPr>
          <w:iCs/>
        </w:rPr>
        <w:t xml:space="preserve">. </w:t>
      </w:r>
    </w:p>
    <w:p w:rsidRPr="00AE466A" w:rsidR="00FC2F3E" w:rsidP="00AE466A" w:rsidRDefault="00FC2F3E" w14:paraId="20A710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rsidRPr="009C164D" w:rsidR="00FC2F3E" w:rsidP="0058584C" w:rsidRDefault="00FC2F3E" w14:paraId="442AF4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16.</w:t>
      </w:r>
      <w:r w:rsidRPr="009C164D">
        <w:rPr>
          <w:b/>
        </w:rPr>
        <w:tab/>
      </w:r>
      <w:r w:rsidRPr="009C164D">
        <w:rPr>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2F3E" w:rsidP="00D31765" w:rsidRDefault="00FC2F3E" w14:paraId="3EE67E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415635" w:rsidR="00415635" w:rsidP="00415635" w:rsidRDefault="00415635" w14:paraId="2B89FC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415635">
        <w:t>There are no plans to publish the results of this collection of information.</w:t>
      </w:r>
    </w:p>
    <w:p w:rsidR="00FC2F3E" w:rsidP="00D31765" w:rsidRDefault="00FC2F3E" w14:paraId="67B87C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C164D" w:rsidR="00FC2F3E" w:rsidP="00E5296D" w:rsidRDefault="00FC2F3E" w14:paraId="2B7A8B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17.</w:t>
      </w:r>
      <w:r w:rsidRPr="009C164D">
        <w:rPr>
          <w:b/>
        </w:rPr>
        <w:tab/>
      </w:r>
      <w:r w:rsidRPr="009C164D">
        <w:rPr>
          <w:b/>
          <w:iCs/>
        </w:rPr>
        <w:t>If seeking approval to not display the expiration date for OMB approval of the information collection, explain the reasons that display would be inappropriate.</w:t>
      </w:r>
    </w:p>
    <w:p w:rsidR="00FC2F3E" w:rsidP="00D31765" w:rsidRDefault="00FC2F3E" w14:paraId="17499C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86EA8" w:rsidP="00486EA8" w:rsidRDefault="00486EA8" w14:paraId="2CDD6235" w14:textId="77777777">
      <w:pPr>
        <w:ind w:left="720"/>
      </w:pPr>
      <w:r w:rsidRPr="00702043">
        <w:t>Not applicable.</w:t>
      </w:r>
    </w:p>
    <w:p w:rsidR="00FC2F3E" w:rsidP="00D31765" w:rsidRDefault="00FC2F3E" w14:paraId="6EB8B1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C164D" w:rsidR="00FC2F3E" w:rsidP="00E5296D" w:rsidRDefault="00FC2F3E" w14:paraId="3E7760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18.</w:t>
      </w:r>
      <w:r w:rsidRPr="009C164D">
        <w:rPr>
          <w:b/>
        </w:rPr>
        <w:tab/>
      </w:r>
      <w:r w:rsidRPr="009C164D">
        <w:rPr>
          <w:b/>
          <w:iCs/>
        </w:rPr>
        <w:t>Explain each exception to the certification statement identified in Item 19</w:t>
      </w:r>
      <w:r w:rsidRPr="009C164D" w:rsidR="009C164D">
        <w:rPr>
          <w:b/>
          <w:iCs/>
        </w:rPr>
        <w:t xml:space="preserve">. </w:t>
      </w:r>
    </w:p>
    <w:p w:rsidR="00FC2F3E" w:rsidP="00D31765" w:rsidRDefault="00FC2F3E" w14:paraId="04BBBE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C5D60" w:rsidP="00C21EAD" w:rsidRDefault="00C21EAD" w14:paraId="317B5F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There are no exceptions to the certification statement.</w:t>
      </w:r>
    </w:p>
    <w:p w:rsidRPr="002C5A28" w:rsidR="002C5A28" w:rsidP="002C5A28" w:rsidRDefault="002C5A28" w14:paraId="6515F4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C5A28" w:rsidR="002C5A28" w:rsidP="002C5A28" w:rsidRDefault="002C5A28" w14:paraId="165EA1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C5A28">
        <w:rPr>
          <w:b/>
        </w:rPr>
        <w:t xml:space="preserve">B. </w:t>
      </w:r>
      <w:r w:rsidRPr="002C5A28">
        <w:rPr>
          <w:b/>
        </w:rPr>
        <w:tab/>
        <w:t>COLLECTIONS OF INFORMATON EMPLOYING STATISTICAL METHODS.</w:t>
      </w:r>
      <w:r w:rsidRPr="002C5A28">
        <w:rPr>
          <w:b/>
          <w:bCs/>
        </w:rPr>
        <w:t> </w:t>
      </w:r>
    </w:p>
    <w:p w:rsidRPr="002C5A28" w:rsidR="002C5A28" w:rsidP="002C5A28" w:rsidRDefault="002C5A28" w14:paraId="476BD9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2C5A28" w:rsidR="002C5A28" w:rsidP="002C5A28" w:rsidRDefault="002C5A28" w14:paraId="0F88F9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2C5A28">
        <w:t xml:space="preserve">Not applicable. </w:t>
      </w:r>
    </w:p>
    <w:p w:rsidR="002C5A28" w:rsidP="002C5A28" w:rsidRDefault="002C5A28" w14:paraId="14D8F261" w14:textId="6BC601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2C5A28">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521D0" w14:textId="77777777" w:rsidR="009D0DE7" w:rsidRDefault="009D0DE7">
      <w:r>
        <w:separator/>
      </w:r>
    </w:p>
  </w:endnote>
  <w:endnote w:type="continuationSeparator" w:id="0">
    <w:p w14:paraId="6F090AAA" w14:textId="77777777" w:rsidR="009D0DE7" w:rsidRDefault="009D0DE7">
      <w:r>
        <w:continuationSeparator/>
      </w:r>
    </w:p>
  </w:endnote>
  <w:endnote w:type="continuationNotice" w:id="1">
    <w:p w14:paraId="7AD9895C" w14:textId="77777777" w:rsidR="009D0DE7" w:rsidRDefault="009D0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CC6F" w14:textId="77777777" w:rsidR="009064A4" w:rsidRDefault="00906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7B8F" w14:textId="77777777" w:rsidR="0095438A" w:rsidRDefault="0095438A">
    <w:pPr>
      <w:spacing w:line="240" w:lineRule="exact"/>
    </w:pPr>
  </w:p>
  <w:p w14:paraId="41CCD43F" w14:textId="3EA9B2B0" w:rsidR="0095438A" w:rsidRDefault="0095438A">
    <w:pPr>
      <w:framePr w:w="9361" w:wrap="notBeside" w:vAnchor="text" w:hAnchor="text" w:x="1" w:y="1"/>
      <w:jc w:val="center"/>
    </w:pPr>
    <w:r>
      <w:fldChar w:fldCharType="begin"/>
    </w:r>
    <w:r>
      <w:instrText xml:space="preserve">PAGE </w:instrText>
    </w:r>
    <w:r>
      <w:fldChar w:fldCharType="separate"/>
    </w:r>
    <w:r w:rsidR="00667585">
      <w:rPr>
        <w:noProof/>
      </w:rPr>
      <w:t>7</w:t>
    </w:r>
    <w:r>
      <w:fldChar w:fldCharType="end"/>
    </w:r>
  </w:p>
  <w:p w14:paraId="69F750AC" w14:textId="77777777" w:rsidR="0095438A" w:rsidRDefault="0095438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9D6F" w14:textId="77777777" w:rsidR="009064A4" w:rsidRDefault="00906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9466D" w14:textId="77777777" w:rsidR="009D0DE7" w:rsidRDefault="009D0DE7">
      <w:r>
        <w:separator/>
      </w:r>
    </w:p>
  </w:footnote>
  <w:footnote w:type="continuationSeparator" w:id="0">
    <w:p w14:paraId="53F99B06" w14:textId="77777777" w:rsidR="009D0DE7" w:rsidRDefault="009D0DE7">
      <w:r>
        <w:continuationSeparator/>
      </w:r>
    </w:p>
  </w:footnote>
  <w:footnote w:type="continuationNotice" w:id="1">
    <w:p w14:paraId="58AD79AE" w14:textId="77777777" w:rsidR="009D0DE7" w:rsidRDefault="009D0DE7"/>
  </w:footnote>
  <w:footnote w:id="2">
    <w:p w14:paraId="0E913A82" w14:textId="77777777" w:rsidR="00340298" w:rsidRDefault="00340298">
      <w:pPr>
        <w:pStyle w:val="FootnoteText"/>
      </w:pPr>
      <w:r>
        <w:rPr>
          <w:rStyle w:val="FootnoteReference"/>
        </w:rPr>
        <w:footnoteRef/>
      </w:r>
      <w:r>
        <w:t xml:space="preserve"> </w:t>
      </w:r>
      <w:r w:rsidRPr="00340298">
        <w:t>Virginia State Corporation Commission.  https://scc.virginia.gov/balancebilling#</w:t>
      </w:r>
    </w:p>
  </w:footnote>
  <w:footnote w:id="3">
    <w:p w14:paraId="747E4A24" w14:textId="77777777" w:rsidR="00364669" w:rsidRDefault="00364669" w:rsidP="00364669">
      <w:pPr>
        <w:pStyle w:val="FootnoteText"/>
      </w:pPr>
      <w:r>
        <w:rPr>
          <w:rStyle w:val="FootnoteReference"/>
        </w:rPr>
        <w:footnoteRef/>
      </w:r>
      <w:r>
        <w:t xml:space="preserve"> Washington’s Office of Insurance Commissioner.  “</w:t>
      </w:r>
      <w:r w:rsidRPr="00BB42EF">
        <w:t>Self-Funded Gr</w:t>
      </w:r>
      <w:r>
        <w:t>oup Health Plans Participating in t</w:t>
      </w:r>
      <w:r w:rsidRPr="00BB42EF">
        <w:t>he Balance Billing Protection A</w:t>
      </w:r>
      <w:r>
        <w:t>ct.”</w:t>
      </w:r>
      <w:r w:rsidRPr="00BB42EF">
        <w:t xml:space="preserve"> https://www.insurance.wa.gov/self-funded-group-health-plans</w:t>
      </w:r>
    </w:p>
  </w:footnote>
  <w:footnote w:id="4">
    <w:p w14:paraId="7B4EB93D" w14:textId="5DA350DB" w:rsidR="00B830AA" w:rsidRPr="003C12C5" w:rsidRDefault="00B830AA">
      <w:pPr>
        <w:pStyle w:val="FootnoteText"/>
        <w:rPr>
          <w:sz w:val="22"/>
          <w:szCs w:val="22"/>
        </w:rPr>
      </w:pPr>
      <w:r w:rsidRPr="009F2A9F">
        <w:rPr>
          <w:rStyle w:val="FootnoteReference"/>
        </w:rPr>
        <w:footnoteRef/>
      </w:r>
      <w:r w:rsidRPr="009F2A9F">
        <w:t xml:space="preserve"> </w:t>
      </w:r>
      <w:r w:rsidR="00A422C9" w:rsidRPr="00A422C9">
        <w:t>Employee Benefits Security Administration.  “Health Insurance Coverage Bulletin: Abstract of Auxiliary Data for the March 2020 Annual Social and Economic Supplement to the Current Population Survey.”  (2019). https://www.dol.gov/sites/dolgov/files/EBSA/researchers/data/health-and-welfare/health-insurance-coverage-bulletin-2020.pdf</w:t>
      </w:r>
      <w:r w:rsidR="009F2A9F" w:rsidRPr="003C12C5">
        <w:t>https://www.dol.gov/sites/dolgov/files/EBSA/researchers/data/health-and-welfare/health-insurance-coverage-bulletin-2020.pdf.</w:t>
      </w:r>
    </w:p>
  </w:footnote>
  <w:footnote w:id="5">
    <w:p w14:paraId="13AE5C6E" w14:textId="77777777" w:rsidR="00364669" w:rsidRDefault="00364669" w:rsidP="00364669">
      <w:pPr>
        <w:pStyle w:val="FootnoteText"/>
      </w:pPr>
      <w:r>
        <w:rPr>
          <w:rStyle w:val="FootnoteReference"/>
        </w:rPr>
        <w:footnoteRef/>
      </w:r>
      <w:r>
        <w:t xml:space="preserve"> </w:t>
      </w:r>
      <w:r w:rsidRPr="001A7966">
        <w:t>Washington’s Office of Insurance Commissioner.  “Self-Funded Group Health Plans Participating in the Balance Billing Protection Act.” https://www.insurance.wa.gov/self-funded-group-health-plans</w:t>
      </w:r>
    </w:p>
  </w:footnote>
  <w:footnote w:id="6">
    <w:p w14:paraId="231C98AB" w14:textId="5F311916" w:rsidR="00364669" w:rsidRDefault="00364669" w:rsidP="00364669">
      <w:pPr>
        <w:pStyle w:val="FootnoteText"/>
      </w:pPr>
      <w:r>
        <w:rPr>
          <w:rStyle w:val="FootnoteReference"/>
        </w:rPr>
        <w:footnoteRef/>
      </w:r>
      <w:r>
        <w:t xml:space="preserve"> </w:t>
      </w:r>
      <w:r w:rsidRPr="00385CE4">
        <w:t xml:space="preserve">Employee Benefits Security Administration.  “Health Insurance Coverage Bulletin: Abstract of Auxiliary Data for the March </w:t>
      </w:r>
      <w:r w:rsidR="00A422C9">
        <w:t xml:space="preserve">2020 </w:t>
      </w:r>
      <w:r w:rsidRPr="00385CE4">
        <w:t>Annual Social and Economic Supplement to the Current Population Survey.”  (</w:t>
      </w:r>
      <w:r w:rsidR="000F0691" w:rsidRPr="00385CE4">
        <w:t>20</w:t>
      </w:r>
      <w:r w:rsidR="000F0691">
        <w:t>20</w:t>
      </w:r>
      <w:r w:rsidRPr="00385CE4">
        <w:t>).</w:t>
      </w:r>
      <w:r w:rsidRPr="00D16962">
        <w:t xml:space="preserve"> https://www.dol.gov/sites/dolgov/files/EBSA/researchers/data/health-and-welfare/health-insurance-coverage-bulletin-20</w:t>
      </w:r>
      <w:r w:rsidR="00A422C9">
        <w:t>20</w:t>
      </w:r>
      <w:r w:rsidRPr="00D16962">
        <w:t>.pdf</w:t>
      </w:r>
    </w:p>
  </w:footnote>
  <w:footnote w:id="7">
    <w:p w14:paraId="1B198E26" w14:textId="78801572" w:rsidR="00364669" w:rsidRDefault="00364669" w:rsidP="00364669">
      <w:pPr>
        <w:pStyle w:val="FootnoteText"/>
      </w:pPr>
      <w:r>
        <w:rPr>
          <w:rStyle w:val="FootnoteReference"/>
        </w:rPr>
        <w:footnoteRef/>
      </w:r>
      <w:r>
        <w:t xml:space="preserve"> New Jersey: 335 x (0.5/2.</w:t>
      </w:r>
      <w:r w:rsidR="00866D17">
        <w:t>5</w:t>
      </w:r>
      <w:r>
        <w:t xml:space="preserve">) = </w:t>
      </w:r>
      <w:r w:rsidR="00A422C9">
        <w:t xml:space="preserve">67 </w:t>
      </w:r>
      <w:r>
        <w:t xml:space="preserve">self-insured plans; </w:t>
      </w:r>
      <w:r w:rsidR="00A422C9">
        <w:t xml:space="preserve">67 </w:t>
      </w:r>
      <w:r>
        <w:t xml:space="preserve">self-insured plans – 5 non-federal self-insured plans = </w:t>
      </w:r>
      <w:r w:rsidR="00A422C9">
        <w:t xml:space="preserve">62 </w:t>
      </w:r>
      <w:r>
        <w:t>private self-insured plans</w:t>
      </w:r>
    </w:p>
  </w:footnote>
  <w:footnote w:id="8">
    <w:p w14:paraId="55462F7A" w14:textId="5B13A8B2" w:rsidR="00CE3936" w:rsidRDefault="00CE3936">
      <w:pPr>
        <w:pStyle w:val="FootnoteText"/>
      </w:pPr>
      <w:r>
        <w:rPr>
          <w:rStyle w:val="FootnoteReference"/>
        </w:rPr>
        <w:footnoteRef/>
      </w:r>
      <w:r>
        <w:t xml:space="preserve"> </w:t>
      </w:r>
      <w:r w:rsidRPr="00CE3936">
        <w:rPr>
          <w:bCs/>
        </w:rPr>
        <w:t xml:space="preserve">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  </w:t>
      </w:r>
    </w:p>
  </w:footnote>
  <w:footnote w:id="9">
    <w:p w14:paraId="23C76BFE" w14:textId="0DA7407D" w:rsidR="00CE3936" w:rsidRDefault="00CE3936">
      <w:pPr>
        <w:pStyle w:val="FootnoteText"/>
      </w:pPr>
      <w:r>
        <w:rPr>
          <w:rStyle w:val="FootnoteReference"/>
        </w:rPr>
        <w:footnoteRef/>
      </w:r>
      <w:r>
        <w:t xml:space="preserve"> </w:t>
      </w:r>
      <w:r w:rsidRPr="003C12C5">
        <w:rPr>
          <w:i/>
          <w:iCs/>
        </w:rPr>
        <w:t xml:space="preserve">Ibid.   </w:t>
      </w:r>
    </w:p>
  </w:footnote>
  <w:footnote w:id="10">
    <w:p w14:paraId="3E6EF9DB" w14:textId="41281541" w:rsidR="00016F20" w:rsidRDefault="00016F20" w:rsidP="00016F20">
      <w:pPr>
        <w:pStyle w:val="FootnoteText"/>
      </w:pPr>
      <w:r>
        <w:rPr>
          <w:rStyle w:val="FootnoteReference"/>
        </w:rPr>
        <w:footnoteRef/>
      </w:r>
      <w:r>
        <w:t xml:space="preserve"> (6,000,000 participants</w:t>
      </w:r>
      <w:r w:rsidRPr="00492D84">
        <w:rPr>
          <w:rFonts w:eastAsia="Calibri"/>
          <w:iCs/>
          <w:sz w:val="24"/>
          <w:szCs w:val="24"/>
        </w:rPr>
        <w:t xml:space="preserve"> </w:t>
      </w:r>
      <w:r w:rsidRPr="00492D84">
        <w:rPr>
          <w:iCs/>
        </w:rPr>
        <w:t>with self-insured ERISA-covered plans</w:t>
      </w:r>
      <w:r>
        <w:t xml:space="preserve">)/ </w:t>
      </w:r>
      <w:r w:rsidR="008A07EE">
        <w:t xml:space="preserve">622 </w:t>
      </w:r>
      <w:r>
        <w:t>self-insured ERISA-covered plans</w:t>
      </w:r>
      <w:r w:rsidR="00EB047E">
        <w:t xml:space="preserve"> </w:t>
      </w:r>
      <w:r>
        <w:t xml:space="preserve">= </w:t>
      </w:r>
      <w:r w:rsidR="008A07EE" w:rsidRPr="008A07EE">
        <w:t>9,646</w:t>
      </w:r>
      <w:r w:rsidR="008A07EE">
        <w:t xml:space="preserve"> </w:t>
      </w:r>
      <w:r>
        <w:t>participants per self-insured ERISA-covered plan</w:t>
      </w:r>
    </w:p>
  </w:footnote>
  <w:footnote w:id="11">
    <w:p w14:paraId="42742D49" w14:textId="77777777" w:rsidR="00016F20" w:rsidRDefault="00016F20" w:rsidP="00016F20">
      <w:pPr>
        <w:pStyle w:val="FootnoteText"/>
      </w:pPr>
      <w:r>
        <w:rPr>
          <w:rStyle w:val="FootnoteReference"/>
        </w:rPr>
        <w:footnoteRef/>
      </w:r>
      <w:r>
        <w:t xml:space="preserve"> </w:t>
      </w:r>
      <w:r w:rsidRPr="00161B49">
        <w:t>According to data from the National Telecommunications and Information Agency, 34 percent of households in the United States accessed health records or health insurance online. https://www.ntia.doc.gov/blog/2020/more-half-american-households-used-internet-health-related-activities-2019-ntia-data-show.</w:t>
      </w:r>
    </w:p>
  </w:footnote>
  <w:footnote w:id="12">
    <w:p w14:paraId="7DFA247B" w14:textId="42481199" w:rsidR="00016F20" w:rsidRDefault="00016F20" w:rsidP="00016F20">
      <w:pPr>
        <w:pStyle w:val="FootnoteText"/>
      </w:pPr>
      <w:r>
        <w:rPr>
          <w:rStyle w:val="FootnoteReference"/>
        </w:rPr>
        <w:footnoteRef/>
      </w:r>
      <w:r>
        <w:t xml:space="preserve"> </w:t>
      </w:r>
      <w:bookmarkStart w:id="1" w:name="OLE_LINK5"/>
      <w:bookmarkStart w:id="2" w:name="OLE_LINK6"/>
      <w:r w:rsidR="0038790C">
        <w:t>9,646</w:t>
      </w:r>
      <w:r w:rsidRPr="009D0F7C" w:rsidDel="009D0F7C">
        <w:t xml:space="preserve"> </w:t>
      </w:r>
      <w:r>
        <w:t xml:space="preserve">participants x 0.66 x $0.05 </w:t>
      </w:r>
      <w:bookmarkEnd w:id="1"/>
      <w:bookmarkEnd w:id="2"/>
      <w:r>
        <w:t xml:space="preserve">= </w:t>
      </w:r>
      <w:r w:rsidRPr="009D0F7C">
        <w:t>$</w:t>
      </w:r>
      <w:r w:rsidR="008B083F">
        <w:t>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760A" w14:textId="77777777" w:rsidR="009064A4" w:rsidRDefault="00906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E2692" w14:textId="5C876A22" w:rsidR="0095438A" w:rsidRDefault="00BD72D2" w:rsidP="00232503">
    <w:pPr>
      <w:rPr>
        <w:b/>
        <w:bCs/>
        <w:sz w:val="20"/>
        <w:szCs w:val="20"/>
      </w:rPr>
    </w:pPr>
    <w:r w:rsidRPr="00BD72D2">
      <w:rPr>
        <w:b/>
        <w:bCs/>
        <w:sz w:val="20"/>
        <w:szCs w:val="20"/>
      </w:rPr>
      <w:t>Opt-In State Balance Bill Process</w:t>
    </w:r>
  </w:p>
  <w:p w14:paraId="641A9ED5" w14:textId="207EBFFD" w:rsidR="0095438A" w:rsidRDefault="0095438A" w:rsidP="00232503">
    <w:pPr>
      <w:rPr>
        <w:b/>
        <w:bCs/>
        <w:sz w:val="20"/>
        <w:szCs w:val="20"/>
      </w:rPr>
    </w:pPr>
    <w:r>
      <w:rPr>
        <w:b/>
        <w:bCs/>
        <w:sz w:val="20"/>
        <w:szCs w:val="20"/>
      </w:rPr>
      <w:t>OMB Control No. 1210-</w:t>
    </w:r>
    <w:r w:rsidR="00FA3519">
      <w:rPr>
        <w:b/>
        <w:bCs/>
        <w:sz w:val="20"/>
        <w:szCs w:val="20"/>
      </w:rPr>
      <w:t>0168</w:t>
    </w:r>
  </w:p>
  <w:p w14:paraId="7FC44F92" w14:textId="3EC8CB66" w:rsidR="009064A4" w:rsidRDefault="009064A4" w:rsidP="00232503">
    <w:pPr>
      <w:rPr>
        <w:sz w:val="20"/>
        <w:szCs w:val="20"/>
      </w:rPr>
    </w:pPr>
    <w:r>
      <w:rPr>
        <w:b/>
        <w:bCs/>
        <w:sz w:val="20"/>
        <w:szCs w:val="20"/>
      </w:rPr>
      <w:t xml:space="preserve">Expiration Date: </w:t>
    </w:r>
    <w:r w:rsidR="00DA4C45">
      <w:rPr>
        <w:b/>
        <w:bCs/>
        <w:sz w:val="20"/>
        <w:szCs w:val="20"/>
      </w:rPr>
      <w:t>0</w:t>
    </w:r>
    <w:r w:rsidR="003E2433">
      <w:rPr>
        <w:b/>
        <w:bCs/>
        <w:sz w:val="20"/>
        <w:szCs w:val="20"/>
      </w:rPr>
      <w:t>3/31/2022</w:t>
    </w:r>
  </w:p>
  <w:p w14:paraId="6C4C2B84" w14:textId="77777777" w:rsidR="0095438A" w:rsidRPr="00304EF3" w:rsidRDefault="0095438A" w:rsidP="00304E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2C6A" w14:textId="77777777" w:rsidR="009064A4" w:rsidRDefault="00906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EC10D0"/>
    <w:multiLevelType w:val="hybridMultilevel"/>
    <w:tmpl w:val="69344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A019A8"/>
    <w:multiLevelType w:val="hybridMultilevel"/>
    <w:tmpl w:val="21147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50FF7"/>
    <w:multiLevelType w:val="hybridMultilevel"/>
    <w:tmpl w:val="F9B4297C"/>
    <w:lvl w:ilvl="0" w:tplc="FE8E3EE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7A2FFB"/>
    <w:multiLevelType w:val="hybridMultilevel"/>
    <w:tmpl w:val="C6CE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A47A97"/>
    <w:multiLevelType w:val="hybridMultilevel"/>
    <w:tmpl w:val="6B96BD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2CB4652"/>
    <w:multiLevelType w:val="multilevel"/>
    <w:tmpl w:val="1B7A8AF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4"/>
  </w:num>
  <w:num w:numId="4">
    <w:abstractNumId w:val="6"/>
  </w:num>
  <w:num w:numId="5">
    <w:abstractNumId w:val="1"/>
  </w:num>
  <w:num w:numId="6">
    <w:abstractNumId w:val="0"/>
    <w:lvlOverride w:ilvl="0">
      <w:startOverride w:val="3"/>
      <w:lvl w:ilvl="0">
        <w:start w:val="3"/>
        <w:numFmt w:val="decimal"/>
        <w:pStyle w:val="Quick1"/>
        <w:lvlText w:val="%1."/>
        <w:lvlJc w:val="left"/>
      </w:lvl>
    </w:lvlOverride>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71"/>
    <w:rsid w:val="0000157E"/>
    <w:rsid w:val="000018A2"/>
    <w:rsid w:val="00002344"/>
    <w:rsid w:val="00002677"/>
    <w:rsid w:val="00002C62"/>
    <w:rsid w:val="00006A50"/>
    <w:rsid w:val="00007146"/>
    <w:rsid w:val="00016F20"/>
    <w:rsid w:val="00017583"/>
    <w:rsid w:val="000212B4"/>
    <w:rsid w:val="0002297E"/>
    <w:rsid w:val="00026131"/>
    <w:rsid w:val="00027D87"/>
    <w:rsid w:val="000350FE"/>
    <w:rsid w:val="00037371"/>
    <w:rsid w:val="00043562"/>
    <w:rsid w:val="0004506A"/>
    <w:rsid w:val="00047136"/>
    <w:rsid w:val="00051918"/>
    <w:rsid w:val="00055095"/>
    <w:rsid w:val="000556E3"/>
    <w:rsid w:val="00056124"/>
    <w:rsid w:val="000702BB"/>
    <w:rsid w:val="00073549"/>
    <w:rsid w:val="000739FD"/>
    <w:rsid w:val="00073ABD"/>
    <w:rsid w:val="00074743"/>
    <w:rsid w:val="00082663"/>
    <w:rsid w:val="00084F34"/>
    <w:rsid w:val="0009069B"/>
    <w:rsid w:val="000950E5"/>
    <w:rsid w:val="000957A8"/>
    <w:rsid w:val="000A1A90"/>
    <w:rsid w:val="000B069B"/>
    <w:rsid w:val="000B56FD"/>
    <w:rsid w:val="000B7A90"/>
    <w:rsid w:val="000C11F2"/>
    <w:rsid w:val="000C5505"/>
    <w:rsid w:val="000C640F"/>
    <w:rsid w:val="000C6F39"/>
    <w:rsid w:val="000D1A59"/>
    <w:rsid w:val="000D39BB"/>
    <w:rsid w:val="000D556C"/>
    <w:rsid w:val="000D65CA"/>
    <w:rsid w:val="000E2175"/>
    <w:rsid w:val="000E2A28"/>
    <w:rsid w:val="000E31EC"/>
    <w:rsid w:val="000E3847"/>
    <w:rsid w:val="000E59A8"/>
    <w:rsid w:val="000F0691"/>
    <w:rsid w:val="000F20D7"/>
    <w:rsid w:val="000F58CC"/>
    <w:rsid w:val="000F6ADB"/>
    <w:rsid w:val="00100C3B"/>
    <w:rsid w:val="00100CD9"/>
    <w:rsid w:val="00106BA5"/>
    <w:rsid w:val="0010741F"/>
    <w:rsid w:val="0010753D"/>
    <w:rsid w:val="0010777A"/>
    <w:rsid w:val="00110E8C"/>
    <w:rsid w:val="00112209"/>
    <w:rsid w:val="001122F7"/>
    <w:rsid w:val="00115745"/>
    <w:rsid w:val="00115831"/>
    <w:rsid w:val="001212BB"/>
    <w:rsid w:val="001233FA"/>
    <w:rsid w:val="00123851"/>
    <w:rsid w:val="00123F0C"/>
    <w:rsid w:val="001279DF"/>
    <w:rsid w:val="00136A56"/>
    <w:rsid w:val="001401E6"/>
    <w:rsid w:val="0014358E"/>
    <w:rsid w:val="001519D6"/>
    <w:rsid w:val="00154277"/>
    <w:rsid w:val="00154982"/>
    <w:rsid w:val="00160376"/>
    <w:rsid w:val="00160847"/>
    <w:rsid w:val="00161C6C"/>
    <w:rsid w:val="00162FE3"/>
    <w:rsid w:val="00163A2E"/>
    <w:rsid w:val="00165366"/>
    <w:rsid w:val="0016652D"/>
    <w:rsid w:val="00170F1E"/>
    <w:rsid w:val="001730B7"/>
    <w:rsid w:val="00173B4A"/>
    <w:rsid w:val="00176580"/>
    <w:rsid w:val="00181A8C"/>
    <w:rsid w:val="00184856"/>
    <w:rsid w:val="001853E0"/>
    <w:rsid w:val="00186218"/>
    <w:rsid w:val="001875C8"/>
    <w:rsid w:val="00187E8D"/>
    <w:rsid w:val="00191405"/>
    <w:rsid w:val="001A226D"/>
    <w:rsid w:val="001A35BC"/>
    <w:rsid w:val="001A4237"/>
    <w:rsid w:val="001B132A"/>
    <w:rsid w:val="001B2B8E"/>
    <w:rsid w:val="001B7E47"/>
    <w:rsid w:val="001C116D"/>
    <w:rsid w:val="001C39DE"/>
    <w:rsid w:val="001C5AD5"/>
    <w:rsid w:val="001C61B3"/>
    <w:rsid w:val="001D0590"/>
    <w:rsid w:val="001D15FB"/>
    <w:rsid w:val="001D705C"/>
    <w:rsid w:val="001E0DBA"/>
    <w:rsid w:val="001E0E41"/>
    <w:rsid w:val="001E12BC"/>
    <w:rsid w:val="001E1793"/>
    <w:rsid w:val="001E1BDB"/>
    <w:rsid w:val="001E65AA"/>
    <w:rsid w:val="001F0B0D"/>
    <w:rsid w:val="001F32BE"/>
    <w:rsid w:val="001F3811"/>
    <w:rsid w:val="002003A4"/>
    <w:rsid w:val="00206A1D"/>
    <w:rsid w:val="00206F71"/>
    <w:rsid w:val="00210D62"/>
    <w:rsid w:val="00214A3F"/>
    <w:rsid w:val="00216ADB"/>
    <w:rsid w:val="00217104"/>
    <w:rsid w:val="002214AD"/>
    <w:rsid w:val="00222CAC"/>
    <w:rsid w:val="00225E84"/>
    <w:rsid w:val="00225EB5"/>
    <w:rsid w:val="00227C5C"/>
    <w:rsid w:val="00230CFC"/>
    <w:rsid w:val="00230D5A"/>
    <w:rsid w:val="002310E5"/>
    <w:rsid w:val="0023117E"/>
    <w:rsid w:val="00232503"/>
    <w:rsid w:val="00233473"/>
    <w:rsid w:val="0023492D"/>
    <w:rsid w:val="002360AB"/>
    <w:rsid w:val="00237DB0"/>
    <w:rsid w:val="00240E6B"/>
    <w:rsid w:val="00241E19"/>
    <w:rsid w:val="00243BAD"/>
    <w:rsid w:val="00244EE2"/>
    <w:rsid w:val="00245A7A"/>
    <w:rsid w:val="00245B36"/>
    <w:rsid w:val="00245D89"/>
    <w:rsid w:val="00250F7E"/>
    <w:rsid w:val="00251208"/>
    <w:rsid w:val="002512A8"/>
    <w:rsid w:val="00254DD7"/>
    <w:rsid w:val="00255F97"/>
    <w:rsid w:val="002576E1"/>
    <w:rsid w:val="00262B3A"/>
    <w:rsid w:val="00262C6D"/>
    <w:rsid w:val="00263306"/>
    <w:rsid w:val="0026560D"/>
    <w:rsid w:val="00266B45"/>
    <w:rsid w:val="0027064F"/>
    <w:rsid w:val="002723FD"/>
    <w:rsid w:val="0027267A"/>
    <w:rsid w:val="00274D48"/>
    <w:rsid w:val="00275139"/>
    <w:rsid w:val="00275B02"/>
    <w:rsid w:val="002808E1"/>
    <w:rsid w:val="002809DF"/>
    <w:rsid w:val="0028109D"/>
    <w:rsid w:val="00284228"/>
    <w:rsid w:val="002862AB"/>
    <w:rsid w:val="00286A07"/>
    <w:rsid w:val="002933C9"/>
    <w:rsid w:val="002934E6"/>
    <w:rsid w:val="0029352B"/>
    <w:rsid w:val="00294A73"/>
    <w:rsid w:val="002952E2"/>
    <w:rsid w:val="00295D3F"/>
    <w:rsid w:val="0029675C"/>
    <w:rsid w:val="002968B5"/>
    <w:rsid w:val="00296AD0"/>
    <w:rsid w:val="002A1C3A"/>
    <w:rsid w:val="002A5DA6"/>
    <w:rsid w:val="002B1784"/>
    <w:rsid w:val="002B2065"/>
    <w:rsid w:val="002B31E9"/>
    <w:rsid w:val="002B3441"/>
    <w:rsid w:val="002B3ED7"/>
    <w:rsid w:val="002B4B94"/>
    <w:rsid w:val="002B706B"/>
    <w:rsid w:val="002C2035"/>
    <w:rsid w:val="002C3AFD"/>
    <w:rsid w:val="002C5016"/>
    <w:rsid w:val="002C55C8"/>
    <w:rsid w:val="002C5A28"/>
    <w:rsid w:val="002C622A"/>
    <w:rsid w:val="002D37AB"/>
    <w:rsid w:val="002D65A0"/>
    <w:rsid w:val="002D7458"/>
    <w:rsid w:val="002E0B7A"/>
    <w:rsid w:val="002E6454"/>
    <w:rsid w:val="002E6BDE"/>
    <w:rsid w:val="002F00FB"/>
    <w:rsid w:val="002F013B"/>
    <w:rsid w:val="002F26ED"/>
    <w:rsid w:val="002F2928"/>
    <w:rsid w:val="002F4CD3"/>
    <w:rsid w:val="002F5D9E"/>
    <w:rsid w:val="002F69AA"/>
    <w:rsid w:val="002F6FDA"/>
    <w:rsid w:val="002F78F2"/>
    <w:rsid w:val="003033AB"/>
    <w:rsid w:val="003035BA"/>
    <w:rsid w:val="0030388B"/>
    <w:rsid w:val="003048AF"/>
    <w:rsid w:val="00304EF3"/>
    <w:rsid w:val="003074F5"/>
    <w:rsid w:val="00311E88"/>
    <w:rsid w:val="0031296B"/>
    <w:rsid w:val="00312D32"/>
    <w:rsid w:val="00313E54"/>
    <w:rsid w:val="0031755D"/>
    <w:rsid w:val="0031792C"/>
    <w:rsid w:val="00317D3B"/>
    <w:rsid w:val="00321171"/>
    <w:rsid w:val="00325064"/>
    <w:rsid w:val="003332BA"/>
    <w:rsid w:val="003341E0"/>
    <w:rsid w:val="00335A70"/>
    <w:rsid w:val="0033751D"/>
    <w:rsid w:val="00340298"/>
    <w:rsid w:val="00340A49"/>
    <w:rsid w:val="00343035"/>
    <w:rsid w:val="00350409"/>
    <w:rsid w:val="0035278F"/>
    <w:rsid w:val="00356525"/>
    <w:rsid w:val="00356B5E"/>
    <w:rsid w:val="00356FC1"/>
    <w:rsid w:val="00361A2E"/>
    <w:rsid w:val="00362620"/>
    <w:rsid w:val="00362CA1"/>
    <w:rsid w:val="00364669"/>
    <w:rsid w:val="00365ED6"/>
    <w:rsid w:val="00367D63"/>
    <w:rsid w:val="0037051E"/>
    <w:rsid w:val="00372006"/>
    <w:rsid w:val="003765C6"/>
    <w:rsid w:val="00382728"/>
    <w:rsid w:val="00382B4D"/>
    <w:rsid w:val="003837EB"/>
    <w:rsid w:val="00383AF6"/>
    <w:rsid w:val="00385452"/>
    <w:rsid w:val="00386F15"/>
    <w:rsid w:val="00386F30"/>
    <w:rsid w:val="0038790C"/>
    <w:rsid w:val="003927A0"/>
    <w:rsid w:val="00393BEC"/>
    <w:rsid w:val="003940EF"/>
    <w:rsid w:val="00397D95"/>
    <w:rsid w:val="003A1047"/>
    <w:rsid w:val="003A4BF0"/>
    <w:rsid w:val="003B4333"/>
    <w:rsid w:val="003B7B66"/>
    <w:rsid w:val="003C12C5"/>
    <w:rsid w:val="003C158B"/>
    <w:rsid w:val="003C282E"/>
    <w:rsid w:val="003C6078"/>
    <w:rsid w:val="003C7188"/>
    <w:rsid w:val="003D1901"/>
    <w:rsid w:val="003D3C23"/>
    <w:rsid w:val="003D402C"/>
    <w:rsid w:val="003D41A9"/>
    <w:rsid w:val="003D4EEA"/>
    <w:rsid w:val="003D7893"/>
    <w:rsid w:val="003E1F9D"/>
    <w:rsid w:val="003E2433"/>
    <w:rsid w:val="003E3664"/>
    <w:rsid w:val="003E5A89"/>
    <w:rsid w:val="003F22CD"/>
    <w:rsid w:val="003F2A13"/>
    <w:rsid w:val="003F6144"/>
    <w:rsid w:val="0040244D"/>
    <w:rsid w:val="0040408E"/>
    <w:rsid w:val="00406663"/>
    <w:rsid w:val="00407BF5"/>
    <w:rsid w:val="00415635"/>
    <w:rsid w:val="00415C86"/>
    <w:rsid w:val="0041779B"/>
    <w:rsid w:val="00420DA3"/>
    <w:rsid w:val="00423455"/>
    <w:rsid w:val="0042380A"/>
    <w:rsid w:val="00427BD3"/>
    <w:rsid w:val="00436373"/>
    <w:rsid w:val="00441052"/>
    <w:rsid w:val="0044148A"/>
    <w:rsid w:val="00452069"/>
    <w:rsid w:val="0045338E"/>
    <w:rsid w:val="00454B2F"/>
    <w:rsid w:val="00460AFC"/>
    <w:rsid w:val="0046436A"/>
    <w:rsid w:val="0047166C"/>
    <w:rsid w:val="00472E66"/>
    <w:rsid w:val="004745A7"/>
    <w:rsid w:val="00475ABA"/>
    <w:rsid w:val="00481C9F"/>
    <w:rsid w:val="00484FEC"/>
    <w:rsid w:val="00485C7E"/>
    <w:rsid w:val="00486EA8"/>
    <w:rsid w:val="004907C0"/>
    <w:rsid w:val="0049239C"/>
    <w:rsid w:val="00494FBD"/>
    <w:rsid w:val="004964B7"/>
    <w:rsid w:val="004A016B"/>
    <w:rsid w:val="004A2B20"/>
    <w:rsid w:val="004A41FD"/>
    <w:rsid w:val="004A429E"/>
    <w:rsid w:val="004A50DE"/>
    <w:rsid w:val="004A5B82"/>
    <w:rsid w:val="004A6B2A"/>
    <w:rsid w:val="004A7CA8"/>
    <w:rsid w:val="004B1999"/>
    <w:rsid w:val="004B1B51"/>
    <w:rsid w:val="004B3B02"/>
    <w:rsid w:val="004B48F0"/>
    <w:rsid w:val="004B604C"/>
    <w:rsid w:val="004C3505"/>
    <w:rsid w:val="004C50EA"/>
    <w:rsid w:val="004C5D60"/>
    <w:rsid w:val="004C5FB7"/>
    <w:rsid w:val="004D030C"/>
    <w:rsid w:val="004D64CD"/>
    <w:rsid w:val="004E398E"/>
    <w:rsid w:val="004E3A77"/>
    <w:rsid w:val="004E6AC4"/>
    <w:rsid w:val="004E7250"/>
    <w:rsid w:val="004F3323"/>
    <w:rsid w:val="00502B9D"/>
    <w:rsid w:val="005051E1"/>
    <w:rsid w:val="00506967"/>
    <w:rsid w:val="00511058"/>
    <w:rsid w:val="00511DD4"/>
    <w:rsid w:val="00512F3F"/>
    <w:rsid w:val="00515B40"/>
    <w:rsid w:val="00516D0E"/>
    <w:rsid w:val="00517B5D"/>
    <w:rsid w:val="005266EB"/>
    <w:rsid w:val="005326A6"/>
    <w:rsid w:val="00532AD8"/>
    <w:rsid w:val="005343FC"/>
    <w:rsid w:val="005364E5"/>
    <w:rsid w:val="00540D04"/>
    <w:rsid w:val="005442E5"/>
    <w:rsid w:val="005462F9"/>
    <w:rsid w:val="005506A9"/>
    <w:rsid w:val="00551CBC"/>
    <w:rsid w:val="005520B9"/>
    <w:rsid w:val="00552357"/>
    <w:rsid w:val="005603FC"/>
    <w:rsid w:val="00560BEF"/>
    <w:rsid w:val="00565124"/>
    <w:rsid w:val="00567565"/>
    <w:rsid w:val="00567823"/>
    <w:rsid w:val="00567CF7"/>
    <w:rsid w:val="0057211F"/>
    <w:rsid w:val="005742EC"/>
    <w:rsid w:val="005748CE"/>
    <w:rsid w:val="00575BCF"/>
    <w:rsid w:val="00576BC9"/>
    <w:rsid w:val="00576CCD"/>
    <w:rsid w:val="00577D8E"/>
    <w:rsid w:val="00580B0E"/>
    <w:rsid w:val="005823AA"/>
    <w:rsid w:val="0058584C"/>
    <w:rsid w:val="00590195"/>
    <w:rsid w:val="00595407"/>
    <w:rsid w:val="005A34AC"/>
    <w:rsid w:val="005A3B75"/>
    <w:rsid w:val="005A511F"/>
    <w:rsid w:val="005A70F6"/>
    <w:rsid w:val="005A759E"/>
    <w:rsid w:val="005B02EB"/>
    <w:rsid w:val="005B0D18"/>
    <w:rsid w:val="005B1B43"/>
    <w:rsid w:val="005B2B57"/>
    <w:rsid w:val="005B3547"/>
    <w:rsid w:val="005B3EC1"/>
    <w:rsid w:val="005B6B8D"/>
    <w:rsid w:val="005B7B64"/>
    <w:rsid w:val="005C016E"/>
    <w:rsid w:val="005C0CD9"/>
    <w:rsid w:val="005C3666"/>
    <w:rsid w:val="005C5649"/>
    <w:rsid w:val="005C7066"/>
    <w:rsid w:val="005D1EFB"/>
    <w:rsid w:val="005D3D2F"/>
    <w:rsid w:val="005D4A9F"/>
    <w:rsid w:val="005D5129"/>
    <w:rsid w:val="005D554E"/>
    <w:rsid w:val="005D558C"/>
    <w:rsid w:val="005E208E"/>
    <w:rsid w:val="005E2C70"/>
    <w:rsid w:val="005E64BA"/>
    <w:rsid w:val="005F013C"/>
    <w:rsid w:val="005F5590"/>
    <w:rsid w:val="005F70D2"/>
    <w:rsid w:val="005F7191"/>
    <w:rsid w:val="0060034D"/>
    <w:rsid w:val="00601182"/>
    <w:rsid w:val="00601E07"/>
    <w:rsid w:val="0060678B"/>
    <w:rsid w:val="006134A8"/>
    <w:rsid w:val="006217E6"/>
    <w:rsid w:val="00621CE2"/>
    <w:rsid w:val="00621F7F"/>
    <w:rsid w:val="00622A4E"/>
    <w:rsid w:val="00625962"/>
    <w:rsid w:val="00626A47"/>
    <w:rsid w:val="00631C6A"/>
    <w:rsid w:val="00632CE8"/>
    <w:rsid w:val="006343FD"/>
    <w:rsid w:val="006433EB"/>
    <w:rsid w:val="00644C55"/>
    <w:rsid w:val="00644CB6"/>
    <w:rsid w:val="00645B53"/>
    <w:rsid w:val="006460ED"/>
    <w:rsid w:val="006477D1"/>
    <w:rsid w:val="00654A16"/>
    <w:rsid w:val="00660420"/>
    <w:rsid w:val="00662F75"/>
    <w:rsid w:val="006644B7"/>
    <w:rsid w:val="0066467B"/>
    <w:rsid w:val="00666679"/>
    <w:rsid w:val="00667585"/>
    <w:rsid w:val="00671075"/>
    <w:rsid w:val="00671CE9"/>
    <w:rsid w:val="0067204C"/>
    <w:rsid w:val="0067423D"/>
    <w:rsid w:val="00677600"/>
    <w:rsid w:val="0068193B"/>
    <w:rsid w:val="00683A53"/>
    <w:rsid w:val="006849F0"/>
    <w:rsid w:val="0068736E"/>
    <w:rsid w:val="00694B0A"/>
    <w:rsid w:val="00696114"/>
    <w:rsid w:val="006A2705"/>
    <w:rsid w:val="006A6E7B"/>
    <w:rsid w:val="006B101B"/>
    <w:rsid w:val="006B199C"/>
    <w:rsid w:val="006B61D2"/>
    <w:rsid w:val="006B6E65"/>
    <w:rsid w:val="006C0E72"/>
    <w:rsid w:val="006C20E4"/>
    <w:rsid w:val="006C2A46"/>
    <w:rsid w:val="006D269B"/>
    <w:rsid w:val="006D36D8"/>
    <w:rsid w:val="006D437D"/>
    <w:rsid w:val="006D6500"/>
    <w:rsid w:val="006D6FAC"/>
    <w:rsid w:val="006D7540"/>
    <w:rsid w:val="006E11BC"/>
    <w:rsid w:val="006E35EE"/>
    <w:rsid w:val="006E3A44"/>
    <w:rsid w:val="006E3C96"/>
    <w:rsid w:val="006E782E"/>
    <w:rsid w:val="006F201F"/>
    <w:rsid w:val="006F478A"/>
    <w:rsid w:val="006F6513"/>
    <w:rsid w:val="006F7133"/>
    <w:rsid w:val="00707BE0"/>
    <w:rsid w:val="00711A1A"/>
    <w:rsid w:val="0071771E"/>
    <w:rsid w:val="0072530B"/>
    <w:rsid w:val="007256AE"/>
    <w:rsid w:val="0072657E"/>
    <w:rsid w:val="007273DE"/>
    <w:rsid w:val="0073156C"/>
    <w:rsid w:val="00733A1B"/>
    <w:rsid w:val="00735889"/>
    <w:rsid w:val="00735920"/>
    <w:rsid w:val="00737437"/>
    <w:rsid w:val="007400B9"/>
    <w:rsid w:val="007434D1"/>
    <w:rsid w:val="00743902"/>
    <w:rsid w:val="0074407F"/>
    <w:rsid w:val="0074446A"/>
    <w:rsid w:val="00745C7D"/>
    <w:rsid w:val="00745DE8"/>
    <w:rsid w:val="00750EFB"/>
    <w:rsid w:val="007510BD"/>
    <w:rsid w:val="00752E2D"/>
    <w:rsid w:val="00754601"/>
    <w:rsid w:val="00754FC0"/>
    <w:rsid w:val="00756889"/>
    <w:rsid w:val="007649FE"/>
    <w:rsid w:val="00767D16"/>
    <w:rsid w:val="00770913"/>
    <w:rsid w:val="00771353"/>
    <w:rsid w:val="00776475"/>
    <w:rsid w:val="007774E8"/>
    <w:rsid w:val="0078273C"/>
    <w:rsid w:val="0078298C"/>
    <w:rsid w:val="007845F6"/>
    <w:rsid w:val="00785D68"/>
    <w:rsid w:val="007945AA"/>
    <w:rsid w:val="00794B29"/>
    <w:rsid w:val="007972B5"/>
    <w:rsid w:val="007A1B61"/>
    <w:rsid w:val="007A292F"/>
    <w:rsid w:val="007A63B6"/>
    <w:rsid w:val="007A6F25"/>
    <w:rsid w:val="007B17B6"/>
    <w:rsid w:val="007B6806"/>
    <w:rsid w:val="007C1A81"/>
    <w:rsid w:val="007C286A"/>
    <w:rsid w:val="007C4E2C"/>
    <w:rsid w:val="007C56F8"/>
    <w:rsid w:val="007C7893"/>
    <w:rsid w:val="007C7CEB"/>
    <w:rsid w:val="007D0C15"/>
    <w:rsid w:val="007D11A4"/>
    <w:rsid w:val="007D2968"/>
    <w:rsid w:val="007D46EC"/>
    <w:rsid w:val="007D727F"/>
    <w:rsid w:val="007D7B8F"/>
    <w:rsid w:val="007D7EA2"/>
    <w:rsid w:val="007E031C"/>
    <w:rsid w:val="007E3107"/>
    <w:rsid w:val="007E3629"/>
    <w:rsid w:val="007E72C1"/>
    <w:rsid w:val="007E7C92"/>
    <w:rsid w:val="007F1307"/>
    <w:rsid w:val="007F2B74"/>
    <w:rsid w:val="007F4BAE"/>
    <w:rsid w:val="007F56C8"/>
    <w:rsid w:val="007F5F8C"/>
    <w:rsid w:val="007F7541"/>
    <w:rsid w:val="00801ED7"/>
    <w:rsid w:val="00802238"/>
    <w:rsid w:val="00803D04"/>
    <w:rsid w:val="008045F4"/>
    <w:rsid w:val="00805DED"/>
    <w:rsid w:val="0080620C"/>
    <w:rsid w:val="008065C3"/>
    <w:rsid w:val="00812E0B"/>
    <w:rsid w:val="00814898"/>
    <w:rsid w:val="008211AE"/>
    <w:rsid w:val="00832ED0"/>
    <w:rsid w:val="00837A66"/>
    <w:rsid w:val="008406D6"/>
    <w:rsid w:val="00843805"/>
    <w:rsid w:val="00845519"/>
    <w:rsid w:val="00847C7A"/>
    <w:rsid w:val="0085115B"/>
    <w:rsid w:val="00852DC2"/>
    <w:rsid w:val="00855EBC"/>
    <w:rsid w:val="00856F40"/>
    <w:rsid w:val="00857986"/>
    <w:rsid w:val="00860050"/>
    <w:rsid w:val="008635F4"/>
    <w:rsid w:val="00864BD6"/>
    <w:rsid w:val="008652AA"/>
    <w:rsid w:val="00866D17"/>
    <w:rsid w:val="00867A02"/>
    <w:rsid w:val="00873D8D"/>
    <w:rsid w:val="008744CA"/>
    <w:rsid w:val="00880202"/>
    <w:rsid w:val="00881274"/>
    <w:rsid w:val="008902E2"/>
    <w:rsid w:val="00890E65"/>
    <w:rsid w:val="00893D5F"/>
    <w:rsid w:val="00893E2D"/>
    <w:rsid w:val="00895692"/>
    <w:rsid w:val="008A07EE"/>
    <w:rsid w:val="008A60CA"/>
    <w:rsid w:val="008B083F"/>
    <w:rsid w:val="008B22F6"/>
    <w:rsid w:val="008B353A"/>
    <w:rsid w:val="008B3A2A"/>
    <w:rsid w:val="008B7943"/>
    <w:rsid w:val="008B7988"/>
    <w:rsid w:val="008C1BFE"/>
    <w:rsid w:val="008C3D1D"/>
    <w:rsid w:val="008C5084"/>
    <w:rsid w:val="008C7359"/>
    <w:rsid w:val="008D05BD"/>
    <w:rsid w:val="008D1161"/>
    <w:rsid w:val="008D4E67"/>
    <w:rsid w:val="008D6EFD"/>
    <w:rsid w:val="008D7062"/>
    <w:rsid w:val="008E1E0C"/>
    <w:rsid w:val="008F2864"/>
    <w:rsid w:val="008F3252"/>
    <w:rsid w:val="00901C43"/>
    <w:rsid w:val="009034EB"/>
    <w:rsid w:val="009064A4"/>
    <w:rsid w:val="00912181"/>
    <w:rsid w:val="00915BD6"/>
    <w:rsid w:val="00920279"/>
    <w:rsid w:val="009329FD"/>
    <w:rsid w:val="009362AD"/>
    <w:rsid w:val="009403A9"/>
    <w:rsid w:val="009461C9"/>
    <w:rsid w:val="00951156"/>
    <w:rsid w:val="00953754"/>
    <w:rsid w:val="00953AA5"/>
    <w:rsid w:val="0095438A"/>
    <w:rsid w:val="00957B33"/>
    <w:rsid w:val="00957DB7"/>
    <w:rsid w:val="00960A05"/>
    <w:rsid w:val="00967583"/>
    <w:rsid w:val="009675D7"/>
    <w:rsid w:val="00970370"/>
    <w:rsid w:val="009710AD"/>
    <w:rsid w:val="009710C1"/>
    <w:rsid w:val="00976DF9"/>
    <w:rsid w:val="009827C4"/>
    <w:rsid w:val="00984DEC"/>
    <w:rsid w:val="009855EC"/>
    <w:rsid w:val="009874A9"/>
    <w:rsid w:val="009875D0"/>
    <w:rsid w:val="00991ADE"/>
    <w:rsid w:val="009938EB"/>
    <w:rsid w:val="00994017"/>
    <w:rsid w:val="009978BC"/>
    <w:rsid w:val="009A0073"/>
    <w:rsid w:val="009A0C5F"/>
    <w:rsid w:val="009B37D9"/>
    <w:rsid w:val="009B3CC2"/>
    <w:rsid w:val="009B4CA2"/>
    <w:rsid w:val="009B4F9B"/>
    <w:rsid w:val="009C1039"/>
    <w:rsid w:val="009C164D"/>
    <w:rsid w:val="009C4D9E"/>
    <w:rsid w:val="009C774F"/>
    <w:rsid w:val="009D0921"/>
    <w:rsid w:val="009D0DE7"/>
    <w:rsid w:val="009D2474"/>
    <w:rsid w:val="009D2B28"/>
    <w:rsid w:val="009D3F42"/>
    <w:rsid w:val="009D5428"/>
    <w:rsid w:val="009D590B"/>
    <w:rsid w:val="009D6EDF"/>
    <w:rsid w:val="009D76A2"/>
    <w:rsid w:val="009E1E10"/>
    <w:rsid w:val="009E2A0E"/>
    <w:rsid w:val="009E539D"/>
    <w:rsid w:val="009E7F77"/>
    <w:rsid w:val="009F02E7"/>
    <w:rsid w:val="009F1ECB"/>
    <w:rsid w:val="009F2A9F"/>
    <w:rsid w:val="009F2BCB"/>
    <w:rsid w:val="009F79EB"/>
    <w:rsid w:val="00A01AE1"/>
    <w:rsid w:val="00A0721B"/>
    <w:rsid w:val="00A1001A"/>
    <w:rsid w:val="00A1017A"/>
    <w:rsid w:val="00A10F7C"/>
    <w:rsid w:val="00A1232A"/>
    <w:rsid w:val="00A12E66"/>
    <w:rsid w:val="00A158FF"/>
    <w:rsid w:val="00A16F4C"/>
    <w:rsid w:val="00A21EEA"/>
    <w:rsid w:val="00A317A4"/>
    <w:rsid w:val="00A334A5"/>
    <w:rsid w:val="00A337BF"/>
    <w:rsid w:val="00A347BF"/>
    <w:rsid w:val="00A37802"/>
    <w:rsid w:val="00A422C9"/>
    <w:rsid w:val="00A424A7"/>
    <w:rsid w:val="00A4464B"/>
    <w:rsid w:val="00A508A4"/>
    <w:rsid w:val="00A51A88"/>
    <w:rsid w:val="00A541BC"/>
    <w:rsid w:val="00A547E7"/>
    <w:rsid w:val="00A609EB"/>
    <w:rsid w:val="00A6361C"/>
    <w:rsid w:val="00A6497C"/>
    <w:rsid w:val="00A679FD"/>
    <w:rsid w:val="00A71122"/>
    <w:rsid w:val="00A71686"/>
    <w:rsid w:val="00A72C4C"/>
    <w:rsid w:val="00A7435F"/>
    <w:rsid w:val="00A765D6"/>
    <w:rsid w:val="00A82590"/>
    <w:rsid w:val="00A855A0"/>
    <w:rsid w:val="00A87014"/>
    <w:rsid w:val="00A909EB"/>
    <w:rsid w:val="00A90D52"/>
    <w:rsid w:val="00A91473"/>
    <w:rsid w:val="00A94663"/>
    <w:rsid w:val="00A954A7"/>
    <w:rsid w:val="00AA1566"/>
    <w:rsid w:val="00AA2B7C"/>
    <w:rsid w:val="00AA3518"/>
    <w:rsid w:val="00AB02D0"/>
    <w:rsid w:val="00AB354D"/>
    <w:rsid w:val="00AB5196"/>
    <w:rsid w:val="00AB56BF"/>
    <w:rsid w:val="00AB5D23"/>
    <w:rsid w:val="00AC629B"/>
    <w:rsid w:val="00AC6D3C"/>
    <w:rsid w:val="00AD0E14"/>
    <w:rsid w:val="00AD46F3"/>
    <w:rsid w:val="00AD4AC1"/>
    <w:rsid w:val="00AD77E0"/>
    <w:rsid w:val="00AE05C7"/>
    <w:rsid w:val="00AE22EE"/>
    <w:rsid w:val="00AE32A8"/>
    <w:rsid w:val="00AE45BD"/>
    <w:rsid w:val="00AE466A"/>
    <w:rsid w:val="00AE4D26"/>
    <w:rsid w:val="00AE799F"/>
    <w:rsid w:val="00AF1D43"/>
    <w:rsid w:val="00AF30B5"/>
    <w:rsid w:val="00AF39DD"/>
    <w:rsid w:val="00B0153B"/>
    <w:rsid w:val="00B03EBD"/>
    <w:rsid w:val="00B06308"/>
    <w:rsid w:val="00B06457"/>
    <w:rsid w:val="00B07E11"/>
    <w:rsid w:val="00B10685"/>
    <w:rsid w:val="00B10789"/>
    <w:rsid w:val="00B20E17"/>
    <w:rsid w:val="00B22707"/>
    <w:rsid w:val="00B24EBE"/>
    <w:rsid w:val="00B2672E"/>
    <w:rsid w:val="00B324F7"/>
    <w:rsid w:val="00B339A1"/>
    <w:rsid w:val="00B36DD7"/>
    <w:rsid w:val="00B45D79"/>
    <w:rsid w:val="00B4630A"/>
    <w:rsid w:val="00B46470"/>
    <w:rsid w:val="00B46D68"/>
    <w:rsid w:val="00B47534"/>
    <w:rsid w:val="00B50006"/>
    <w:rsid w:val="00B5002B"/>
    <w:rsid w:val="00B52334"/>
    <w:rsid w:val="00B53269"/>
    <w:rsid w:val="00B541D3"/>
    <w:rsid w:val="00B552B4"/>
    <w:rsid w:val="00B5622B"/>
    <w:rsid w:val="00B56538"/>
    <w:rsid w:val="00B60E1C"/>
    <w:rsid w:val="00B62741"/>
    <w:rsid w:val="00B63794"/>
    <w:rsid w:val="00B65D7E"/>
    <w:rsid w:val="00B67459"/>
    <w:rsid w:val="00B67E43"/>
    <w:rsid w:val="00B82DFC"/>
    <w:rsid w:val="00B830AA"/>
    <w:rsid w:val="00B851C6"/>
    <w:rsid w:val="00B910B3"/>
    <w:rsid w:val="00B919F8"/>
    <w:rsid w:val="00B95CA7"/>
    <w:rsid w:val="00B97085"/>
    <w:rsid w:val="00BA57E9"/>
    <w:rsid w:val="00BA77FA"/>
    <w:rsid w:val="00BB4578"/>
    <w:rsid w:val="00BB7974"/>
    <w:rsid w:val="00BB7D35"/>
    <w:rsid w:val="00BC0C24"/>
    <w:rsid w:val="00BD006F"/>
    <w:rsid w:val="00BD131B"/>
    <w:rsid w:val="00BD31ED"/>
    <w:rsid w:val="00BD3893"/>
    <w:rsid w:val="00BD4B95"/>
    <w:rsid w:val="00BD72D2"/>
    <w:rsid w:val="00BE00F7"/>
    <w:rsid w:val="00BE06F2"/>
    <w:rsid w:val="00BE313E"/>
    <w:rsid w:val="00BE47A7"/>
    <w:rsid w:val="00BF1712"/>
    <w:rsid w:val="00C01D17"/>
    <w:rsid w:val="00C0249D"/>
    <w:rsid w:val="00C0475A"/>
    <w:rsid w:val="00C04F66"/>
    <w:rsid w:val="00C05C33"/>
    <w:rsid w:val="00C1145E"/>
    <w:rsid w:val="00C1231D"/>
    <w:rsid w:val="00C17764"/>
    <w:rsid w:val="00C21EAD"/>
    <w:rsid w:val="00C23071"/>
    <w:rsid w:val="00C3129B"/>
    <w:rsid w:val="00C314FC"/>
    <w:rsid w:val="00C35A93"/>
    <w:rsid w:val="00C41084"/>
    <w:rsid w:val="00C462D4"/>
    <w:rsid w:val="00C46805"/>
    <w:rsid w:val="00C52D22"/>
    <w:rsid w:val="00C56C9B"/>
    <w:rsid w:val="00C613A7"/>
    <w:rsid w:val="00C70894"/>
    <w:rsid w:val="00C77ED2"/>
    <w:rsid w:val="00C809A2"/>
    <w:rsid w:val="00C80D44"/>
    <w:rsid w:val="00C94B9D"/>
    <w:rsid w:val="00C94F71"/>
    <w:rsid w:val="00CA258C"/>
    <w:rsid w:val="00CA3119"/>
    <w:rsid w:val="00CA43D4"/>
    <w:rsid w:val="00CA75FC"/>
    <w:rsid w:val="00CB1B39"/>
    <w:rsid w:val="00CB61D1"/>
    <w:rsid w:val="00CC1411"/>
    <w:rsid w:val="00CC1B10"/>
    <w:rsid w:val="00CC3B27"/>
    <w:rsid w:val="00CC3EFD"/>
    <w:rsid w:val="00CC46B6"/>
    <w:rsid w:val="00CC4C72"/>
    <w:rsid w:val="00CD04C4"/>
    <w:rsid w:val="00CD1F92"/>
    <w:rsid w:val="00CD2B7F"/>
    <w:rsid w:val="00CD337B"/>
    <w:rsid w:val="00CD5994"/>
    <w:rsid w:val="00CD5BB3"/>
    <w:rsid w:val="00CD62A3"/>
    <w:rsid w:val="00CD6D1B"/>
    <w:rsid w:val="00CE04C7"/>
    <w:rsid w:val="00CE2BEF"/>
    <w:rsid w:val="00CE3936"/>
    <w:rsid w:val="00CE6E31"/>
    <w:rsid w:val="00CF06C4"/>
    <w:rsid w:val="00CF5543"/>
    <w:rsid w:val="00CF5997"/>
    <w:rsid w:val="00CF642B"/>
    <w:rsid w:val="00CF694E"/>
    <w:rsid w:val="00D00CD8"/>
    <w:rsid w:val="00D02CBC"/>
    <w:rsid w:val="00D0585D"/>
    <w:rsid w:val="00D05D69"/>
    <w:rsid w:val="00D05F7D"/>
    <w:rsid w:val="00D0720C"/>
    <w:rsid w:val="00D118B7"/>
    <w:rsid w:val="00D247F7"/>
    <w:rsid w:val="00D25159"/>
    <w:rsid w:val="00D25485"/>
    <w:rsid w:val="00D26C00"/>
    <w:rsid w:val="00D3022A"/>
    <w:rsid w:val="00D308DF"/>
    <w:rsid w:val="00D31549"/>
    <w:rsid w:val="00D31765"/>
    <w:rsid w:val="00D32291"/>
    <w:rsid w:val="00D40FA8"/>
    <w:rsid w:val="00D41C78"/>
    <w:rsid w:val="00D453FA"/>
    <w:rsid w:val="00D46AEC"/>
    <w:rsid w:val="00D514A8"/>
    <w:rsid w:val="00D566DD"/>
    <w:rsid w:val="00D61BCD"/>
    <w:rsid w:val="00D62E47"/>
    <w:rsid w:val="00D63A5C"/>
    <w:rsid w:val="00D65E79"/>
    <w:rsid w:val="00D7082C"/>
    <w:rsid w:val="00D70F73"/>
    <w:rsid w:val="00D714C6"/>
    <w:rsid w:val="00D7208B"/>
    <w:rsid w:val="00D744CA"/>
    <w:rsid w:val="00D7450C"/>
    <w:rsid w:val="00D77325"/>
    <w:rsid w:val="00D82718"/>
    <w:rsid w:val="00D83B51"/>
    <w:rsid w:val="00D853FA"/>
    <w:rsid w:val="00D85474"/>
    <w:rsid w:val="00D85A78"/>
    <w:rsid w:val="00D9039C"/>
    <w:rsid w:val="00D911B8"/>
    <w:rsid w:val="00D91963"/>
    <w:rsid w:val="00D91ED1"/>
    <w:rsid w:val="00D93963"/>
    <w:rsid w:val="00D942DC"/>
    <w:rsid w:val="00D949D6"/>
    <w:rsid w:val="00D95433"/>
    <w:rsid w:val="00DA0C38"/>
    <w:rsid w:val="00DA1C39"/>
    <w:rsid w:val="00DA1C93"/>
    <w:rsid w:val="00DA32A2"/>
    <w:rsid w:val="00DA4C45"/>
    <w:rsid w:val="00DA5154"/>
    <w:rsid w:val="00DA620A"/>
    <w:rsid w:val="00DA747C"/>
    <w:rsid w:val="00DA7831"/>
    <w:rsid w:val="00DB0704"/>
    <w:rsid w:val="00DB0BFB"/>
    <w:rsid w:val="00DB1501"/>
    <w:rsid w:val="00DB27A9"/>
    <w:rsid w:val="00DB6E59"/>
    <w:rsid w:val="00DC2E1C"/>
    <w:rsid w:val="00DC4ECF"/>
    <w:rsid w:val="00DC5C5B"/>
    <w:rsid w:val="00DC6878"/>
    <w:rsid w:val="00DC70F4"/>
    <w:rsid w:val="00DD2150"/>
    <w:rsid w:val="00DD355E"/>
    <w:rsid w:val="00DD546B"/>
    <w:rsid w:val="00DE366B"/>
    <w:rsid w:val="00DE46AF"/>
    <w:rsid w:val="00DE6077"/>
    <w:rsid w:val="00DE682F"/>
    <w:rsid w:val="00DF0D7B"/>
    <w:rsid w:val="00DF46CD"/>
    <w:rsid w:val="00DF6BF8"/>
    <w:rsid w:val="00E00F83"/>
    <w:rsid w:val="00E01263"/>
    <w:rsid w:val="00E028CB"/>
    <w:rsid w:val="00E0646E"/>
    <w:rsid w:val="00E106A1"/>
    <w:rsid w:val="00E16A93"/>
    <w:rsid w:val="00E178FF"/>
    <w:rsid w:val="00E24E5E"/>
    <w:rsid w:val="00E25EAD"/>
    <w:rsid w:val="00E26F5E"/>
    <w:rsid w:val="00E337A0"/>
    <w:rsid w:val="00E35A69"/>
    <w:rsid w:val="00E36355"/>
    <w:rsid w:val="00E36CC0"/>
    <w:rsid w:val="00E413D2"/>
    <w:rsid w:val="00E431D2"/>
    <w:rsid w:val="00E446E6"/>
    <w:rsid w:val="00E45BDB"/>
    <w:rsid w:val="00E46330"/>
    <w:rsid w:val="00E474D7"/>
    <w:rsid w:val="00E5296D"/>
    <w:rsid w:val="00E54B03"/>
    <w:rsid w:val="00E56E42"/>
    <w:rsid w:val="00E5729C"/>
    <w:rsid w:val="00E6203E"/>
    <w:rsid w:val="00E6222E"/>
    <w:rsid w:val="00E63053"/>
    <w:rsid w:val="00E631C7"/>
    <w:rsid w:val="00E70B4E"/>
    <w:rsid w:val="00E72BE6"/>
    <w:rsid w:val="00E72E32"/>
    <w:rsid w:val="00E73376"/>
    <w:rsid w:val="00E73E20"/>
    <w:rsid w:val="00E75B88"/>
    <w:rsid w:val="00E771AB"/>
    <w:rsid w:val="00E801FA"/>
    <w:rsid w:val="00E812F5"/>
    <w:rsid w:val="00E821D0"/>
    <w:rsid w:val="00E840FF"/>
    <w:rsid w:val="00E862DD"/>
    <w:rsid w:val="00E87D4F"/>
    <w:rsid w:val="00E94460"/>
    <w:rsid w:val="00EA0B4C"/>
    <w:rsid w:val="00EA2CAE"/>
    <w:rsid w:val="00EA340A"/>
    <w:rsid w:val="00EA411A"/>
    <w:rsid w:val="00EA5376"/>
    <w:rsid w:val="00EA7948"/>
    <w:rsid w:val="00EB047E"/>
    <w:rsid w:val="00EB2DBE"/>
    <w:rsid w:val="00EB3A69"/>
    <w:rsid w:val="00EB3D17"/>
    <w:rsid w:val="00EB4F7B"/>
    <w:rsid w:val="00EB4FA3"/>
    <w:rsid w:val="00EB6582"/>
    <w:rsid w:val="00EC0D94"/>
    <w:rsid w:val="00EC2C98"/>
    <w:rsid w:val="00EC5E7E"/>
    <w:rsid w:val="00EC6A90"/>
    <w:rsid w:val="00EC7402"/>
    <w:rsid w:val="00ED0A2A"/>
    <w:rsid w:val="00ED1C22"/>
    <w:rsid w:val="00ED37EA"/>
    <w:rsid w:val="00ED6427"/>
    <w:rsid w:val="00EE3846"/>
    <w:rsid w:val="00EF3412"/>
    <w:rsid w:val="00EF40FE"/>
    <w:rsid w:val="00EF56AE"/>
    <w:rsid w:val="00EF6ED7"/>
    <w:rsid w:val="00F03215"/>
    <w:rsid w:val="00F05F2D"/>
    <w:rsid w:val="00F07F07"/>
    <w:rsid w:val="00F1248C"/>
    <w:rsid w:val="00F129F3"/>
    <w:rsid w:val="00F16EF4"/>
    <w:rsid w:val="00F2181D"/>
    <w:rsid w:val="00F21D58"/>
    <w:rsid w:val="00F25017"/>
    <w:rsid w:val="00F267D3"/>
    <w:rsid w:val="00F27DA8"/>
    <w:rsid w:val="00F31B68"/>
    <w:rsid w:val="00F37223"/>
    <w:rsid w:val="00F37C5B"/>
    <w:rsid w:val="00F40099"/>
    <w:rsid w:val="00F40438"/>
    <w:rsid w:val="00F4070E"/>
    <w:rsid w:val="00F40E45"/>
    <w:rsid w:val="00F44F6F"/>
    <w:rsid w:val="00F47455"/>
    <w:rsid w:val="00F4754A"/>
    <w:rsid w:val="00F50844"/>
    <w:rsid w:val="00F54982"/>
    <w:rsid w:val="00F54EAB"/>
    <w:rsid w:val="00F60549"/>
    <w:rsid w:val="00F60C04"/>
    <w:rsid w:val="00F65B38"/>
    <w:rsid w:val="00F65C9A"/>
    <w:rsid w:val="00F6664A"/>
    <w:rsid w:val="00F66D60"/>
    <w:rsid w:val="00F7035C"/>
    <w:rsid w:val="00F716A9"/>
    <w:rsid w:val="00F75442"/>
    <w:rsid w:val="00F76661"/>
    <w:rsid w:val="00F80AF0"/>
    <w:rsid w:val="00F829A8"/>
    <w:rsid w:val="00F84E55"/>
    <w:rsid w:val="00F85A6B"/>
    <w:rsid w:val="00F932A1"/>
    <w:rsid w:val="00F95F34"/>
    <w:rsid w:val="00F97C0C"/>
    <w:rsid w:val="00FA1772"/>
    <w:rsid w:val="00FA3519"/>
    <w:rsid w:val="00FA6DD8"/>
    <w:rsid w:val="00FB28A3"/>
    <w:rsid w:val="00FB4F8F"/>
    <w:rsid w:val="00FB633D"/>
    <w:rsid w:val="00FB69DC"/>
    <w:rsid w:val="00FB79C4"/>
    <w:rsid w:val="00FC05A3"/>
    <w:rsid w:val="00FC1625"/>
    <w:rsid w:val="00FC1B10"/>
    <w:rsid w:val="00FC2F3E"/>
    <w:rsid w:val="00FC641D"/>
    <w:rsid w:val="00FD0342"/>
    <w:rsid w:val="00FD2796"/>
    <w:rsid w:val="00FE0E47"/>
    <w:rsid w:val="00FE108D"/>
    <w:rsid w:val="00FE2127"/>
    <w:rsid w:val="00FE52DE"/>
    <w:rsid w:val="00FF0B29"/>
    <w:rsid w:val="00FF23A8"/>
    <w:rsid w:val="00FF5383"/>
    <w:rsid w:val="00FF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F5F4F"/>
  <w15:chartTrackingRefBased/>
  <w15:docId w15:val="{A688930F-5CAF-4E00-BF24-97BBA975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basedOn w:val="Normal"/>
    <w:link w:val="FootnoteTextChar"/>
    <w:uiPriority w:val="99"/>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style>
  <w:style w:type="character" w:customStyle="1" w:styleId="FootnoteTextChar">
    <w:name w:val="Footnote Text Char"/>
    <w:link w:val="FootnoteText"/>
    <w:uiPriority w:val="99"/>
    <w:locked/>
    <w:rsid w:val="00F40E45"/>
    <w:rPr>
      <w:lang w:val="en-US" w:eastAsia="en-US" w:bidi="ar-SA"/>
    </w:rPr>
  </w:style>
  <w:style w:type="character" w:customStyle="1" w:styleId="CharChar5">
    <w:name w:val="Char Char5"/>
    <w:semiHidden/>
    <w:locked/>
    <w:rsid w:val="000702BB"/>
    <w:rPr>
      <w:rFonts w:cs="Times New Roman"/>
      <w:lang w:val="en-US" w:eastAsia="en-US" w:bidi="ar-SA"/>
    </w:rPr>
  </w:style>
  <w:style w:type="character" w:styleId="CommentReference">
    <w:name w:val="annotation reference"/>
    <w:rsid w:val="00A855A0"/>
    <w:rPr>
      <w:sz w:val="16"/>
      <w:szCs w:val="16"/>
    </w:rPr>
  </w:style>
  <w:style w:type="paragraph" w:styleId="CommentText">
    <w:name w:val="annotation text"/>
    <w:basedOn w:val="Normal"/>
    <w:link w:val="CommentTextChar"/>
    <w:rsid w:val="00A855A0"/>
    <w:rPr>
      <w:sz w:val="20"/>
      <w:szCs w:val="20"/>
    </w:rPr>
  </w:style>
  <w:style w:type="character" w:customStyle="1" w:styleId="CommentTextChar">
    <w:name w:val="Comment Text Char"/>
    <w:basedOn w:val="DefaultParagraphFont"/>
    <w:link w:val="CommentText"/>
    <w:rsid w:val="00A855A0"/>
  </w:style>
  <w:style w:type="paragraph" w:styleId="CommentSubject">
    <w:name w:val="annotation subject"/>
    <w:basedOn w:val="CommentText"/>
    <w:next w:val="CommentText"/>
    <w:link w:val="CommentSubjectChar"/>
    <w:rsid w:val="00A855A0"/>
    <w:rPr>
      <w:b/>
      <w:bCs/>
    </w:rPr>
  </w:style>
  <w:style w:type="character" w:customStyle="1" w:styleId="CommentSubjectChar">
    <w:name w:val="Comment Subject Char"/>
    <w:link w:val="CommentSubject"/>
    <w:rsid w:val="00A855A0"/>
    <w:rPr>
      <w:b/>
      <w:bCs/>
    </w:rPr>
  </w:style>
  <w:style w:type="character" w:styleId="Hyperlink">
    <w:name w:val="Hyperlink"/>
    <w:rsid w:val="007945AA"/>
    <w:rPr>
      <w:rFonts w:cs="Times New Roman"/>
      <w:color w:val="0000FF"/>
      <w:u w:val="single"/>
    </w:rPr>
  </w:style>
  <w:style w:type="character" w:customStyle="1" w:styleId="BodyTextChar">
    <w:name w:val="Body Text Char"/>
    <w:link w:val="BodyText"/>
    <w:rsid w:val="005C7066"/>
    <w:rPr>
      <w:sz w:val="24"/>
      <w:szCs w:val="24"/>
    </w:rPr>
  </w:style>
  <w:style w:type="paragraph" w:styleId="ListParagraph">
    <w:name w:val="List Paragraph"/>
    <w:basedOn w:val="Normal"/>
    <w:uiPriority w:val="34"/>
    <w:qFormat/>
    <w:rsid w:val="00232503"/>
    <w:pPr>
      <w:ind w:left="720"/>
      <w:contextualSpacing/>
    </w:pPr>
  </w:style>
  <w:style w:type="character" w:styleId="FollowedHyperlink">
    <w:name w:val="FollowedHyperlink"/>
    <w:basedOn w:val="DefaultParagraphFont"/>
    <w:rsid w:val="00C23071"/>
    <w:rPr>
      <w:color w:val="954F72" w:themeColor="followedHyperlink"/>
      <w:u w:val="single"/>
    </w:rPr>
  </w:style>
  <w:style w:type="paragraph" w:styleId="Revision">
    <w:name w:val="Revision"/>
    <w:hidden/>
    <w:uiPriority w:val="99"/>
    <w:semiHidden/>
    <w:rsid w:val="00475A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4329">
      <w:bodyDiv w:val="1"/>
      <w:marLeft w:val="0"/>
      <w:marRight w:val="0"/>
      <w:marTop w:val="0"/>
      <w:marBottom w:val="0"/>
      <w:divBdr>
        <w:top w:val="none" w:sz="0" w:space="0" w:color="auto"/>
        <w:left w:val="none" w:sz="0" w:space="0" w:color="auto"/>
        <w:bottom w:val="none" w:sz="0" w:space="0" w:color="auto"/>
        <w:right w:val="none" w:sz="0" w:space="0" w:color="auto"/>
      </w:divBdr>
    </w:div>
    <w:div w:id="522474696">
      <w:bodyDiv w:val="1"/>
      <w:marLeft w:val="0"/>
      <w:marRight w:val="0"/>
      <w:marTop w:val="0"/>
      <w:marBottom w:val="0"/>
      <w:divBdr>
        <w:top w:val="none" w:sz="0" w:space="0" w:color="auto"/>
        <w:left w:val="none" w:sz="0" w:space="0" w:color="auto"/>
        <w:bottom w:val="none" w:sz="0" w:space="0" w:color="auto"/>
        <w:right w:val="none" w:sz="0" w:space="0" w:color="auto"/>
      </w:divBdr>
    </w:div>
    <w:div w:id="524095458">
      <w:bodyDiv w:val="1"/>
      <w:marLeft w:val="0"/>
      <w:marRight w:val="0"/>
      <w:marTop w:val="0"/>
      <w:marBottom w:val="0"/>
      <w:divBdr>
        <w:top w:val="none" w:sz="0" w:space="0" w:color="auto"/>
        <w:left w:val="none" w:sz="0" w:space="0" w:color="auto"/>
        <w:bottom w:val="none" w:sz="0" w:space="0" w:color="auto"/>
        <w:right w:val="none" w:sz="0" w:space="0" w:color="auto"/>
      </w:divBdr>
    </w:div>
    <w:div w:id="593586047">
      <w:bodyDiv w:val="1"/>
      <w:marLeft w:val="0"/>
      <w:marRight w:val="0"/>
      <w:marTop w:val="0"/>
      <w:marBottom w:val="0"/>
      <w:divBdr>
        <w:top w:val="none" w:sz="0" w:space="0" w:color="auto"/>
        <w:left w:val="none" w:sz="0" w:space="0" w:color="auto"/>
        <w:bottom w:val="none" w:sz="0" w:space="0" w:color="auto"/>
        <w:right w:val="none" w:sz="0" w:space="0" w:color="auto"/>
      </w:divBdr>
    </w:div>
    <w:div w:id="600455810">
      <w:bodyDiv w:val="1"/>
      <w:marLeft w:val="0"/>
      <w:marRight w:val="0"/>
      <w:marTop w:val="0"/>
      <w:marBottom w:val="0"/>
      <w:divBdr>
        <w:top w:val="none" w:sz="0" w:space="0" w:color="auto"/>
        <w:left w:val="none" w:sz="0" w:space="0" w:color="auto"/>
        <w:bottom w:val="none" w:sz="0" w:space="0" w:color="auto"/>
        <w:right w:val="none" w:sz="0" w:space="0" w:color="auto"/>
      </w:divBdr>
    </w:div>
    <w:div w:id="798576069">
      <w:bodyDiv w:val="1"/>
      <w:marLeft w:val="0"/>
      <w:marRight w:val="0"/>
      <w:marTop w:val="0"/>
      <w:marBottom w:val="0"/>
      <w:divBdr>
        <w:top w:val="none" w:sz="0" w:space="0" w:color="auto"/>
        <w:left w:val="none" w:sz="0" w:space="0" w:color="auto"/>
        <w:bottom w:val="none" w:sz="0" w:space="0" w:color="auto"/>
        <w:right w:val="none" w:sz="0" w:space="0" w:color="auto"/>
      </w:divBdr>
    </w:div>
    <w:div w:id="1137458634">
      <w:bodyDiv w:val="1"/>
      <w:marLeft w:val="0"/>
      <w:marRight w:val="0"/>
      <w:marTop w:val="0"/>
      <w:marBottom w:val="0"/>
      <w:divBdr>
        <w:top w:val="none" w:sz="0" w:space="0" w:color="auto"/>
        <w:left w:val="none" w:sz="0" w:space="0" w:color="auto"/>
        <w:bottom w:val="none" w:sz="0" w:space="0" w:color="auto"/>
        <w:right w:val="none" w:sz="0" w:space="0" w:color="auto"/>
      </w:divBdr>
    </w:div>
    <w:div w:id="1221937812">
      <w:bodyDiv w:val="1"/>
      <w:marLeft w:val="0"/>
      <w:marRight w:val="0"/>
      <w:marTop w:val="0"/>
      <w:marBottom w:val="0"/>
      <w:divBdr>
        <w:top w:val="none" w:sz="0" w:space="0" w:color="auto"/>
        <w:left w:val="none" w:sz="0" w:space="0" w:color="auto"/>
        <w:bottom w:val="none" w:sz="0" w:space="0" w:color="auto"/>
        <w:right w:val="none" w:sz="0" w:space="0" w:color="auto"/>
      </w:divBdr>
    </w:div>
    <w:div w:id="1287657547">
      <w:bodyDiv w:val="1"/>
      <w:marLeft w:val="0"/>
      <w:marRight w:val="0"/>
      <w:marTop w:val="0"/>
      <w:marBottom w:val="0"/>
      <w:divBdr>
        <w:top w:val="none" w:sz="0" w:space="0" w:color="auto"/>
        <w:left w:val="none" w:sz="0" w:space="0" w:color="auto"/>
        <w:bottom w:val="none" w:sz="0" w:space="0" w:color="auto"/>
        <w:right w:val="none" w:sz="0" w:space="0" w:color="auto"/>
      </w:divBdr>
    </w:div>
    <w:div w:id="1291518795">
      <w:bodyDiv w:val="1"/>
      <w:marLeft w:val="0"/>
      <w:marRight w:val="0"/>
      <w:marTop w:val="0"/>
      <w:marBottom w:val="0"/>
      <w:divBdr>
        <w:top w:val="none" w:sz="0" w:space="0" w:color="auto"/>
        <w:left w:val="none" w:sz="0" w:space="0" w:color="auto"/>
        <w:bottom w:val="none" w:sz="0" w:space="0" w:color="auto"/>
        <w:right w:val="none" w:sz="0" w:space="0" w:color="auto"/>
      </w:divBdr>
    </w:div>
    <w:div w:id="1362974259">
      <w:bodyDiv w:val="1"/>
      <w:marLeft w:val="0"/>
      <w:marRight w:val="0"/>
      <w:marTop w:val="0"/>
      <w:marBottom w:val="0"/>
      <w:divBdr>
        <w:top w:val="none" w:sz="0" w:space="0" w:color="auto"/>
        <w:left w:val="none" w:sz="0" w:space="0" w:color="auto"/>
        <w:bottom w:val="none" w:sz="0" w:space="0" w:color="auto"/>
        <w:right w:val="none" w:sz="0" w:space="0" w:color="auto"/>
      </w:divBdr>
    </w:div>
    <w:div w:id="1526333622">
      <w:bodyDiv w:val="1"/>
      <w:marLeft w:val="0"/>
      <w:marRight w:val="0"/>
      <w:marTop w:val="0"/>
      <w:marBottom w:val="0"/>
      <w:divBdr>
        <w:top w:val="none" w:sz="0" w:space="0" w:color="auto"/>
        <w:left w:val="none" w:sz="0" w:space="0" w:color="auto"/>
        <w:bottom w:val="none" w:sz="0" w:space="0" w:color="auto"/>
        <w:right w:val="none" w:sz="0" w:space="0" w:color="auto"/>
      </w:divBdr>
    </w:div>
    <w:div w:id="1664309950">
      <w:bodyDiv w:val="1"/>
      <w:marLeft w:val="0"/>
      <w:marRight w:val="0"/>
      <w:marTop w:val="0"/>
      <w:marBottom w:val="0"/>
      <w:divBdr>
        <w:top w:val="none" w:sz="0" w:space="0" w:color="auto"/>
        <w:left w:val="none" w:sz="0" w:space="0" w:color="auto"/>
        <w:bottom w:val="none" w:sz="0" w:space="0" w:color="auto"/>
        <w:right w:val="none" w:sz="0" w:space="0" w:color="auto"/>
      </w:divBdr>
    </w:div>
    <w:div w:id="1965964106">
      <w:bodyDiv w:val="1"/>
      <w:marLeft w:val="0"/>
      <w:marRight w:val="0"/>
      <w:marTop w:val="0"/>
      <w:marBottom w:val="0"/>
      <w:divBdr>
        <w:top w:val="none" w:sz="0" w:space="0" w:color="auto"/>
        <w:left w:val="none" w:sz="0" w:space="0" w:color="auto"/>
        <w:bottom w:val="none" w:sz="0" w:space="0" w:color="auto"/>
        <w:right w:val="none" w:sz="0" w:space="0" w:color="auto"/>
      </w:divBdr>
    </w:div>
    <w:div w:id="1987120552">
      <w:bodyDiv w:val="1"/>
      <w:marLeft w:val="0"/>
      <w:marRight w:val="0"/>
      <w:marTop w:val="0"/>
      <w:marBottom w:val="0"/>
      <w:divBdr>
        <w:top w:val="none" w:sz="0" w:space="0" w:color="auto"/>
        <w:left w:val="none" w:sz="0" w:space="0" w:color="auto"/>
        <w:bottom w:val="none" w:sz="0" w:space="0" w:color="auto"/>
        <w:right w:val="none" w:sz="0" w:space="0" w:color="auto"/>
      </w:divBdr>
    </w:div>
    <w:div w:id="204617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8" ma:contentTypeDescription="Create a new document." ma:contentTypeScope="" ma:versionID="683b23d0e1cf49f8e389b5c34f5ac976">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aa88e2b17dd563c667435724eb441eed"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D09DC-A2F6-40A6-A5DE-5ABB52039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7F355-CB6B-4E1F-95AB-EABAD725E7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67CBF6-8B1D-42B5-85A0-DA2AF61E66D3}">
  <ds:schemaRefs>
    <ds:schemaRef ds:uri="http://schemas.microsoft.com/sharepoint/v3/contenttype/forms"/>
  </ds:schemaRefs>
</ds:datastoreItem>
</file>

<file path=customXml/itemProps4.xml><?xml version="1.0" encoding="utf-8"?>
<ds:datastoreItem xmlns:ds="http://schemas.openxmlformats.org/officeDocument/2006/customXml" ds:itemID="{27C0EA6A-3B03-48C2-8F04-E8CAC4B1D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ridgwayc</dc:creator>
  <cp:keywords/>
  <cp:lastModifiedBy>Khan, Mariam - EBSA</cp:lastModifiedBy>
  <cp:revision>2</cp:revision>
  <cp:lastPrinted>2015-05-06T14:35:00Z</cp:lastPrinted>
  <dcterms:created xsi:type="dcterms:W3CDTF">2022-03-08T13:29:00Z</dcterms:created>
  <dcterms:modified xsi:type="dcterms:W3CDTF">2022-03-08T13:29:00Z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0x0101007D72D2FFA849DC42B2A0F9FA0A01678D</vt:lpwstr>
  </property>
</Properties>
</file>