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5043" w:rsidP="006A5043" w:rsidRDefault="00306C3D" w14:paraId="61268D52" w14:textId="6661E0B3">
      <w:pPr>
        <w:jc w:val="center"/>
        <w:rPr>
          <w:rFonts w:ascii="Times New Roman" w:hAnsi="Times New Roman"/>
          <w:b/>
          <w:bCs/>
        </w:rPr>
      </w:pPr>
      <w:bookmarkStart w:name="QuickMark" w:id="0"/>
      <w:bookmarkEnd w:id="0"/>
      <w:r w:rsidRPr="00306C3D">
        <w:rPr>
          <w:rFonts w:ascii="Times New Roman" w:hAnsi="Times New Roman"/>
          <w:b/>
        </w:rPr>
        <w:t xml:space="preserve">SUPPORTING STATEMENT FOR PAPERWORK REDUCTION ACT 1995: </w:t>
      </w:r>
      <w:r w:rsidRPr="00306C3D">
        <w:rPr>
          <w:rFonts w:ascii="Times New Roman" w:hAnsi="Times New Roman"/>
          <w:b/>
          <w:bCs/>
        </w:rPr>
        <w:t>PROHIBITED TRANSACTION EXEMPTION 75-1</w:t>
      </w:r>
      <w:r>
        <w:rPr>
          <w:rFonts w:ascii="Times New Roman" w:hAnsi="Times New Roman"/>
          <w:b/>
          <w:bCs/>
        </w:rPr>
        <w:t xml:space="preserve"> </w:t>
      </w:r>
      <w:r w:rsidRPr="00306C3D">
        <w:rPr>
          <w:rFonts w:ascii="Times New Roman" w:hAnsi="Times New Roman"/>
          <w:b/>
          <w:bCs/>
        </w:rPr>
        <w:t>(SECURITY TRANSACTIONS WITH BROKER-DEALERS, REPORTING DEALERS AND BANKS)</w:t>
      </w:r>
    </w:p>
    <w:p w:rsidR="006A5043" w:rsidP="006A5043" w:rsidRDefault="006A5043" w14:paraId="53F62059" w14:textId="77777777">
      <w:pPr>
        <w:jc w:val="center"/>
        <w:rPr>
          <w:rFonts w:ascii="Times New Roman" w:hAnsi="Times New Roman"/>
          <w:b/>
          <w:bCs/>
        </w:rPr>
      </w:pPr>
    </w:p>
    <w:p w:rsidRPr="006A5043" w:rsidR="006A5043" w:rsidP="006A5043" w:rsidRDefault="006A5043" w14:paraId="7A1FFFDD" w14:textId="292378FA">
      <w:pPr>
        <w:rPr>
          <w:rFonts w:ascii="Times New Roman" w:hAnsi="Times New Roman"/>
          <w:bCs/>
        </w:rPr>
      </w:pPr>
      <w:r w:rsidRPr="006A5043">
        <w:rPr>
          <w:rFonts w:ascii="Times New Roman" w:hAnsi="Times New Roman"/>
          <w:bCs/>
        </w:rPr>
        <w:t xml:space="preserve">This ICR seeks approval for </w:t>
      </w:r>
      <w:r w:rsidR="00EF4B21">
        <w:rPr>
          <w:rFonts w:ascii="Times New Roman" w:hAnsi="Times New Roman"/>
          <w:bCs/>
        </w:rPr>
        <w:t xml:space="preserve">an extension </w:t>
      </w:r>
      <w:r w:rsidRPr="006A5043">
        <w:rPr>
          <w:rFonts w:ascii="Times New Roman" w:hAnsi="Times New Roman"/>
          <w:bCs/>
        </w:rPr>
        <w:t>of an existing control number.</w:t>
      </w:r>
    </w:p>
    <w:p w:rsidR="00853C8B" w:rsidRDefault="00853C8B" w14:paraId="2CAA791C" w14:textId="7F667941">
      <w:pPr>
        <w:rPr>
          <w:rFonts w:ascii="Times New Roman" w:hAnsi="Times New Roman"/>
        </w:rPr>
      </w:pPr>
    </w:p>
    <w:p w:rsidRPr="00FB4CA9" w:rsidR="00853C8B" w:rsidP="00FB4CA9" w:rsidRDefault="00E767F1" w14:paraId="22F4F39A" w14:textId="4E1F37E9">
      <w:pPr>
        <w:pStyle w:val="ListParagraph"/>
        <w:numPr>
          <w:ilvl w:val="0"/>
          <w:numId w:val="7"/>
        </w:numPr>
        <w:ind w:hanging="720"/>
        <w:rPr>
          <w:rFonts w:ascii="Times New Roman" w:hAnsi="Times New Roman"/>
        </w:rPr>
      </w:pPr>
      <w:r w:rsidRPr="00FB4CA9">
        <w:rPr>
          <w:rFonts w:ascii="Times New Roman" w:hAnsi="Times New Roman"/>
          <w:b/>
          <w:bCs/>
        </w:rPr>
        <w:t>JUSTIFICATION</w:t>
      </w:r>
    </w:p>
    <w:p w:rsidR="00853C8B" w:rsidP="00FB4CA9" w:rsidRDefault="00853C8B" w14:paraId="2A3218EA" w14:textId="77777777">
      <w:pPr>
        <w:ind w:left="720"/>
        <w:rPr>
          <w:rFonts w:ascii="Times New Roman" w:hAnsi="Times New Roman"/>
        </w:rPr>
      </w:pPr>
    </w:p>
    <w:p w:rsidRPr="002B7322" w:rsidR="00853C8B" w:rsidP="00FB4CA9" w:rsidRDefault="00853C8B" w14:paraId="5EF284CD" w14:textId="77777777">
      <w:pPr>
        <w:pStyle w:val="Quick1"/>
        <w:numPr>
          <w:ilvl w:val="0"/>
          <w:numId w:val="1"/>
        </w:numPr>
        <w:tabs>
          <w:tab w:val="left" w:pos="-1440"/>
          <w:tab w:val="num" w:pos="720"/>
        </w:tabs>
        <w:rPr>
          <w:rFonts w:ascii="Times New Roman" w:hAnsi="Times New Roman"/>
          <w:b/>
        </w:rPr>
      </w:pPr>
      <w:r w:rsidRPr="002B7322">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3C8B" w:rsidP="00FB4CA9" w:rsidRDefault="00853C8B" w14:paraId="18DD845E" w14:textId="77777777">
      <w:pPr>
        <w:ind w:left="720"/>
        <w:rPr>
          <w:rFonts w:ascii="Times New Roman" w:hAnsi="Times New Roman"/>
        </w:rPr>
      </w:pPr>
    </w:p>
    <w:p w:rsidR="00C33B02" w:rsidP="00FB4CA9" w:rsidRDefault="00934B2B" w14:paraId="052BC01A" w14:textId="77777777">
      <w:pPr>
        <w:ind w:left="720"/>
        <w:rPr>
          <w:rFonts w:ascii="Times New Roman" w:hAnsi="Times New Roman"/>
        </w:rPr>
      </w:pPr>
      <w:r>
        <w:rPr>
          <w:rFonts w:ascii="Times New Roman" w:hAnsi="Times New Roman"/>
        </w:rPr>
        <w:t xml:space="preserve">Employee Retirement Income Security Act </w:t>
      </w:r>
      <w:r w:rsidR="00C33B02">
        <w:rPr>
          <w:rFonts w:ascii="Times New Roman" w:hAnsi="Times New Roman"/>
        </w:rPr>
        <w:t xml:space="preserve">of 1974 </w:t>
      </w:r>
      <w:r>
        <w:rPr>
          <w:rFonts w:ascii="Times New Roman" w:hAnsi="Times New Roman"/>
        </w:rPr>
        <w:t xml:space="preserve">(ERISA) </w:t>
      </w:r>
      <w:r w:rsidR="00C33B02">
        <w:rPr>
          <w:rFonts w:ascii="Times New Roman" w:hAnsi="Times New Roman"/>
        </w:rPr>
        <w:t>s</w:t>
      </w:r>
      <w:r>
        <w:rPr>
          <w:rFonts w:ascii="Times New Roman" w:hAnsi="Times New Roman"/>
        </w:rPr>
        <w:t xml:space="preserve">ection 406(a) </w:t>
      </w:r>
      <w:r w:rsidR="00C33B02">
        <w:rPr>
          <w:rFonts w:ascii="Times New Roman" w:hAnsi="Times New Roman"/>
        </w:rPr>
        <w:t>and Internal Revenue Code (Code) section 4975(c)(1)(A)-(D)</w:t>
      </w:r>
      <w:r>
        <w:rPr>
          <w:rFonts w:ascii="Times New Roman" w:hAnsi="Times New Roman"/>
        </w:rPr>
        <w:t xml:space="preserve"> prohibit specified transactions between plans and </w:t>
      </w:r>
      <w:r w:rsidR="00C33B02">
        <w:rPr>
          <w:rFonts w:ascii="Times New Roman" w:hAnsi="Times New Roman"/>
        </w:rPr>
        <w:t>“</w:t>
      </w:r>
      <w:r>
        <w:rPr>
          <w:rFonts w:ascii="Times New Roman" w:hAnsi="Times New Roman"/>
        </w:rPr>
        <w:t>parties in interest,</w:t>
      </w:r>
      <w:r w:rsidR="00C33B02">
        <w:rPr>
          <w:rFonts w:ascii="Times New Roman" w:hAnsi="Times New Roman"/>
        </w:rPr>
        <w:t>” as defined in ERISA section 3(14) or “disqualified persons” as defined in Code section 4975(e)(2).  Fiduciaries and other service providers are parties in interest and disqualified persons under ERISA and the Code.  As a result, they are prohibited from engaging in</w:t>
      </w:r>
      <w:r>
        <w:rPr>
          <w:rFonts w:ascii="Times New Roman" w:hAnsi="Times New Roman"/>
        </w:rPr>
        <w:t xml:space="preserve"> the sale or exchange of property or services, loans, leases, or extensions of credit,</w:t>
      </w:r>
      <w:r w:rsidR="00C33B02">
        <w:rPr>
          <w:rFonts w:ascii="Times New Roman" w:hAnsi="Times New Roman"/>
        </w:rPr>
        <w:t xml:space="preserve"> with plans and </w:t>
      </w:r>
      <w:r w:rsidR="00F25381">
        <w:rPr>
          <w:rFonts w:ascii="Times New Roman" w:hAnsi="Times New Roman"/>
        </w:rPr>
        <w:t>individual retirement accounts (</w:t>
      </w:r>
      <w:r w:rsidR="00C33B02">
        <w:rPr>
          <w:rFonts w:ascii="Times New Roman" w:hAnsi="Times New Roman"/>
        </w:rPr>
        <w:t>IRAs</w:t>
      </w:r>
      <w:r w:rsidR="00F25381">
        <w:rPr>
          <w:rFonts w:ascii="Times New Roman" w:hAnsi="Times New Roman"/>
        </w:rPr>
        <w:t>)</w:t>
      </w:r>
      <w:r w:rsidR="00C33B02">
        <w:rPr>
          <w:rFonts w:ascii="Times New Roman" w:hAnsi="Times New Roman"/>
        </w:rPr>
        <w:t>.</w:t>
      </w:r>
      <w:r>
        <w:rPr>
          <w:rFonts w:ascii="Times New Roman" w:hAnsi="Times New Roman"/>
        </w:rPr>
        <w:t xml:space="preserve"> </w:t>
      </w:r>
      <w:r w:rsidR="00C33B02">
        <w:rPr>
          <w:rFonts w:ascii="Times New Roman" w:hAnsi="Times New Roman"/>
        </w:rPr>
        <w:t xml:space="preserve"> ERISA</w:t>
      </w:r>
      <w:r>
        <w:rPr>
          <w:rFonts w:ascii="Times New Roman" w:hAnsi="Times New Roman"/>
        </w:rPr>
        <w:t xml:space="preserve"> section 406(b) </w:t>
      </w:r>
      <w:r w:rsidR="00C33B02">
        <w:rPr>
          <w:rFonts w:ascii="Times New Roman" w:hAnsi="Times New Roman"/>
        </w:rPr>
        <w:t xml:space="preserve">and Code section 4975(c)(1)(E)-(F) </w:t>
      </w:r>
      <w:r>
        <w:rPr>
          <w:rFonts w:ascii="Times New Roman" w:hAnsi="Times New Roman"/>
        </w:rPr>
        <w:t xml:space="preserve">further prohibits certain acts by plan fiduciaries that result in benefit to the fiduciary or a party adverse to the plan.  </w:t>
      </w:r>
    </w:p>
    <w:p w:rsidR="00C33B02" w:rsidP="00FB4CA9" w:rsidRDefault="00C33B02" w14:paraId="7A755087" w14:textId="77777777">
      <w:pPr>
        <w:ind w:left="720"/>
        <w:rPr>
          <w:rFonts w:ascii="Times New Roman" w:hAnsi="Times New Roman"/>
        </w:rPr>
      </w:pPr>
    </w:p>
    <w:p w:rsidRPr="00C33B02" w:rsidR="00C33B02" w:rsidP="00C33B02" w:rsidRDefault="00C33B02" w14:paraId="019F35E5" w14:textId="789C2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20"/>
        <w:rPr>
          <w:rFonts w:ascii="Times New Roman" w:hAnsi="Times New Roman"/>
        </w:rPr>
      </w:pPr>
      <w:r w:rsidRPr="00C33B02">
        <w:rPr>
          <w:rFonts w:ascii="Times New Roman" w:hAnsi="Times New Roman"/>
        </w:rPr>
        <w:t>If a broker-dealer advance</w:t>
      </w:r>
      <w:r>
        <w:rPr>
          <w:rFonts w:ascii="Times New Roman" w:hAnsi="Times New Roman"/>
        </w:rPr>
        <w:t>s</w:t>
      </w:r>
      <w:r w:rsidRPr="00C33B02">
        <w:rPr>
          <w:rFonts w:ascii="Times New Roman" w:hAnsi="Times New Roman"/>
        </w:rPr>
        <w:t xml:space="preserve"> funds to settle a trade entered into by a plan or </w:t>
      </w:r>
      <w:proofErr w:type="gramStart"/>
      <w:r w:rsidRPr="00C33B02">
        <w:rPr>
          <w:rFonts w:ascii="Times New Roman" w:hAnsi="Times New Roman"/>
        </w:rPr>
        <w:t>IRA, or</w:t>
      </w:r>
      <w:proofErr w:type="gramEnd"/>
      <w:r w:rsidRPr="00C33B02">
        <w:rPr>
          <w:rFonts w:ascii="Times New Roman" w:hAnsi="Times New Roman"/>
        </w:rPr>
        <w:t xml:space="preserve"> purchase</w:t>
      </w:r>
      <w:r>
        <w:rPr>
          <w:rFonts w:ascii="Times New Roman" w:hAnsi="Times New Roman"/>
        </w:rPr>
        <w:t>s</w:t>
      </w:r>
      <w:r w:rsidRPr="00C33B02">
        <w:rPr>
          <w:rFonts w:ascii="Times New Roman" w:hAnsi="Times New Roman"/>
        </w:rPr>
        <w:t xml:space="preserve"> a security for delivery on behalf of a plan or IRA, the result can potentially be viewed as a loan of money or other extension of credit to the plan or IRA.  Further, in the event a broker-dealer steps into a </w:t>
      </w:r>
      <w:proofErr w:type="gramStart"/>
      <w:r w:rsidRPr="00C33B02">
        <w:rPr>
          <w:rFonts w:ascii="Times New Roman" w:hAnsi="Times New Roman"/>
        </w:rPr>
        <w:t>plan’s</w:t>
      </w:r>
      <w:proofErr w:type="gramEnd"/>
      <w:r w:rsidRPr="00C33B02">
        <w:rPr>
          <w:rFonts w:ascii="Times New Roman" w:hAnsi="Times New Roman"/>
        </w:rPr>
        <w:t xml:space="preserve"> or IRA’s shoes in any particular transaction, it may charge interest or other fees to the plan or IRA.  These transactions potentially violate ERISA section 406(a)(1)(B) and Code section 4975(c)(1)(B) and (D).</w:t>
      </w:r>
    </w:p>
    <w:p w:rsidR="00C33B02" w:rsidP="00FB4CA9" w:rsidRDefault="00C33B02" w14:paraId="53E34691" w14:textId="77777777">
      <w:pPr>
        <w:ind w:left="720"/>
        <w:rPr>
          <w:rFonts w:ascii="Times New Roman" w:hAnsi="Times New Roman"/>
        </w:rPr>
      </w:pPr>
    </w:p>
    <w:p w:rsidRPr="0078280B" w:rsidR="00C33B02" w:rsidP="00C33B02" w:rsidRDefault="00C33B02" w14:paraId="5117013E" w14:textId="77777777">
      <w:pPr>
        <w:ind w:left="720"/>
        <w:rPr>
          <w:rFonts w:ascii="Times New Roman" w:hAnsi="Times New Roman"/>
        </w:rPr>
      </w:pPr>
      <w:r w:rsidRPr="0078280B">
        <w:rPr>
          <w:rFonts w:ascii="Times New Roman" w:hAnsi="Times New Roman"/>
        </w:rPr>
        <w:t>The Secretary of Labor may grant and amend administrative exemptions from the prohibited transaction provisions of ERISA and the Code.</w:t>
      </w:r>
      <w:r w:rsidRPr="0078280B">
        <w:rPr>
          <w:rFonts w:ascii="Times New Roman" w:hAnsi="Times New Roman"/>
          <w:vertAlign w:val="superscript"/>
        </w:rPr>
        <w:footnoteReference w:id="2"/>
      </w:r>
      <w:r w:rsidRPr="0078280B">
        <w:rPr>
          <w:rFonts w:ascii="Times New Roman" w:hAnsi="Times New Roman"/>
        </w:rPr>
        <w:t xml:space="preserve">  Before granting an exemption, the Department must find that the exemption is administratively feasible, in the interests of plans, their participants and beneficiaries and IRA owners, and protective of the rights of participants and beneficiaries of such plans and IRA owners.</w:t>
      </w:r>
    </w:p>
    <w:p w:rsidR="00934B2B" w:rsidP="00FB4CA9" w:rsidRDefault="00934B2B" w14:paraId="7A978149" w14:textId="77777777">
      <w:pPr>
        <w:ind w:left="720"/>
        <w:rPr>
          <w:rFonts w:ascii="Times New Roman" w:hAnsi="Times New Roman"/>
        </w:rPr>
      </w:pPr>
    </w:p>
    <w:p w:rsidR="00934B2B" w:rsidP="00FB4CA9" w:rsidRDefault="00934B2B" w14:paraId="2147BE97" w14:textId="77777777">
      <w:pPr>
        <w:ind w:left="720"/>
        <w:rPr>
          <w:rFonts w:ascii="Times New Roman" w:hAnsi="Times New Roman"/>
        </w:rPr>
      </w:pPr>
      <w:r>
        <w:rPr>
          <w:rFonts w:ascii="Times New Roman" w:hAnsi="Times New Roman"/>
        </w:rPr>
        <w:lastRenderedPageBreak/>
        <w:t xml:space="preserve">Prohibited Transaction Exemption (PTE) 75-1 was granted on October 24, 1975.  It consists of five parts covering, among other things, securities transactions between plans and broker-dealers, reporting dealers and banks as well as other parties.  PTE 75-1 Part I covers </w:t>
      </w:r>
      <w:r w:rsidR="00606E78">
        <w:rPr>
          <w:rFonts w:ascii="Times New Roman" w:hAnsi="Times New Roman"/>
        </w:rPr>
        <w:t>the effecting of securities transactions</w:t>
      </w:r>
      <w:r>
        <w:rPr>
          <w:rFonts w:ascii="Times New Roman" w:hAnsi="Times New Roman"/>
        </w:rPr>
        <w:t xml:space="preserve"> and related services by persons that are not fiduciaries.  </w:t>
      </w:r>
      <w:r w:rsidR="00263407">
        <w:rPr>
          <w:rFonts w:ascii="Times New Roman" w:hAnsi="Times New Roman"/>
        </w:rPr>
        <w:t xml:space="preserve">Part II(1) allows </w:t>
      </w:r>
      <w:r w:rsidRPr="00263407" w:rsidR="00263407">
        <w:rPr>
          <w:rFonts w:ascii="Times New Roman" w:hAnsi="Times New Roman"/>
        </w:rPr>
        <w:t xml:space="preserve">the purchase or sale of a security between </w:t>
      </w:r>
      <w:r w:rsidR="00263407">
        <w:rPr>
          <w:rFonts w:ascii="Times New Roman" w:hAnsi="Times New Roman"/>
        </w:rPr>
        <w:t xml:space="preserve">plans and IRAs </w:t>
      </w:r>
      <w:r w:rsidRPr="00263407" w:rsidR="00263407">
        <w:rPr>
          <w:rFonts w:ascii="Times New Roman" w:hAnsi="Times New Roman"/>
        </w:rPr>
        <w:t>and:</w:t>
      </w:r>
      <w:r w:rsidR="00017665">
        <w:rPr>
          <w:rFonts w:ascii="Times New Roman" w:hAnsi="Times New Roman"/>
        </w:rPr>
        <w:t xml:space="preserve"> </w:t>
      </w:r>
      <w:r w:rsidRPr="00263407" w:rsidR="00263407">
        <w:rPr>
          <w:rFonts w:ascii="Times New Roman" w:hAnsi="Times New Roman"/>
        </w:rPr>
        <w:t xml:space="preserve"> (1) </w:t>
      </w:r>
      <w:r w:rsidR="0053262B">
        <w:rPr>
          <w:rFonts w:ascii="Times New Roman" w:hAnsi="Times New Roman"/>
        </w:rPr>
        <w:t>a</w:t>
      </w:r>
      <w:r w:rsidRPr="00263407" w:rsidR="00263407">
        <w:rPr>
          <w:rFonts w:ascii="Times New Roman" w:hAnsi="Times New Roman"/>
        </w:rPr>
        <w:t xml:space="preserve"> broker-dealer registered under the Securities Exchange Act of 1934; (2) a reporting dealer who makes primary markets in securities of the U.S. Government or of any agency thereof and reports daily to the Federal Reserve Bank of New York its positions with respect to Government securities and borrowings thereon; or (3) a bank supervised by the United States or a State. </w:t>
      </w:r>
      <w:r w:rsidR="00017665">
        <w:rPr>
          <w:rFonts w:ascii="Times New Roman" w:hAnsi="Times New Roman"/>
        </w:rPr>
        <w:t xml:space="preserve"> </w:t>
      </w:r>
      <w:r>
        <w:rPr>
          <w:rFonts w:ascii="Times New Roman" w:hAnsi="Times New Roman"/>
        </w:rPr>
        <w:t>Part II</w:t>
      </w:r>
      <w:r w:rsidR="00263407">
        <w:rPr>
          <w:rFonts w:ascii="Times New Roman" w:hAnsi="Times New Roman"/>
        </w:rPr>
        <w:t>(2</w:t>
      </w:r>
      <w:r w:rsidR="00313C74">
        <w:rPr>
          <w:rFonts w:ascii="Times New Roman" w:hAnsi="Times New Roman"/>
        </w:rPr>
        <w:t xml:space="preserve">) </w:t>
      </w:r>
      <w:r w:rsidR="00263407">
        <w:rPr>
          <w:rFonts w:ascii="Times New Roman" w:hAnsi="Times New Roman"/>
        </w:rPr>
        <w:t xml:space="preserve">provides an </w:t>
      </w:r>
      <w:r w:rsidRPr="00263407" w:rsidR="00263407">
        <w:rPr>
          <w:rFonts w:ascii="Times New Roman" w:hAnsi="Times New Roman"/>
        </w:rPr>
        <w:t>exemption for certain fiduciaries to act as principals (as opposed to agents for third parties) in selling mutual fund shares to plans and IRAs and to receive commissions for doing so</w:t>
      </w:r>
      <w:r w:rsidR="00263407">
        <w:rPr>
          <w:rFonts w:ascii="Times New Roman" w:hAnsi="Times New Roman"/>
        </w:rPr>
        <w:t>.</w:t>
      </w:r>
      <w:r w:rsidR="00313C74">
        <w:rPr>
          <w:rFonts w:ascii="Times New Roman" w:hAnsi="Times New Roman"/>
        </w:rPr>
        <w:t xml:space="preserve"> </w:t>
      </w:r>
      <w:r>
        <w:rPr>
          <w:rFonts w:ascii="Times New Roman" w:hAnsi="Times New Roman"/>
        </w:rPr>
        <w:t xml:space="preserve"> Part III allows a plan to purchase certain securities from underwriting syndicates of which a plan fiduciary is a member.  Part IV allows a plan to purchase from or sell securities to a market maker </w:t>
      </w:r>
      <w:r w:rsidR="00606E78">
        <w:rPr>
          <w:rFonts w:ascii="Times New Roman" w:hAnsi="Times New Roman"/>
        </w:rPr>
        <w:t>that</w:t>
      </w:r>
      <w:r>
        <w:rPr>
          <w:rFonts w:ascii="Times New Roman" w:hAnsi="Times New Roman"/>
        </w:rPr>
        <w:t xml:space="preserve"> is a fiduciary.  Part V allows a broker-dealer to extend credit to a plan in connection with the purchase or sale of securities.  Each of the five parts of the exemption contains its own conditions and limitations.</w:t>
      </w:r>
    </w:p>
    <w:p w:rsidR="00934B2B" w:rsidP="00FB4CA9" w:rsidRDefault="00934B2B" w14:paraId="58675E14" w14:textId="77777777">
      <w:pPr>
        <w:ind w:left="720"/>
        <w:rPr>
          <w:rFonts w:ascii="Times New Roman" w:hAnsi="Times New Roman"/>
        </w:rPr>
      </w:pPr>
    </w:p>
    <w:p w:rsidR="00934B2B" w:rsidP="00FB4CA9" w:rsidRDefault="00934B2B" w14:paraId="1090FA16" w14:textId="77777777">
      <w:pPr>
        <w:ind w:left="720"/>
        <w:rPr>
          <w:rFonts w:ascii="Times New Roman" w:hAnsi="Times New Roman"/>
        </w:rPr>
      </w:pPr>
      <w:proofErr w:type="gramStart"/>
      <w:r>
        <w:rPr>
          <w:rFonts w:ascii="Times New Roman" w:hAnsi="Times New Roman"/>
        </w:rPr>
        <w:t>In order to</w:t>
      </w:r>
      <w:proofErr w:type="gramEnd"/>
      <w:r>
        <w:rPr>
          <w:rFonts w:ascii="Times New Roman" w:hAnsi="Times New Roman"/>
        </w:rPr>
        <w:t xml:space="preserve"> ensure that the exemption is not abused, that the rights of participants and beneficiaries are protected, and that parties comply with the exemption’s conditions, the Department requires limited information collection pertaining to the affected transactions.  The information collection requirements that are conditions to reliance on the class exemption consist only of </w:t>
      </w:r>
      <w:r w:rsidR="00717B07">
        <w:rPr>
          <w:rFonts w:ascii="Times New Roman" w:hAnsi="Times New Roman"/>
        </w:rPr>
        <w:t xml:space="preserve">a </w:t>
      </w:r>
      <w:r>
        <w:rPr>
          <w:rFonts w:ascii="Times New Roman" w:hAnsi="Times New Roman"/>
        </w:rPr>
        <w:t>recordkeeping</w:t>
      </w:r>
      <w:r w:rsidR="00717B07">
        <w:rPr>
          <w:rFonts w:ascii="Times New Roman" w:hAnsi="Times New Roman"/>
        </w:rPr>
        <w:t xml:space="preserve"> requirement in Parts II, III, IV, and V of the exemption. </w:t>
      </w:r>
      <w:r w:rsidR="008B54B0">
        <w:rPr>
          <w:rFonts w:ascii="Times New Roman" w:hAnsi="Times New Roman"/>
        </w:rPr>
        <w:t xml:space="preserve"> </w:t>
      </w:r>
      <w:r w:rsidR="00717B07">
        <w:rPr>
          <w:rFonts w:ascii="Times New Roman" w:hAnsi="Times New Roman"/>
        </w:rPr>
        <w:t xml:space="preserve">Specifically, the plan </w:t>
      </w:r>
      <w:r>
        <w:rPr>
          <w:rFonts w:ascii="Times New Roman" w:hAnsi="Times New Roman"/>
        </w:rPr>
        <w:t xml:space="preserve">must </w:t>
      </w:r>
      <w:r w:rsidR="00717B07">
        <w:rPr>
          <w:rFonts w:ascii="Times New Roman" w:hAnsi="Times New Roman"/>
        </w:rPr>
        <w:t xml:space="preserve">maintain or cause to be maintained for a period of six years </w:t>
      </w:r>
      <w:r w:rsidR="00313C74">
        <w:rPr>
          <w:rFonts w:ascii="Times New Roman" w:hAnsi="Times New Roman"/>
        </w:rPr>
        <w:t>from the date of the transaction</w:t>
      </w:r>
      <w:r>
        <w:rPr>
          <w:rFonts w:ascii="Times New Roman" w:hAnsi="Times New Roman"/>
        </w:rPr>
        <w:t xml:space="preserve"> records </w:t>
      </w:r>
      <w:r w:rsidR="00717B07">
        <w:rPr>
          <w:rFonts w:ascii="Times New Roman" w:hAnsi="Times New Roman"/>
        </w:rPr>
        <w:t>necessary to enable the Department of Labor, the Internal Revenue Service, plan participants and beneficiaries, any employer of plan participants and beneficiaries, and any employee organization any of whose members are covered by plan participating in covered transactions</w:t>
      </w:r>
      <w:r w:rsidR="00313C74">
        <w:rPr>
          <w:rFonts w:ascii="Times New Roman" w:hAnsi="Times New Roman"/>
        </w:rPr>
        <w:t xml:space="preserve"> to determine whether the conditions of the exemption have been met and to make such </w:t>
      </w:r>
      <w:r>
        <w:rPr>
          <w:rFonts w:ascii="Times New Roman" w:hAnsi="Times New Roman"/>
        </w:rPr>
        <w:t>records available</w:t>
      </w:r>
      <w:r>
        <w:rPr>
          <w:rFonts w:ascii="Times New Roman" w:hAnsi="Times New Roman"/>
          <w:i/>
        </w:rPr>
        <w:t xml:space="preserve"> </w:t>
      </w:r>
      <w:r>
        <w:rPr>
          <w:rFonts w:ascii="Times New Roman" w:hAnsi="Times New Roman"/>
        </w:rPr>
        <w:t xml:space="preserve">unconditionally </w:t>
      </w:r>
      <w:r w:rsidR="00313C74">
        <w:rPr>
          <w:rFonts w:ascii="Times New Roman" w:hAnsi="Times New Roman"/>
        </w:rPr>
        <w:t xml:space="preserve">for examination </w:t>
      </w:r>
      <w:r>
        <w:rPr>
          <w:rFonts w:ascii="Times New Roman" w:hAnsi="Times New Roman"/>
        </w:rPr>
        <w:t xml:space="preserve">during normal business hours to </w:t>
      </w:r>
      <w:r w:rsidR="00313C74">
        <w:rPr>
          <w:rFonts w:ascii="Times New Roman" w:hAnsi="Times New Roman"/>
        </w:rPr>
        <w:t xml:space="preserve">their </w:t>
      </w:r>
      <w:r>
        <w:rPr>
          <w:rFonts w:ascii="Times New Roman" w:hAnsi="Times New Roman"/>
        </w:rPr>
        <w:t>duly authorized employees</w:t>
      </w:r>
      <w:r w:rsidR="00313C74">
        <w:rPr>
          <w:rFonts w:ascii="Times New Roman" w:hAnsi="Times New Roman"/>
        </w:rPr>
        <w:t>.</w:t>
      </w:r>
    </w:p>
    <w:p w:rsidR="00B96047" w:rsidP="001F5AA7" w:rsidRDefault="00B96047" w14:paraId="323AA8F9" w14:textId="77777777">
      <w:pPr>
        <w:rPr>
          <w:rFonts w:ascii="Times New Roman" w:hAnsi="Times New Roman"/>
        </w:rPr>
      </w:pPr>
    </w:p>
    <w:p w:rsidRPr="000943EF" w:rsidR="00853C8B" w:rsidP="00FB4CA9" w:rsidRDefault="00853C8B" w14:paraId="0F7135BF" w14:textId="77777777">
      <w:pPr>
        <w:tabs>
          <w:tab w:val="left" w:pos="-1440"/>
        </w:tabs>
        <w:ind w:left="720" w:hanging="720"/>
        <w:rPr>
          <w:rFonts w:ascii="Times New Roman" w:hAnsi="Times New Roman"/>
          <w:b/>
        </w:rPr>
      </w:pPr>
      <w:r w:rsidRPr="000943EF">
        <w:rPr>
          <w:rFonts w:ascii="Times New Roman" w:hAnsi="Times New Roman"/>
          <w:b/>
        </w:rPr>
        <w:t>2.</w:t>
      </w:r>
      <w:r w:rsidRPr="000943EF">
        <w:rPr>
          <w:rFonts w:ascii="Times New Roman" w:hAnsi="Times New Roman"/>
          <w:b/>
        </w:rPr>
        <w:tab/>
      </w:r>
      <w:r w:rsidRPr="000943EF">
        <w:rPr>
          <w:rFonts w:ascii="Times New Roman" w:hAnsi="Times New Roman"/>
          <w:b/>
          <w:iCs/>
        </w:rPr>
        <w:t>Indicate how, by whom, and for what purpose the information is to be used.  Except for a new collection, indicate the actual use the agency has made of the information received from the current collection.</w:t>
      </w:r>
    </w:p>
    <w:p w:rsidR="00853C8B" w:rsidP="00FB4CA9" w:rsidRDefault="00853C8B" w14:paraId="05279956" w14:textId="77777777">
      <w:pPr>
        <w:ind w:left="720"/>
        <w:rPr>
          <w:rFonts w:ascii="Times New Roman" w:hAnsi="Times New Roman"/>
        </w:rPr>
      </w:pPr>
    </w:p>
    <w:p w:rsidRPr="00BC11E4" w:rsidR="00882635" w:rsidP="005A529D" w:rsidRDefault="00853C8B" w14:paraId="0761A5B9" w14:textId="77777777">
      <w:pPr>
        <w:ind w:left="720"/>
        <w:rPr>
          <w:rFonts w:ascii="Times New Roman" w:hAnsi="Times New Roman"/>
        </w:rPr>
      </w:pPr>
      <w:r>
        <w:rPr>
          <w:rFonts w:ascii="Times New Roman" w:hAnsi="Times New Roman"/>
        </w:rPr>
        <w:t xml:space="preserve">The class exemption allows broker-dealers, reporting dealers and banks </w:t>
      </w:r>
      <w:r w:rsidR="00AA282C">
        <w:rPr>
          <w:rFonts w:ascii="Times New Roman" w:hAnsi="Times New Roman"/>
        </w:rPr>
        <w:t xml:space="preserve">and others </w:t>
      </w:r>
      <w:r>
        <w:rPr>
          <w:rFonts w:ascii="Times New Roman" w:hAnsi="Times New Roman"/>
        </w:rPr>
        <w:t xml:space="preserve">to engage in securities </w:t>
      </w:r>
      <w:r w:rsidR="00D270D5">
        <w:rPr>
          <w:rFonts w:ascii="Times New Roman" w:hAnsi="Times New Roman"/>
        </w:rPr>
        <w:t xml:space="preserve">and other </w:t>
      </w:r>
      <w:r>
        <w:rPr>
          <w:rFonts w:ascii="Times New Roman" w:hAnsi="Times New Roman"/>
        </w:rPr>
        <w:t xml:space="preserve">transactions with employee benefit plans.  These transactions would otherwise be prohibited under ERISA’s prohibited transaction provisions.  </w:t>
      </w:r>
      <w:r w:rsidR="00882635">
        <w:rPr>
          <w:rFonts w:ascii="Times New Roman" w:hAnsi="Times New Roman"/>
        </w:rPr>
        <w:t xml:space="preserve">The </w:t>
      </w:r>
      <w:r w:rsidRPr="0078280B" w:rsidR="00882635">
        <w:rPr>
          <w:rFonts w:ascii="Times New Roman" w:hAnsi="Times New Roman"/>
        </w:rPr>
        <w:t xml:space="preserve">recordkeeping requirement is </w:t>
      </w:r>
      <w:r w:rsidR="00882635">
        <w:rPr>
          <w:rFonts w:ascii="Times New Roman" w:hAnsi="Times New Roman"/>
        </w:rPr>
        <w:t xml:space="preserve">intended to be protective of </w:t>
      </w:r>
      <w:r w:rsidRPr="0078280B" w:rsidR="00882635">
        <w:rPr>
          <w:rFonts w:ascii="Times New Roman" w:hAnsi="Times New Roman"/>
        </w:rPr>
        <w:t>rights of plan participants and beneficiaries and IRA owners</w:t>
      </w:r>
      <w:r w:rsidR="00882635">
        <w:rPr>
          <w:rFonts w:ascii="Times New Roman" w:hAnsi="Times New Roman"/>
        </w:rPr>
        <w:t xml:space="preserve"> by ensuring they and the Department can </w:t>
      </w:r>
      <w:r w:rsidR="00882635">
        <w:rPr>
          <w:rFonts w:ascii="Times New Roman" w:hAnsi="Times New Roman"/>
        </w:rPr>
        <w:lastRenderedPageBreak/>
        <w:t>confirm that the conditions of the exemption has been satisfied.</w:t>
      </w:r>
    </w:p>
    <w:p w:rsidR="00853C8B" w:rsidP="00FB4CA9" w:rsidRDefault="00853C8B" w14:paraId="481F5B0F" w14:textId="45555CD2">
      <w:pPr>
        <w:ind w:left="720"/>
        <w:rPr>
          <w:rFonts w:ascii="Times New Roman" w:hAnsi="Times New Roman"/>
        </w:rPr>
      </w:pPr>
    </w:p>
    <w:p w:rsidR="002E0FFC" w:rsidP="002E0FFC" w:rsidRDefault="002E0FFC" w14:paraId="64C44515" w14:textId="07D9FE02">
      <w:pPr>
        <w:ind w:left="720"/>
        <w:rPr>
          <w:rFonts w:ascii="Times New Roman" w:hAnsi="Times New Roman"/>
        </w:rPr>
      </w:pPr>
      <w:r>
        <w:rPr>
          <w:rFonts w:ascii="Times New Roman" w:hAnsi="Times New Roman"/>
        </w:rPr>
        <w:t xml:space="preserve">The recordkeeping would be used by </w:t>
      </w:r>
      <w:r w:rsidRPr="00496544">
        <w:rPr>
          <w:rFonts w:ascii="Times New Roman" w:hAnsi="Times New Roman"/>
        </w:rPr>
        <w:t xml:space="preserve"> (</w:t>
      </w:r>
      <w:r w:rsidR="00035A1A">
        <w:rPr>
          <w:rFonts w:ascii="Times New Roman" w:hAnsi="Times New Roman"/>
        </w:rPr>
        <w:t>1</w:t>
      </w:r>
      <w:r w:rsidRPr="00496544">
        <w:rPr>
          <w:rFonts w:ascii="Times New Roman" w:hAnsi="Times New Roman"/>
        </w:rPr>
        <w:t>) plan participants and beneficiaries and IRA owners, (</w:t>
      </w:r>
      <w:r w:rsidR="00035A1A">
        <w:rPr>
          <w:rFonts w:ascii="Times New Roman" w:hAnsi="Times New Roman"/>
        </w:rPr>
        <w:t>2</w:t>
      </w:r>
      <w:r w:rsidRPr="00496544">
        <w:rPr>
          <w:rFonts w:ascii="Times New Roman" w:hAnsi="Times New Roman"/>
        </w:rPr>
        <w:t>) any employer of plan participants and beneficiaries, and (</w:t>
      </w:r>
      <w:r w:rsidR="00035A1A">
        <w:rPr>
          <w:rFonts w:ascii="Times New Roman" w:hAnsi="Times New Roman"/>
        </w:rPr>
        <w:t>3</w:t>
      </w:r>
      <w:r w:rsidRPr="00496544">
        <w:rPr>
          <w:rFonts w:ascii="Times New Roman" w:hAnsi="Times New Roman"/>
        </w:rPr>
        <w:t>) any employee organization any of whose members are covered by such plan to determine whether the conditions of this exemption have been met</w:t>
      </w:r>
      <w:r w:rsidR="00035A1A">
        <w:rPr>
          <w:rFonts w:ascii="Times New Roman" w:hAnsi="Times New Roman"/>
        </w:rPr>
        <w:t>,</w:t>
      </w:r>
      <w:r>
        <w:rPr>
          <w:rFonts w:ascii="Times New Roman" w:hAnsi="Times New Roman"/>
        </w:rPr>
        <w:t xml:space="preserve"> </w:t>
      </w:r>
      <w:r w:rsidR="00035A1A">
        <w:rPr>
          <w:rFonts w:ascii="Times New Roman" w:hAnsi="Times New Roman"/>
        </w:rPr>
        <w:t>(</w:t>
      </w:r>
      <w:r w:rsidR="006B6FB9">
        <w:rPr>
          <w:rFonts w:ascii="Times New Roman" w:hAnsi="Times New Roman"/>
        </w:rPr>
        <w:t>4</w:t>
      </w:r>
      <w:r w:rsidR="00035A1A">
        <w:rPr>
          <w:rFonts w:ascii="Times New Roman" w:hAnsi="Times New Roman"/>
        </w:rPr>
        <w:t>) the Department</w:t>
      </w:r>
      <w:r w:rsidRPr="00496544" w:rsidR="00035A1A">
        <w:rPr>
          <w:rFonts w:ascii="Times New Roman" w:hAnsi="Times New Roman"/>
        </w:rPr>
        <w:t>, (</w:t>
      </w:r>
      <w:r w:rsidR="006B6FB9">
        <w:rPr>
          <w:rFonts w:ascii="Times New Roman" w:hAnsi="Times New Roman"/>
        </w:rPr>
        <w:t>5</w:t>
      </w:r>
      <w:r w:rsidRPr="00496544" w:rsidR="00035A1A">
        <w:rPr>
          <w:rFonts w:ascii="Times New Roman" w:hAnsi="Times New Roman"/>
        </w:rPr>
        <w:t>) the Internal Revenue Service</w:t>
      </w:r>
      <w:r w:rsidR="006B6FB9">
        <w:rPr>
          <w:rFonts w:ascii="Times New Roman" w:hAnsi="Times New Roman"/>
        </w:rPr>
        <w:t>.</w:t>
      </w:r>
      <w:r>
        <w:rPr>
          <w:rFonts w:ascii="Times New Roman" w:hAnsi="Times New Roman"/>
        </w:rPr>
        <w:t xml:space="preserve"> </w:t>
      </w:r>
    </w:p>
    <w:p w:rsidR="002E0FFC" w:rsidP="00034DA7" w:rsidRDefault="002E0FFC" w14:paraId="79023550" w14:textId="77777777">
      <w:pPr>
        <w:rPr>
          <w:rFonts w:ascii="Times New Roman" w:hAnsi="Times New Roman"/>
        </w:rPr>
      </w:pPr>
    </w:p>
    <w:p w:rsidR="00B65B70" w:rsidP="00FB4CA9" w:rsidRDefault="008F09C0" w14:paraId="75F538C5" w14:textId="47BDE36E">
      <w:pPr>
        <w:ind w:left="720"/>
        <w:rPr>
          <w:rFonts w:ascii="Times New Roman" w:hAnsi="Times New Roman"/>
        </w:rPr>
      </w:pPr>
      <w:r>
        <w:rPr>
          <w:rFonts w:ascii="Times New Roman" w:hAnsi="Times New Roman"/>
        </w:rPr>
        <w:t xml:space="preserve">The Department </w:t>
      </w:r>
      <w:r w:rsidR="00853C8B">
        <w:rPr>
          <w:rFonts w:ascii="Times New Roman" w:hAnsi="Times New Roman"/>
        </w:rPr>
        <w:t xml:space="preserve">is unable to estimate how frequently records supporting the exempt transactions are examined by either </w:t>
      </w:r>
      <w:r>
        <w:rPr>
          <w:rFonts w:ascii="Times New Roman" w:hAnsi="Times New Roman"/>
        </w:rPr>
        <w:t xml:space="preserve">the Department </w:t>
      </w:r>
      <w:r w:rsidR="00853C8B">
        <w:rPr>
          <w:rFonts w:ascii="Times New Roman" w:hAnsi="Times New Roman"/>
        </w:rPr>
        <w:t xml:space="preserve">or </w:t>
      </w:r>
      <w:r w:rsidR="00843A73">
        <w:rPr>
          <w:rFonts w:ascii="Times New Roman" w:hAnsi="Times New Roman"/>
        </w:rPr>
        <w:t>other parties</w:t>
      </w:r>
      <w:r w:rsidR="003472F1">
        <w:rPr>
          <w:rFonts w:ascii="Times New Roman" w:hAnsi="Times New Roman"/>
        </w:rPr>
        <w:t>.  T</w:t>
      </w:r>
      <w:r>
        <w:rPr>
          <w:rFonts w:ascii="Times New Roman" w:hAnsi="Times New Roman"/>
        </w:rPr>
        <w:t xml:space="preserve">he Department </w:t>
      </w:r>
      <w:r w:rsidR="005A529D">
        <w:rPr>
          <w:rFonts w:ascii="Times New Roman" w:hAnsi="Times New Roman"/>
        </w:rPr>
        <w:t xml:space="preserve">and </w:t>
      </w:r>
      <w:r w:rsidR="005362D3">
        <w:rPr>
          <w:rFonts w:ascii="Times New Roman" w:hAnsi="Times New Roman"/>
        </w:rPr>
        <w:t xml:space="preserve">the </w:t>
      </w:r>
      <w:r w:rsidR="005A529D">
        <w:rPr>
          <w:rFonts w:ascii="Times New Roman" w:hAnsi="Times New Roman"/>
        </w:rPr>
        <w:t xml:space="preserve">Internal Revenue Service </w:t>
      </w:r>
      <w:r w:rsidR="003472F1">
        <w:rPr>
          <w:rFonts w:ascii="Times New Roman" w:hAnsi="Times New Roman"/>
        </w:rPr>
        <w:t>ha</w:t>
      </w:r>
      <w:r w:rsidR="00C10B1A">
        <w:rPr>
          <w:rFonts w:ascii="Times New Roman" w:hAnsi="Times New Roman"/>
        </w:rPr>
        <w:t>ve</w:t>
      </w:r>
      <w:r w:rsidR="003472F1">
        <w:rPr>
          <w:rFonts w:ascii="Times New Roman" w:hAnsi="Times New Roman"/>
        </w:rPr>
        <w:t xml:space="preserve"> the authority to </w:t>
      </w:r>
      <w:r w:rsidR="00853C8B">
        <w:rPr>
          <w:rFonts w:ascii="Times New Roman" w:hAnsi="Times New Roman"/>
        </w:rPr>
        <w:t xml:space="preserve">request such records </w:t>
      </w:r>
      <w:r w:rsidR="003472F1">
        <w:rPr>
          <w:rFonts w:ascii="Times New Roman" w:hAnsi="Times New Roman"/>
        </w:rPr>
        <w:t xml:space="preserve">and does so </w:t>
      </w:r>
      <w:r w:rsidR="00853C8B">
        <w:rPr>
          <w:rFonts w:ascii="Times New Roman" w:hAnsi="Times New Roman"/>
        </w:rPr>
        <w:t>from time to time</w:t>
      </w:r>
      <w:r w:rsidR="003472F1">
        <w:rPr>
          <w:rFonts w:ascii="Times New Roman" w:hAnsi="Times New Roman"/>
        </w:rPr>
        <w:t xml:space="preserve"> in connection with investigations.</w:t>
      </w:r>
    </w:p>
    <w:p w:rsidR="00972D6B" w:rsidP="00114DCC" w:rsidRDefault="00972D6B" w14:paraId="05AEB957" w14:textId="77777777">
      <w:pPr>
        <w:rPr>
          <w:rFonts w:ascii="Times New Roman" w:hAnsi="Times New Roman"/>
        </w:rPr>
      </w:pPr>
    </w:p>
    <w:p w:rsidRPr="000943EF" w:rsidR="00853C8B" w:rsidP="00FB4CA9" w:rsidRDefault="00853C8B" w14:paraId="1B08E831" w14:textId="77777777">
      <w:pPr>
        <w:tabs>
          <w:tab w:val="left" w:pos="-1440"/>
        </w:tabs>
        <w:ind w:left="720" w:hanging="720"/>
        <w:rPr>
          <w:rFonts w:ascii="Times New Roman" w:hAnsi="Times New Roman"/>
          <w:b/>
          <w:iCs/>
        </w:rPr>
      </w:pPr>
      <w:r w:rsidRPr="000943EF">
        <w:rPr>
          <w:rFonts w:ascii="Times New Roman" w:hAnsi="Times New Roman"/>
          <w:b/>
        </w:rPr>
        <w:t>3.</w:t>
      </w:r>
      <w:r w:rsidRPr="000943EF">
        <w:rPr>
          <w:rFonts w:ascii="Times New Roman" w:hAnsi="Times New Roman"/>
          <w:b/>
        </w:rPr>
        <w:tab/>
      </w:r>
      <w:r w:rsidRPr="000943EF">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853C8B" w:rsidP="00FB4CA9" w:rsidRDefault="00853C8B" w14:paraId="3FC0725F" w14:textId="77777777">
      <w:pPr>
        <w:ind w:left="720"/>
        <w:rPr>
          <w:rFonts w:ascii="Times New Roman" w:hAnsi="Times New Roman"/>
        </w:rPr>
      </w:pPr>
    </w:p>
    <w:p w:rsidR="00882635" w:rsidP="00882635" w:rsidRDefault="00882635" w14:paraId="54F086CB" w14:textId="4C136083">
      <w:pPr>
        <w:widowControl/>
        <w:ind w:left="720"/>
        <w:rPr>
          <w:rFonts w:ascii="Times New Roman" w:hAnsi="Times New Roman"/>
        </w:rPr>
      </w:pPr>
      <w:r w:rsidRPr="00747506">
        <w:rPr>
          <w:rFonts w:ascii="Times New Roman" w:hAnsi="Times New Roman"/>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E204AE" w:rsidP="00882635" w:rsidRDefault="00E204AE" w14:paraId="1E6A65D9" w14:textId="480E0F23">
      <w:pPr>
        <w:widowControl/>
        <w:ind w:left="720"/>
        <w:rPr>
          <w:rFonts w:ascii="Times New Roman" w:hAnsi="Times New Roman"/>
        </w:rPr>
      </w:pPr>
    </w:p>
    <w:p w:rsidRPr="00034DA7" w:rsidR="00E204AE" w:rsidP="00E204AE" w:rsidRDefault="00E204AE" w14:paraId="2862C8F3" w14:textId="3D7B8E47">
      <w:pPr>
        <w:pStyle w:val="BodyTextIndent"/>
        <w:rPr>
          <w:i w:val="0"/>
          <w:iCs w:val="0"/>
        </w:rPr>
      </w:pPr>
      <w:r w:rsidRPr="00034DA7">
        <w:rPr>
          <w:i w:val="0"/>
          <w:iCs w:val="0"/>
        </w:rPr>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w:t>
      </w:r>
      <w:proofErr w:type="gramStart"/>
      <w:r w:rsidRPr="00034DA7">
        <w:rPr>
          <w:i w:val="0"/>
          <w:iCs w:val="0"/>
        </w:rPr>
        <w:t>manner in which</w:t>
      </w:r>
      <w:proofErr w:type="gramEnd"/>
      <w:r w:rsidRPr="00034DA7">
        <w:rPr>
          <w:i w:val="0"/>
          <w:iCs w:val="0"/>
        </w:rPr>
        <w:t xml:space="preserve">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882635" w:rsidP="00034DA7" w:rsidRDefault="00882635" w14:paraId="2A70033F" w14:textId="77777777">
      <w:pPr>
        <w:rPr>
          <w:rFonts w:ascii="Times New Roman" w:hAnsi="Times New Roman"/>
        </w:rPr>
      </w:pPr>
    </w:p>
    <w:p w:rsidRPr="00FB4276" w:rsidR="00882635" w:rsidP="00882635" w:rsidRDefault="00882635" w14:paraId="26395823" w14:textId="77777777">
      <w:pPr>
        <w:ind w:left="720"/>
        <w:rPr>
          <w:rFonts w:ascii="Times New Roman" w:hAnsi="Times New Roman"/>
        </w:rPr>
      </w:pPr>
      <w:r>
        <w:rPr>
          <w:rFonts w:ascii="Times New Roman" w:hAnsi="Times New Roman"/>
        </w:rPr>
        <w:t xml:space="preserve">As further discussed in items 12 and 13 below, the Department has </w:t>
      </w:r>
      <w:proofErr w:type="gramStart"/>
      <w:r>
        <w:rPr>
          <w:rFonts w:ascii="Times New Roman" w:hAnsi="Times New Roman"/>
        </w:rPr>
        <w:t>taken into account</w:t>
      </w:r>
      <w:proofErr w:type="gramEnd"/>
      <w:r>
        <w:rPr>
          <w:rFonts w:ascii="Times New Roman" w:hAnsi="Times New Roman"/>
        </w:rPr>
        <w:t xml:space="preserve"> that some of the disclosures and written authorizations will be delivered electronically. </w:t>
      </w:r>
    </w:p>
    <w:p w:rsidR="00853C8B" w:rsidP="00FB4CA9" w:rsidRDefault="00853C8B" w14:paraId="00F6FECD" w14:textId="77777777">
      <w:pPr>
        <w:ind w:left="720"/>
        <w:rPr>
          <w:rFonts w:ascii="Times New Roman" w:hAnsi="Times New Roman"/>
        </w:rPr>
      </w:pPr>
    </w:p>
    <w:p w:rsidRPr="000943EF" w:rsidR="00853C8B" w:rsidP="00A53EDD" w:rsidRDefault="00853C8B" w14:paraId="1E99A7E9" w14:textId="77777777">
      <w:pPr>
        <w:tabs>
          <w:tab w:val="left" w:pos="-1440"/>
        </w:tabs>
        <w:ind w:left="720" w:hanging="720"/>
        <w:rPr>
          <w:rFonts w:ascii="Times New Roman" w:hAnsi="Times New Roman"/>
          <w:b/>
        </w:rPr>
      </w:pPr>
      <w:r w:rsidRPr="000943EF">
        <w:rPr>
          <w:rFonts w:ascii="Times New Roman" w:hAnsi="Times New Roman"/>
          <w:b/>
        </w:rPr>
        <w:t>4.</w:t>
      </w:r>
      <w:r w:rsidRPr="000943EF">
        <w:rPr>
          <w:rFonts w:ascii="Times New Roman" w:hAnsi="Times New Roman"/>
          <w:b/>
        </w:rPr>
        <w:tab/>
      </w:r>
      <w:r w:rsidRPr="000943EF">
        <w:rPr>
          <w:rFonts w:ascii="Times New Roman" w:hAnsi="Times New Roman"/>
          <w:b/>
          <w:iCs/>
        </w:rPr>
        <w:t xml:space="preserve">Describe efforts to identify duplication.  Show specifically why any similar </w:t>
      </w:r>
      <w:r w:rsidRPr="000943EF">
        <w:rPr>
          <w:rFonts w:ascii="Times New Roman" w:hAnsi="Times New Roman"/>
          <w:b/>
          <w:iCs/>
        </w:rPr>
        <w:lastRenderedPageBreak/>
        <w:t xml:space="preserve">information already available cannot be used or modified for use for the purposes described in Item 2 above.  </w:t>
      </w:r>
    </w:p>
    <w:p w:rsidR="00853C8B" w:rsidP="00A53EDD" w:rsidRDefault="00853C8B" w14:paraId="07CB5A49" w14:textId="77777777">
      <w:pPr>
        <w:ind w:left="720"/>
        <w:rPr>
          <w:rFonts w:ascii="Times New Roman" w:hAnsi="Times New Roman"/>
        </w:rPr>
      </w:pPr>
    </w:p>
    <w:p w:rsidR="00853C8B" w:rsidP="00A53EDD" w:rsidRDefault="00853C8B" w14:paraId="1F5349D2" w14:textId="407BF428">
      <w:pPr>
        <w:ind w:left="720"/>
        <w:rPr>
          <w:rFonts w:ascii="Times New Roman" w:hAnsi="Times New Roman"/>
        </w:rPr>
      </w:pPr>
      <w:r>
        <w:rPr>
          <w:rFonts w:ascii="Times New Roman" w:hAnsi="Times New Roman"/>
        </w:rPr>
        <w:t xml:space="preserve">It is likely that duplication of recordkeeping requirements </w:t>
      </w:r>
      <w:proofErr w:type="gramStart"/>
      <w:r>
        <w:rPr>
          <w:rFonts w:ascii="Times New Roman" w:hAnsi="Times New Roman"/>
        </w:rPr>
        <w:t>exist</w:t>
      </w:r>
      <w:proofErr w:type="gramEnd"/>
      <w:r>
        <w:rPr>
          <w:rFonts w:ascii="Times New Roman" w:hAnsi="Times New Roman"/>
        </w:rPr>
        <w:t xml:space="preserve"> with some </w:t>
      </w:r>
      <w:r w:rsidR="00882635">
        <w:rPr>
          <w:rFonts w:ascii="Times New Roman" w:hAnsi="Times New Roman"/>
        </w:rPr>
        <w:t>s</w:t>
      </w:r>
      <w:r>
        <w:rPr>
          <w:rFonts w:ascii="Times New Roman" w:hAnsi="Times New Roman"/>
        </w:rPr>
        <w:t xml:space="preserve">tate and federal banking and securities laws.  However, </w:t>
      </w:r>
      <w:r w:rsidR="00DC2F80">
        <w:rPr>
          <w:rFonts w:ascii="Times New Roman" w:hAnsi="Times New Roman"/>
        </w:rPr>
        <w:t xml:space="preserve">no </w:t>
      </w:r>
      <w:r>
        <w:rPr>
          <w:rFonts w:ascii="Times New Roman" w:hAnsi="Times New Roman"/>
        </w:rPr>
        <w:t xml:space="preserve">duplicate recordkeeping </w:t>
      </w:r>
      <w:r w:rsidR="00DC2F80">
        <w:rPr>
          <w:rFonts w:ascii="Times New Roman" w:hAnsi="Times New Roman"/>
        </w:rPr>
        <w:t>is</w:t>
      </w:r>
      <w:r>
        <w:rPr>
          <w:rFonts w:ascii="Times New Roman" w:hAnsi="Times New Roman"/>
        </w:rPr>
        <w:t xml:space="preserve"> required because </w:t>
      </w:r>
      <w:r w:rsidR="00DC2F80">
        <w:rPr>
          <w:rFonts w:ascii="Times New Roman" w:hAnsi="Times New Roman"/>
        </w:rPr>
        <w:t xml:space="preserve">entities </w:t>
      </w:r>
      <w:proofErr w:type="gramStart"/>
      <w:r w:rsidR="00DC2F80">
        <w:rPr>
          <w:rFonts w:ascii="Times New Roman" w:hAnsi="Times New Roman"/>
        </w:rPr>
        <w:t>are able to</w:t>
      </w:r>
      <w:proofErr w:type="gramEnd"/>
      <w:r w:rsidR="00DC2F80">
        <w:rPr>
          <w:rFonts w:ascii="Times New Roman" w:hAnsi="Times New Roman"/>
        </w:rPr>
        <w:t xml:space="preserve"> satisfy </w:t>
      </w:r>
      <w:r>
        <w:rPr>
          <w:rFonts w:ascii="Times New Roman" w:hAnsi="Times New Roman"/>
        </w:rPr>
        <w:t>the requirements of both the exemption and of the other applicable laws</w:t>
      </w:r>
      <w:r w:rsidR="00DC2F80">
        <w:rPr>
          <w:rFonts w:ascii="Times New Roman" w:hAnsi="Times New Roman"/>
        </w:rPr>
        <w:t xml:space="preserve"> through one recordkeeping arrangement</w:t>
      </w:r>
      <w:r>
        <w:rPr>
          <w:rFonts w:ascii="Times New Roman" w:hAnsi="Times New Roman"/>
        </w:rPr>
        <w:t>.</w:t>
      </w:r>
    </w:p>
    <w:p w:rsidR="00CA2983" w:rsidP="00114DCC" w:rsidRDefault="00CA2983" w14:paraId="053592BB" w14:textId="77777777">
      <w:pPr>
        <w:rPr>
          <w:rFonts w:ascii="Times New Roman" w:hAnsi="Times New Roman"/>
        </w:rPr>
      </w:pPr>
    </w:p>
    <w:p w:rsidRPr="000943EF" w:rsidR="00853C8B" w:rsidP="00A53EDD" w:rsidRDefault="00853C8B" w14:paraId="734ACD26" w14:textId="77777777">
      <w:pPr>
        <w:tabs>
          <w:tab w:val="left" w:pos="-1440"/>
        </w:tabs>
        <w:ind w:left="720" w:hanging="720"/>
        <w:rPr>
          <w:rFonts w:ascii="Times New Roman" w:hAnsi="Times New Roman"/>
          <w:b/>
          <w:iCs/>
        </w:rPr>
      </w:pPr>
      <w:r w:rsidRPr="000943EF">
        <w:rPr>
          <w:rFonts w:ascii="Times New Roman" w:hAnsi="Times New Roman"/>
          <w:b/>
        </w:rPr>
        <w:t>5.</w:t>
      </w:r>
      <w:r w:rsidRPr="000943EF">
        <w:rPr>
          <w:rFonts w:ascii="Times New Roman" w:hAnsi="Times New Roman"/>
          <w:b/>
        </w:rPr>
        <w:tab/>
      </w:r>
      <w:r w:rsidRPr="000943EF">
        <w:rPr>
          <w:rFonts w:ascii="Times New Roman" w:hAnsi="Times New Roman"/>
          <w:b/>
          <w:iCs/>
        </w:rPr>
        <w:t>If the collection of information impacts small businesses or other small entities, describe any methods used to minimize burden.</w:t>
      </w:r>
    </w:p>
    <w:p w:rsidR="00853C8B" w:rsidP="00A53EDD" w:rsidRDefault="00853C8B" w14:paraId="17AD1402" w14:textId="77777777">
      <w:pPr>
        <w:ind w:left="720"/>
        <w:rPr>
          <w:rFonts w:ascii="Times New Roman" w:hAnsi="Times New Roman"/>
        </w:rPr>
      </w:pPr>
    </w:p>
    <w:p w:rsidR="00853C8B" w:rsidP="00A53EDD" w:rsidRDefault="00496544" w14:paraId="65E54519" w14:textId="77777777">
      <w:pPr>
        <w:ind w:left="720"/>
        <w:rPr>
          <w:rFonts w:ascii="Times New Roman" w:hAnsi="Times New Roman"/>
        </w:rPr>
      </w:pPr>
      <w:r>
        <w:rPr>
          <w:rFonts w:ascii="Times New Roman" w:hAnsi="Times New Roman"/>
        </w:rPr>
        <w:t>L</w:t>
      </w:r>
      <w:r w:rsidR="00853C8B">
        <w:rPr>
          <w:rFonts w:ascii="Times New Roman" w:hAnsi="Times New Roman"/>
        </w:rPr>
        <w:t xml:space="preserve">arge institutional financial service providers </w:t>
      </w:r>
      <w:r>
        <w:rPr>
          <w:rFonts w:ascii="Times New Roman" w:hAnsi="Times New Roman"/>
        </w:rPr>
        <w:t xml:space="preserve">are </w:t>
      </w:r>
      <w:r w:rsidR="00853C8B">
        <w:rPr>
          <w:rFonts w:ascii="Times New Roman" w:hAnsi="Times New Roman"/>
        </w:rPr>
        <w:t xml:space="preserve">most likely to engage in the covered transactions.  However, even if small </w:t>
      </w:r>
      <w:r w:rsidR="0035337B">
        <w:rPr>
          <w:rFonts w:ascii="Times New Roman" w:hAnsi="Times New Roman"/>
        </w:rPr>
        <w:t>entities</w:t>
      </w:r>
      <w:r w:rsidR="00853C8B">
        <w:rPr>
          <w:rFonts w:ascii="Times New Roman" w:hAnsi="Times New Roman"/>
        </w:rPr>
        <w:t xml:space="preserve"> are involved in these transactions, the burden is </w:t>
      </w:r>
      <w:r w:rsidR="0035337B">
        <w:rPr>
          <w:rFonts w:ascii="Times New Roman" w:hAnsi="Times New Roman"/>
        </w:rPr>
        <w:t>believed</w:t>
      </w:r>
      <w:r w:rsidR="00853C8B">
        <w:rPr>
          <w:rFonts w:ascii="Times New Roman" w:hAnsi="Times New Roman"/>
        </w:rPr>
        <w:t xml:space="preserve"> to be minimal because </w:t>
      </w:r>
      <w:r w:rsidR="00DC2F80">
        <w:rPr>
          <w:rFonts w:ascii="Times New Roman" w:hAnsi="Times New Roman"/>
        </w:rPr>
        <w:t xml:space="preserve">most entities maintain the subject records a part of their ordinary and customary business practices or for other reasons, including other </w:t>
      </w:r>
      <w:r w:rsidR="00853C8B">
        <w:rPr>
          <w:rFonts w:ascii="Times New Roman" w:hAnsi="Times New Roman"/>
        </w:rPr>
        <w:t xml:space="preserve">state and </w:t>
      </w:r>
      <w:r w:rsidR="00DC2F80">
        <w:rPr>
          <w:rFonts w:ascii="Times New Roman" w:hAnsi="Times New Roman"/>
        </w:rPr>
        <w:t>F</w:t>
      </w:r>
      <w:r w:rsidR="00853C8B">
        <w:rPr>
          <w:rFonts w:ascii="Times New Roman" w:hAnsi="Times New Roman"/>
        </w:rPr>
        <w:t>ederal securities regulatory requirements</w:t>
      </w:r>
      <w:r w:rsidR="00DC2F80">
        <w:rPr>
          <w:rFonts w:ascii="Times New Roman" w:hAnsi="Times New Roman"/>
        </w:rPr>
        <w:t>.</w:t>
      </w:r>
    </w:p>
    <w:p w:rsidR="00853C8B" w:rsidP="000A6413" w:rsidRDefault="00853C8B" w14:paraId="04D56C07" w14:textId="77777777">
      <w:pPr>
        <w:rPr>
          <w:rFonts w:ascii="Times New Roman" w:hAnsi="Times New Roman"/>
        </w:rPr>
      </w:pPr>
    </w:p>
    <w:p w:rsidRPr="000943EF" w:rsidR="00853C8B" w:rsidP="00A53EDD" w:rsidRDefault="00853C8B" w14:paraId="0A9DF32E" w14:textId="77777777">
      <w:pPr>
        <w:tabs>
          <w:tab w:val="left" w:pos="-1440"/>
        </w:tabs>
        <w:ind w:left="720" w:hanging="720"/>
        <w:rPr>
          <w:rFonts w:ascii="Times New Roman" w:hAnsi="Times New Roman"/>
          <w:b/>
        </w:rPr>
      </w:pPr>
      <w:r w:rsidRPr="000943EF">
        <w:rPr>
          <w:rFonts w:ascii="Times New Roman" w:hAnsi="Times New Roman"/>
          <w:b/>
        </w:rPr>
        <w:t>6.</w:t>
      </w:r>
      <w:r w:rsidRPr="000943EF">
        <w:rPr>
          <w:rFonts w:ascii="Times New Roman" w:hAnsi="Times New Roman"/>
          <w:b/>
        </w:rPr>
        <w:tab/>
      </w:r>
      <w:r w:rsidRPr="000943EF">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00853C8B" w:rsidP="00A53EDD" w:rsidRDefault="00853C8B" w14:paraId="6886ECBF" w14:textId="77777777">
      <w:pPr>
        <w:ind w:left="720"/>
        <w:rPr>
          <w:rFonts w:ascii="Times New Roman" w:hAnsi="Times New Roman"/>
        </w:rPr>
      </w:pPr>
    </w:p>
    <w:p w:rsidR="00882635" w:rsidP="00882635" w:rsidRDefault="00882635" w14:paraId="1B354EB4" w14:textId="5B819244">
      <w:pPr>
        <w:ind w:left="720"/>
        <w:rPr>
          <w:rFonts w:ascii="Times New Roman" w:hAnsi="Times New Roman"/>
        </w:rPr>
      </w:pPr>
      <w:r w:rsidRPr="00AB25C5">
        <w:rPr>
          <w:rFonts w:ascii="Times New Roman" w:hAnsi="Times New Roman"/>
        </w:rPr>
        <w:t xml:space="preserve">The requirements of </w:t>
      </w:r>
      <w:r>
        <w:rPr>
          <w:rFonts w:ascii="Times New Roman" w:hAnsi="Times New Roman"/>
        </w:rPr>
        <w:t xml:space="preserve">this </w:t>
      </w:r>
      <w:r w:rsidRPr="00AB25C5">
        <w:rPr>
          <w:rFonts w:ascii="Times New Roman" w:hAnsi="Times New Roman"/>
        </w:rPr>
        <w:t xml:space="preserve">PTE are only </w:t>
      </w:r>
      <w:r w:rsidR="0019406F">
        <w:rPr>
          <w:rFonts w:ascii="Times New Roman" w:hAnsi="Times New Roman"/>
        </w:rPr>
        <w:t>required</w:t>
      </w:r>
      <w:r w:rsidRPr="00AB25C5" w:rsidR="0019406F">
        <w:rPr>
          <w:rFonts w:ascii="Times New Roman" w:hAnsi="Times New Roman"/>
        </w:rPr>
        <w:t xml:space="preserve"> </w:t>
      </w:r>
      <w:r w:rsidRPr="00AB25C5">
        <w:rPr>
          <w:rFonts w:ascii="Times New Roman" w:hAnsi="Times New Roman"/>
        </w:rPr>
        <w:t xml:space="preserve">if </w:t>
      </w:r>
      <w:r>
        <w:rPr>
          <w:rFonts w:ascii="Times New Roman" w:hAnsi="Times New Roman"/>
        </w:rPr>
        <w:t xml:space="preserve">entities </w:t>
      </w:r>
      <w:r w:rsidRPr="00AB25C5">
        <w:rPr>
          <w:rFonts w:ascii="Times New Roman" w:hAnsi="Times New Roman"/>
        </w:rPr>
        <w:t xml:space="preserve">wish to utilize the class exemption.  The frequency is dependent </w:t>
      </w:r>
      <w:r>
        <w:rPr>
          <w:rFonts w:ascii="Times New Roman" w:hAnsi="Times New Roman"/>
        </w:rPr>
        <w:t>up</w:t>
      </w:r>
      <w:r w:rsidRPr="00AB25C5">
        <w:rPr>
          <w:rFonts w:ascii="Times New Roman" w:hAnsi="Times New Roman"/>
        </w:rPr>
        <w:t xml:space="preserve">on the occurrence of such transactions, not on a predetermined </w:t>
      </w:r>
      <w:proofErr w:type="gramStart"/>
      <w:r w:rsidRPr="00AB25C5">
        <w:rPr>
          <w:rFonts w:ascii="Times New Roman" w:hAnsi="Times New Roman"/>
        </w:rPr>
        <w:t>time period</w:t>
      </w:r>
      <w:proofErr w:type="gramEnd"/>
      <w:r w:rsidRPr="00AB25C5">
        <w:rPr>
          <w:rFonts w:ascii="Times New Roman" w:hAnsi="Times New Roman"/>
        </w:rPr>
        <w:t xml:space="preserve">.  </w:t>
      </w:r>
    </w:p>
    <w:p w:rsidR="00882635" w:rsidP="00A53EDD" w:rsidRDefault="00882635" w14:paraId="671917C5" w14:textId="77777777">
      <w:pPr>
        <w:ind w:left="720"/>
        <w:rPr>
          <w:rFonts w:ascii="Times New Roman" w:hAnsi="Times New Roman"/>
        </w:rPr>
      </w:pPr>
    </w:p>
    <w:p w:rsidR="00882635" w:rsidP="00882635" w:rsidRDefault="00882635" w14:paraId="48B1CC3D" w14:textId="77777777">
      <w:pPr>
        <w:ind w:left="720"/>
        <w:rPr>
          <w:rFonts w:ascii="Times New Roman" w:hAnsi="Times New Roman"/>
        </w:rPr>
      </w:pPr>
      <w:r>
        <w:rPr>
          <w:rFonts w:ascii="Times New Roman" w:hAnsi="Times New Roman"/>
        </w:rPr>
        <w:t>If the disclosure and recordkeeping requirements were not included in PTE 75-1, the Department could not ensure that the exemption is protective of the rights of participants and beneficiaries as required under ERISA section 408(a) and Code section 4975(c)(2).</w:t>
      </w:r>
    </w:p>
    <w:p w:rsidR="00853C8B" w:rsidP="00A53EDD" w:rsidRDefault="00853C8B" w14:paraId="67F51AAC" w14:textId="77777777">
      <w:pPr>
        <w:ind w:left="720"/>
        <w:rPr>
          <w:rFonts w:ascii="Times New Roman" w:hAnsi="Times New Roman"/>
        </w:rPr>
      </w:pPr>
    </w:p>
    <w:p w:rsidRPr="000943EF" w:rsidR="00853C8B" w:rsidP="00ED7294" w:rsidRDefault="00853C8B" w14:paraId="410D2282" w14:textId="77777777">
      <w:pPr>
        <w:tabs>
          <w:tab w:val="left" w:pos="-1440"/>
        </w:tabs>
        <w:ind w:left="720" w:hanging="720"/>
        <w:rPr>
          <w:rFonts w:ascii="Times New Roman" w:hAnsi="Times New Roman"/>
          <w:b/>
          <w:iCs/>
        </w:rPr>
      </w:pPr>
      <w:r w:rsidRPr="000943EF">
        <w:rPr>
          <w:rFonts w:ascii="Times New Roman" w:hAnsi="Times New Roman"/>
          <w:b/>
        </w:rPr>
        <w:t>7.</w:t>
      </w:r>
      <w:r w:rsidRPr="000943EF">
        <w:rPr>
          <w:rFonts w:ascii="Times New Roman" w:hAnsi="Times New Roman"/>
          <w:b/>
        </w:rPr>
        <w:tab/>
      </w:r>
      <w:r w:rsidRPr="000943EF">
        <w:rPr>
          <w:rFonts w:ascii="Times New Roman" w:hAnsi="Times New Roman"/>
          <w:b/>
          <w:iCs/>
        </w:rPr>
        <w:t>Explain any special circumstances that would cause an information collection to be conducted in a manner:</w:t>
      </w:r>
    </w:p>
    <w:p w:rsidRPr="000943EF" w:rsidR="00853C8B" w:rsidP="00ED7294" w:rsidRDefault="00853C8B" w14:paraId="2FF1AFE4"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 xml:space="preserve">requiring respondents to report information to the agency more often than </w:t>
      </w:r>
      <w:proofErr w:type="gramStart"/>
      <w:r w:rsidRPr="000943EF">
        <w:rPr>
          <w:rFonts w:ascii="Times New Roman" w:hAnsi="Times New Roman"/>
          <w:b/>
          <w:iCs/>
        </w:rPr>
        <w:t>quarterly;</w:t>
      </w:r>
      <w:proofErr w:type="gramEnd"/>
    </w:p>
    <w:p w:rsidRPr="000943EF" w:rsidR="00853C8B" w:rsidP="00ED7294" w:rsidRDefault="00853C8B" w14:paraId="65F58F6C"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 xml:space="preserve">requiring respondents to prepare a written response to a collection of information in fewer than 30 days after receipt of </w:t>
      </w:r>
      <w:proofErr w:type="gramStart"/>
      <w:r w:rsidRPr="000943EF">
        <w:rPr>
          <w:rFonts w:ascii="Times New Roman" w:hAnsi="Times New Roman"/>
          <w:b/>
          <w:iCs/>
        </w:rPr>
        <w:t>it;</w:t>
      </w:r>
      <w:proofErr w:type="gramEnd"/>
    </w:p>
    <w:p w:rsidRPr="000943EF" w:rsidR="00853C8B" w:rsidP="00ED7294" w:rsidRDefault="00853C8B" w14:paraId="188C1B06"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 xml:space="preserve">requiring respondents to submit more than an original and two copies of any </w:t>
      </w:r>
      <w:proofErr w:type="gramStart"/>
      <w:r w:rsidRPr="000943EF">
        <w:rPr>
          <w:rFonts w:ascii="Times New Roman" w:hAnsi="Times New Roman"/>
          <w:b/>
          <w:iCs/>
        </w:rPr>
        <w:t>document;</w:t>
      </w:r>
      <w:proofErr w:type="gramEnd"/>
    </w:p>
    <w:p w:rsidRPr="000943EF" w:rsidR="00853C8B" w:rsidP="00ED7294" w:rsidRDefault="00853C8B" w14:paraId="51F56129"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 xml:space="preserve">requiring respondents to retain records, other than health, medical, government contract, grant-in-aid, or tax records for more than three </w:t>
      </w:r>
      <w:proofErr w:type="gramStart"/>
      <w:r w:rsidRPr="000943EF">
        <w:rPr>
          <w:rFonts w:ascii="Times New Roman" w:hAnsi="Times New Roman"/>
          <w:b/>
          <w:iCs/>
        </w:rPr>
        <w:t>years;</w:t>
      </w:r>
      <w:proofErr w:type="gramEnd"/>
    </w:p>
    <w:p w:rsidRPr="000943EF" w:rsidR="00853C8B" w:rsidP="00ED7294" w:rsidRDefault="00853C8B" w14:paraId="4D9D53A3"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 xml:space="preserve">in connection with a statistical survey, that is not designed to produce valid and reliable results that can be generalized to the universe of </w:t>
      </w:r>
      <w:proofErr w:type="gramStart"/>
      <w:r w:rsidRPr="000943EF">
        <w:rPr>
          <w:rFonts w:ascii="Times New Roman" w:hAnsi="Times New Roman"/>
          <w:b/>
          <w:iCs/>
        </w:rPr>
        <w:t>study;</w:t>
      </w:r>
      <w:proofErr w:type="gramEnd"/>
    </w:p>
    <w:p w:rsidRPr="000943EF" w:rsidR="00853C8B" w:rsidP="00ED7294" w:rsidRDefault="00853C8B" w14:paraId="279E63B7" w14:textId="77777777">
      <w:pPr>
        <w:tabs>
          <w:tab w:val="left" w:pos="-1440"/>
        </w:tabs>
        <w:ind w:left="1440" w:hanging="720"/>
        <w:rPr>
          <w:rFonts w:ascii="Times New Roman" w:hAnsi="Times New Roman"/>
          <w:b/>
          <w:iCs/>
        </w:rPr>
      </w:pPr>
      <w:r w:rsidRPr="000943EF">
        <w:rPr>
          <w:rFonts w:ascii="Times New Roman" w:hAnsi="Times New Roman"/>
          <w:b/>
          <w:iCs/>
        </w:rPr>
        <w:lastRenderedPageBreak/>
        <w:t>•</w:t>
      </w:r>
      <w:r w:rsidRPr="000943EF">
        <w:rPr>
          <w:rFonts w:ascii="Times New Roman" w:hAnsi="Times New Roman"/>
          <w:b/>
          <w:iCs/>
        </w:rPr>
        <w:tab/>
        <w:t xml:space="preserve">requiring the use of a statistical data classification that has not been reviewed and approved by </w:t>
      </w:r>
      <w:proofErr w:type="gramStart"/>
      <w:r w:rsidRPr="000943EF">
        <w:rPr>
          <w:rFonts w:ascii="Times New Roman" w:hAnsi="Times New Roman"/>
          <w:b/>
          <w:iCs/>
        </w:rPr>
        <w:t>OMB;</w:t>
      </w:r>
      <w:proofErr w:type="gramEnd"/>
    </w:p>
    <w:p w:rsidRPr="000943EF" w:rsidR="00853C8B" w:rsidP="00ED7294" w:rsidRDefault="00853C8B" w14:paraId="0264329C"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943EF" w:rsidR="00853C8B" w:rsidP="00ED7294" w:rsidRDefault="00853C8B" w14:paraId="58F636F4"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p>
    <w:p w:rsidR="00853C8B" w:rsidP="00ED7294" w:rsidRDefault="00853C8B" w14:paraId="78A715E4" w14:textId="77777777">
      <w:pPr>
        <w:ind w:left="720"/>
        <w:rPr>
          <w:rFonts w:ascii="Times New Roman" w:hAnsi="Times New Roman"/>
        </w:rPr>
      </w:pPr>
    </w:p>
    <w:p w:rsidR="00853C8B" w:rsidP="00797B39" w:rsidRDefault="00074ED5" w14:paraId="3CFFC836" w14:textId="64AA9944">
      <w:pPr>
        <w:ind w:left="720"/>
        <w:rPr>
          <w:rFonts w:ascii="Times New Roman" w:hAnsi="Times New Roman"/>
        </w:rPr>
      </w:pPr>
      <w:r>
        <w:rPr>
          <w:rFonts w:ascii="Times New Roman" w:hAnsi="Times New Roman"/>
        </w:rPr>
        <w:t xml:space="preserve">Because this exemption is granted under section 408(a) of ERISA and section 4975(c)(2) of the Code, the exclusion from the </w:t>
      </w:r>
      <w:proofErr w:type="gramStart"/>
      <w:r>
        <w:rPr>
          <w:rFonts w:ascii="Times New Roman" w:hAnsi="Times New Roman"/>
        </w:rPr>
        <w:t>three year</w:t>
      </w:r>
      <w:proofErr w:type="gramEnd"/>
      <w:r>
        <w:rPr>
          <w:rFonts w:ascii="Times New Roman" w:hAnsi="Times New Roman"/>
        </w:rPr>
        <w:t xml:space="preserve"> guideline for record retention set forth in 5 CFR 1320.5 is applicable.  Furthermore, </w:t>
      </w:r>
      <w:proofErr w:type="gramStart"/>
      <w:r>
        <w:rPr>
          <w:rFonts w:ascii="Times New Roman" w:hAnsi="Times New Roman"/>
        </w:rPr>
        <w:t>as a result of</w:t>
      </w:r>
      <w:proofErr w:type="gramEnd"/>
      <w:r>
        <w:rPr>
          <w:rFonts w:ascii="Times New Roman" w:hAnsi="Times New Roman"/>
        </w:rPr>
        <w:t xml:space="preserve"> statutory recordkeeping requirements in ERISA, the Code, and other federal laws the respondents affected by this exemption (financial institutions that deal with employee benefit plans), for the most part, have adopted six-year recordkeeping as standard business practice in order to satisfy those separate recordkeeping requirements</w:t>
      </w:r>
      <w:r w:rsidRPr="003A41BC">
        <w:rPr>
          <w:rFonts w:ascii="Times New Roman" w:hAnsi="Times New Roman"/>
        </w:rPr>
        <w:t>.</w:t>
      </w:r>
    </w:p>
    <w:p w:rsidR="00882635" w:rsidP="00B955AB" w:rsidRDefault="00882635" w14:paraId="3BB0872D" w14:textId="77777777">
      <w:pPr>
        <w:ind w:left="720"/>
        <w:rPr>
          <w:rFonts w:ascii="Times New Roman" w:hAnsi="Times New Roman"/>
        </w:rPr>
      </w:pPr>
    </w:p>
    <w:p w:rsidRPr="00882635" w:rsidR="00B955AB" w:rsidP="00B955AB" w:rsidRDefault="00882635" w14:paraId="5172DBE8" w14:textId="3E49CE55">
      <w:pPr>
        <w:ind w:left="720"/>
        <w:rPr>
          <w:rFonts w:ascii="Times New Roman" w:hAnsi="Times New Roman"/>
        </w:rPr>
      </w:pPr>
      <w:r w:rsidRPr="00882635">
        <w:rPr>
          <w:rFonts w:ascii="Times New Roman" w:hAnsi="Times New Roman"/>
        </w:rPr>
        <w:t>Under the recor</w:t>
      </w:r>
      <w:r>
        <w:rPr>
          <w:rFonts w:ascii="Times New Roman" w:hAnsi="Times New Roman"/>
        </w:rPr>
        <w:t>dkeeping provisions of the amended</w:t>
      </w:r>
      <w:r w:rsidRPr="00882635">
        <w:rPr>
          <w:rFonts w:ascii="Times New Roman" w:hAnsi="Times New Roman"/>
        </w:rPr>
        <w:t xml:space="preserve"> exemption, fiduciaries are not required to disclose records that are privileged trade secrets or privileged commercial or financial information to plan fiduciaries, participants or beneficiaries, IRA owners, or their representatives. However, if the fiduciary refuses to disclose information on the basis that the information is exempt from disclosure, the fiduciary must, by the close of the thirtieth (30th) day following the request, provide a written notice advising the requestor of the reasons for the refusal and that the Department may request such information.</w:t>
      </w:r>
    </w:p>
    <w:p w:rsidR="00853C8B" w:rsidP="00797B39" w:rsidRDefault="00853C8B" w14:paraId="40F67D6A" w14:textId="77777777">
      <w:pPr>
        <w:ind w:left="720"/>
        <w:rPr>
          <w:rFonts w:ascii="Times New Roman" w:hAnsi="Times New Roman"/>
        </w:rPr>
      </w:pPr>
    </w:p>
    <w:p w:rsidRPr="000943EF" w:rsidR="00853C8B" w:rsidP="00ED7294" w:rsidRDefault="00853C8B" w14:paraId="4B36317C" w14:textId="77777777">
      <w:pPr>
        <w:tabs>
          <w:tab w:val="left" w:pos="-1440"/>
        </w:tabs>
        <w:ind w:left="720" w:hanging="720"/>
        <w:rPr>
          <w:rFonts w:ascii="Times New Roman" w:hAnsi="Times New Roman"/>
          <w:b/>
          <w:iCs/>
        </w:rPr>
      </w:pPr>
      <w:r w:rsidRPr="000943EF">
        <w:rPr>
          <w:rFonts w:ascii="Times New Roman" w:hAnsi="Times New Roman"/>
          <w:b/>
        </w:rPr>
        <w:t>8.</w:t>
      </w:r>
      <w:r w:rsidRPr="000943EF">
        <w:rPr>
          <w:rFonts w:ascii="Times New Roman" w:hAnsi="Times New Roman"/>
          <w:b/>
        </w:rPr>
        <w:tab/>
      </w:r>
      <w:r w:rsidRPr="000943EF">
        <w:rPr>
          <w:rFonts w:ascii="Times New Roman" w:hAnsi="Times New Roman"/>
          <w:b/>
          <w:iCs/>
        </w:rPr>
        <w:t xml:space="preserve">If applicable, provide a copy and identify the date and page number of </w:t>
      </w:r>
      <w:proofErr w:type="gramStart"/>
      <w:r w:rsidRPr="000943EF">
        <w:rPr>
          <w:rFonts w:ascii="Times New Roman" w:hAnsi="Times New Roman"/>
          <w:b/>
          <w:iCs/>
        </w:rPr>
        <w:t>publication</w:t>
      </w:r>
      <w:proofErr w:type="gramEnd"/>
      <w:r w:rsidRPr="000943EF">
        <w:rPr>
          <w:rFonts w:ascii="Times New Roman" w:hAnsi="Times New Roman"/>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943EF" w:rsidR="00853C8B" w:rsidP="00ED7294" w:rsidRDefault="00853C8B" w14:paraId="7915440D" w14:textId="77777777">
      <w:pPr>
        <w:ind w:left="720"/>
        <w:rPr>
          <w:rFonts w:ascii="Times New Roman" w:hAnsi="Times New Roman"/>
          <w:b/>
          <w:iCs/>
        </w:rPr>
      </w:pPr>
    </w:p>
    <w:p w:rsidRPr="000943EF" w:rsidR="00853C8B" w:rsidP="00ED7294" w:rsidRDefault="00853C8B" w14:paraId="3FE0970A" w14:textId="77777777">
      <w:pPr>
        <w:ind w:left="720"/>
        <w:rPr>
          <w:rFonts w:ascii="Times New Roman" w:hAnsi="Times New Roman"/>
          <w:b/>
          <w:iCs/>
        </w:rPr>
      </w:pPr>
      <w:r w:rsidRPr="000943EF">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943EF" w:rsidR="00853C8B" w:rsidP="00ED7294" w:rsidRDefault="00853C8B" w14:paraId="260F3F43" w14:textId="77777777">
      <w:pPr>
        <w:ind w:left="720"/>
        <w:rPr>
          <w:rFonts w:ascii="Times New Roman" w:hAnsi="Times New Roman"/>
          <w:b/>
          <w:iCs/>
        </w:rPr>
      </w:pPr>
    </w:p>
    <w:p w:rsidRPr="000943EF" w:rsidR="00853C8B" w:rsidP="00ED7294" w:rsidRDefault="00853C8B" w14:paraId="31FAC502" w14:textId="77777777">
      <w:pPr>
        <w:pStyle w:val="BodyTextIndent"/>
        <w:rPr>
          <w:b/>
          <w:i w:val="0"/>
        </w:rPr>
      </w:pPr>
      <w:r w:rsidRPr="000943EF">
        <w:rPr>
          <w:b/>
          <w:i w:val="0"/>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53C8B" w:rsidP="00ED7294" w:rsidRDefault="00853C8B" w14:paraId="7C64A521" w14:textId="77777777">
      <w:pPr>
        <w:ind w:left="720"/>
        <w:rPr>
          <w:rFonts w:ascii="Times New Roman" w:hAnsi="Times New Roman"/>
        </w:rPr>
      </w:pPr>
    </w:p>
    <w:p w:rsidR="002B570E" w:rsidP="00ED7294" w:rsidRDefault="002B570E" w14:paraId="482339D1" w14:textId="7056E60A">
      <w:pPr>
        <w:ind w:left="720"/>
        <w:rPr>
          <w:rFonts w:ascii="Times New Roman" w:hAnsi="Times New Roman"/>
        </w:rPr>
      </w:pPr>
      <w:r w:rsidRPr="002B570E">
        <w:rPr>
          <w:rFonts w:ascii="Times New Roman" w:hAnsi="Times New Roman"/>
        </w:rPr>
        <w:t xml:space="preserve">The Department’s notice soliciting public comment and providing 60 days for that purpose as required by 5 CFR 1320.8 (d) was published in the Federal Register on March 17, 2022 (87 FR </w:t>
      </w:r>
      <w:bookmarkStart w:name="OLE_LINK1" w:id="1"/>
      <w:r w:rsidRPr="002B570E">
        <w:rPr>
          <w:rFonts w:ascii="Times New Roman" w:hAnsi="Times New Roman"/>
        </w:rPr>
        <w:t>15267</w:t>
      </w:r>
      <w:bookmarkEnd w:id="1"/>
      <w:r w:rsidRPr="002B570E">
        <w:rPr>
          <w:rFonts w:ascii="Times New Roman" w:hAnsi="Times New Roman"/>
        </w:rPr>
        <w:t xml:space="preserve">).  No comments were received. </w:t>
      </w:r>
    </w:p>
    <w:p w:rsidR="00853C8B" w:rsidP="00024FF0" w:rsidRDefault="003B5EF3" w14:paraId="4B331F69" w14:textId="2F12A97D">
      <w:pPr>
        <w:ind w:left="720"/>
        <w:rPr>
          <w:rFonts w:ascii="Times New Roman" w:hAnsi="Times New Roman"/>
        </w:rPr>
      </w:pPr>
      <w:r w:rsidRPr="003B5EF3">
        <w:rPr>
          <w:rFonts w:ascii="Times New Roman" w:hAnsi="Times New Roman"/>
        </w:rPr>
        <w:t xml:space="preserve"> </w:t>
      </w:r>
    </w:p>
    <w:p w:rsidRPr="005A3692" w:rsidR="00853C8B" w:rsidP="00ED7294" w:rsidRDefault="00853C8B" w14:paraId="0348D039" w14:textId="77777777">
      <w:pPr>
        <w:tabs>
          <w:tab w:val="left" w:pos="-1440"/>
        </w:tabs>
        <w:ind w:left="720" w:hanging="720"/>
        <w:rPr>
          <w:rFonts w:ascii="Times New Roman" w:hAnsi="Times New Roman"/>
          <w:b/>
          <w:iCs/>
        </w:rPr>
      </w:pPr>
      <w:r w:rsidRPr="005A3692">
        <w:rPr>
          <w:rFonts w:ascii="Times New Roman" w:hAnsi="Times New Roman"/>
          <w:b/>
        </w:rPr>
        <w:t>9.</w:t>
      </w:r>
      <w:r w:rsidRPr="005A3692">
        <w:rPr>
          <w:rFonts w:ascii="Times New Roman" w:hAnsi="Times New Roman"/>
          <w:b/>
        </w:rPr>
        <w:tab/>
      </w:r>
      <w:r w:rsidRPr="005A3692">
        <w:rPr>
          <w:rFonts w:ascii="Times New Roman" w:hAnsi="Times New Roman"/>
          <w:b/>
          <w:iCs/>
        </w:rPr>
        <w:t>Explain any decision to provide any payment or gift to respondents, other than remuneration of contractors or grantees.</w:t>
      </w:r>
    </w:p>
    <w:p w:rsidR="00853C8B" w:rsidP="00ED7294" w:rsidRDefault="00853C8B" w14:paraId="1B68C7D1" w14:textId="77777777">
      <w:pPr>
        <w:ind w:left="720"/>
        <w:rPr>
          <w:rFonts w:ascii="Times New Roman" w:hAnsi="Times New Roman"/>
        </w:rPr>
      </w:pPr>
    </w:p>
    <w:p w:rsidR="00853C8B" w:rsidP="00ED7294" w:rsidRDefault="00853C8B" w14:paraId="1DC65DBE" w14:textId="77777777">
      <w:pPr>
        <w:ind w:left="720"/>
        <w:rPr>
          <w:rFonts w:ascii="Times New Roman" w:hAnsi="Times New Roman"/>
        </w:rPr>
      </w:pPr>
      <w:r>
        <w:rPr>
          <w:rFonts w:ascii="Times New Roman" w:hAnsi="Times New Roman"/>
        </w:rPr>
        <w:t>Not applicable.</w:t>
      </w:r>
    </w:p>
    <w:p w:rsidRPr="000943EF" w:rsidR="00853C8B" w:rsidP="00ED7294" w:rsidRDefault="00853C8B" w14:paraId="5E071112" w14:textId="77777777">
      <w:pPr>
        <w:ind w:left="720"/>
        <w:rPr>
          <w:rFonts w:ascii="Times New Roman" w:hAnsi="Times New Roman"/>
          <w:b/>
        </w:rPr>
      </w:pPr>
    </w:p>
    <w:p w:rsidRPr="000943EF" w:rsidR="00853C8B" w:rsidP="00ED7294" w:rsidRDefault="00853C8B" w14:paraId="5026D194" w14:textId="77777777">
      <w:pPr>
        <w:tabs>
          <w:tab w:val="left" w:pos="-1440"/>
        </w:tabs>
        <w:ind w:left="720" w:hanging="720"/>
        <w:rPr>
          <w:rFonts w:ascii="Times New Roman" w:hAnsi="Times New Roman"/>
          <w:b/>
          <w:iCs/>
        </w:rPr>
      </w:pPr>
      <w:r w:rsidRPr="000943EF">
        <w:rPr>
          <w:rFonts w:ascii="Times New Roman" w:hAnsi="Times New Roman"/>
          <w:b/>
        </w:rPr>
        <w:t>10.</w:t>
      </w:r>
      <w:r w:rsidRPr="000943EF">
        <w:rPr>
          <w:rFonts w:ascii="Times New Roman" w:hAnsi="Times New Roman"/>
          <w:b/>
        </w:rPr>
        <w:tab/>
      </w:r>
      <w:r w:rsidRPr="000943EF">
        <w:rPr>
          <w:rFonts w:ascii="Times New Roman" w:hAnsi="Times New Roman"/>
          <w:b/>
          <w:iCs/>
        </w:rPr>
        <w:t>Describe any assurance of confidentiality provided to respondents and the basis for the assurance in statute, regulation, or agency policy.</w:t>
      </w:r>
    </w:p>
    <w:p w:rsidR="00853C8B" w:rsidP="00ED7294" w:rsidRDefault="00853C8B" w14:paraId="7C430622" w14:textId="77777777">
      <w:pPr>
        <w:ind w:left="720"/>
        <w:rPr>
          <w:rFonts w:ascii="Times New Roman" w:hAnsi="Times New Roman"/>
        </w:rPr>
      </w:pPr>
    </w:p>
    <w:p w:rsidR="00853C8B" w:rsidP="00ED7294" w:rsidRDefault="00853C8B" w14:paraId="324F51B8" w14:textId="77777777">
      <w:pPr>
        <w:ind w:left="720"/>
        <w:rPr>
          <w:rFonts w:ascii="Times New Roman" w:hAnsi="Times New Roman"/>
        </w:rPr>
      </w:pPr>
      <w:r>
        <w:rPr>
          <w:rFonts w:ascii="Times New Roman" w:hAnsi="Times New Roman"/>
        </w:rPr>
        <w:t>None.</w:t>
      </w:r>
    </w:p>
    <w:p w:rsidR="00853C8B" w:rsidP="00ED7294" w:rsidRDefault="00853C8B" w14:paraId="27FED3FD" w14:textId="77777777">
      <w:pPr>
        <w:ind w:left="720"/>
        <w:rPr>
          <w:rFonts w:ascii="Times New Roman" w:hAnsi="Times New Roman"/>
        </w:rPr>
      </w:pPr>
    </w:p>
    <w:p w:rsidRPr="005A3692" w:rsidR="00853C8B" w:rsidP="00ED7294" w:rsidRDefault="00853C8B" w14:paraId="76176A12" w14:textId="77777777">
      <w:pPr>
        <w:tabs>
          <w:tab w:val="left" w:pos="-1440"/>
        </w:tabs>
        <w:ind w:left="720" w:hanging="720"/>
        <w:rPr>
          <w:rFonts w:ascii="Times New Roman" w:hAnsi="Times New Roman"/>
          <w:b/>
          <w:iCs/>
        </w:rPr>
      </w:pPr>
      <w:r w:rsidRPr="005A3692">
        <w:rPr>
          <w:rFonts w:ascii="Times New Roman" w:hAnsi="Times New Roman"/>
          <w:b/>
        </w:rPr>
        <w:t>11.</w:t>
      </w:r>
      <w:r w:rsidRPr="005A3692">
        <w:rPr>
          <w:rFonts w:ascii="Times New Roman" w:hAnsi="Times New Roman"/>
          <w:b/>
        </w:rPr>
        <w:tab/>
      </w:r>
      <w:r w:rsidRPr="005A3692">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3C8B" w:rsidP="00380809" w:rsidRDefault="00853C8B" w14:paraId="7B4D3A95" w14:textId="77777777">
      <w:pPr>
        <w:ind w:left="720"/>
        <w:rPr>
          <w:rFonts w:ascii="Times New Roman" w:hAnsi="Times New Roman"/>
          <w:i/>
          <w:iCs/>
        </w:rPr>
      </w:pPr>
    </w:p>
    <w:p w:rsidR="00853C8B" w:rsidP="00380809" w:rsidRDefault="00853C8B" w14:paraId="5CCD64AE" w14:textId="77777777">
      <w:pPr>
        <w:ind w:left="720"/>
        <w:rPr>
          <w:rFonts w:ascii="Times New Roman" w:hAnsi="Times New Roman"/>
        </w:rPr>
      </w:pPr>
      <w:r>
        <w:rPr>
          <w:rFonts w:ascii="Times New Roman" w:hAnsi="Times New Roman"/>
        </w:rPr>
        <w:t>None.</w:t>
      </w:r>
    </w:p>
    <w:p w:rsidR="00853C8B" w:rsidP="00380809" w:rsidRDefault="00853C8B" w14:paraId="4E9C5F78" w14:textId="77777777">
      <w:pPr>
        <w:ind w:left="720"/>
        <w:rPr>
          <w:rFonts w:ascii="Times New Roman" w:hAnsi="Times New Roman"/>
        </w:rPr>
      </w:pPr>
    </w:p>
    <w:p w:rsidRPr="00F63020" w:rsidR="00F63020" w:rsidP="00F63020" w:rsidRDefault="00F63020" w14:paraId="1CAE9545" w14:textId="21968D84">
      <w:pPr>
        <w:pStyle w:val="Quick1"/>
        <w:numPr>
          <w:ilvl w:val="0"/>
          <w:numId w:val="10"/>
        </w:numPr>
        <w:tabs>
          <w:tab w:val="left" w:pos="-1440"/>
        </w:tabs>
        <w:rPr>
          <w:rFonts w:ascii="Times New Roman" w:hAnsi="Times New Roman"/>
          <w:b/>
          <w:iCs/>
        </w:rPr>
      </w:pPr>
      <w:r w:rsidRPr="00F63020">
        <w:rPr>
          <w:rFonts w:ascii="Times New Roman" w:hAnsi="Times New Roman"/>
          <w:b/>
          <w:iCs/>
        </w:rPr>
        <w:t>Provide estimates of the hour burden of the collection of information.  The statement should:</w:t>
      </w:r>
    </w:p>
    <w:p w:rsidRPr="00F63020" w:rsidR="00F63020" w:rsidP="00F63020" w:rsidRDefault="00F63020" w14:paraId="70A136EE" w14:textId="77777777">
      <w:pPr>
        <w:numPr>
          <w:ilvl w:val="1"/>
          <w:numId w:val="9"/>
        </w:numPr>
        <w:tabs>
          <w:tab w:val="left" w:pos="-1440"/>
        </w:tabs>
        <w:rPr>
          <w:rFonts w:ascii="Times New Roman" w:hAnsi="Times New Roman"/>
          <w:b/>
          <w:iCs/>
        </w:rPr>
      </w:pPr>
      <w:r w:rsidRPr="00F63020">
        <w:rPr>
          <w:rFonts w:ascii="Times New Roman" w:hAnsi="Times New Roman"/>
          <w:b/>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Pr="00F63020" w:rsidR="00F63020" w:rsidP="00F63020" w:rsidRDefault="00F63020" w14:paraId="73C53182" w14:textId="77777777">
      <w:pPr>
        <w:numPr>
          <w:ilvl w:val="1"/>
          <w:numId w:val="9"/>
        </w:numPr>
        <w:tabs>
          <w:tab w:val="left" w:pos="-1440"/>
        </w:tabs>
        <w:rPr>
          <w:rFonts w:ascii="Times New Roman" w:hAnsi="Times New Roman"/>
          <w:b/>
          <w:iCs/>
        </w:rPr>
      </w:pPr>
      <w:r w:rsidRPr="00F63020">
        <w:rPr>
          <w:rFonts w:ascii="Times New Roman" w:hAnsi="Times New Roman"/>
          <w:b/>
          <w:iCs/>
        </w:rPr>
        <w:t xml:space="preserve">Provide estimates of annualized cost to respondents for the hour burdens for </w:t>
      </w:r>
      <w:r w:rsidRPr="00F63020">
        <w:rPr>
          <w:rFonts w:ascii="Times New Roman" w:hAnsi="Times New Roman"/>
          <w:b/>
          <w:iCs/>
        </w:rPr>
        <w:lastRenderedPageBreak/>
        <w:t>collection of information, identifying and using appropriate wage rate categories.  The cost of contracting out or paying outside parties for information collection activities should not be included here.</w:t>
      </w:r>
    </w:p>
    <w:p w:rsidR="00853C8B" w:rsidP="00F63020" w:rsidRDefault="00853C8B" w14:paraId="39CDD60E" w14:textId="1A251BF7">
      <w:pPr>
        <w:tabs>
          <w:tab w:val="left" w:pos="-1440"/>
        </w:tabs>
        <w:ind w:left="720" w:hanging="720"/>
        <w:rPr>
          <w:rFonts w:ascii="Times New Roman" w:hAnsi="Times New Roman"/>
        </w:rPr>
      </w:pPr>
    </w:p>
    <w:p w:rsidR="00C138EA" w:rsidP="00380809" w:rsidRDefault="00C138EA" w14:paraId="2899B13A" w14:textId="7819666E">
      <w:pPr>
        <w:ind w:left="720"/>
        <w:rPr>
          <w:rFonts w:ascii="Times New Roman" w:hAnsi="Times New Roman"/>
        </w:rPr>
      </w:pPr>
      <w:r>
        <w:rPr>
          <w:rFonts w:ascii="Times New Roman" w:hAnsi="Times New Roman"/>
        </w:rPr>
        <w:t>The class exemption requires as a condition to relief that</w:t>
      </w:r>
      <w:r w:rsidR="0035337B">
        <w:rPr>
          <w:rFonts w:ascii="Times New Roman" w:hAnsi="Times New Roman"/>
        </w:rPr>
        <w:t xml:space="preserve"> plans</w:t>
      </w:r>
      <w:r>
        <w:rPr>
          <w:rFonts w:ascii="Times New Roman" w:hAnsi="Times New Roman"/>
        </w:rPr>
        <w:t xml:space="preserve"> </w:t>
      </w:r>
      <w:proofErr w:type="gramStart"/>
      <w:r>
        <w:rPr>
          <w:rFonts w:ascii="Times New Roman" w:hAnsi="Times New Roman"/>
        </w:rPr>
        <w:t>entering</w:t>
      </w:r>
      <w:proofErr w:type="gramEnd"/>
      <w:r>
        <w:rPr>
          <w:rFonts w:ascii="Times New Roman" w:hAnsi="Times New Roman"/>
        </w:rPr>
        <w:t xml:space="preserve"> into the types of transactions covered by the exemption retain or cause to be maintained all records pertaining to such transactions for six years and provide access to the records upon request to the specified parties.  The Department has assumed that financial service providers that transact with </w:t>
      </w:r>
      <w:r w:rsidR="0035337B">
        <w:rPr>
          <w:rFonts w:ascii="Times New Roman" w:hAnsi="Times New Roman"/>
        </w:rPr>
        <w:t xml:space="preserve">the </w:t>
      </w:r>
      <w:r>
        <w:rPr>
          <w:rFonts w:ascii="Times New Roman" w:hAnsi="Times New Roman"/>
        </w:rPr>
        <w:t>employee benefit plans will maintain these records on behalf of their client plans.</w:t>
      </w:r>
      <w:r w:rsidR="002C346D">
        <w:rPr>
          <w:rFonts w:ascii="Times New Roman" w:hAnsi="Times New Roman"/>
        </w:rPr>
        <w:t xml:space="preserve"> </w:t>
      </w:r>
      <w:r>
        <w:rPr>
          <w:rFonts w:ascii="Times New Roman" w:hAnsi="Times New Roman"/>
        </w:rPr>
        <w:t xml:space="preserve"> Because of the sophisticated nature of financial service providers and the strict regulation of the securities industry by State and federal government, and by self-regulatory organizations, the Department has assumed that the records required by this class exemption are the same records kept in the normal course of business.  Therefore, the Department has estimated that the additional time needed to maintain records </w:t>
      </w:r>
      <w:r w:rsidR="0042484A">
        <w:rPr>
          <w:rFonts w:ascii="Times New Roman" w:hAnsi="Times New Roman"/>
        </w:rPr>
        <w:t xml:space="preserve">for plans </w:t>
      </w:r>
      <w:r>
        <w:rPr>
          <w:rFonts w:ascii="Times New Roman" w:hAnsi="Times New Roman"/>
        </w:rPr>
        <w:t>consistent with the exemption will be very small, requiring only 5 minutes of financial professionals’ time per entity annually.  The Department has further assumed that making the records available for inspection during normal business hours will require an additional 5 minutes of financial professional time.  Thus, the Department estimate</w:t>
      </w:r>
      <w:r w:rsidR="0042484A">
        <w:rPr>
          <w:rFonts w:ascii="Times New Roman" w:hAnsi="Times New Roman"/>
        </w:rPr>
        <w:t>d</w:t>
      </w:r>
      <w:r>
        <w:rPr>
          <w:rFonts w:ascii="Times New Roman" w:hAnsi="Times New Roman"/>
        </w:rPr>
        <w:t xml:space="preserve"> that a total of 10 minutes of professional time per entity would be required.  </w:t>
      </w:r>
    </w:p>
    <w:p w:rsidR="00337099" w:rsidP="00380809" w:rsidRDefault="00337099" w14:paraId="2B30C541" w14:textId="77777777">
      <w:pPr>
        <w:ind w:left="720"/>
        <w:rPr>
          <w:rFonts w:ascii="Times New Roman" w:hAnsi="Times New Roman"/>
        </w:rPr>
      </w:pPr>
    </w:p>
    <w:p w:rsidRPr="006507C0" w:rsidR="00C138EA" w:rsidP="00380809" w:rsidRDefault="00C138EA" w14:paraId="090C1786" w14:textId="775CFF01">
      <w:pPr>
        <w:ind w:left="720"/>
        <w:rPr>
          <w:rFonts w:ascii="Times New Roman" w:hAnsi="Times New Roman"/>
          <w:vertAlign w:val="superscript"/>
        </w:rPr>
      </w:pPr>
      <w:r>
        <w:rPr>
          <w:rFonts w:ascii="Times New Roman" w:hAnsi="Times New Roman"/>
        </w:rPr>
        <w:t xml:space="preserve">Broker-dealers registered under the Security Exchange Act of 1934 (Act) (15 USC 78a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w:t>
      </w:r>
      <w:r w:rsidR="004A769C">
        <w:rPr>
          <w:rFonts w:ascii="Times New Roman" w:hAnsi="Times New Roman"/>
        </w:rPr>
        <w:t>,</w:t>
      </w:r>
      <w:r>
        <w:rPr>
          <w:rFonts w:ascii="Times New Roman" w:hAnsi="Times New Roman"/>
        </w:rPr>
        <w:t xml:space="preserve"> reporting dealers, </w:t>
      </w:r>
      <w:r w:rsidR="00CB5094">
        <w:rPr>
          <w:rFonts w:ascii="Times New Roman" w:hAnsi="Times New Roman"/>
        </w:rPr>
        <w:t xml:space="preserve">and </w:t>
      </w:r>
      <w:r>
        <w:rPr>
          <w:rFonts w:ascii="Times New Roman" w:hAnsi="Times New Roman"/>
        </w:rPr>
        <w:t xml:space="preserve">banks are eligible to take advantage of the provisions of the exemption.  According to the Security Exchange Commission, </w:t>
      </w:r>
      <w:r w:rsidR="00621284">
        <w:rPr>
          <w:rFonts w:ascii="Times New Roman" w:hAnsi="Times New Roman"/>
        </w:rPr>
        <w:t>a</w:t>
      </w:r>
      <w:r>
        <w:rPr>
          <w:rFonts w:ascii="Times New Roman" w:hAnsi="Times New Roman"/>
        </w:rPr>
        <w:t xml:space="preserve">pproximately </w:t>
      </w:r>
      <w:r w:rsidR="003D441C">
        <w:rPr>
          <w:rFonts w:ascii="Times New Roman" w:hAnsi="Times New Roman"/>
        </w:rPr>
        <w:t>3,55</w:t>
      </w:r>
      <w:r w:rsidR="00574D79">
        <w:rPr>
          <w:rFonts w:ascii="Times New Roman" w:hAnsi="Times New Roman"/>
        </w:rPr>
        <w:t>1</w:t>
      </w:r>
      <w:r>
        <w:rPr>
          <w:rFonts w:ascii="Times New Roman" w:hAnsi="Times New Roman"/>
        </w:rPr>
        <w:t xml:space="preserve"> broker-dealers were registered.</w:t>
      </w:r>
      <w:r w:rsidRPr="009C045E" w:rsidR="00106C55">
        <w:rPr>
          <w:rStyle w:val="FootnoteReference"/>
          <w:rFonts w:ascii="Times New Roman" w:hAnsi="Times New Roman"/>
          <w:vertAlign w:val="superscript"/>
        </w:rPr>
        <w:footnoteReference w:id="3"/>
      </w:r>
      <w:r w:rsidRPr="00A94333" w:rsidR="00CB5094">
        <w:rPr>
          <w:rFonts w:ascii="Times New Roman" w:hAnsi="Times New Roman"/>
          <w:vertAlign w:val="superscript"/>
        </w:rPr>
        <w:t xml:space="preserve"> </w:t>
      </w:r>
      <w:r w:rsidRPr="00333DD1">
        <w:rPr>
          <w:rFonts w:ascii="Times New Roman" w:hAnsi="Times New Roman"/>
        </w:rPr>
        <w:t xml:space="preserve">The Financial Industry Regulatory Authority (FINRA) reports approximately </w:t>
      </w:r>
      <w:r w:rsidR="003D441C">
        <w:rPr>
          <w:rFonts w:ascii="Times New Roman" w:hAnsi="Times New Roman"/>
        </w:rPr>
        <w:t>3,435</w:t>
      </w:r>
      <w:r w:rsidRPr="00333DD1">
        <w:rPr>
          <w:rFonts w:ascii="Times New Roman" w:hAnsi="Times New Roman"/>
        </w:rPr>
        <w:t xml:space="preserve"> members as of 20</w:t>
      </w:r>
      <w:r w:rsidR="006969C3">
        <w:rPr>
          <w:rFonts w:ascii="Times New Roman" w:hAnsi="Times New Roman"/>
        </w:rPr>
        <w:t>21</w:t>
      </w:r>
      <w:r>
        <w:rPr>
          <w:rFonts w:ascii="Times New Roman" w:hAnsi="Times New Roman"/>
        </w:rPr>
        <w:t>.</w:t>
      </w:r>
      <w:r w:rsidRPr="0065495D" w:rsidR="0065495D">
        <w:rPr>
          <w:rStyle w:val="FootnoteReference"/>
          <w:rFonts w:ascii="Times New Roman" w:hAnsi="Times New Roman"/>
          <w:vertAlign w:val="superscript"/>
        </w:rPr>
        <w:t xml:space="preserve"> </w:t>
      </w:r>
      <w:r w:rsidRPr="006507C0" w:rsidR="0065495D">
        <w:rPr>
          <w:rStyle w:val="FootnoteReference"/>
          <w:rFonts w:ascii="Times New Roman" w:hAnsi="Times New Roman"/>
          <w:vertAlign w:val="superscript"/>
        </w:rPr>
        <w:footnoteReference w:id="4"/>
      </w:r>
      <w:r w:rsidR="0065495D">
        <w:rPr>
          <w:rFonts w:ascii="Times New Roman" w:hAnsi="Times New Roman"/>
          <w:vertAlign w:val="superscript"/>
        </w:rPr>
        <w:t xml:space="preserve"> </w:t>
      </w:r>
      <w:r w:rsidRPr="00333DD1">
        <w:rPr>
          <w:rFonts w:ascii="Times New Roman" w:hAnsi="Times New Roman"/>
        </w:rPr>
        <w:t xml:space="preserve"> </w:t>
      </w:r>
      <w:r w:rsidR="00C9497D">
        <w:rPr>
          <w:rFonts w:ascii="Times New Roman" w:hAnsi="Times New Roman"/>
        </w:rPr>
        <w:t xml:space="preserve"> </w:t>
      </w:r>
      <w:r>
        <w:rPr>
          <w:rFonts w:ascii="Times New Roman" w:hAnsi="Times New Roman"/>
        </w:rPr>
        <w:t xml:space="preserve">Not all broker-dealers perform services for employee benefit plans, and not all broker-dealers that perform services for employee benefit plans would need to rely on the exemption </w:t>
      </w:r>
      <w:proofErr w:type="gramStart"/>
      <w:r>
        <w:rPr>
          <w:rFonts w:ascii="Times New Roman" w:hAnsi="Times New Roman"/>
        </w:rPr>
        <w:t>in order to</w:t>
      </w:r>
      <w:proofErr w:type="gramEnd"/>
      <w:r>
        <w:rPr>
          <w:rFonts w:ascii="Times New Roman" w:hAnsi="Times New Roman"/>
        </w:rPr>
        <w:t xml:space="preserve"> conduct their business.  The number of broker-dealers that would use the exemption is therefore estimated to be about half of the total number of broker-dealers, or approximately </w:t>
      </w:r>
      <w:r w:rsidR="00286830">
        <w:rPr>
          <w:rFonts w:ascii="Times New Roman" w:hAnsi="Times New Roman"/>
        </w:rPr>
        <w:t>3,493</w:t>
      </w:r>
      <w:r>
        <w:rPr>
          <w:rFonts w:ascii="Times New Roman" w:hAnsi="Times New Roman"/>
        </w:rPr>
        <w:t xml:space="preserve"> respondents</w:t>
      </w:r>
      <w:r w:rsidRPr="00141B1B">
        <w:rPr>
          <w:rFonts w:ascii="Times New Roman" w:hAnsi="Times New Roman"/>
        </w:rPr>
        <w:t>.</w:t>
      </w:r>
      <w:r w:rsidRPr="006507C0">
        <w:rPr>
          <w:rStyle w:val="FootnoteReference"/>
          <w:rFonts w:ascii="Times New Roman" w:hAnsi="Times New Roman"/>
          <w:vertAlign w:val="superscript"/>
        </w:rPr>
        <w:footnoteReference w:id="5"/>
      </w:r>
    </w:p>
    <w:p w:rsidR="00C138EA" w:rsidP="00380809" w:rsidRDefault="00C138EA" w14:paraId="2FEF190B" w14:textId="77777777">
      <w:pPr>
        <w:ind w:left="720"/>
        <w:rPr>
          <w:rFonts w:ascii="Times New Roman" w:hAnsi="Times New Roman"/>
        </w:rPr>
      </w:pPr>
    </w:p>
    <w:p w:rsidR="00C138EA" w:rsidP="00380809" w:rsidRDefault="00C138EA" w14:paraId="02A078AB" w14:textId="702E685E">
      <w:pPr>
        <w:ind w:left="720"/>
        <w:rPr>
          <w:rFonts w:ascii="Times New Roman" w:hAnsi="Times New Roman"/>
        </w:rPr>
      </w:pPr>
      <w:r>
        <w:rPr>
          <w:rFonts w:ascii="Times New Roman" w:hAnsi="Times New Roman"/>
        </w:rPr>
        <w:t xml:space="preserve">The Federal Deposit Insurance Corporation </w:t>
      </w:r>
      <w:r w:rsidR="00776EF8">
        <w:rPr>
          <w:rFonts w:ascii="Times New Roman" w:hAnsi="Times New Roman"/>
        </w:rPr>
        <w:t>4,3</w:t>
      </w:r>
      <w:r w:rsidR="00FC2127">
        <w:rPr>
          <w:rFonts w:ascii="Times New Roman" w:hAnsi="Times New Roman"/>
        </w:rPr>
        <w:t>01</w:t>
      </w:r>
      <w:r>
        <w:rPr>
          <w:rFonts w:ascii="Times New Roman" w:hAnsi="Times New Roman"/>
        </w:rPr>
        <w:t xml:space="preserve"> commercial banks as of </w:t>
      </w:r>
      <w:r w:rsidR="00FC2127">
        <w:rPr>
          <w:rFonts w:ascii="Times New Roman" w:hAnsi="Times New Roman"/>
        </w:rPr>
        <w:t xml:space="preserve">September </w:t>
      </w:r>
      <w:r w:rsidR="00225491">
        <w:rPr>
          <w:rFonts w:ascii="Times New Roman" w:hAnsi="Times New Roman"/>
        </w:rPr>
        <w:t>30</w:t>
      </w:r>
      <w:r w:rsidR="004A769C">
        <w:rPr>
          <w:rFonts w:ascii="Times New Roman" w:hAnsi="Times New Roman"/>
        </w:rPr>
        <w:t xml:space="preserve">, </w:t>
      </w:r>
      <w:r w:rsidR="00027DEB">
        <w:rPr>
          <w:rFonts w:ascii="Times New Roman" w:hAnsi="Times New Roman"/>
        </w:rPr>
        <w:lastRenderedPageBreak/>
        <w:t>202</w:t>
      </w:r>
      <w:r w:rsidR="00225491">
        <w:rPr>
          <w:rFonts w:ascii="Times New Roman" w:hAnsi="Times New Roman"/>
        </w:rPr>
        <w:t>1</w:t>
      </w:r>
      <w:r>
        <w:rPr>
          <w:rFonts w:ascii="Times New Roman" w:hAnsi="Times New Roman"/>
        </w:rPr>
        <w:t>.</w:t>
      </w:r>
      <w:r>
        <w:rPr>
          <w:rStyle w:val="FootnoteReference"/>
          <w:rFonts w:ascii="Times New Roman" w:hAnsi="Times New Roman"/>
          <w:vertAlign w:val="superscript"/>
        </w:rPr>
        <w:footnoteReference w:id="6"/>
      </w:r>
      <w:r>
        <w:rPr>
          <w:rFonts w:ascii="Times New Roman" w:hAnsi="Times New Roman"/>
        </w:rPr>
        <w:t xml:space="preserve">  If one-half of these banks (about </w:t>
      </w:r>
      <w:r w:rsidR="00027DEB">
        <w:rPr>
          <w:rFonts w:ascii="Times New Roman" w:hAnsi="Times New Roman"/>
        </w:rPr>
        <w:t>2,</w:t>
      </w:r>
      <w:r w:rsidR="00776EF8">
        <w:rPr>
          <w:rFonts w:ascii="Times New Roman" w:hAnsi="Times New Roman"/>
        </w:rPr>
        <w:t>1</w:t>
      </w:r>
      <w:r w:rsidR="004404CF">
        <w:rPr>
          <w:rFonts w:ascii="Times New Roman" w:hAnsi="Times New Roman"/>
        </w:rPr>
        <w:t>51</w:t>
      </w:r>
      <w:r>
        <w:rPr>
          <w:rFonts w:ascii="Times New Roman" w:hAnsi="Times New Roman"/>
        </w:rPr>
        <w:t xml:space="preserve">) and </w:t>
      </w:r>
      <w:r w:rsidR="003D441C">
        <w:rPr>
          <w:rFonts w:ascii="Times New Roman" w:hAnsi="Times New Roman"/>
        </w:rPr>
        <w:t>3,49</w:t>
      </w:r>
      <w:r w:rsidR="0031797F">
        <w:rPr>
          <w:rFonts w:ascii="Times New Roman" w:hAnsi="Times New Roman"/>
        </w:rPr>
        <w:t>3</w:t>
      </w:r>
      <w:r>
        <w:rPr>
          <w:rFonts w:ascii="Times New Roman" w:hAnsi="Times New Roman"/>
        </w:rPr>
        <w:t xml:space="preserve"> broker-dealers relied on this exemption, there would be approximately </w:t>
      </w:r>
      <w:r w:rsidR="00EB4C0B">
        <w:rPr>
          <w:rFonts w:ascii="Times New Roman" w:hAnsi="Times New Roman"/>
        </w:rPr>
        <w:t>5,6</w:t>
      </w:r>
      <w:r w:rsidR="005266E6">
        <w:rPr>
          <w:rFonts w:ascii="Times New Roman" w:hAnsi="Times New Roman"/>
        </w:rPr>
        <w:t>44</w:t>
      </w:r>
      <w:r w:rsidR="00EB4C0B">
        <w:rPr>
          <w:rFonts w:ascii="Times New Roman" w:hAnsi="Times New Roman"/>
        </w:rPr>
        <w:t xml:space="preserve"> </w:t>
      </w:r>
      <w:r>
        <w:rPr>
          <w:rFonts w:ascii="Times New Roman" w:hAnsi="Times New Roman"/>
        </w:rPr>
        <w:t>respondents.</w:t>
      </w:r>
      <w:r>
        <w:rPr>
          <w:rStyle w:val="FootnoteReference"/>
          <w:rFonts w:ascii="Times New Roman" w:hAnsi="Times New Roman"/>
          <w:vertAlign w:val="superscript"/>
        </w:rPr>
        <w:footnoteReference w:id="7"/>
      </w:r>
      <w:r>
        <w:rPr>
          <w:rFonts w:ascii="Times New Roman" w:hAnsi="Times New Roman"/>
        </w:rPr>
        <w:t xml:space="preserve">  Multiplying this number by ten minutes per year results in a total annual recordkeeping burden of </w:t>
      </w:r>
      <w:r w:rsidR="00A256BA">
        <w:rPr>
          <w:rFonts w:ascii="Times New Roman" w:hAnsi="Times New Roman"/>
        </w:rPr>
        <w:t>94</w:t>
      </w:r>
      <w:r w:rsidR="005266E6">
        <w:rPr>
          <w:rFonts w:ascii="Times New Roman" w:hAnsi="Times New Roman"/>
        </w:rPr>
        <w:t>1</w:t>
      </w:r>
      <w:r>
        <w:rPr>
          <w:rFonts w:ascii="Times New Roman" w:hAnsi="Times New Roman"/>
        </w:rPr>
        <w:t xml:space="preserve"> hours.</w:t>
      </w:r>
    </w:p>
    <w:p w:rsidR="00C138EA" w:rsidP="00380809" w:rsidRDefault="00C138EA" w14:paraId="6141D80A" w14:textId="77777777">
      <w:pPr>
        <w:ind w:left="720"/>
        <w:rPr>
          <w:rFonts w:ascii="Times New Roman" w:hAnsi="Times New Roman"/>
        </w:rPr>
      </w:pPr>
    </w:p>
    <w:p w:rsidR="00C138EA" w:rsidP="00380809" w:rsidRDefault="00C138EA" w14:paraId="3609E003" w14:textId="70B3736B">
      <w:pPr>
        <w:ind w:left="720"/>
        <w:rPr>
          <w:rFonts w:ascii="Times New Roman" w:hAnsi="Times New Roman"/>
        </w:rPr>
      </w:pPr>
      <w:r>
        <w:rPr>
          <w:rFonts w:ascii="Times New Roman" w:hAnsi="Times New Roman"/>
        </w:rPr>
        <w:t>The equivalent cost for this annual hour burden for this collection of information is estimated to be $</w:t>
      </w:r>
      <w:r w:rsidR="005266E6">
        <w:rPr>
          <w:rFonts w:ascii="Times New Roman" w:hAnsi="Times New Roman"/>
        </w:rPr>
        <w:t>155,633</w:t>
      </w:r>
      <w:r>
        <w:rPr>
          <w:rFonts w:ascii="Times New Roman" w:hAnsi="Times New Roman"/>
        </w:rPr>
        <w:t xml:space="preserve">, determined as follows: </w:t>
      </w:r>
      <w:r w:rsidR="00A256BA">
        <w:rPr>
          <w:rFonts w:ascii="Times New Roman" w:hAnsi="Times New Roman"/>
        </w:rPr>
        <w:t>94</w:t>
      </w:r>
      <w:r w:rsidR="005266E6">
        <w:rPr>
          <w:rFonts w:ascii="Times New Roman" w:hAnsi="Times New Roman"/>
        </w:rPr>
        <w:t>1</w:t>
      </w:r>
      <w:r w:rsidR="00A256BA">
        <w:rPr>
          <w:rFonts w:ascii="Times New Roman" w:hAnsi="Times New Roman"/>
        </w:rPr>
        <w:t xml:space="preserve"> </w:t>
      </w:r>
      <w:r>
        <w:rPr>
          <w:rFonts w:ascii="Times New Roman" w:hAnsi="Times New Roman"/>
        </w:rPr>
        <w:t>hours times $</w:t>
      </w:r>
      <w:r w:rsidR="00A256BA">
        <w:rPr>
          <w:rFonts w:ascii="Times New Roman" w:hAnsi="Times New Roman"/>
        </w:rPr>
        <w:t>165.45</w:t>
      </w:r>
      <w:r>
        <w:rPr>
          <w:rFonts w:ascii="Times New Roman" w:hAnsi="Times New Roman"/>
        </w:rPr>
        <w:t>/hour (estimated per hour cost for financial professionals’ time).</w:t>
      </w:r>
      <w:r w:rsidRPr="00585F3B">
        <w:rPr>
          <w:rStyle w:val="FootnoteReference"/>
          <w:rFonts w:ascii="Times New Roman" w:hAnsi="Times New Roman"/>
          <w:vertAlign w:val="superscript"/>
        </w:rPr>
        <w:footnoteReference w:id="8"/>
      </w:r>
    </w:p>
    <w:p w:rsidR="00C36B8E" w:rsidP="00380809" w:rsidRDefault="00C36B8E" w14:paraId="33E39E8B" w14:textId="77777777">
      <w:pPr>
        <w:ind w:left="720"/>
        <w:rPr>
          <w:rFonts w:ascii="Times New Roman" w:hAnsi="Times New Roman"/>
        </w:rPr>
      </w:pPr>
    </w:p>
    <w:p w:rsidRPr="004F33A4" w:rsidR="004F33A4" w:rsidP="00114DCC" w:rsidRDefault="004A4B44" w14:paraId="102760BE" w14:textId="27086220">
      <w:pPr>
        <w:widowControl/>
        <w:autoSpaceDE/>
        <w:autoSpaceDN/>
        <w:adjustRightInd/>
        <w:jc w:val="center"/>
        <w:rPr>
          <w:rFonts w:ascii="Times New Roman" w:hAnsi="Times New Roman"/>
          <w:i/>
          <w:iCs/>
        </w:rPr>
      </w:pPr>
      <w:r w:rsidRPr="00652664">
        <w:rPr>
          <w:rFonts w:ascii="Times New Roman" w:hAnsi="Times New Roman"/>
        </w:rPr>
        <w:tab/>
      </w:r>
      <w:r w:rsidRPr="004F33A4" w:rsidR="004F33A4">
        <w:rPr>
          <w:rFonts w:ascii="Times New Roman" w:hAnsi="Times New Roman"/>
          <w:b/>
          <w:iCs/>
        </w:rPr>
        <w:t>Estimated Annualized Respondent Cost and Hour Burden</w:t>
      </w:r>
    </w:p>
    <w:p w:rsidRPr="004F33A4" w:rsidR="004F33A4" w:rsidP="004F33A4" w:rsidRDefault="004F33A4" w14:paraId="51B71DA8" w14:textId="77777777">
      <w:pPr>
        <w:widowControl/>
        <w:autoSpaceDE/>
        <w:autoSpaceDN/>
        <w:adjustRightInd/>
        <w:ind w:left="720"/>
        <w:rPr>
          <w:rFonts w:ascii="Times New Roman" w:hAnsi="Times New Roman"/>
          <w:iCs/>
        </w:rPr>
      </w:pPr>
    </w:p>
    <w:tbl>
      <w:tblPr>
        <w:tblW w:w="9535"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8"/>
        <w:gridCol w:w="1421"/>
        <w:gridCol w:w="1341"/>
        <w:gridCol w:w="1197"/>
        <w:gridCol w:w="1039"/>
        <w:gridCol w:w="985"/>
        <w:gridCol w:w="939"/>
        <w:gridCol w:w="1065"/>
      </w:tblGrid>
      <w:tr w:rsidRPr="004F33A4" w:rsidR="004F33A4" w:rsidTr="003F4AB0" w14:paraId="26B8BFBC" w14:textId="77777777">
        <w:tc>
          <w:tcPr>
            <w:tcW w:w="0" w:type="auto"/>
            <w:tcBorders>
              <w:top w:val="single" w:color="auto" w:sz="4" w:space="0"/>
              <w:left w:val="single" w:color="auto" w:sz="4" w:space="0"/>
              <w:bottom w:val="single" w:color="auto" w:sz="4" w:space="0"/>
              <w:right w:val="single" w:color="auto" w:sz="4" w:space="0"/>
            </w:tcBorders>
            <w:shd w:val="clear" w:color="auto" w:fill="8DB3E2"/>
            <w:vAlign w:val="center"/>
          </w:tcPr>
          <w:p w:rsidRPr="004F33A4" w:rsidR="004F33A4" w:rsidP="004F33A4" w:rsidRDefault="004F33A4" w14:paraId="78F99E8E"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Activity</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4F33A4" w:rsidP="004F33A4" w:rsidRDefault="004F33A4" w14:paraId="1B449657" w14:textId="77777777">
            <w:pPr>
              <w:widowControl/>
              <w:autoSpaceDE/>
              <w:autoSpaceDN/>
              <w:adjustRightInd/>
              <w:spacing w:line="276" w:lineRule="auto"/>
              <w:jc w:val="center"/>
              <w:rPr>
                <w:rFonts w:ascii="Times New Roman" w:hAnsi="Times New Roman"/>
                <w:b/>
                <w:sz w:val="22"/>
                <w:szCs w:val="22"/>
              </w:rPr>
            </w:pPr>
            <w:r w:rsidRPr="004F33A4">
              <w:rPr>
                <w:rFonts w:ascii="Times New Roman" w:hAnsi="Times New Roman"/>
                <w:b/>
                <w:sz w:val="22"/>
                <w:szCs w:val="22"/>
              </w:rPr>
              <w:t xml:space="preserve">No. </w:t>
            </w:r>
          </w:p>
          <w:p w:rsidRPr="004F33A4" w:rsidR="004F33A4" w:rsidP="004F33A4" w:rsidRDefault="004F33A4" w14:paraId="314838AF"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of Respondents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4F33A4" w:rsidP="004F33A4" w:rsidRDefault="004F33A4" w14:paraId="3AB36A71" w14:textId="77777777">
            <w:pPr>
              <w:widowControl/>
              <w:autoSpaceDE/>
              <w:autoSpaceDN/>
              <w:adjustRightInd/>
              <w:spacing w:line="276" w:lineRule="auto"/>
              <w:jc w:val="center"/>
              <w:rPr>
                <w:rFonts w:ascii="Times New Roman" w:hAnsi="Times New Roman"/>
                <w:b/>
                <w:sz w:val="22"/>
                <w:szCs w:val="22"/>
              </w:rPr>
            </w:pPr>
          </w:p>
          <w:p w:rsidRPr="004F33A4" w:rsidR="004F33A4" w:rsidP="004F33A4" w:rsidRDefault="004F33A4" w14:paraId="100734DD" w14:textId="77777777">
            <w:pPr>
              <w:widowControl/>
              <w:autoSpaceDE/>
              <w:autoSpaceDN/>
              <w:adjustRightInd/>
              <w:spacing w:line="276" w:lineRule="auto"/>
              <w:jc w:val="center"/>
              <w:rPr>
                <w:rFonts w:ascii="Times New Roman" w:hAnsi="Times New Roman"/>
                <w:b/>
                <w:sz w:val="22"/>
                <w:szCs w:val="22"/>
              </w:rPr>
            </w:pPr>
            <w:r w:rsidRPr="004F33A4">
              <w:rPr>
                <w:rFonts w:ascii="Times New Roman" w:hAnsi="Times New Roman"/>
                <w:b/>
                <w:sz w:val="22"/>
                <w:szCs w:val="22"/>
              </w:rPr>
              <w:t>No. of Responses</w:t>
            </w:r>
          </w:p>
          <w:p w:rsidRPr="004F33A4" w:rsidR="004F33A4" w:rsidP="004F33A4" w:rsidRDefault="004F33A4" w14:paraId="7F83C485"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per Respondent</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4F33A4" w:rsidP="004F33A4" w:rsidRDefault="004F33A4" w14:paraId="7D171208"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Total Responses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4F33A4" w:rsidP="004F33A4" w:rsidRDefault="004F33A4" w14:paraId="791BB683"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Average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4F33A4" w:rsidP="004F33A4" w:rsidRDefault="004F33A4" w14:paraId="3735B84D"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Total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4F33A4" w:rsidP="004F33A4" w:rsidRDefault="004F33A4" w14:paraId="22EC2D6D" w14:textId="77777777">
            <w:pPr>
              <w:widowControl/>
              <w:autoSpaceDE/>
              <w:autoSpaceDN/>
              <w:adjustRightInd/>
              <w:spacing w:line="276" w:lineRule="auto"/>
              <w:jc w:val="center"/>
              <w:rPr>
                <w:rFonts w:ascii="Times New Roman" w:hAnsi="Times New Roman"/>
                <w:b/>
                <w:sz w:val="22"/>
                <w:szCs w:val="22"/>
              </w:rPr>
            </w:pPr>
            <w:r w:rsidRPr="004F33A4">
              <w:rPr>
                <w:rFonts w:ascii="Times New Roman" w:hAnsi="Times New Roman"/>
                <w:b/>
                <w:sz w:val="22"/>
                <w:szCs w:val="22"/>
              </w:rPr>
              <w:t>Hourly</w:t>
            </w:r>
          </w:p>
          <w:p w:rsidRPr="004F33A4" w:rsidR="004F33A4" w:rsidP="004F33A4" w:rsidRDefault="004F33A4" w14:paraId="59978510"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Wage Rate</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4F33A4" w:rsidP="004F33A4" w:rsidRDefault="004F33A4" w14:paraId="24D8A82E"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Total Burden Cost</w:t>
            </w:r>
          </w:p>
        </w:tc>
      </w:tr>
      <w:tr w:rsidRPr="004F33A4" w:rsidR="004F33A4" w:rsidTr="003F4AB0" w14:paraId="4075240B" w14:textId="77777777">
        <w:tc>
          <w:tcPr>
            <w:tcW w:w="0" w:type="auto"/>
            <w:tcBorders>
              <w:top w:val="single" w:color="auto" w:sz="4" w:space="0"/>
              <w:left w:val="single" w:color="auto" w:sz="4" w:space="0"/>
              <w:bottom w:val="single" w:color="auto" w:sz="4" w:space="0"/>
              <w:right w:val="single" w:color="auto" w:sz="4" w:space="0"/>
            </w:tcBorders>
          </w:tcPr>
          <w:p w:rsidRPr="004F33A4" w:rsidR="004F33A4" w:rsidP="004F33A4" w:rsidRDefault="005C0005" w14:paraId="18A04CAA" w14:textId="507EF18A">
            <w:pPr>
              <w:widowControl/>
              <w:autoSpaceDE/>
              <w:autoSpaceDN/>
              <w:adjustRightInd/>
              <w:spacing w:line="276" w:lineRule="auto"/>
              <w:rPr>
                <w:rFonts w:ascii="Times New Roman" w:hAnsi="Times New Roman"/>
                <w:iCs/>
                <w:sz w:val="22"/>
                <w:szCs w:val="22"/>
              </w:rPr>
            </w:pPr>
            <w:r>
              <w:rPr>
                <w:rFonts w:ascii="Times New Roman" w:hAnsi="Times New Roman"/>
                <w:iCs/>
                <w:sz w:val="22"/>
                <w:szCs w:val="22"/>
              </w:rPr>
              <w:t>Recordkeeping</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5C0005" w14:paraId="58A9E688" w14:textId="07A92ACA">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5,6</w:t>
            </w:r>
            <w:r w:rsidR="005266E6">
              <w:rPr>
                <w:rFonts w:ascii="Times New Roman" w:hAnsi="Times New Roman"/>
                <w:sz w:val="22"/>
                <w:szCs w:val="22"/>
              </w:rPr>
              <w:t>44</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5C0005" w14:paraId="08FDC1E8" w14:textId="6256BB2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5266E6" w:rsidRDefault="005C0005" w14:paraId="0A04943C" w14:textId="7FDB2D98">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w:t>
            </w:r>
            <w:r w:rsidR="005266E6">
              <w:rPr>
                <w:rFonts w:ascii="Times New Roman" w:hAnsi="Times New Roman"/>
                <w:sz w:val="22"/>
                <w:szCs w:val="22"/>
              </w:rPr>
              <w:t>644</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5C0005" w14:paraId="6CB7890D" w14:textId="4B59138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10/60</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5C0005" w14:paraId="5811ADF5" w14:textId="1671127D">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94</w:t>
            </w:r>
            <w:r w:rsidR="005266E6">
              <w:rPr>
                <w:rFonts w:ascii="Times New Roman" w:hAnsi="Times New Roman"/>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5C0005" w14:paraId="394B821F" w14:textId="09E2B106">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$165.45</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FB3373" w:rsidRDefault="005C0005" w14:paraId="20CBAB3E" w14:textId="2704ADE1">
            <w:pPr>
              <w:widowControl/>
              <w:autoSpaceDE/>
              <w:autoSpaceDN/>
              <w:adjustRightInd/>
              <w:spacing w:line="276" w:lineRule="auto"/>
              <w:jc w:val="center"/>
              <w:rPr>
                <w:rFonts w:ascii="Times New Roman" w:hAnsi="Times New Roman"/>
                <w:sz w:val="22"/>
                <w:szCs w:val="22"/>
              </w:rPr>
            </w:pPr>
            <w:r w:rsidRPr="005C0005">
              <w:rPr>
                <w:rFonts w:ascii="Times New Roman" w:hAnsi="Times New Roman"/>
                <w:sz w:val="22"/>
                <w:szCs w:val="22"/>
              </w:rPr>
              <w:t>$</w:t>
            </w:r>
            <w:r w:rsidRPr="005266E6" w:rsidR="005266E6">
              <w:rPr>
                <w:rFonts w:ascii="Times New Roman" w:hAnsi="Times New Roman"/>
                <w:sz w:val="22"/>
                <w:szCs w:val="22"/>
              </w:rPr>
              <w:t>155,633</w:t>
            </w:r>
          </w:p>
        </w:tc>
      </w:tr>
      <w:tr w:rsidRPr="004F33A4" w:rsidR="004F33A4" w:rsidTr="003F4AB0" w14:paraId="249361D8" w14:textId="77777777">
        <w:tc>
          <w:tcPr>
            <w:tcW w:w="0" w:type="auto"/>
            <w:tcBorders>
              <w:top w:val="single" w:color="auto" w:sz="4" w:space="0"/>
              <w:left w:val="single" w:color="auto" w:sz="4" w:space="0"/>
              <w:bottom w:val="single" w:color="auto" w:sz="4" w:space="0"/>
              <w:right w:val="single" w:color="auto" w:sz="4" w:space="0"/>
            </w:tcBorders>
          </w:tcPr>
          <w:p w:rsidRPr="004F33A4" w:rsidR="004F33A4" w:rsidP="004F33A4" w:rsidRDefault="004F33A4" w14:paraId="140DDE6B" w14:textId="5647E3CF">
            <w:pPr>
              <w:widowControl/>
              <w:autoSpaceDE/>
              <w:autoSpaceDN/>
              <w:adjustRightInd/>
              <w:spacing w:line="276" w:lineRule="auto"/>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4F33A4" w14:paraId="731A602C" w14:textId="002CEB34">
            <w:pPr>
              <w:widowControl/>
              <w:autoSpaceDE/>
              <w:autoSpaceDN/>
              <w:adjustRightInd/>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4F33A4" w14:paraId="55E865C1" w14:textId="557B8F15">
            <w:pPr>
              <w:widowControl/>
              <w:autoSpaceDE/>
              <w:autoSpaceDN/>
              <w:adjustRightInd/>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4F33A4" w14:paraId="4F947AFF" w14:textId="09DF458B">
            <w:pPr>
              <w:widowControl/>
              <w:autoSpaceDE/>
              <w:autoSpaceDN/>
              <w:adjustRightInd/>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4F33A4" w14:paraId="0E3F7955" w14:textId="789511F8">
            <w:pPr>
              <w:widowControl/>
              <w:autoSpaceDE/>
              <w:autoSpaceDN/>
              <w:adjustRightInd/>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4F33A4" w14:paraId="341E6C8C" w14:textId="62BC9B0C">
            <w:pPr>
              <w:widowControl/>
              <w:autoSpaceDE/>
              <w:autoSpaceDN/>
              <w:adjustRightInd/>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4F33A4" w14:paraId="0E371952" w14:textId="0B58A4F2">
            <w:pPr>
              <w:widowControl/>
              <w:autoSpaceDE/>
              <w:autoSpaceDN/>
              <w:adjustRightInd/>
              <w:spacing w:line="276" w:lineRule="auto"/>
              <w:jc w:val="center"/>
              <w:rPr>
                <w:rFonts w:ascii="Times New Roman" w:hAnsi="Times New Roman"/>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4F33A4" w14:paraId="72D305D3" w14:textId="04D21ABE">
            <w:pPr>
              <w:widowControl/>
              <w:autoSpaceDE/>
              <w:autoSpaceDN/>
              <w:adjustRightInd/>
              <w:spacing w:line="276" w:lineRule="auto"/>
              <w:jc w:val="center"/>
              <w:rPr>
                <w:rFonts w:ascii="Times New Roman" w:hAnsi="Times New Roman"/>
                <w:sz w:val="22"/>
                <w:szCs w:val="22"/>
              </w:rPr>
            </w:pPr>
          </w:p>
        </w:tc>
      </w:tr>
      <w:tr w:rsidRPr="004F33A4" w:rsidR="004F33A4" w:rsidTr="003F4AB0" w14:paraId="58A09DB5" w14:textId="77777777">
        <w:tc>
          <w:tcPr>
            <w:tcW w:w="0" w:type="auto"/>
            <w:tcBorders>
              <w:top w:val="single" w:color="auto" w:sz="4" w:space="0"/>
              <w:left w:val="single" w:color="auto" w:sz="4" w:space="0"/>
              <w:bottom w:val="single" w:color="auto" w:sz="4" w:space="0"/>
              <w:right w:val="single" w:color="auto" w:sz="4" w:space="0"/>
            </w:tcBorders>
          </w:tcPr>
          <w:p w:rsidRPr="004F33A4" w:rsidR="004F33A4" w:rsidP="004F33A4" w:rsidRDefault="004F33A4" w14:paraId="451D6E6A" w14:textId="02FEF97B">
            <w:pPr>
              <w:widowControl/>
              <w:autoSpaceDE/>
              <w:autoSpaceDN/>
              <w:adjustRightInd/>
              <w:spacing w:line="276" w:lineRule="auto"/>
              <w:jc w:val="center"/>
              <w:rPr>
                <w:rFonts w:ascii="Times New Roman" w:hAnsi="Times New Roman"/>
                <w:sz w:val="22"/>
                <w:szCs w:val="22"/>
              </w:rPr>
            </w:pPr>
            <w:r w:rsidRPr="004F33A4">
              <w:rPr>
                <w:rFonts w:ascii="Times New Roman" w:hAnsi="Times New Roman"/>
                <w:sz w:val="22"/>
                <w:szCs w:val="22"/>
              </w:rPr>
              <w:t>Total</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5C0005" w14:paraId="1521B546" w14:textId="798F61E2">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5,6</w:t>
            </w:r>
            <w:r w:rsidR="005266E6">
              <w:rPr>
                <w:rFonts w:ascii="Times New Roman" w:hAnsi="Times New Roman"/>
                <w:sz w:val="22"/>
                <w:szCs w:val="22"/>
              </w:rPr>
              <w:t>44</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5C0005" w14:paraId="4933ECF6" w14:textId="424746E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5C0005" w14:paraId="68166B7D" w14:textId="0CAB1071">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5,6</w:t>
            </w:r>
            <w:r w:rsidR="005266E6">
              <w:rPr>
                <w:rFonts w:ascii="Times New Roman" w:hAnsi="Times New Roman"/>
                <w:sz w:val="22"/>
                <w:szCs w:val="22"/>
              </w:rPr>
              <w:t>44</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5C0005" w14:paraId="3F26773F" w14:textId="0FA3A579">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10/60</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5C0005" w14:paraId="41B987C0" w14:textId="19A283EA">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94</w:t>
            </w:r>
            <w:r w:rsidR="005266E6">
              <w:rPr>
                <w:rFonts w:ascii="Times New Roman" w:hAnsi="Times New Roman"/>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4F33A4" w:rsidRDefault="005C0005" w14:paraId="05999EC1" w14:textId="361B12B8">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$165.45</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4F33A4" w:rsidP="0023049F" w:rsidRDefault="005C0005" w14:paraId="716C08F5" w14:textId="6A771A80">
            <w:pPr>
              <w:widowControl/>
              <w:autoSpaceDE/>
              <w:autoSpaceDN/>
              <w:adjustRightInd/>
              <w:spacing w:line="276" w:lineRule="auto"/>
              <w:jc w:val="center"/>
              <w:rPr>
                <w:rFonts w:ascii="Times New Roman" w:hAnsi="Times New Roman"/>
                <w:sz w:val="22"/>
                <w:szCs w:val="22"/>
              </w:rPr>
            </w:pPr>
            <w:r w:rsidRPr="005C0005">
              <w:rPr>
                <w:rFonts w:ascii="Times New Roman" w:hAnsi="Times New Roman"/>
                <w:sz w:val="22"/>
                <w:szCs w:val="22"/>
              </w:rPr>
              <w:t>$</w:t>
            </w:r>
            <w:r w:rsidRPr="005266E6" w:rsidR="005266E6">
              <w:rPr>
                <w:rFonts w:ascii="Times New Roman" w:hAnsi="Times New Roman"/>
                <w:sz w:val="22"/>
                <w:szCs w:val="22"/>
              </w:rPr>
              <w:t>155,633</w:t>
            </w:r>
          </w:p>
        </w:tc>
      </w:tr>
    </w:tbl>
    <w:p w:rsidR="00FD79DC" w:rsidP="004F33A4" w:rsidRDefault="00FD79DC" w14:paraId="03E6B829" w14:textId="610AF0DA">
      <w:pPr>
        <w:ind w:left="720"/>
        <w:rPr>
          <w:rFonts w:ascii="Times New Roman" w:hAnsi="Times New Roman"/>
        </w:rPr>
      </w:pPr>
    </w:p>
    <w:p w:rsidR="003C4D4B" w:rsidP="003C4D4B" w:rsidRDefault="003C4D4B" w14:paraId="5BB96797" w14:textId="77777777">
      <w:pPr>
        <w:rPr>
          <w:rFonts w:ascii="Times New Roman" w:hAnsi="Times New Roman"/>
          <w:b/>
          <w:iCs/>
        </w:rPr>
      </w:pPr>
      <w:r>
        <w:rPr>
          <w:rFonts w:ascii="Times New Roman" w:hAnsi="Times New Roman"/>
          <w:b/>
          <w:iCs/>
        </w:rPr>
        <w:t xml:space="preserve">13. </w:t>
      </w:r>
      <w:r>
        <w:rPr>
          <w:rFonts w:ascii="Times New Roman" w:hAnsi="Times New Roman"/>
          <w:b/>
          <w:iCs/>
        </w:rPr>
        <w:tab/>
      </w:r>
      <w:r w:rsidRPr="007B78B0" w:rsidR="007B78B0">
        <w:rPr>
          <w:rFonts w:ascii="Times New Roman" w:hAnsi="Times New Roman"/>
          <w:b/>
          <w:iCs/>
        </w:rPr>
        <w:t xml:space="preserve">Provide an estimate of the total annual cost burden to respondents or record </w:t>
      </w:r>
      <w:r>
        <w:rPr>
          <w:rFonts w:ascii="Times New Roman" w:hAnsi="Times New Roman"/>
          <w:b/>
          <w:iCs/>
        </w:rPr>
        <w:t xml:space="preserve"> </w:t>
      </w:r>
    </w:p>
    <w:p w:rsidRPr="007B78B0" w:rsidR="007B78B0" w:rsidP="004F33A4" w:rsidRDefault="007B78B0" w14:paraId="38BE7B82" w14:textId="2DD4A03C">
      <w:pPr>
        <w:ind w:left="720"/>
        <w:rPr>
          <w:rFonts w:ascii="Times New Roman" w:hAnsi="Times New Roman"/>
          <w:b/>
          <w:iCs/>
        </w:rPr>
      </w:pPr>
      <w:r w:rsidRPr="007B78B0">
        <w:rPr>
          <w:rFonts w:ascii="Times New Roman" w:hAnsi="Times New Roman"/>
          <w:b/>
          <w:iCs/>
        </w:rPr>
        <w:t>keepers resulting from the collection of information.  (Do not include the cost of any hour burden shown in Items 12 or 14).</w:t>
      </w:r>
    </w:p>
    <w:p w:rsidRPr="007B78B0" w:rsidR="007B78B0" w:rsidP="007B78B0" w:rsidRDefault="007B78B0" w14:paraId="7E950722" w14:textId="77777777">
      <w:pPr>
        <w:numPr>
          <w:ilvl w:val="0"/>
          <w:numId w:val="8"/>
        </w:numPr>
        <w:rPr>
          <w:rFonts w:ascii="Times New Roman" w:hAnsi="Times New Roman"/>
          <w:b/>
          <w:iCs/>
        </w:rPr>
      </w:pPr>
      <w:r w:rsidRPr="007B78B0">
        <w:rPr>
          <w:rFonts w:ascii="Times New Roman" w:hAnsi="Times New Roman"/>
          <w:b/>
          <w:bCs/>
          <w:iCs/>
        </w:rPr>
        <w:t>The cost estimate should be split into 2 components:  (a) a total capital</w:t>
      </w:r>
      <w:r w:rsidRPr="007B78B0">
        <w:rPr>
          <w:rFonts w:ascii="Times New Roman" w:hAnsi="Times New Roman"/>
          <w:b/>
          <w:iCs/>
        </w:rPr>
        <w:t> </w:t>
      </w:r>
      <w:r w:rsidRPr="007B78B0">
        <w:rPr>
          <w:rFonts w:ascii="Times New Roman" w:hAnsi="Times New Roman"/>
          <w:b/>
          <w:bCs/>
          <w:iCs/>
        </w:rPr>
        <w:t>and </w:t>
      </w:r>
      <w:proofErr w:type="spellStart"/>
      <w:r w:rsidRPr="007B78B0">
        <w:rPr>
          <w:rFonts w:ascii="Times New Roman" w:hAnsi="Times New Roman"/>
          <w:b/>
          <w:bCs/>
          <w:iCs/>
        </w:rPr>
        <w:t>start up</w:t>
      </w:r>
      <w:proofErr w:type="spellEnd"/>
      <w:r w:rsidRPr="007B78B0">
        <w:rPr>
          <w:rFonts w:ascii="Times New Roman" w:hAnsi="Times New Roman"/>
          <w:b/>
          <w:bCs/>
          <w:iCs/>
        </w:rPr>
        <w:t xml:space="preserve"> cost component (annualized over its expected useful life); and (b) a</w:t>
      </w:r>
      <w:r w:rsidRPr="007B78B0">
        <w:rPr>
          <w:rFonts w:ascii="Times New Roman" w:hAnsi="Times New Roman"/>
          <w:b/>
          <w:iCs/>
        </w:rPr>
        <w:t> </w:t>
      </w:r>
      <w:r w:rsidRPr="007B78B0">
        <w:rPr>
          <w:rFonts w:ascii="Times New Roman" w:hAnsi="Times New Roman"/>
          <w:b/>
          <w:bCs/>
          <w:iCs/>
        </w:rPr>
        <w:t xml:space="preserve">total operation and maintenance and purchase of service component.  The estimates should </w:t>
      </w:r>
      <w:proofErr w:type="gramStart"/>
      <w:r w:rsidRPr="007B78B0">
        <w:rPr>
          <w:rFonts w:ascii="Times New Roman" w:hAnsi="Times New Roman"/>
          <w:b/>
          <w:bCs/>
          <w:iCs/>
        </w:rPr>
        <w:t>take into account</w:t>
      </w:r>
      <w:proofErr w:type="gramEnd"/>
      <w:r w:rsidRPr="007B78B0">
        <w:rPr>
          <w:rFonts w:ascii="Times New Roman" w:hAnsi="Times New Roman"/>
          <w:b/>
          <w:bCs/>
          <w:i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B78B0">
        <w:rPr>
          <w:rFonts w:ascii="Times New Roman" w:hAnsi="Times New Roman"/>
          <w:b/>
          <w:bCs/>
          <w:iCs/>
        </w:rPr>
        <w:t>time period</w:t>
      </w:r>
      <w:proofErr w:type="gramEnd"/>
      <w:r w:rsidRPr="007B78B0">
        <w:rPr>
          <w:rFonts w:ascii="Times New Roman" w:hAnsi="Times New Roman"/>
          <w:b/>
          <w:bCs/>
          <w:iCs/>
        </w:rPr>
        <w:t xml:space="preserve"> over which costs will be incurred.  Capital and start-up costs include, among other items, </w:t>
      </w:r>
      <w:r w:rsidRPr="007B78B0">
        <w:rPr>
          <w:rFonts w:ascii="Times New Roman" w:hAnsi="Times New Roman"/>
          <w:b/>
          <w:bCs/>
          <w:iCs/>
        </w:rPr>
        <w:lastRenderedPageBreak/>
        <w:t xml:space="preserve">preparations for collecting information such as purchasing computers and software; monitoring, sampling, </w:t>
      </w:r>
      <w:proofErr w:type="gramStart"/>
      <w:r w:rsidRPr="007B78B0">
        <w:rPr>
          <w:rFonts w:ascii="Times New Roman" w:hAnsi="Times New Roman"/>
          <w:b/>
          <w:bCs/>
          <w:iCs/>
        </w:rPr>
        <w:t>drilling</w:t>
      </w:r>
      <w:proofErr w:type="gramEnd"/>
      <w:r w:rsidRPr="007B78B0">
        <w:rPr>
          <w:rFonts w:ascii="Times New Roman" w:hAnsi="Times New Roman"/>
          <w:b/>
          <w:bCs/>
          <w:iCs/>
        </w:rPr>
        <w:t xml:space="preserve"> and testing equipment; and record storage facilities.</w:t>
      </w:r>
      <w:r w:rsidRPr="007B78B0">
        <w:rPr>
          <w:rFonts w:ascii="Times New Roman" w:hAnsi="Times New Roman"/>
          <w:b/>
          <w:iCs/>
        </w:rPr>
        <w:t> </w:t>
      </w:r>
    </w:p>
    <w:p w:rsidRPr="007B78B0" w:rsidR="007B78B0" w:rsidP="007B78B0" w:rsidRDefault="007B78B0" w14:paraId="363FAC8C" w14:textId="77777777">
      <w:pPr>
        <w:numPr>
          <w:ilvl w:val="0"/>
          <w:numId w:val="8"/>
        </w:numPr>
        <w:rPr>
          <w:rFonts w:ascii="Times New Roman" w:hAnsi="Times New Roman"/>
          <w:b/>
          <w:iCs/>
        </w:rPr>
      </w:pPr>
      <w:r w:rsidRPr="007B78B0">
        <w:rPr>
          <w:rFonts w:ascii="Times New Roman" w:hAnsi="Times New Roman"/>
          <w:b/>
          <w:bCs/>
          <w:i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7B78B0">
        <w:rPr>
          <w:rFonts w:ascii="Times New Roman" w:hAnsi="Times New Roman"/>
          <w:b/>
          <w:bCs/>
          <w:iCs/>
        </w:rPr>
        <w:t>process</w:t>
      </w:r>
      <w:proofErr w:type="gramEnd"/>
      <w:r w:rsidRPr="007B78B0">
        <w:rPr>
          <w:rFonts w:ascii="Times New Roman" w:hAnsi="Times New Roman"/>
          <w:b/>
          <w:bCs/>
          <w:iCs/>
        </w:rPr>
        <w:t xml:space="preserve"> and use existing economic or regulatory impact analysis associated with the rulemaking containing the information collection, as appropriate.</w:t>
      </w:r>
      <w:r w:rsidRPr="007B78B0">
        <w:rPr>
          <w:rFonts w:ascii="Times New Roman" w:hAnsi="Times New Roman"/>
          <w:b/>
          <w:iCs/>
        </w:rPr>
        <w:t> </w:t>
      </w:r>
    </w:p>
    <w:p w:rsidRPr="007B78B0" w:rsidR="007B78B0" w:rsidP="007B78B0" w:rsidRDefault="007B78B0" w14:paraId="43CB40D0" w14:textId="77777777">
      <w:pPr>
        <w:numPr>
          <w:ilvl w:val="0"/>
          <w:numId w:val="8"/>
        </w:numPr>
        <w:rPr>
          <w:rFonts w:ascii="Times New Roman" w:hAnsi="Times New Roman"/>
          <w:b/>
          <w:iCs/>
        </w:rPr>
      </w:pPr>
      <w:r w:rsidRPr="007B78B0">
        <w:rPr>
          <w:rFonts w:ascii="Times New Roman" w:hAnsi="Times New Roman"/>
          <w:b/>
          <w:bCs/>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53C8B" w:rsidP="00380809" w:rsidRDefault="00853C8B" w14:paraId="69A90DB3" w14:textId="77777777">
      <w:pPr>
        <w:ind w:left="720"/>
        <w:rPr>
          <w:rFonts w:ascii="Times New Roman" w:hAnsi="Times New Roman"/>
        </w:rPr>
      </w:pPr>
    </w:p>
    <w:p w:rsidR="00853C8B" w:rsidP="00380809" w:rsidRDefault="00C138EA" w14:paraId="157F8796" w14:textId="618094F0">
      <w:pPr>
        <w:ind w:left="720"/>
        <w:rPr>
          <w:rFonts w:ascii="Times New Roman" w:hAnsi="Times New Roman"/>
        </w:rPr>
      </w:pPr>
      <w:r>
        <w:rPr>
          <w:rFonts w:ascii="Times New Roman" w:hAnsi="Times New Roman"/>
        </w:rPr>
        <w:t>It is assumed that required records are maintained by the relevant affected parties, the broker-</w:t>
      </w:r>
      <w:proofErr w:type="gramStart"/>
      <w:r>
        <w:rPr>
          <w:rFonts w:ascii="Times New Roman" w:hAnsi="Times New Roman"/>
        </w:rPr>
        <w:t>dealers</w:t>
      </w:r>
      <w:proofErr w:type="gramEnd"/>
      <w:r w:rsidR="0042484A">
        <w:rPr>
          <w:rFonts w:ascii="Times New Roman" w:hAnsi="Times New Roman"/>
        </w:rPr>
        <w:t xml:space="preserve"> and banks</w:t>
      </w:r>
      <w:r>
        <w:rPr>
          <w:rFonts w:ascii="Times New Roman" w:hAnsi="Times New Roman"/>
        </w:rPr>
        <w:t xml:space="preserve">. </w:t>
      </w:r>
      <w:r w:rsidR="006E7DFD">
        <w:rPr>
          <w:rFonts w:ascii="Times New Roman" w:hAnsi="Times New Roman"/>
        </w:rPr>
        <w:t xml:space="preserve"> </w:t>
      </w:r>
      <w:r>
        <w:rPr>
          <w:rFonts w:ascii="Times New Roman" w:hAnsi="Times New Roman"/>
        </w:rPr>
        <w:t>Thus, there are no additional tasks performed outsid</w:t>
      </w:r>
      <w:r w:rsidR="00582C12">
        <w:rPr>
          <w:rFonts w:ascii="Times New Roman" w:hAnsi="Times New Roman"/>
        </w:rPr>
        <w:t>e of the brokerage firms/banks.</w:t>
      </w:r>
    </w:p>
    <w:p w:rsidR="008B2169" w:rsidP="00114DCC" w:rsidRDefault="008B2169" w14:paraId="31C7A73E" w14:textId="77777777">
      <w:pPr>
        <w:rPr>
          <w:rFonts w:ascii="Times New Roman" w:hAnsi="Times New Roman"/>
        </w:rPr>
      </w:pPr>
    </w:p>
    <w:p w:rsidRPr="005A3692" w:rsidR="00853C8B" w:rsidP="00380809" w:rsidRDefault="00853C8B" w14:paraId="5367D415" w14:textId="77777777">
      <w:pPr>
        <w:tabs>
          <w:tab w:val="left" w:pos="-1440"/>
        </w:tabs>
        <w:ind w:left="720" w:hanging="720"/>
        <w:rPr>
          <w:rFonts w:ascii="Times New Roman" w:hAnsi="Times New Roman"/>
          <w:b/>
          <w:iCs/>
        </w:rPr>
      </w:pPr>
      <w:r w:rsidRPr="005A3692">
        <w:rPr>
          <w:rFonts w:ascii="Times New Roman" w:hAnsi="Times New Roman"/>
          <w:b/>
        </w:rPr>
        <w:t>14.</w:t>
      </w:r>
      <w:r w:rsidRPr="005A3692">
        <w:rPr>
          <w:rFonts w:ascii="Times New Roman" w:hAnsi="Times New Roman"/>
          <w:b/>
        </w:rPr>
        <w:tab/>
      </w:r>
      <w:r w:rsidRPr="005A3692">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53C8B" w:rsidP="00380809" w:rsidRDefault="00853C8B" w14:paraId="51400C4F" w14:textId="77777777">
      <w:pPr>
        <w:ind w:left="720"/>
        <w:rPr>
          <w:rFonts w:ascii="Times New Roman" w:hAnsi="Times New Roman"/>
        </w:rPr>
      </w:pPr>
    </w:p>
    <w:p w:rsidR="00853C8B" w:rsidP="00380809" w:rsidRDefault="00853C8B" w14:paraId="21251502" w14:textId="77777777">
      <w:pPr>
        <w:ind w:left="720"/>
        <w:rPr>
          <w:rFonts w:ascii="Times New Roman" w:hAnsi="Times New Roman"/>
        </w:rPr>
      </w:pPr>
      <w:r>
        <w:rPr>
          <w:rFonts w:ascii="Times New Roman" w:hAnsi="Times New Roman"/>
        </w:rPr>
        <w:t>Not applicable.</w:t>
      </w:r>
    </w:p>
    <w:p w:rsidR="00853C8B" w:rsidP="00380809" w:rsidRDefault="00853C8B" w14:paraId="26A3AD31" w14:textId="77777777">
      <w:pPr>
        <w:ind w:left="720"/>
        <w:rPr>
          <w:rFonts w:ascii="Times New Roman" w:hAnsi="Times New Roman"/>
        </w:rPr>
      </w:pPr>
    </w:p>
    <w:p w:rsidRPr="005A3692" w:rsidR="00853C8B" w:rsidP="00582562" w:rsidRDefault="00853C8B" w14:paraId="703804DE" w14:textId="77777777">
      <w:pPr>
        <w:tabs>
          <w:tab w:val="left" w:pos="-1440"/>
        </w:tabs>
        <w:ind w:left="720" w:hanging="720"/>
        <w:rPr>
          <w:rFonts w:ascii="Times New Roman" w:hAnsi="Times New Roman"/>
          <w:b/>
        </w:rPr>
      </w:pPr>
      <w:r w:rsidRPr="005A3692">
        <w:rPr>
          <w:rFonts w:ascii="Times New Roman" w:hAnsi="Times New Roman"/>
          <w:b/>
        </w:rPr>
        <w:t>15.</w:t>
      </w:r>
      <w:r w:rsidRPr="005A3692">
        <w:rPr>
          <w:rFonts w:ascii="Times New Roman" w:hAnsi="Times New Roman"/>
          <w:b/>
        </w:rPr>
        <w:tab/>
      </w:r>
      <w:r w:rsidRPr="005A3692">
        <w:rPr>
          <w:rFonts w:ascii="Times New Roman" w:hAnsi="Times New Roman"/>
          <w:b/>
          <w:iCs/>
        </w:rPr>
        <w:t>Explain the reasons for any program changes or adjustments reporting in Items 13 or 14</w:t>
      </w:r>
    </w:p>
    <w:p w:rsidR="00D331E1" w:rsidP="00582562" w:rsidRDefault="00D331E1" w14:paraId="7E64BAD0" w14:textId="1A74C159">
      <w:pPr>
        <w:ind w:left="720"/>
        <w:rPr>
          <w:rFonts w:ascii="Times New Roman" w:hAnsi="Times New Roman"/>
        </w:rPr>
      </w:pPr>
    </w:p>
    <w:p w:rsidR="00D331E1" w:rsidP="00582562" w:rsidRDefault="00476390" w14:paraId="0C2A39FE" w14:textId="3CA2BBEC">
      <w:pPr>
        <w:ind w:left="720"/>
        <w:rPr>
          <w:rFonts w:ascii="Times New Roman" w:hAnsi="Times New Roman"/>
        </w:rPr>
      </w:pPr>
      <w:r>
        <w:rPr>
          <w:rFonts w:ascii="Times New Roman" w:hAnsi="Times New Roman"/>
        </w:rPr>
        <w:t>The Department has updated the data inputs</w:t>
      </w:r>
      <w:r w:rsidR="00903B1A">
        <w:rPr>
          <w:rFonts w:ascii="Times New Roman" w:hAnsi="Times New Roman"/>
        </w:rPr>
        <w:t xml:space="preserve"> used to calculate the number of responses and respondents. </w:t>
      </w:r>
      <w:r w:rsidR="00D331E1">
        <w:rPr>
          <w:rFonts w:ascii="Times New Roman" w:hAnsi="Times New Roman"/>
        </w:rPr>
        <w:t xml:space="preserve">The Department has </w:t>
      </w:r>
      <w:r w:rsidR="00903B1A">
        <w:rPr>
          <w:rFonts w:ascii="Times New Roman" w:hAnsi="Times New Roman"/>
        </w:rPr>
        <w:t xml:space="preserve">also </w:t>
      </w:r>
      <w:r w:rsidR="00D331E1">
        <w:rPr>
          <w:rFonts w:ascii="Times New Roman" w:hAnsi="Times New Roman"/>
        </w:rPr>
        <w:t xml:space="preserve">updated the labor rate. </w:t>
      </w:r>
    </w:p>
    <w:p w:rsidR="00C138EA" w:rsidP="00182B71" w:rsidRDefault="00C138EA" w14:paraId="46D05110" w14:textId="77777777">
      <w:pPr>
        <w:rPr>
          <w:rFonts w:ascii="Times New Roman" w:hAnsi="Times New Roman"/>
        </w:rPr>
      </w:pPr>
    </w:p>
    <w:p w:rsidRPr="005A3692" w:rsidR="00853C8B" w:rsidP="00582562" w:rsidRDefault="00853C8B" w14:paraId="40C29D11" w14:textId="77777777">
      <w:pPr>
        <w:tabs>
          <w:tab w:val="left" w:pos="-1440"/>
        </w:tabs>
        <w:ind w:left="720" w:hanging="720"/>
        <w:rPr>
          <w:rFonts w:ascii="Times New Roman" w:hAnsi="Times New Roman"/>
          <w:b/>
          <w:iCs/>
        </w:rPr>
      </w:pPr>
      <w:r w:rsidRPr="005A3692">
        <w:rPr>
          <w:rFonts w:ascii="Times New Roman" w:hAnsi="Times New Roman"/>
          <w:b/>
        </w:rPr>
        <w:t>16.</w:t>
      </w:r>
      <w:r w:rsidRPr="005A3692">
        <w:rPr>
          <w:rFonts w:ascii="Times New Roman" w:hAnsi="Times New Roman"/>
          <w:b/>
        </w:rPr>
        <w:tab/>
      </w:r>
      <w:r w:rsidRPr="005A3692">
        <w:rPr>
          <w:rFonts w:ascii="Times New Roman" w:hAnsi="Times New Roman"/>
          <w:b/>
          <w:iCs/>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w:t>
      </w:r>
      <w:r w:rsidRPr="005A3692">
        <w:rPr>
          <w:rFonts w:ascii="Times New Roman" w:hAnsi="Times New Roman"/>
          <w:b/>
          <w:iCs/>
        </w:rPr>
        <w:lastRenderedPageBreak/>
        <w:t>dates, and other actions.</w:t>
      </w:r>
    </w:p>
    <w:p w:rsidR="00853C8B" w:rsidP="00582562" w:rsidRDefault="00853C8B" w14:paraId="05106F3E" w14:textId="77777777">
      <w:pPr>
        <w:ind w:left="720"/>
        <w:rPr>
          <w:rFonts w:ascii="Times New Roman" w:hAnsi="Times New Roman"/>
        </w:rPr>
      </w:pPr>
    </w:p>
    <w:p w:rsidR="00853C8B" w:rsidP="00582562" w:rsidRDefault="00853C8B" w14:paraId="62885DBC" w14:textId="77777777">
      <w:pPr>
        <w:ind w:left="720"/>
        <w:rPr>
          <w:rFonts w:ascii="Times New Roman" w:hAnsi="Times New Roman"/>
        </w:rPr>
      </w:pPr>
      <w:r>
        <w:rPr>
          <w:rFonts w:ascii="Times New Roman" w:hAnsi="Times New Roman"/>
        </w:rPr>
        <w:t>The results of the collection of information will not be published.</w:t>
      </w:r>
    </w:p>
    <w:p w:rsidR="00853C8B" w:rsidP="00582562" w:rsidRDefault="00853C8B" w14:paraId="2480E8B0" w14:textId="77777777">
      <w:pPr>
        <w:ind w:left="720"/>
        <w:rPr>
          <w:rFonts w:ascii="Times New Roman" w:hAnsi="Times New Roman"/>
        </w:rPr>
      </w:pPr>
    </w:p>
    <w:p w:rsidRPr="005A3692" w:rsidR="00853C8B" w:rsidP="0001701A" w:rsidRDefault="00853C8B" w14:paraId="006B774A" w14:textId="77777777">
      <w:pPr>
        <w:tabs>
          <w:tab w:val="left" w:pos="-1440"/>
        </w:tabs>
        <w:ind w:left="720" w:hanging="720"/>
        <w:rPr>
          <w:rFonts w:ascii="Times New Roman" w:hAnsi="Times New Roman"/>
          <w:b/>
          <w:iCs/>
        </w:rPr>
      </w:pPr>
      <w:r w:rsidRPr="005A3692">
        <w:rPr>
          <w:rFonts w:ascii="Times New Roman" w:hAnsi="Times New Roman"/>
          <w:b/>
        </w:rPr>
        <w:t>17.</w:t>
      </w:r>
      <w:r w:rsidRPr="005A3692">
        <w:rPr>
          <w:rFonts w:ascii="Times New Roman" w:hAnsi="Times New Roman"/>
          <w:b/>
        </w:rPr>
        <w:tab/>
      </w:r>
      <w:r w:rsidRPr="005A3692">
        <w:rPr>
          <w:rFonts w:ascii="Times New Roman" w:hAnsi="Times New Roman"/>
          <w:b/>
          <w:iCs/>
        </w:rPr>
        <w:t>If seeking approval to not display the expiration date for OMB approval of the information collection, explain the reasons that display would be inappropriate.</w:t>
      </w:r>
    </w:p>
    <w:p w:rsidR="00853C8B" w:rsidP="0001701A" w:rsidRDefault="00853C8B" w14:paraId="35CC1312" w14:textId="77777777">
      <w:pPr>
        <w:ind w:left="720"/>
        <w:rPr>
          <w:rFonts w:ascii="Times New Roman" w:hAnsi="Times New Roman"/>
        </w:rPr>
      </w:pPr>
    </w:p>
    <w:p w:rsidR="00853C8B" w:rsidP="0001701A" w:rsidRDefault="00853C8B" w14:paraId="7104746D" w14:textId="77777777">
      <w:pPr>
        <w:ind w:left="720"/>
        <w:rPr>
          <w:rFonts w:ascii="Times New Roman" w:hAnsi="Times New Roman"/>
        </w:rPr>
      </w:pPr>
      <w:r>
        <w:rPr>
          <w:rFonts w:ascii="Times New Roman" w:hAnsi="Times New Roman"/>
        </w:rPr>
        <w:t>The collection of information will display a currently valid OMB control number.</w:t>
      </w:r>
    </w:p>
    <w:p w:rsidR="00853C8B" w:rsidP="0001701A" w:rsidRDefault="00853C8B" w14:paraId="52F36B90" w14:textId="77777777">
      <w:pPr>
        <w:ind w:left="720"/>
        <w:rPr>
          <w:rFonts w:ascii="Times New Roman" w:hAnsi="Times New Roman"/>
        </w:rPr>
      </w:pPr>
    </w:p>
    <w:p w:rsidRPr="005A3692" w:rsidR="00853C8B" w:rsidP="0001701A" w:rsidRDefault="00853C8B" w14:paraId="5F7257CA" w14:textId="141C3232">
      <w:pPr>
        <w:tabs>
          <w:tab w:val="left" w:pos="-1440"/>
        </w:tabs>
        <w:ind w:left="720" w:hanging="720"/>
        <w:rPr>
          <w:rFonts w:ascii="Times New Roman" w:hAnsi="Times New Roman"/>
          <w:b/>
          <w:iCs/>
        </w:rPr>
      </w:pPr>
      <w:r w:rsidRPr="005A3692">
        <w:rPr>
          <w:rFonts w:ascii="Times New Roman" w:hAnsi="Times New Roman"/>
          <w:b/>
        </w:rPr>
        <w:t>18.</w:t>
      </w:r>
      <w:r w:rsidRPr="005A3692">
        <w:rPr>
          <w:rFonts w:ascii="Times New Roman" w:hAnsi="Times New Roman"/>
          <w:b/>
        </w:rPr>
        <w:tab/>
      </w:r>
      <w:r w:rsidRPr="005A3692">
        <w:rPr>
          <w:rFonts w:ascii="Times New Roman" w:hAnsi="Times New Roman"/>
          <w:b/>
          <w:iCs/>
        </w:rPr>
        <w:t>Explain each exception to the certification s</w:t>
      </w:r>
      <w:r w:rsidR="005A3692">
        <w:rPr>
          <w:rFonts w:ascii="Times New Roman" w:hAnsi="Times New Roman"/>
          <w:b/>
          <w:iCs/>
        </w:rPr>
        <w:t>tatement identified in Item 19.</w:t>
      </w:r>
    </w:p>
    <w:p w:rsidR="00853C8B" w:rsidP="0001701A" w:rsidRDefault="00853C8B" w14:paraId="409ED07A" w14:textId="77777777">
      <w:pPr>
        <w:ind w:left="720"/>
        <w:rPr>
          <w:rFonts w:ascii="Times New Roman" w:hAnsi="Times New Roman"/>
        </w:rPr>
      </w:pPr>
    </w:p>
    <w:p w:rsidR="00853C8B" w:rsidP="0001701A" w:rsidRDefault="00853C8B" w14:paraId="27B0A7F9" w14:textId="77777777">
      <w:pPr>
        <w:ind w:left="720"/>
        <w:rPr>
          <w:rFonts w:ascii="Times New Roman" w:hAnsi="Times New Roman"/>
        </w:rPr>
      </w:pPr>
      <w:r>
        <w:rPr>
          <w:rFonts w:ascii="Times New Roman" w:hAnsi="Times New Roman"/>
        </w:rPr>
        <w:t>Not applicable; no exceptions to the certification statement.</w:t>
      </w:r>
    </w:p>
    <w:p w:rsidR="00853C8B" w:rsidP="0001701A" w:rsidRDefault="00853C8B" w14:paraId="3F28B228" w14:textId="77777777">
      <w:pPr>
        <w:ind w:left="720"/>
        <w:rPr>
          <w:rFonts w:ascii="Times New Roman" w:hAnsi="Times New Roman"/>
        </w:rPr>
      </w:pPr>
    </w:p>
    <w:p w:rsidR="00853C8B" w:rsidP="0001701A" w:rsidRDefault="00E767F1" w14:paraId="174772F0" w14:textId="626FD7A1">
      <w:pPr>
        <w:pStyle w:val="Quick1"/>
        <w:numPr>
          <w:ilvl w:val="0"/>
          <w:numId w:val="6"/>
        </w:numPr>
        <w:tabs>
          <w:tab w:val="clear" w:pos="360"/>
        </w:tabs>
        <w:ind w:left="720" w:hanging="720"/>
        <w:rPr>
          <w:rFonts w:ascii="Times New Roman" w:hAnsi="Times New Roman"/>
          <w:i/>
          <w:iCs/>
        </w:rPr>
      </w:pPr>
      <w:r>
        <w:rPr>
          <w:rFonts w:ascii="Times New Roman" w:hAnsi="Times New Roman"/>
          <w:b/>
          <w:bCs/>
        </w:rPr>
        <w:t>COLLECTION OF INFORMATION EMPLOYING STATISTICAL METHODS</w:t>
      </w:r>
    </w:p>
    <w:p w:rsidR="00853C8B" w:rsidP="0001701A" w:rsidRDefault="00853C8B" w14:paraId="2B1122D4" w14:textId="77777777">
      <w:pPr>
        <w:pStyle w:val="Header"/>
        <w:tabs>
          <w:tab w:val="clear" w:pos="4320"/>
          <w:tab w:val="clear" w:pos="8640"/>
        </w:tabs>
        <w:ind w:left="720"/>
        <w:rPr>
          <w:rFonts w:ascii="Times New Roman" w:hAnsi="Times New Roman"/>
        </w:rPr>
      </w:pPr>
    </w:p>
    <w:p w:rsidR="00853C8B" w:rsidP="00B74D2B" w:rsidRDefault="00853C8B" w14:paraId="695175AF" w14:textId="32BD3997">
      <w:pPr>
        <w:ind w:left="720"/>
        <w:rPr>
          <w:rFonts w:ascii="Times New Roman" w:hAnsi="Times New Roman"/>
        </w:rPr>
      </w:pPr>
      <w:r>
        <w:rPr>
          <w:rFonts w:ascii="Times New Roman" w:hAnsi="Times New Roman"/>
        </w:rPr>
        <w:t>Not applicable.  The use of statistical methods is not relevant to this collection of information.</w:t>
      </w:r>
    </w:p>
    <w:sectPr w:rsidR="00853C8B">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2C36" w14:textId="77777777" w:rsidR="0034516B" w:rsidRDefault="0034516B">
      <w:r>
        <w:separator/>
      </w:r>
    </w:p>
  </w:endnote>
  <w:endnote w:type="continuationSeparator" w:id="0">
    <w:p w14:paraId="51163B23" w14:textId="77777777" w:rsidR="0034516B" w:rsidRDefault="0034516B">
      <w:r>
        <w:continuationSeparator/>
      </w:r>
    </w:p>
  </w:endnote>
  <w:endnote w:type="continuationNotice" w:id="1">
    <w:p w14:paraId="3A53783B" w14:textId="77777777" w:rsidR="0034516B" w:rsidRDefault="00345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C5C2" w14:textId="77777777" w:rsidR="00715B5A" w:rsidRDefault="00715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715873"/>
      <w:docPartObj>
        <w:docPartGallery w:val="Page Numbers (Bottom of Page)"/>
        <w:docPartUnique/>
      </w:docPartObj>
    </w:sdtPr>
    <w:sdtEndPr>
      <w:rPr>
        <w:rFonts w:ascii="Times New Roman" w:hAnsi="Times New Roman"/>
        <w:noProof/>
      </w:rPr>
    </w:sdtEndPr>
    <w:sdtContent>
      <w:p w14:paraId="733CD3A1" w14:textId="45FA3952" w:rsidR="00536DF5" w:rsidRPr="00797B39" w:rsidRDefault="00536DF5">
        <w:pPr>
          <w:pStyle w:val="Footer"/>
          <w:jc w:val="center"/>
          <w:rPr>
            <w:rFonts w:ascii="Times New Roman" w:hAnsi="Times New Roman"/>
          </w:rPr>
        </w:pPr>
        <w:r w:rsidRPr="00797B39">
          <w:rPr>
            <w:rFonts w:ascii="Times New Roman" w:hAnsi="Times New Roman"/>
          </w:rPr>
          <w:fldChar w:fldCharType="begin"/>
        </w:r>
        <w:r w:rsidRPr="00797B39">
          <w:rPr>
            <w:rFonts w:ascii="Times New Roman" w:hAnsi="Times New Roman"/>
          </w:rPr>
          <w:instrText xml:space="preserve"> PAGE   \* MERGEFORMAT </w:instrText>
        </w:r>
        <w:r w:rsidRPr="00797B39">
          <w:rPr>
            <w:rFonts w:ascii="Times New Roman" w:hAnsi="Times New Roman"/>
          </w:rPr>
          <w:fldChar w:fldCharType="separate"/>
        </w:r>
        <w:r w:rsidR="001564C6">
          <w:rPr>
            <w:rFonts w:ascii="Times New Roman" w:hAnsi="Times New Roman"/>
            <w:noProof/>
          </w:rPr>
          <w:t>10</w:t>
        </w:r>
        <w:r w:rsidRPr="00797B39">
          <w:rPr>
            <w:rFonts w:ascii="Times New Roman" w:hAnsi="Times New Roman"/>
            <w:noProof/>
          </w:rPr>
          <w:fldChar w:fldCharType="end"/>
        </w:r>
      </w:p>
    </w:sdtContent>
  </w:sdt>
  <w:p w14:paraId="7F8FB63B" w14:textId="77777777" w:rsidR="00536DF5" w:rsidRDefault="00536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7F0D" w14:textId="77777777" w:rsidR="00715B5A" w:rsidRDefault="0071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C468" w14:textId="77777777" w:rsidR="0034516B" w:rsidRDefault="0034516B">
      <w:r>
        <w:separator/>
      </w:r>
    </w:p>
  </w:footnote>
  <w:footnote w:type="continuationSeparator" w:id="0">
    <w:p w14:paraId="3659C9A4" w14:textId="77777777" w:rsidR="0034516B" w:rsidRDefault="0034516B">
      <w:r>
        <w:continuationSeparator/>
      </w:r>
    </w:p>
  </w:footnote>
  <w:footnote w:type="continuationNotice" w:id="1">
    <w:p w14:paraId="73769CA7" w14:textId="77777777" w:rsidR="0034516B" w:rsidRDefault="0034516B"/>
  </w:footnote>
  <w:footnote w:id="2">
    <w:p w14:paraId="66FC1E76" w14:textId="77777777" w:rsidR="00536DF5" w:rsidRPr="008F4879" w:rsidRDefault="00536DF5" w:rsidP="00C138EA">
      <w:pPr>
        <w:pStyle w:val="FootnoteText"/>
        <w:rPr>
          <w:rFonts w:ascii="Times New Roman" w:hAnsi="Times New Roman"/>
        </w:rPr>
      </w:pPr>
      <w:r w:rsidRPr="006A565F">
        <w:rPr>
          <w:rStyle w:val="FootnoteReference"/>
          <w:rFonts w:ascii="Times New Roman" w:eastAsiaTheme="majorEastAsia" w:hAnsi="Times New Roman"/>
          <w:vertAlign w:val="superscript"/>
        </w:rPr>
        <w:footnoteRef/>
      </w:r>
      <w:r w:rsidRPr="006A565F">
        <w:rPr>
          <w:rFonts w:ascii="Times New Roman" w:hAnsi="Times New Roman"/>
        </w:rPr>
        <w:t xml:space="preserve"> Regulations at 29 CFR section 2570.30 to 2570.52 describe the procedures for applying for an administrative exemption under ERISA.</w:t>
      </w:r>
      <w:r w:rsidRPr="007F3F3C">
        <w:rPr>
          <w:rFonts w:ascii="Times New Roman" w:hAnsi="Times New Roman"/>
        </w:rPr>
        <w:t xml:space="preserve">  </w:t>
      </w:r>
      <w:r w:rsidRPr="006A565F">
        <w:rPr>
          <w:rFonts w:ascii="Times New Roman" w:hAnsi="Times New Roman"/>
        </w:rPr>
        <w:t xml:space="preserve">Code section 4975(c)(2) authorizes the Secretary of the Treasury to grant exemptions from the parallel prohibited transaction provisions of the Code.  </w:t>
      </w:r>
      <w:r w:rsidRPr="006A565F">
        <w:rPr>
          <w:rFonts w:ascii="Times New Roman" w:eastAsiaTheme="minorHAnsi" w:hAnsi="Times New Roman"/>
        </w:rPr>
        <w:t>Reorganization Plan No. 4 of 1978 (5 U.S.C. app. at 214 (2000)) generally transferred the authority of the Secretary of the Treasury to issue administrative exemptions under Code section 4975 to the Secretary of Labor.</w:t>
      </w:r>
      <w:r w:rsidRPr="0078280B">
        <w:rPr>
          <w:rFonts w:ascii="Times New Roman" w:eastAsiaTheme="minorHAnsi" w:hAnsi="Times New Roman"/>
          <w:sz w:val="24"/>
          <w:szCs w:val="24"/>
        </w:rPr>
        <w:t xml:space="preserve">  </w:t>
      </w:r>
    </w:p>
  </w:footnote>
  <w:footnote w:id="3">
    <w:p w14:paraId="16B8C08F" w14:textId="58FBFDB3" w:rsidR="00106C55" w:rsidRDefault="00106C55">
      <w:pPr>
        <w:pStyle w:val="FootnoteText"/>
      </w:pPr>
      <w:r w:rsidRPr="009C045E">
        <w:rPr>
          <w:rStyle w:val="FootnoteReference"/>
          <w:rFonts w:ascii="Times New Roman" w:hAnsi="Times New Roman"/>
          <w:vertAlign w:val="superscript"/>
        </w:rPr>
        <w:footnoteRef/>
      </w:r>
      <w:r w:rsidRPr="00114DCC">
        <w:rPr>
          <w:rFonts w:ascii="Times New Roman" w:hAnsi="Times New Roman"/>
          <w:vertAlign w:val="superscript"/>
        </w:rPr>
        <w:t xml:space="preserve"> </w:t>
      </w:r>
      <w:r w:rsidRPr="00114DCC">
        <w:rPr>
          <w:rFonts w:ascii="Times New Roman" w:hAnsi="Times New Roman"/>
        </w:rPr>
        <w:t>Estimates based on SEC’s FOCUS filings and SEC’s Form ADV filings</w:t>
      </w:r>
    </w:p>
  </w:footnote>
  <w:footnote w:id="4">
    <w:p w14:paraId="112875EA" w14:textId="3DD10CFC" w:rsidR="0065495D" w:rsidRPr="008F4879" w:rsidRDefault="0065495D" w:rsidP="0065495D">
      <w:pPr>
        <w:pStyle w:val="FootnoteText"/>
        <w:rPr>
          <w:rFonts w:ascii="Times New Roman" w:hAnsi="Times New Roman"/>
        </w:rPr>
      </w:pPr>
      <w:r w:rsidRPr="008F4879">
        <w:rPr>
          <w:rStyle w:val="FootnoteReference"/>
          <w:rFonts w:ascii="Times New Roman" w:hAnsi="Times New Roman"/>
          <w:vertAlign w:val="superscript"/>
        </w:rPr>
        <w:footnoteRef/>
      </w:r>
      <w:r>
        <w:rPr>
          <w:rFonts w:ascii="Times New Roman" w:hAnsi="Times New Roman"/>
        </w:rPr>
        <w:t xml:space="preserve"> </w:t>
      </w:r>
      <w:r w:rsidRPr="00A67AA3">
        <w:rPr>
          <w:rFonts w:ascii="Times New Roman" w:hAnsi="Times New Roman"/>
        </w:rPr>
        <w:t>Financial Industry Regulatory Authority.  “A Report from the Financial Industry Regulatory Authority: 2021 FINRA Industry Snapshot.”  (2021).</w:t>
      </w:r>
      <w:r w:rsidR="004F6179">
        <w:rPr>
          <w:rFonts w:ascii="Times New Roman" w:hAnsi="Times New Roman"/>
        </w:rPr>
        <w:t xml:space="preserve"> This number</w:t>
      </w:r>
      <w:r w:rsidR="008C2AF7">
        <w:rPr>
          <w:rFonts w:ascii="Times New Roman" w:hAnsi="Times New Roman"/>
        </w:rPr>
        <w:t xml:space="preserve"> of FINRA members</w:t>
      </w:r>
      <w:r w:rsidR="004F6179">
        <w:rPr>
          <w:rFonts w:ascii="Times New Roman" w:hAnsi="Times New Roman"/>
        </w:rPr>
        <w:t xml:space="preserve"> is the sum </w:t>
      </w:r>
      <w:r w:rsidR="00735D97">
        <w:rPr>
          <w:rFonts w:ascii="Times New Roman" w:hAnsi="Times New Roman"/>
        </w:rPr>
        <w:t xml:space="preserve">of </w:t>
      </w:r>
      <w:r w:rsidR="00F9753D">
        <w:rPr>
          <w:rFonts w:ascii="Times New Roman" w:hAnsi="Times New Roman"/>
        </w:rPr>
        <w:t xml:space="preserve">the number </w:t>
      </w:r>
      <w:r w:rsidR="008C2AF7">
        <w:rPr>
          <w:rFonts w:ascii="Times New Roman" w:hAnsi="Times New Roman"/>
        </w:rPr>
        <w:t xml:space="preserve">of </w:t>
      </w:r>
      <w:r w:rsidR="00F9753D" w:rsidRPr="00F9753D">
        <w:rPr>
          <w:rFonts w:ascii="Times New Roman" w:hAnsi="Times New Roman"/>
        </w:rPr>
        <w:t>firms that are solely registered with FINRA as broker-dealer</w:t>
      </w:r>
      <w:r w:rsidR="002A3EE6">
        <w:rPr>
          <w:rFonts w:ascii="Times New Roman" w:hAnsi="Times New Roman"/>
        </w:rPr>
        <w:t>s</w:t>
      </w:r>
      <w:r w:rsidR="00891CCE">
        <w:rPr>
          <w:rFonts w:ascii="Times New Roman" w:hAnsi="Times New Roman"/>
        </w:rPr>
        <w:t xml:space="preserve"> (2,930) and </w:t>
      </w:r>
      <w:r w:rsidR="00065476">
        <w:rPr>
          <w:rFonts w:ascii="Times New Roman" w:hAnsi="Times New Roman"/>
        </w:rPr>
        <w:t xml:space="preserve">the number of </w:t>
      </w:r>
      <w:r w:rsidR="00065476" w:rsidRPr="00065476">
        <w:rPr>
          <w:rFonts w:ascii="Times New Roman" w:hAnsi="Times New Roman"/>
        </w:rPr>
        <w:t>FINRA-registered broker-dealers who are also registered as investment adviser firm</w:t>
      </w:r>
      <w:r w:rsidR="002A3EE6">
        <w:rPr>
          <w:rFonts w:ascii="Times New Roman" w:hAnsi="Times New Roman"/>
        </w:rPr>
        <w:t>s</w:t>
      </w:r>
      <w:r w:rsidR="008C2AF7">
        <w:rPr>
          <w:rFonts w:ascii="Times New Roman" w:hAnsi="Times New Roman"/>
        </w:rPr>
        <w:t xml:space="preserve"> (505). </w:t>
      </w:r>
    </w:p>
  </w:footnote>
  <w:footnote w:id="5">
    <w:p w14:paraId="62E6E99B" w14:textId="59B7D064" w:rsidR="00536DF5" w:rsidRPr="008F4879" w:rsidRDefault="00536DF5" w:rsidP="00C138EA">
      <w:pPr>
        <w:pStyle w:val="FootnoteText"/>
        <w:rPr>
          <w:rFonts w:ascii="Times New Roman" w:hAnsi="Times New Roman"/>
        </w:rPr>
      </w:pPr>
      <w:r w:rsidRPr="000D1B60">
        <w:rPr>
          <w:rStyle w:val="FootnoteReference"/>
          <w:rFonts w:ascii="Times New Roman" w:hAnsi="Times New Roman"/>
          <w:vertAlign w:val="superscript"/>
        </w:rPr>
        <w:footnoteRef/>
      </w:r>
      <w:r w:rsidR="00A67AA3">
        <w:rPr>
          <w:rFonts w:ascii="Times New Roman" w:hAnsi="Times New Roman"/>
        </w:rPr>
        <w:t xml:space="preserve"> </w:t>
      </w:r>
      <w:r w:rsidRPr="008F4879">
        <w:rPr>
          <w:rFonts w:ascii="Times New Roman" w:hAnsi="Times New Roman"/>
        </w:rPr>
        <w:t>This estimate is very conservative since there is large overlap between the SEC registered firms and FINRA ones</w:t>
      </w:r>
      <w:r>
        <w:rPr>
          <w:rFonts w:ascii="Times New Roman" w:hAnsi="Times New Roman"/>
        </w:rPr>
        <w:t>.</w:t>
      </w:r>
      <w:r w:rsidRPr="008F4879">
        <w:rPr>
          <w:rFonts w:ascii="Times New Roman" w:hAnsi="Times New Roman"/>
        </w:rPr>
        <w:t xml:space="preserve"> </w:t>
      </w:r>
      <w:r w:rsidR="004C2378" w:rsidRPr="004C2378">
        <w:rPr>
          <w:rFonts w:ascii="Times New Roman" w:hAnsi="Times New Roman"/>
        </w:rPr>
        <w:t xml:space="preserve">The number of broker-dealers and FINRA members using the exemption for PTE 1975-1 is estimated as follows: (3,551 </w:t>
      </w:r>
      <w:r w:rsidR="00E41615">
        <w:rPr>
          <w:rFonts w:ascii="Times New Roman" w:hAnsi="Times New Roman"/>
        </w:rPr>
        <w:t>broker-dealers</w:t>
      </w:r>
      <w:r w:rsidR="004C2378" w:rsidRPr="004C2378">
        <w:rPr>
          <w:rFonts w:ascii="Times New Roman" w:hAnsi="Times New Roman"/>
        </w:rPr>
        <w:t xml:space="preserve"> + 3,435 FINRA members) x 0.5 = 3,493.</w:t>
      </w:r>
    </w:p>
  </w:footnote>
  <w:footnote w:id="6">
    <w:p w14:paraId="4F9CD1B9" w14:textId="0F809EB3" w:rsidR="00536DF5" w:rsidRPr="008F4879" w:rsidRDefault="00536DF5" w:rsidP="00C138EA">
      <w:pPr>
        <w:rPr>
          <w:rFonts w:ascii="Times New Roman" w:hAnsi="Times New Roman"/>
          <w:sz w:val="20"/>
          <w:szCs w:val="20"/>
        </w:rPr>
      </w:pPr>
      <w:r w:rsidRPr="008F4879">
        <w:rPr>
          <w:rStyle w:val="FootnoteReference"/>
          <w:rFonts w:ascii="Times New Roman" w:hAnsi="Times New Roman"/>
          <w:sz w:val="20"/>
          <w:szCs w:val="20"/>
          <w:vertAlign w:val="superscript"/>
        </w:rPr>
        <w:footnoteRef/>
      </w:r>
      <w:r w:rsidR="00A67AA3">
        <w:rPr>
          <w:rFonts w:ascii="Times New Roman" w:hAnsi="Times New Roman"/>
          <w:sz w:val="20"/>
          <w:szCs w:val="20"/>
        </w:rPr>
        <w:t xml:space="preserve"> </w:t>
      </w:r>
      <w:r w:rsidR="00EE61B8" w:rsidRPr="00EE61B8">
        <w:rPr>
          <w:rFonts w:ascii="Times New Roman" w:hAnsi="Times New Roman"/>
          <w:sz w:val="20"/>
          <w:szCs w:val="20"/>
        </w:rPr>
        <w:t>Federal Insurance Deposit Corporation.  Quarterly Banking Profile.  “Statistics at a Glance- as of September 30, 2021.”  https://www.fdic.gov/analysis/quarterly-banking-profile/statistics-at-a-glance/2021sep/industry.pdf</w:t>
      </w:r>
    </w:p>
  </w:footnote>
  <w:footnote w:id="7">
    <w:p w14:paraId="4E268E0F" w14:textId="0766DE7F" w:rsidR="00536DF5" w:rsidRPr="008F4879" w:rsidRDefault="00536DF5" w:rsidP="00C138EA">
      <w:pPr>
        <w:rPr>
          <w:rFonts w:ascii="Times New Roman" w:hAnsi="Times New Roman"/>
          <w:sz w:val="20"/>
          <w:szCs w:val="20"/>
        </w:rPr>
      </w:pPr>
      <w:r w:rsidRPr="008F4879">
        <w:rPr>
          <w:rStyle w:val="FootnoteReference"/>
          <w:rFonts w:ascii="Times New Roman" w:hAnsi="Times New Roman"/>
          <w:sz w:val="20"/>
          <w:szCs w:val="20"/>
          <w:vertAlign w:val="superscript"/>
        </w:rPr>
        <w:footnoteRef/>
      </w:r>
      <w:r w:rsidR="001564C6">
        <w:rPr>
          <w:rFonts w:ascii="Times New Roman" w:hAnsi="Times New Roman"/>
          <w:sz w:val="20"/>
          <w:szCs w:val="20"/>
        </w:rPr>
        <w:t xml:space="preserve"> </w:t>
      </w:r>
      <w:r w:rsidRPr="008F4879">
        <w:rPr>
          <w:rFonts w:ascii="Times New Roman" w:hAnsi="Times New Roman"/>
          <w:sz w:val="20"/>
          <w:szCs w:val="20"/>
        </w:rPr>
        <w:t xml:space="preserve">Reporting dealers covered by the exemption are not accounted for separately because they are banks and security brokerages that trade in U.S. Government Securities; thus, reporting dealers are already accounted for in the number of broker-dealer firms and banks.  The NY Federal Reserve Bank reported </w:t>
      </w:r>
      <w:r>
        <w:rPr>
          <w:rFonts w:ascii="Times New Roman" w:hAnsi="Times New Roman"/>
          <w:sz w:val="20"/>
          <w:szCs w:val="20"/>
        </w:rPr>
        <w:t>21</w:t>
      </w:r>
      <w:r w:rsidRPr="008F4879">
        <w:rPr>
          <w:rFonts w:ascii="Times New Roman" w:hAnsi="Times New Roman"/>
          <w:sz w:val="20"/>
          <w:szCs w:val="20"/>
        </w:rPr>
        <w:t xml:space="preserve"> primary dealers on </w:t>
      </w:r>
      <w:r>
        <w:rPr>
          <w:rFonts w:ascii="Times New Roman" w:hAnsi="Times New Roman"/>
          <w:sz w:val="20"/>
          <w:szCs w:val="20"/>
        </w:rPr>
        <w:t>March 21, 2013</w:t>
      </w:r>
      <w:r w:rsidRPr="008F4879">
        <w:rPr>
          <w:rFonts w:ascii="Times New Roman" w:hAnsi="Times New Roman"/>
          <w:sz w:val="20"/>
          <w:szCs w:val="20"/>
        </w:rPr>
        <w:t>. (</w:t>
      </w:r>
      <w:hyperlink r:id="rId1" w:history="1">
        <w:r w:rsidRPr="008F4879">
          <w:rPr>
            <w:rStyle w:val="Hyperlink"/>
            <w:rFonts w:ascii="Times New Roman" w:hAnsi="Times New Roman"/>
            <w:sz w:val="20"/>
            <w:szCs w:val="20"/>
          </w:rPr>
          <w:t>http://www.newyorkfed.org/markets/pridealers_current.html</w:t>
        </w:r>
      </w:hyperlink>
      <w:r w:rsidRPr="008F4879">
        <w:rPr>
          <w:rFonts w:ascii="Times New Roman" w:hAnsi="Times New Roman"/>
          <w:sz w:val="20"/>
          <w:szCs w:val="20"/>
        </w:rPr>
        <w:t>)</w:t>
      </w:r>
    </w:p>
  </w:footnote>
  <w:footnote w:id="8">
    <w:p w14:paraId="3824A5D9" w14:textId="4025802B" w:rsidR="00536DF5" w:rsidRPr="00806D65" w:rsidRDefault="00536DF5" w:rsidP="00C138EA">
      <w:pPr>
        <w:pStyle w:val="FootnoteText"/>
        <w:rPr>
          <w:vertAlign w:val="superscript"/>
        </w:rPr>
      </w:pPr>
      <w:r w:rsidRPr="008F4879">
        <w:rPr>
          <w:rStyle w:val="FootnoteReference"/>
          <w:rFonts w:ascii="Times New Roman" w:hAnsi="Times New Roman"/>
          <w:vertAlign w:val="superscript"/>
        </w:rPr>
        <w:footnoteRef/>
      </w:r>
      <w:r w:rsidRPr="008F4879">
        <w:rPr>
          <w:rFonts w:ascii="Times New Roman" w:hAnsi="Times New Roman"/>
          <w:vertAlign w:val="superscript"/>
        </w:rPr>
        <w:t xml:space="preserve"> </w:t>
      </w:r>
      <w:r w:rsidR="00DC380F" w:rsidRPr="00DC380F">
        <w:rPr>
          <w:rFonts w:ascii="Times New Roman" w:hAnsi="Times New Roman"/>
        </w:rPr>
        <w:t xml:space="preserve">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  </w:t>
      </w:r>
      <w:r w:rsidRPr="00806D65">
        <w:rPr>
          <w:vertAlign w:val="superscript"/>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3B45" w14:textId="77777777" w:rsidR="00715B5A" w:rsidRDefault="00715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4E7D" w14:textId="77777777" w:rsidR="00536DF5" w:rsidRPr="00114DCC" w:rsidRDefault="00536DF5" w:rsidP="00114DCC">
    <w:pPr>
      <w:rPr>
        <w:rFonts w:ascii="Times New Roman" w:hAnsi="Times New Roman"/>
        <w:b/>
        <w:bCs/>
        <w:sz w:val="20"/>
        <w:szCs w:val="20"/>
      </w:rPr>
    </w:pPr>
    <w:r w:rsidRPr="00114DCC">
      <w:rPr>
        <w:rFonts w:ascii="Times New Roman" w:hAnsi="Times New Roman"/>
        <w:b/>
        <w:bCs/>
        <w:sz w:val="20"/>
        <w:szCs w:val="20"/>
      </w:rPr>
      <w:t>Prohibited Transaction Exemption 75-1</w:t>
    </w:r>
  </w:p>
  <w:p w14:paraId="731BD033" w14:textId="77777777" w:rsidR="00536DF5" w:rsidRPr="00114DCC" w:rsidRDefault="00536DF5" w:rsidP="00114DCC">
    <w:pPr>
      <w:rPr>
        <w:rFonts w:ascii="Times New Roman" w:hAnsi="Times New Roman"/>
        <w:b/>
        <w:bCs/>
        <w:sz w:val="20"/>
        <w:szCs w:val="20"/>
      </w:rPr>
    </w:pPr>
    <w:r w:rsidRPr="00114DCC">
      <w:rPr>
        <w:rFonts w:ascii="Times New Roman" w:hAnsi="Times New Roman"/>
        <w:b/>
        <w:bCs/>
        <w:sz w:val="20"/>
        <w:szCs w:val="20"/>
      </w:rPr>
      <w:t>(Security Transactions with Broker-Dealers, Reporting Dealers and Banks)</w:t>
    </w:r>
  </w:p>
  <w:p w14:paraId="0D0F169D" w14:textId="77777777" w:rsidR="00536DF5" w:rsidRPr="00715B5A" w:rsidRDefault="00536DF5" w:rsidP="00114DCC">
    <w:pPr>
      <w:rPr>
        <w:rFonts w:ascii="Times New Roman" w:hAnsi="Times New Roman"/>
        <w:sz w:val="20"/>
        <w:szCs w:val="20"/>
      </w:rPr>
    </w:pPr>
    <w:r w:rsidRPr="00114DCC">
      <w:rPr>
        <w:rFonts w:ascii="Times New Roman" w:hAnsi="Times New Roman"/>
        <w:b/>
        <w:bCs/>
        <w:sz w:val="20"/>
        <w:szCs w:val="20"/>
      </w:rPr>
      <w:t>OMB Control Number 1210-0092</w:t>
    </w:r>
  </w:p>
  <w:p w14:paraId="16E32FAC" w14:textId="16E89067" w:rsidR="00536DF5" w:rsidRDefault="00536DF5" w:rsidP="00F61E16">
    <w:pPr>
      <w:spacing w:line="235" w:lineRule="exact"/>
      <w:jc w:val="right"/>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970F" w14:textId="77777777" w:rsidR="00715B5A" w:rsidRDefault="00715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720"/>
        </w:tabs>
      </w:pPr>
      <w:rPr>
        <w:b/>
      </w:rPr>
    </w:lvl>
  </w:abstractNum>
  <w:abstractNum w:abstractNumId="2" w15:restartNumberingAfterBreak="0">
    <w:nsid w:val="15DB2F66"/>
    <w:multiLevelType w:val="hybridMultilevel"/>
    <w:tmpl w:val="4D1C8ED8"/>
    <w:lvl w:ilvl="0" w:tplc="9B443052">
      <w:start w:val="1"/>
      <w:numFmt w:val="decimal"/>
      <w:lvlText w:val="%1."/>
      <w:lvlJc w:val="left"/>
      <w:pPr>
        <w:tabs>
          <w:tab w:val="num" w:pos="1080"/>
        </w:tabs>
        <w:ind w:left="1080" w:hanging="720"/>
      </w:pPr>
      <w:rPr>
        <w:rFonts w:hint="default"/>
        <w:b/>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696CBA"/>
    <w:multiLevelType w:val="hybridMultilevel"/>
    <w:tmpl w:val="75268FA8"/>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9445A35"/>
    <w:multiLevelType w:val="hybridMultilevel"/>
    <w:tmpl w:val="025AAC9A"/>
    <w:lvl w:ilvl="0" w:tplc="BDFE6B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4C17FD1"/>
    <w:multiLevelType w:val="hybridMultilevel"/>
    <w:tmpl w:val="B4942D7E"/>
    <w:lvl w:ilvl="0" w:tplc="1974C7CE">
      <w:start w:val="2"/>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71511395">
    <w:abstractNumId w:val="0"/>
    <w:lvlOverride w:ilvl="0">
      <w:startOverride w:val="1"/>
      <w:lvl w:ilvl="0">
        <w:start w:val="1"/>
        <w:numFmt w:val="decimal"/>
        <w:pStyle w:val="Quick1"/>
        <w:lvlText w:val="%1."/>
        <w:lvlJc w:val="left"/>
      </w:lvl>
    </w:lvlOverride>
  </w:num>
  <w:num w:numId="2" w16cid:durableId="157773077">
    <w:abstractNumId w:val="0"/>
    <w:lvlOverride w:ilvl="0">
      <w:startOverride w:val="13"/>
      <w:lvl w:ilvl="0">
        <w:start w:val="13"/>
        <w:numFmt w:val="decimal"/>
        <w:pStyle w:val="Quick1"/>
        <w:lvlText w:val="%1."/>
        <w:lvlJc w:val="left"/>
      </w:lvl>
    </w:lvlOverride>
  </w:num>
  <w:num w:numId="3" w16cid:durableId="1110709515">
    <w:abstractNumId w:val="1"/>
    <w:lvlOverride w:ilvl="0">
      <w:startOverride w:val="2"/>
      <w:lvl w:ilvl="0">
        <w:start w:val="2"/>
        <w:numFmt w:val="decimal"/>
        <w:pStyle w:val="QuickA"/>
        <w:lvlText w:val="%1."/>
        <w:lvlJc w:val="left"/>
      </w:lvl>
    </w:lvlOverride>
  </w:num>
  <w:num w:numId="4" w16cid:durableId="1635676357">
    <w:abstractNumId w:val="0"/>
    <w:lvlOverride w:ilvl="0">
      <w:startOverride w:val="19"/>
      <w:lvl w:ilvl="0">
        <w:start w:val="19"/>
        <w:numFmt w:val="decimal"/>
        <w:pStyle w:val="Quick1"/>
        <w:lvlText w:val="%1."/>
        <w:lvlJc w:val="left"/>
      </w:lvl>
    </w:lvlOverride>
  </w:num>
  <w:num w:numId="5" w16cid:durableId="1641575345">
    <w:abstractNumId w:val="3"/>
  </w:num>
  <w:num w:numId="6" w16cid:durableId="770124233">
    <w:abstractNumId w:val="6"/>
  </w:num>
  <w:num w:numId="7" w16cid:durableId="155607438">
    <w:abstractNumId w:val="4"/>
  </w:num>
  <w:num w:numId="8" w16cid:durableId="1243099839">
    <w:abstractNumId w:val="5"/>
  </w:num>
  <w:num w:numId="9" w16cid:durableId="488446332">
    <w:abstractNumId w:val="2"/>
  </w:num>
  <w:num w:numId="10" w16cid:durableId="1710186026">
    <w:abstractNumId w:val="0"/>
    <w:lvlOverride w:ilvl="0">
      <w:startOverride w:val="12"/>
      <w:lvl w:ilvl="0">
        <w:start w:val="12"/>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D7"/>
    <w:rsid w:val="000008F2"/>
    <w:rsid w:val="00005C49"/>
    <w:rsid w:val="00007A31"/>
    <w:rsid w:val="0001019C"/>
    <w:rsid w:val="00010E18"/>
    <w:rsid w:val="00015520"/>
    <w:rsid w:val="0001701A"/>
    <w:rsid w:val="00017665"/>
    <w:rsid w:val="00020EA9"/>
    <w:rsid w:val="00022A08"/>
    <w:rsid w:val="00023387"/>
    <w:rsid w:val="00024FF0"/>
    <w:rsid w:val="00025860"/>
    <w:rsid w:val="00027DEB"/>
    <w:rsid w:val="00027EE2"/>
    <w:rsid w:val="00033163"/>
    <w:rsid w:val="0003338D"/>
    <w:rsid w:val="00034812"/>
    <w:rsid w:val="00034DA7"/>
    <w:rsid w:val="00035A1A"/>
    <w:rsid w:val="00041963"/>
    <w:rsid w:val="0005263B"/>
    <w:rsid w:val="00053F88"/>
    <w:rsid w:val="00056AA0"/>
    <w:rsid w:val="00057834"/>
    <w:rsid w:val="00057CBE"/>
    <w:rsid w:val="00057FCB"/>
    <w:rsid w:val="00065476"/>
    <w:rsid w:val="00074ED5"/>
    <w:rsid w:val="000753A6"/>
    <w:rsid w:val="00077E4F"/>
    <w:rsid w:val="000858EF"/>
    <w:rsid w:val="00091AFE"/>
    <w:rsid w:val="000943EF"/>
    <w:rsid w:val="000A0ABB"/>
    <w:rsid w:val="000A1DD9"/>
    <w:rsid w:val="000A3F40"/>
    <w:rsid w:val="000A5418"/>
    <w:rsid w:val="000A6413"/>
    <w:rsid w:val="000A6B7D"/>
    <w:rsid w:val="000B3293"/>
    <w:rsid w:val="000C1EE5"/>
    <w:rsid w:val="000C4562"/>
    <w:rsid w:val="000C53AD"/>
    <w:rsid w:val="000D1B60"/>
    <w:rsid w:val="000D25B9"/>
    <w:rsid w:val="000F199D"/>
    <w:rsid w:val="000F59F8"/>
    <w:rsid w:val="00103272"/>
    <w:rsid w:val="001045BE"/>
    <w:rsid w:val="00104CB8"/>
    <w:rsid w:val="00105857"/>
    <w:rsid w:val="00106C55"/>
    <w:rsid w:val="00107E9A"/>
    <w:rsid w:val="00110CD9"/>
    <w:rsid w:val="00114DCC"/>
    <w:rsid w:val="00115A87"/>
    <w:rsid w:val="00117C78"/>
    <w:rsid w:val="00122DF0"/>
    <w:rsid w:val="00123B7F"/>
    <w:rsid w:val="00134423"/>
    <w:rsid w:val="001409A4"/>
    <w:rsid w:val="001415CD"/>
    <w:rsid w:val="00141B1B"/>
    <w:rsid w:val="00154A8F"/>
    <w:rsid w:val="00155EEB"/>
    <w:rsid w:val="001564C6"/>
    <w:rsid w:val="001579F3"/>
    <w:rsid w:val="00157E98"/>
    <w:rsid w:val="00161A21"/>
    <w:rsid w:val="00162E3E"/>
    <w:rsid w:val="00165108"/>
    <w:rsid w:val="00174594"/>
    <w:rsid w:val="00175569"/>
    <w:rsid w:val="00177524"/>
    <w:rsid w:val="00182B71"/>
    <w:rsid w:val="0018347C"/>
    <w:rsid w:val="00185A0C"/>
    <w:rsid w:val="00190734"/>
    <w:rsid w:val="0019099C"/>
    <w:rsid w:val="00193721"/>
    <w:rsid w:val="0019406F"/>
    <w:rsid w:val="00197A73"/>
    <w:rsid w:val="001A7790"/>
    <w:rsid w:val="001B0B6C"/>
    <w:rsid w:val="001B5CDA"/>
    <w:rsid w:val="001C36B5"/>
    <w:rsid w:val="001C7BD4"/>
    <w:rsid w:val="001D16D0"/>
    <w:rsid w:val="001E5EBB"/>
    <w:rsid w:val="001E6800"/>
    <w:rsid w:val="001F5AA7"/>
    <w:rsid w:val="00201971"/>
    <w:rsid w:val="00201FCF"/>
    <w:rsid w:val="00202826"/>
    <w:rsid w:val="00202A34"/>
    <w:rsid w:val="002055F2"/>
    <w:rsid w:val="002063F1"/>
    <w:rsid w:val="00213211"/>
    <w:rsid w:val="002134DC"/>
    <w:rsid w:val="00213A15"/>
    <w:rsid w:val="00215585"/>
    <w:rsid w:val="0022267D"/>
    <w:rsid w:val="002253F6"/>
    <w:rsid w:val="00225491"/>
    <w:rsid w:val="00225864"/>
    <w:rsid w:val="00227982"/>
    <w:rsid w:val="0023049F"/>
    <w:rsid w:val="0024107B"/>
    <w:rsid w:val="00242B21"/>
    <w:rsid w:val="0026192C"/>
    <w:rsid w:val="00263407"/>
    <w:rsid w:val="00263AC2"/>
    <w:rsid w:val="002663A6"/>
    <w:rsid w:val="00274094"/>
    <w:rsid w:val="00286830"/>
    <w:rsid w:val="002A3EE6"/>
    <w:rsid w:val="002A41D4"/>
    <w:rsid w:val="002A72EF"/>
    <w:rsid w:val="002B11A5"/>
    <w:rsid w:val="002B570E"/>
    <w:rsid w:val="002B7322"/>
    <w:rsid w:val="002C346D"/>
    <w:rsid w:val="002C6F19"/>
    <w:rsid w:val="002C7492"/>
    <w:rsid w:val="002E0FFC"/>
    <w:rsid w:val="002E20E8"/>
    <w:rsid w:val="002F5067"/>
    <w:rsid w:val="00304765"/>
    <w:rsid w:val="00305876"/>
    <w:rsid w:val="00306C3D"/>
    <w:rsid w:val="003102BF"/>
    <w:rsid w:val="00310A87"/>
    <w:rsid w:val="00313BEC"/>
    <w:rsid w:val="00313C74"/>
    <w:rsid w:val="00314919"/>
    <w:rsid w:val="0031797F"/>
    <w:rsid w:val="00322279"/>
    <w:rsid w:val="00327273"/>
    <w:rsid w:val="00337099"/>
    <w:rsid w:val="00340382"/>
    <w:rsid w:val="00340F08"/>
    <w:rsid w:val="00343063"/>
    <w:rsid w:val="0034516B"/>
    <w:rsid w:val="003472F1"/>
    <w:rsid w:val="00351EBC"/>
    <w:rsid w:val="0035337B"/>
    <w:rsid w:val="003560B3"/>
    <w:rsid w:val="00364C64"/>
    <w:rsid w:val="003658B5"/>
    <w:rsid w:val="00367287"/>
    <w:rsid w:val="00374819"/>
    <w:rsid w:val="0037632C"/>
    <w:rsid w:val="00380809"/>
    <w:rsid w:val="00386613"/>
    <w:rsid w:val="00394ACE"/>
    <w:rsid w:val="003A2AC7"/>
    <w:rsid w:val="003A41BC"/>
    <w:rsid w:val="003A4A52"/>
    <w:rsid w:val="003A61D8"/>
    <w:rsid w:val="003B2052"/>
    <w:rsid w:val="003B2FF9"/>
    <w:rsid w:val="003B3DE9"/>
    <w:rsid w:val="003B51FB"/>
    <w:rsid w:val="003B5EF3"/>
    <w:rsid w:val="003C4D4B"/>
    <w:rsid w:val="003C4E47"/>
    <w:rsid w:val="003C4F32"/>
    <w:rsid w:val="003D37B7"/>
    <w:rsid w:val="003D441C"/>
    <w:rsid w:val="003D4EFE"/>
    <w:rsid w:val="003E0080"/>
    <w:rsid w:val="003E2281"/>
    <w:rsid w:val="003E663D"/>
    <w:rsid w:val="003F2CAD"/>
    <w:rsid w:val="003F4AB0"/>
    <w:rsid w:val="0040240B"/>
    <w:rsid w:val="0042484A"/>
    <w:rsid w:val="00430FEC"/>
    <w:rsid w:val="004404CF"/>
    <w:rsid w:val="00457C21"/>
    <w:rsid w:val="004613C8"/>
    <w:rsid w:val="0046309A"/>
    <w:rsid w:val="004708D7"/>
    <w:rsid w:val="00476390"/>
    <w:rsid w:val="00482A67"/>
    <w:rsid w:val="004855FB"/>
    <w:rsid w:val="00485BFA"/>
    <w:rsid w:val="0048679C"/>
    <w:rsid w:val="00486B5B"/>
    <w:rsid w:val="00492349"/>
    <w:rsid w:val="00492D35"/>
    <w:rsid w:val="00494F82"/>
    <w:rsid w:val="00496544"/>
    <w:rsid w:val="004A4B44"/>
    <w:rsid w:val="004A769C"/>
    <w:rsid w:val="004C2378"/>
    <w:rsid w:val="004C6ED0"/>
    <w:rsid w:val="004E0A3E"/>
    <w:rsid w:val="004E121D"/>
    <w:rsid w:val="004E466A"/>
    <w:rsid w:val="004E480F"/>
    <w:rsid w:val="004F33A4"/>
    <w:rsid w:val="004F4D14"/>
    <w:rsid w:val="004F6179"/>
    <w:rsid w:val="004F6C7F"/>
    <w:rsid w:val="00500509"/>
    <w:rsid w:val="00501896"/>
    <w:rsid w:val="00503A55"/>
    <w:rsid w:val="00504333"/>
    <w:rsid w:val="005118CA"/>
    <w:rsid w:val="00511B37"/>
    <w:rsid w:val="005127D3"/>
    <w:rsid w:val="00515773"/>
    <w:rsid w:val="005163A1"/>
    <w:rsid w:val="005164E8"/>
    <w:rsid w:val="00517485"/>
    <w:rsid w:val="00522328"/>
    <w:rsid w:val="00524C04"/>
    <w:rsid w:val="00524EB1"/>
    <w:rsid w:val="005266E6"/>
    <w:rsid w:val="0053085A"/>
    <w:rsid w:val="0053262B"/>
    <w:rsid w:val="00533C9D"/>
    <w:rsid w:val="005362D3"/>
    <w:rsid w:val="00536DF5"/>
    <w:rsid w:val="0054112D"/>
    <w:rsid w:val="00543ABD"/>
    <w:rsid w:val="0054415F"/>
    <w:rsid w:val="005472E6"/>
    <w:rsid w:val="00553557"/>
    <w:rsid w:val="0055429A"/>
    <w:rsid w:val="005627DA"/>
    <w:rsid w:val="00565E2F"/>
    <w:rsid w:val="00570833"/>
    <w:rsid w:val="00572972"/>
    <w:rsid w:val="00574D79"/>
    <w:rsid w:val="00582562"/>
    <w:rsid w:val="00582C12"/>
    <w:rsid w:val="00584627"/>
    <w:rsid w:val="00585F3B"/>
    <w:rsid w:val="00586429"/>
    <w:rsid w:val="005944C4"/>
    <w:rsid w:val="005A2600"/>
    <w:rsid w:val="005A2EEE"/>
    <w:rsid w:val="005A3692"/>
    <w:rsid w:val="005A5024"/>
    <w:rsid w:val="005A529D"/>
    <w:rsid w:val="005A6DF9"/>
    <w:rsid w:val="005B5F25"/>
    <w:rsid w:val="005B6676"/>
    <w:rsid w:val="005C0005"/>
    <w:rsid w:val="005C14CB"/>
    <w:rsid w:val="005C1865"/>
    <w:rsid w:val="005C5EC3"/>
    <w:rsid w:val="005D3548"/>
    <w:rsid w:val="005D452C"/>
    <w:rsid w:val="005E3378"/>
    <w:rsid w:val="005E5A11"/>
    <w:rsid w:val="005E767B"/>
    <w:rsid w:val="005F1DB4"/>
    <w:rsid w:val="005F362A"/>
    <w:rsid w:val="005F4AC8"/>
    <w:rsid w:val="005F71AA"/>
    <w:rsid w:val="00600F39"/>
    <w:rsid w:val="00604583"/>
    <w:rsid w:val="00605C5A"/>
    <w:rsid w:val="00606E78"/>
    <w:rsid w:val="0060724A"/>
    <w:rsid w:val="00616EBA"/>
    <w:rsid w:val="0062097D"/>
    <w:rsid w:val="00621284"/>
    <w:rsid w:val="00623AB6"/>
    <w:rsid w:val="00631E5B"/>
    <w:rsid w:val="00632891"/>
    <w:rsid w:val="00633B30"/>
    <w:rsid w:val="00637014"/>
    <w:rsid w:val="00637F89"/>
    <w:rsid w:val="00647636"/>
    <w:rsid w:val="00650F24"/>
    <w:rsid w:val="00652664"/>
    <w:rsid w:val="0065495D"/>
    <w:rsid w:val="00654F88"/>
    <w:rsid w:val="00657F8C"/>
    <w:rsid w:val="006611A2"/>
    <w:rsid w:val="00665826"/>
    <w:rsid w:val="00672EC6"/>
    <w:rsid w:val="0067675C"/>
    <w:rsid w:val="00677D38"/>
    <w:rsid w:val="00677D96"/>
    <w:rsid w:val="00682FD2"/>
    <w:rsid w:val="006969C3"/>
    <w:rsid w:val="006A03E2"/>
    <w:rsid w:val="006A5043"/>
    <w:rsid w:val="006B2FA9"/>
    <w:rsid w:val="006B6FB9"/>
    <w:rsid w:val="006B7CDD"/>
    <w:rsid w:val="006C314A"/>
    <w:rsid w:val="006C4F62"/>
    <w:rsid w:val="006D1FDA"/>
    <w:rsid w:val="006D290D"/>
    <w:rsid w:val="006D55A1"/>
    <w:rsid w:val="006D5C2D"/>
    <w:rsid w:val="006E7DFD"/>
    <w:rsid w:val="006F099A"/>
    <w:rsid w:val="007021D1"/>
    <w:rsid w:val="0070253C"/>
    <w:rsid w:val="007043D9"/>
    <w:rsid w:val="00706CCD"/>
    <w:rsid w:val="00715B5A"/>
    <w:rsid w:val="007165EA"/>
    <w:rsid w:val="00717B07"/>
    <w:rsid w:val="00722202"/>
    <w:rsid w:val="00723C89"/>
    <w:rsid w:val="00725F4F"/>
    <w:rsid w:val="0072688F"/>
    <w:rsid w:val="00726D45"/>
    <w:rsid w:val="00727C26"/>
    <w:rsid w:val="0073220E"/>
    <w:rsid w:val="0073300D"/>
    <w:rsid w:val="00735168"/>
    <w:rsid w:val="00735367"/>
    <w:rsid w:val="00735D97"/>
    <w:rsid w:val="007362D4"/>
    <w:rsid w:val="00743577"/>
    <w:rsid w:val="0074712F"/>
    <w:rsid w:val="0074766C"/>
    <w:rsid w:val="0075028A"/>
    <w:rsid w:val="007523C1"/>
    <w:rsid w:val="00752E25"/>
    <w:rsid w:val="00754214"/>
    <w:rsid w:val="007578BE"/>
    <w:rsid w:val="00757F2A"/>
    <w:rsid w:val="007619CF"/>
    <w:rsid w:val="0076357D"/>
    <w:rsid w:val="00770049"/>
    <w:rsid w:val="00775D92"/>
    <w:rsid w:val="00776EF8"/>
    <w:rsid w:val="0078239F"/>
    <w:rsid w:val="0078299A"/>
    <w:rsid w:val="0078428E"/>
    <w:rsid w:val="007858DD"/>
    <w:rsid w:val="007901E0"/>
    <w:rsid w:val="00797B39"/>
    <w:rsid w:val="007A156B"/>
    <w:rsid w:val="007A2987"/>
    <w:rsid w:val="007B2189"/>
    <w:rsid w:val="007B78B0"/>
    <w:rsid w:val="007C14DC"/>
    <w:rsid w:val="007C3EF4"/>
    <w:rsid w:val="007C4F0F"/>
    <w:rsid w:val="007D060E"/>
    <w:rsid w:val="007D22D2"/>
    <w:rsid w:val="007D7725"/>
    <w:rsid w:val="007F1AA1"/>
    <w:rsid w:val="007F3A02"/>
    <w:rsid w:val="007F523B"/>
    <w:rsid w:val="007F5F7F"/>
    <w:rsid w:val="007F7BC4"/>
    <w:rsid w:val="0080472C"/>
    <w:rsid w:val="00804F77"/>
    <w:rsid w:val="00806D65"/>
    <w:rsid w:val="00815FF6"/>
    <w:rsid w:val="00816BBB"/>
    <w:rsid w:val="00821E1A"/>
    <w:rsid w:val="00826556"/>
    <w:rsid w:val="00830153"/>
    <w:rsid w:val="00833C39"/>
    <w:rsid w:val="008419B4"/>
    <w:rsid w:val="0084243E"/>
    <w:rsid w:val="00843A73"/>
    <w:rsid w:val="00853C8B"/>
    <w:rsid w:val="00854770"/>
    <w:rsid w:val="00854D43"/>
    <w:rsid w:val="00855F13"/>
    <w:rsid w:val="00856954"/>
    <w:rsid w:val="00857281"/>
    <w:rsid w:val="00867CAD"/>
    <w:rsid w:val="0087009D"/>
    <w:rsid w:val="008702AC"/>
    <w:rsid w:val="00873884"/>
    <w:rsid w:val="00880D32"/>
    <w:rsid w:val="00881F73"/>
    <w:rsid w:val="00882635"/>
    <w:rsid w:val="00884138"/>
    <w:rsid w:val="00891CCE"/>
    <w:rsid w:val="00892CAC"/>
    <w:rsid w:val="00893ECE"/>
    <w:rsid w:val="008A226D"/>
    <w:rsid w:val="008A36BB"/>
    <w:rsid w:val="008A5B69"/>
    <w:rsid w:val="008A6C3E"/>
    <w:rsid w:val="008B1A67"/>
    <w:rsid w:val="008B2169"/>
    <w:rsid w:val="008B54B0"/>
    <w:rsid w:val="008B7C23"/>
    <w:rsid w:val="008C2AF7"/>
    <w:rsid w:val="008D2923"/>
    <w:rsid w:val="008E0AF5"/>
    <w:rsid w:val="008E14B6"/>
    <w:rsid w:val="008E3CCF"/>
    <w:rsid w:val="008E4631"/>
    <w:rsid w:val="008F09C0"/>
    <w:rsid w:val="008F366E"/>
    <w:rsid w:val="008F3CE0"/>
    <w:rsid w:val="00903372"/>
    <w:rsid w:val="00903B1A"/>
    <w:rsid w:val="00912194"/>
    <w:rsid w:val="009176F1"/>
    <w:rsid w:val="0092284F"/>
    <w:rsid w:val="009257A3"/>
    <w:rsid w:val="009259B3"/>
    <w:rsid w:val="00926CEC"/>
    <w:rsid w:val="00934B2B"/>
    <w:rsid w:val="009426CA"/>
    <w:rsid w:val="00961A13"/>
    <w:rsid w:val="009648C4"/>
    <w:rsid w:val="00965BFC"/>
    <w:rsid w:val="00972D6B"/>
    <w:rsid w:val="00972DF6"/>
    <w:rsid w:val="009743AA"/>
    <w:rsid w:val="009831CA"/>
    <w:rsid w:val="00985C40"/>
    <w:rsid w:val="009916C9"/>
    <w:rsid w:val="00997701"/>
    <w:rsid w:val="00997719"/>
    <w:rsid w:val="00997784"/>
    <w:rsid w:val="009B0740"/>
    <w:rsid w:val="009B1486"/>
    <w:rsid w:val="009B2E34"/>
    <w:rsid w:val="009B699B"/>
    <w:rsid w:val="009C045E"/>
    <w:rsid w:val="009D3DF2"/>
    <w:rsid w:val="009D7289"/>
    <w:rsid w:val="009E13AC"/>
    <w:rsid w:val="009E147D"/>
    <w:rsid w:val="009E15D2"/>
    <w:rsid w:val="009E1E35"/>
    <w:rsid w:val="009E4732"/>
    <w:rsid w:val="009E617D"/>
    <w:rsid w:val="009E6492"/>
    <w:rsid w:val="009F2F59"/>
    <w:rsid w:val="009F4A5D"/>
    <w:rsid w:val="00A03A07"/>
    <w:rsid w:val="00A0485B"/>
    <w:rsid w:val="00A05521"/>
    <w:rsid w:val="00A11B82"/>
    <w:rsid w:val="00A12334"/>
    <w:rsid w:val="00A256BA"/>
    <w:rsid w:val="00A33148"/>
    <w:rsid w:val="00A33D2F"/>
    <w:rsid w:val="00A413C4"/>
    <w:rsid w:val="00A46F73"/>
    <w:rsid w:val="00A46FEA"/>
    <w:rsid w:val="00A50C5E"/>
    <w:rsid w:val="00A50CD2"/>
    <w:rsid w:val="00A53E32"/>
    <w:rsid w:val="00A53EDD"/>
    <w:rsid w:val="00A6238B"/>
    <w:rsid w:val="00A67AA3"/>
    <w:rsid w:val="00A73607"/>
    <w:rsid w:val="00A74780"/>
    <w:rsid w:val="00A7532E"/>
    <w:rsid w:val="00A765FD"/>
    <w:rsid w:val="00A83D09"/>
    <w:rsid w:val="00A90234"/>
    <w:rsid w:val="00A9143F"/>
    <w:rsid w:val="00A91E25"/>
    <w:rsid w:val="00A9210D"/>
    <w:rsid w:val="00A92C93"/>
    <w:rsid w:val="00A94333"/>
    <w:rsid w:val="00A97F1A"/>
    <w:rsid w:val="00A97FED"/>
    <w:rsid w:val="00AA1FF5"/>
    <w:rsid w:val="00AA282C"/>
    <w:rsid w:val="00AA7567"/>
    <w:rsid w:val="00AB3531"/>
    <w:rsid w:val="00AB39C8"/>
    <w:rsid w:val="00AB59D7"/>
    <w:rsid w:val="00AB63DD"/>
    <w:rsid w:val="00AC017B"/>
    <w:rsid w:val="00AE1FF2"/>
    <w:rsid w:val="00AE4452"/>
    <w:rsid w:val="00AF589F"/>
    <w:rsid w:val="00B014A7"/>
    <w:rsid w:val="00B06592"/>
    <w:rsid w:val="00B12AF3"/>
    <w:rsid w:val="00B27707"/>
    <w:rsid w:val="00B31BB9"/>
    <w:rsid w:val="00B43D58"/>
    <w:rsid w:val="00B54F7E"/>
    <w:rsid w:val="00B571C9"/>
    <w:rsid w:val="00B57B9E"/>
    <w:rsid w:val="00B63BD7"/>
    <w:rsid w:val="00B655A4"/>
    <w:rsid w:val="00B65B70"/>
    <w:rsid w:val="00B740FC"/>
    <w:rsid w:val="00B74D2B"/>
    <w:rsid w:val="00B76B82"/>
    <w:rsid w:val="00B86C4E"/>
    <w:rsid w:val="00B90501"/>
    <w:rsid w:val="00B955AB"/>
    <w:rsid w:val="00B96047"/>
    <w:rsid w:val="00B9649B"/>
    <w:rsid w:val="00B96DE4"/>
    <w:rsid w:val="00BA29FE"/>
    <w:rsid w:val="00BA308F"/>
    <w:rsid w:val="00BA50B1"/>
    <w:rsid w:val="00BA758B"/>
    <w:rsid w:val="00BA75AF"/>
    <w:rsid w:val="00BA79E0"/>
    <w:rsid w:val="00BC002D"/>
    <w:rsid w:val="00BC087C"/>
    <w:rsid w:val="00BC11E4"/>
    <w:rsid w:val="00BD25E8"/>
    <w:rsid w:val="00BD5F86"/>
    <w:rsid w:val="00BD60AE"/>
    <w:rsid w:val="00BE03D2"/>
    <w:rsid w:val="00BE4F51"/>
    <w:rsid w:val="00BF595A"/>
    <w:rsid w:val="00BF7B18"/>
    <w:rsid w:val="00C040F9"/>
    <w:rsid w:val="00C0644C"/>
    <w:rsid w:val="00C064E1"/>
    <w:rsid w:val="00C10757"/>
    <w:rsid w:val="00C10B1A"/>
    <w:rsid w:val="00C138EA"/>
    <w:rsid w:val="00C14A07"/>
    <w:rsid w:val="00C200C4"/>
    <w:rsid w:val="00C22721"/>
    <w:rsid w:val="00C22C80"/>
    <w:rsid w:val="00C27B60"/>
    <w:rsid w:val="00C31760"/>
    <w:rsid w:val="00C33B02"/>
    <w:rsid w:val="00C345FE"/>
    <w:rsid w:val="00C35284"/>
    <w:rsid w:val="00C36B8E"/>
    <w:rsid w:val="00C44B91"/>
    <w:rsid w:val="00C46023"/>
    <w:rsid w:val="00C53E6E"/>
    <w:rsid w:val="00C55636"/>
    <w:rsid w:val="00C63F9A"/>
    <w:rsid w:val="00C66C0F"/>
    <w:rsid w:val="00C67DEA"/>
    <w:rsid w:val="00C713FE"/>
    <w:rsid w:val="00C73BBA"/>
    <w:rsid w:val="00C83FB9"/>
    <w:rsid w:val="00C91499"/>
    <w:rsid w:val="00C9497D"/>
    <w:rsid w:val="00CA2983"/>
    <w:rsid w:val="00CA395A"/>
    <w:rsid w:val="00CA7C54"/>
    <w:rsid w:val="00CB5094"/>
    <w:rsid w:val="00CC0175"/>
    <w:rsid w:val="00CC396D"/>
    <w:rsid w:val="00CC6155"/>
    <w:rsid w:val="00CD0031"/>
    <w:rsid w:val="00CD5DF4"/>
    <w:rsid w:val="00CD5E16"/>
    <w:rsid w:val="00CF279C"/>
    <w:rsid w:val="00D0190C"/>
    <w:rsid w:val="00D10175"/>
    <w:rsid w:val="00D14A10"/>
    <w:rsid w:val="00D16276"/>
    <w:rsid w:val="00D179A4"/>
    <w:rsid w:val="00D270D5"/>
    <w:rsid w:val="00D3053E"/>
    <w:rsid w:val="00D331E1"/>
    <w:rsid w:val="00D34078"/>
    <w:rsid w:val="00D3522B"/>
    <w:rsid w:val="00D46CC3"/>
    <w:rsid w:val="00D54138"/>
    <w:rsid w:val="00D61019"/>
    <w:rsid w:val="00D61D75"/>
    <w:rsid w:val="00D657BC"/>
    <w:rsid w:val="00D712DF"/>
    <w:rsid w:val="00D7201A"/>
    <w:rsid w:val="00D81A06"/>
    <w:rsid w:val="00D87D3E"/>
    <w:rsid w:val="00D9756E"/>
    <w:rsid w:val="00DA6370"/>
    <w:rsid w:val="00DB3E7E"/>
    <w:rsid w:val="00DC2F80"/>
    <w:rsid w:val="00DC380F"/>
    <w:rsid w:val="00DC5E04"/>
    <w:rsid w:val="00DD26A8"/>
    <w:rsid w:val="00DD2D14"/>
    <w:rsid w:val="00DD72F7"/>
    <w:rsid w:val="00DD7A9F"/>
    <w:rsid w:val="00DE0B25"/>
    <w:rsid w:val="00DF3DBA"/>
    <w:rsid w:val="00DF4F11"/>
    <w:rsid w:val="00E007DB"/>
    <w:rsid w:val="00E00E7D"/>
    <w:rsid w:val="00E01B0D"/>
    <w:rsid w:val="00E0471F"/>
    <w:rsid w:val="00E20166"/>
    <w:rsid w:val="00E204AE"/>
    <w:rsid w:val="00E20B5B"/>
    <w:rsid w:val="00E216D2"/>
    <w:rsid w:val="00E25AFE"/>
    <w:rsid w:val="00E3295E"/>
    <w:rsid w:val="00E41615"/>
    <w:rsid w:val="00E447BC"/>
    <w:rsid w:val="00E54667"/>
    <w:rsid w:val="00E616B3"/>
    <w:rsid w:val="00E61EB7"/>
    <w:rsid w:val="00E70E82"/>
    <w:rsid w:val="00E7102E"/>
    <w:rsid w:val="00E767F1"/>
    <w:rsid w:val="00E80EB3"/>
    <w:rsid w:val="00E8202A"/>
    <w:rsid w:val="00E83A9C"/>
    <w:rsid w:val="00E914F5"/>
    <w:rsid w:val="00E943B4"/>
    <w:rsid w:val="00EA065F"/>
    <w:rsid w:val="00EA0A72"/>
    <w:rsid w:val="00EA27AA"/>
    <w:rsid w:val="00EA39A9"/>
    <w:rsid w:val="00EA6395"/>
    <w:rsid w:val="00EB2F23"/>
    <w:rsid w:val="00EB3926"/>
    <w:rsid w:val="00EB4C0B"/>
    <w:rsid w:val="00EB7CB1"/>
    <w:rsid w:val="00EC2835"/>
    <w:rsid w:val="00EC64D6"/>
    <w:rsid w:val="00ED06BC"/>
    <w:rsid w:val="00ED21CE"/>
    <w:rsid w:val="00ED2CB9"/>
    <w:rsid w:val="00ED4964"/>
    <w:rsid w:val="00ED70E6"/>
    <w:rsid w:val="00ED7294"/>
    <w:rsid w:val="00EE130B"/>
    <w:rsid w:val="00EE61B8"/>
    <w:rsid w:val="00EF0500"/>
    <w:rsid w:val="00EF4B21"/>
    <w:rsid w:val="00F0135C"/>
    <w:rsid w:val="00F02AF5"/>
    <w:rsid w:val="00F10977"/>
    <w:rsid w:val="00F14DEC"/>
    <w:rsid w:val="00F1772C"/>
    <w:rsid w:val="00F25381"/>
    <w:rsid w:val="00F25FE6"/>
    <w:rsid w:val="00F27CD5"/>
    <w:rsid w:val="00F529AF"/>
    <w:rsid w:val="00F56E24"/>
    <w:rsid w:val="00F57585"/>
    <w:rsid w:val="00F61E16"/>
    <w:rsid w:val="00F63020"/>
    <w:rsid w:val="00F65D01"/>
    <w:rsid w:val="00F662EF"/>
    <w:rsid w:val="00F67BC1"/>
    <w:rsid w:val="00F67DF1"/>
    <w:rsid w:val="00F70748"/>
    <w:rsid w:val="00F72470"/>
    <w:rsid w:val="00F72CF5"/>
    <w:rsid w:val="00F74664"/>
    <w:rsid w:val="00F80F26"/>
    <w:rsid w:val="00F9753D"/>
    <w:rsid w:val="00FA1E4C"/>
    <w:rsid w:val="00FA2C9F"/>
    <w:rsid w:val="00FA32E9"/>
    <w:rsid w:val="00FA3B17"/>
    <w:rsid w:val="00FA49EC"/>
    <w:rsid w:val="00FA554D"/>
    <w:rsid w:val="00FB2F42"/>
    <w:rsid w:val="00FB3373"/>
    <w:rsid w:val="00FB4B9B"/>
    <w:rsid w:val="00FB4CA9"/>
    <w:rsid w:val="00FC2127"/>
    <w:rsid w:val="00FC26AC"/>
    <w:rsid w:val="00FC7810"/>
    <w:rsid w:val="00FD2194"/>
    <w:rsid w:val="00FD37EB"/>
    <w:rsid w:val="00FD42D4"/>
    <w:rsid w:val="00FD79DC"/>
    <w:rsid w:val="00FE5370"/>
    <w:rsid w:val="00FF3CCA"/>
    <w:rsid w:val="02825306"/>
    <w:rsid w:val="0E5BC13F"/>
    <w:rsid w:val="1DB11260"/>
    <w:rsid w:val="25BBC123"/>
    <w:rsid w:val="2FDC7148"/>
    <w:rsid w:val="31CA9983"/>
    <w:rsid w:val="36BD8884"/>
    <w:rsid w:val="3A313D3C"/>
    <w:rsid w:val="3ACFF5B2"/>
    <w:rsid w:val="4FF64DC0"/>
    <w:rsid w:val="50C3A2EC"/>
    <w:rsid w:val="54F96188"/>
    <w:rsid w:val="57C23F9F"/>
    <w:rsid w:val="5AC9F2DF"/>
    <w:rsid w:val="5C86D2D0"/>
    <w:rsid w:val="6727C549"/>
    <w:rsid w:val="71DC03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4FE92"/>
  <w15:docId w15:val="{172EF374-DE0A-46C1-87D2-A347C791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600F3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customStyle="1" w:styleId="QuickA">
    <w:name w:val="Quick A."/>
    <w:basedOn w:val="Normal"/>
    <w:pPr>
      <w:numPr>
        <w:numId w:val="3"/>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rPr>
      <w:rFonts w:ascii="Times New Roman" w:hAnsi="Times New Roman"/>
      <w:i/>
      <w:iCs/>
    </w:rPr>
  </w:style>
  <w:style w:type="paragraph" w:styleId="BalloonText">
    <w:name w:val="Balloon Text"/>
    <w:basedOn w:val="Normal"/>
    <w:semiHidden/>
    <w:rsid w:val="00EE130B"/>
    <w:rPr>
      <w:rFonts w:ascii="Tahoma" w:hAnsi="Tahoma" w:cs="Tahoma"/>
      <w:sz w:val="16"/>
      <w:szCs w:val="16"/>
    </w:rPr>
  </w:style>
  <w:style w:type="character" w:styleId="CommentReference">
    <w:name w:val="annotation reference"/>
    <w:uiPriority w:val="99"/>
    <w:rsid w:val="00074ED5"/>
    <w:rPr>
      <w:sz w:val="16"/>
      <w:szCs w:val="16"/>
    </w:rPr>
  </w:style>
  <w:style w:type="paragraph" w:styleId="CommentText">
    <w:name w:val="annotation text"/>
    <w:basedOn w:val="Normal"/>
    <w:link w:val="CommentTextChar"/>
    <w:semiHidden/>
    <w:rsid w:val="00074ED5"/>
    <w:rPr>
      <w:sz w:val="20"/>
      <w:szCs w:val="20"/>
    </w:rPr>
  </w:style>
  <w:style w:type="paragraph" w:styleId="CommentSubject">
    <w:name w:val="annotation subject"/>
    <w:basedOn w:val="CommentText"/>
    <w:next w:val="CommentText"/>
    <w:semiHidden/>
    <w:rsid w:val="00074ED5"/>
    <w:rPr>
      <w:b/>
      <w:bCs/>
    </w:rPr>
  </w:style>
  <w:style w:type="paragraph" w:styleId="FootnoteText">
    <w:name w:val="footnote text"/>
    <w:basedOn w:val="Normal"/>
    <w:semiHidden/>
    <w:rsid w:val="00F27CD5"/>
    <w:rPr>
      <w:sz w:val="20"/>
      <w:szCs w:val="20"/>
    </w:rPr>
  </w:style>
  <w:style w:type="character" w:styleId="Hyperlink">
    <w:name w:val="Hyperlink"/>
    <w:rsid w:val="00504333"/>
    <w:rPr>
      <w:color w:val="0000FF"/>
      <w:u w:val="single"/>
    </w:rPr>
  </w:style>
  <w:style w:type="character" w:styleId="FollowedHyperlink">
    <w:name w:val="FollowedHyperlink"/>
    <w:rsid w:val="005F71AA"/>
    <w:rPr>
      <w:color w:val="800080"/>
      <w:u w:val="single"/>
    </w:rPr>
  </w:style>
  <w:style w:type="character" w:customStyle="1" w:styleId="FooterChar">
    <w:name w:val="Footer Char"/>
    <w:basedOn w:val="DefaultParagraphFont"/>
    <w:link w:val="Footer"/>
    <w:uiPriority w:val="99"/>
    <w:rsid w:val="00D179A4"/>
    <w:rPr>
      <w:rFonts w:ascii="Courier" w:hAnsi="Courier"/>
      <w:sz w:val="24"/>
      <w:szCs w:val="24"/>
    </w:rPr>
  </w:style>
  <w:style w:type="paragraph" w:styleId="Revision">
    <w:name w:val="Revision"/>
    <w:hidden/>
    <w:uiPriority w:val="99"/>
    <w:semiHidden/>
    <w:rsid w:val="001409A4"/>
    <w:rPr>
      <w:rFonts w:ascii="Courier" w:hAnsi="Courier"/>
      <w:sz w:val="24"/>
      <w:szCs w:val="24"/>
    </w:rPr>
  </w:style>
  <w:style w:type="paragraph" w:styleId="ListParagraph">
    <w:name w:val="List Paragraph"/>
    <w:basedOn w:val="Normal"/>
    <w:uiPriority w:val="34"/>
    <w:qFormat/>
    <w:rsid w:val="00FB4CA9"/>
    <w:pPr>
      <w:ind w:left="720"/>
      <w:contextualSpacing/>
    </w:pPr>
  </w:style>
  <w:style w:type="character" w:customStyle="1" w:styleId="CommentTextChar">
    <w:name w:val="Comment Text Char"/>
    <w:basedOn w:val="DefaultParagraphFont"/>
    <w:link w:val="CommentText"/>
    <w:semiHidden/>
    <w:rsid w:val="00134423"/>
    <w:rPr>
      <w:rFonts w:ascii="Courier" w:hAnsi="Courier"/>
    </w:rPr>
  </w:style>
  <w:style w:type="character" w:customStyle="1" w:styleId="Heading1Char">
    <w:name w:val="Heading 1 Char"/>
    <w:basedOn w:val="DefaultParagraphFont"/>
    <w:link w:val="Heading1"/>
    <w:rsid w:val="00600F39"/>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F3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9120">
      <w:bodyDiv w:val="1"/>
      <w:marLeft w:val="0"/>
      <w:marRight w:val="0"/>
      <w:marTop w:val="0"/>
      <w:marBottom w:val="0"/>
      <w:divBdr>
        <w:top w:val="none" w:sz="0" w:space="0" w:color="auto"/>
        <w:left w:val="none" w:sz="0" w:space="0" w:color="auto"/>
        <w:bottom w:val="none" w:sz="0" w:space="0" w:color="auto"/>
        <w:right w:val="none" w:sz="0" w:space="0" w:color="auto"/>
      </w:divBdr>
    </w:div>
    <w:div w:id="165638381">
      <w:bodyDiv w:val="1"/>
      <w:marLeft w:val="0"/>
      <w:marRight w:val="0"/>
      <w:marTop w:val="0"/>
      <w:marBottom w:val="0"/>
      <w:divBdr>
        <w:top w:val="none" w:sz="0" w:space="0" w:color="auto"/>
        <w:left w:val="none" w:sz="0" w:space="0" w:color="auto"/>
        <w:bottom w:val="none" w:sz="0" w:space="0" w:color="auto"/>
        <w:right w:val="none" w:sz="0" w:space="0" w:color="auto"/>
      </w:divBdr>
    </w:div>
    <w:div w:id="186335667">
      <w:bodyDiv w:val="1"/>
      <w:marLeft w:val="0"/>
      <w:marRight w:val="0"/>
      <w:marTop w:val="0"/>
      <w:marBottom w:val="0"/>
      <w:divBdr>
        <w:top w:val="none" w:sz="0" w:space="0" w:color="auto"/>
        <w:left w:val="none" w:sz="0" w:space="0" w:color="auto"/>
        <w:bottom w:val="none" w:sz="0" w:space="0" w:color="auto"/>
        <w:right w:val="none" w:sz="0" w:space="0" w:color="auto"/>
      </w:divBdr>
    </w:div>
    <w:div w:id="380717033">
      <w:bodyDiv w:val="1"/>
      <w:marLeft w:val="0"/>
      <w:marRight w:val="0"/>
      <w:marTop w:val="0"/>
      <w:marBottom w:val="0"/>
      <w:divBdr>
        <w:top w:val="none" w:sz="0" w:space="0" w:color="auto"/>
        <w:left w:val="none" w:sz="0" w:space="0" w:color="auto"/>
        <w:bottom w:val="none" w:sz="0" w:space="0" w:color="auto"/>
        <w:right w:val="none" w:sz="0" w:space="0" w:color="auto"/>
      </w:divBdr>
    </w:div>
    <w:div w:id="798651530">
      <w:bodyDiv w:val="1"/>
      <w:marLeft w:val="0"/>
      <w:marRight w:val="0"/>
      <w:marTop w:val="0"/>
      <w:marBottom w:val="0"/>
      <w:divBdr>
        <w:top w:val="none" w:sz="0" w:space="0" w:color="auto"/>
        <w:left w:val="none" w:sz="0" w:space="0" w:color="auto"/>
        <w:bottom w:val="none" w:sz="0" w:space="0" w:color="auto"/>
        <w:right w:val="none" w:sz="0" w:space="0" w:color="auto"/>
      </w:divBdr>
    </w:div>
    <w:div w:id="840703034">
      <w:bodyDiv w:val="1"/>
      <w:marLeft w:val="0"/>
      <w:marRight w:val="0"/>
      <w:marTop w:val="0"/>
      <w:marBottom w:val="0"/>
      <w:divBdr>
        <w:top w:val="none" w:sz="0" w:space="0" w:color="auto"/>
        <w:left w:val="none" w:sz="0" w:space="0" w:color="auto"/>
        <w:bottom w:val="none" w:sz="0" w:space="0" w:color="auto"/>
        <w:right w:val="none" w:sz="0" w:space="0" w:color="auto"/>
      </w:divBdr>
    </w:div>
    <w:div w:id="988246748">
      <w:bodyDiv w:val="1"/>
      <w:marLeft w:val="0"/>
      <w:marRight w:val="0"/>
      <w:marTop w:val="0"/>
      <w:marBottom w:val="0"/>
      <w:divBdr>
        <w:top w:val="none" w:sz="0" w:space="0" w:color="auto"/>
        <w:left w:val="none" w:sz="0" w:space="0" w:color="auto"/>
        <w:bottom w:val="none" w:sz="0" w:space="0" w:color="auto"/>
        <w:right w:val="none" w:sz="0" w:space="0" w:color="auto"/>
      </w:divBdr>
    </w:div>
    <w:div w:id="1158112353">
      <w:bodyDiv w:val="1"/>
      <w:marLeft w:val="0"/>
      <w:marRight w:val="0"/>
      <w:marTop w:val="0"/>
      <w:marBottom w:val="0"/>
      <w:divBdr>
        <w:top w:val="none" w:sz="0" w:space="0" w:color="auto"/>
        <w:left w:val="none" w:sz="0" w:space="0" w:color="auto"/>
        <w:bottom w:val="none" w:sz="0" w:space="0" w:color="auto"/>
        <w:right w:val="none" w:sz="0" w:space="0" w:color="auto"/>
      </w:divBdr>
    </w:div>
    <w:div w:id="1471363435">
      <w:bodyDiv w:val="1"/>
      <w:marLeft w:val="0"/>
      <w:marRight w:val="0"/>
      <w:marTop w:val="0"/>
      <w:marBottom w:val="0"/>
      <w:divBdr>
        <w:top w:val="none" w:sz="0" w:space="0" w:color="auto"/>
        <w:left w:val="none" w:sz="0" w:space="0" w:color="auto"/>
        <w:bottom w:val="none" w:sz="0" w:space="0" w:color="auto"/>
        <w:right w:val="none" w:sz="0" w:space="0" w:color="auto"/>
      </w:divBdr>
    </w:div>
    <w:div w:id="1686639240">
      <w:bodyDiv w:val="1"/>
      <w:marLeft w:val="0"/>
      <w:marRight w:val="0"/>
      <w:marTop w:val="0"/>
      <w:marBottom w:val="0"/>
      <w:divBdr>
        <w:top w:val="none" w:sz="0" w:space="0" w:color="auto"/>
        <w:left w:val="none" w:sz="0" w:space="0" w:color="auto"/>
        <w:bottom w:val="none" w:sz="0" w:space="0" w:color="auto"/>
        <w:right w:val="none" w:sz="0" w:space="0" w:color="auto"/>
      </w:divBdr>
    </w:div>
    <w:div w:id="1725057832">
      <w:bodyDiv w:val="1"/>
      <w:marLeft w:val="0"/>
      <w:marRight w:val="0"/>
      <w:marTop w:val="0"/>
      <w:marBottom w:val="0"/>
      <w:divBdr>
        <w:top w:val="none" w:sz="0" w:space="0" w:color="auto"/>
        <w:left w:val="none" w:sz="0" w:space="0" w:color="auto"/>
        <w:bottom w:val="none" w:sz="0" w:space="0" w:color="auto"/>
        <w:right w:val="none" w:sz="0" w:space="0" w:color="auto"/>
      </w:divBdr>
    </w:div>
    <w:div w:id="1897662176">
      <w:bodyDiv w:val="1"/>
      <w:marLeft w:val="0"/>
      <w:marRight w:val="0"/>
      <w:marTop w:val="0"/>
      <w:marBottom w:val="0"/>
      <w:divBdr>
        <w:top w:val="none" w:sz="0" w:space="0" w:color="auto"/>
        <w:left w:val="none" w:sz="0" w:space="0" w:color="auto"/>
        <w:bottom w:val="none" w:sz="0" w:space="0" w:color="auto"/>
        <w:right w:val="none" w:sz="0" w:space="0" w:color="auto"/>
      </w:divBdr>
    </w:div>
    <w:div w:id="191007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ewyorkfed.org/markets/pridealers_curr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1BD87-3B9D-4527-8749-00BF19C85056}">
  <ds:schemaRefs>
    <ds:schemaRef ds:uri="http://schemas.openxmlformats.org/officeDocument/2006/bibliography"/>
  </ds:schemaRefs>
</ds:datastoreItem>
</file>

<file path=customXml/itemProps2.xml><?xml version="1.0" encoding="utf-8"?>
<ds:datastoreItem xmlns:ds="http://schemas.openxmlformats.org/officeDocument/2006/customXml" ds:itemID="{E3EAC899-903A-45B6-BA22-44B82DB66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E9BD4-73E7-4BE2-A715-179234771B91}">
  <ds:schemaRefs>
    <ds:schemaRef ds:uri="http://schemas.microsoft.com/sharepoint/v3/contenttype/forms"/>
  </ds:schemaRefs>
</ds:datastoreItem>
</file>

<file path=customXml/itemProps4.xml><?xml version="1.0" encoding="utf-8"?>
<ds:datastoreItem xmlns:ds="http://schemas.openxmlformats.org/officeDocument/2006/customXml" ds:itemID="{2D5D06F0-9893-48D7-9983-108B5A3544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3329</Words>
  <Characters>18977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22262</CharactersWithSpaces>
  <SharedDoc>false</SharedDoc>
  <HLinks>
    <vt:vector size="6" baseType="variant">
      <vt:variant>
        <vt:i4>1376307</vt:i4>
      </vt:variant>
      <vt:variant>
        <vt:i4>0</vt:i4>
      </vt:variant>
      <vt:variant>
        <vt:i4>0</vt:i4>
      </vt:variant>
      <vt:variant>
        <vt:i4>5</vt:i4>
      </vt:variant>
      <vt:variant>
        <vt:lpwstr>http://www.newyorkfed.org/markets/pridealers_current.html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altman.laurie</dc:creator>
  <cp:keywords/>
  <cp:lastModifiedBy>Khan, Mariam - EBSA</cp:lastModifiedBy>
  <cp:revision>2</cp:revision>
  <cp:lastPrinted>2016-04-05T03:38:00Z</cp:lastPrinted>
  <dcterms:created xsi:type="dcterms:W3CDTF">2022-06-13T19:33:00Z</dcterms:created>
  <dcterms:modified xsi:type="dcterms:W3CDTF">2022-06-13T19:33:00Z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