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102F" w:rsidR="00242B3E" w:rsidP="00242B3E" w:rsidRDefault="002C102F" w14:paraId="7CC0B091" w14:textId="505C0CC1">
      <w:pPr>
        <w:rPr>
          <w:rFonts w:ascii="Times New Roman" w:hAnsi="Times New Roman" w:cs="Times New Roman"/>
          <w:b/>
          <w:sz w:val="24"/>
          <w:szCs w:val="24"/>
          <w:u w:val="single"/>
        </w:rPr>
      </w:pPr>
      <w:r w:rsidRPr="002C102F">
        <w:rPr>
          <w:rFonts w:ascii="Times New Roman" w:hAnsi="Times New Roman" w:cs="Times New Roman"/>
          <w:b/>
          <w:sz w:val="24"/>
          <w:szCs w:val="24"/>
          <w:u w:val="single"/>
        </w:rPr>
        <w:t xml:space="preserve">Attachment A: </w:t>
      </w:r>
      <w:r w:rsidR="00170D45">
        <w:rPr>
          <w:rFonts w:ascii="Times New Roman" w:hAnsi="Times New Roman" w:cs="Times New Roman"/>
          <w:b/>
          <w:sz w:val="24"/>
          <w:szCs w:val="24"/>
          <w:u w:val="single"/>
        </w:rPr>
        <w:t xml:space="preserve">Proposed Changes to </w:t>
      </w:r>
      <w:r w:rsidRPr="002C102F" w:rsidR="00242B3E">
        <w:rPr>
          <w:rFonts w:ascii="Times New Roman" w:hAnsi="Times New Roman" w:cs="Times New Roman"/>
          <w:b/>
          <w:sz w:val="24"/>
          <w:szCs w:val="24"/>
          <w:u w:val="single"/>
        </w:rPr>
        <w:t>NLSY</w:t>
      </w:r>
      <w:r w:rsidR="00170D45">
        <w:rPr>
          <w:rFonts w:ascii="Times New Roman" w:hAnsi="Times New Roman" w:cs="Times New Roman"/>
          <w:b/>
          <w:sz w:val="24"/>
          <w:szCs w:val="24"/>
          <w:u w:val="single"/>
        </w:rPr>
        <w:t>97</w:t>
      </w:r>
      <w:r w:rsidRPr="002C102F" w:rsidR="00242B3E">
        <w:rPr>
          <w:rFonts w:ascii="Times New Roman" w:hAnsi="Times New Roman" w:cs="Times New Roman"/>
          <w:b/>
          <w:sz w:val="24"/>
          <w:szCs w:val="24"/>
          <w:u w:val="single"/>
        </w:rPr>
        <w:t xml:space="preserve"> Round 2</w:t>
      </w:r>
      <w:r w:rsidR="00170D45">
        <w:rPr>
          <w:rFonts w:ascii="Times New Roman" w:hAnsi="Times New Roman" w:cs="Times New Roman"/>
          <w:b/>
          <w:sz w:val="24"/>
          <w:szCs w:val="24"/>
          <w:u w:val="single"/>
        </w:rPr>
        <w:t>0</w:t>
      </w:r>
    </w:p>
    <w:p w:rsidR="00C31122" w:rsidP="00BC2EDD" w:rsidRDefault="00C31122" w14:paraId="2E6A6B63" w14:textId="6E98C042">
      <w:pPr>
        <w:rPr>
          <w:rFonts w:ascii="Times New Roman" w:hAnsi="Times New Roman" w:cs="Times New Roman"/>
          <w:sz w:val="24"/>
          <w:szCs w:val="24"/>
        </w:rPr>
      </w:pPr>
      <w:r w:rsidRPr="00E91E7A">
        <w:rPr>
          <w:rFonts w:ascii="Times New Roman" w:hAnsi="Times New Roman" w:cs="Times New Roman"/>
          <w:sz w:val="24"/>
          <w:szCs w:val="24"/>
        </w:rPr>
        <w:t>Round 2</w:t>
      </w:r>
      <w:r>
        <w:rPr>
          <w:rFonts w:ascii="Times New Roman" w:hAnsi="Times New Roman" w:cs="Times New Roman"/>
          <w:sz w:val="24"/>
          <w:szCs w:val="24"/>
        </w:rPr>
        <w:t xml:space="preserve">0 of the NLSY97 has experienced </w:t>
      </w:r>
      <w:r w:rsidRPr="00C31122">
        <w:rPr>
          <w:rFonts w:ascii="Times New Roman" w:hAnsi="Times New Roman" w:cs="Times New Roman"/>
          <w:sz w:val="24"/>
          <w:szCs w:val="24"/>
        </w:rPr>
        <w:t xml:space="preserve">lagging production and significant constraints on data collection operations during </w:t>
      </w:r>
      <w:r>
        <w:rPr>
          <w:rFonts w:ascii="Times New Roman" w:hAnsi="Times New Roman" w:cs="Times New Roman"/>
          <w:sz w:val="24"/>
          <w:szCs w:val="24"/>
        </w:rPr>
        <w:t>its first 20 weeks of collection, which appears attributable to the</w:t>
      </w:r>
      <w:r w:rsidRPr="00C31122">
        <w:rPr>
          <w:rFonts w:ascii="Times New Roman" w:hAnsi="Times New Roman" w:cs="Times New Roman"/>
          <w:sz w:val="24"/>
          <w:szCs w:val="24"/>
        </w:rPr>
        <w:t xml:space="preserve"> </w:t>
      </w:r>
      <w:r w:rsidR="00571D57">
        <w:rPr>
          <w:rFonts w:ascii="Times New Roman" w:hAnsi="Times New Roman" w:cs="Times New Roman"/>
          <w:sz w:val="24"/>
          <w:szCs w:val="24"/>
        </w:rPr>
        <w:t>coronavirus</w:t>
      </w:r>
      <w:r w:rsidRPr="00C31122">
        <w:rPr>
          <w:rFonts w:ascii="Times New Roman" w:hAnsi="Times New Roman" w:cs="Times New Roman"/>
          <w:sz w:val="24"/>
          <w:szCs w:val="24"/>
        </w:rPr>
        <w:t xml:space="preserve"> pandemic</w:t>
      </w:r>
      <w:r w:rsidR="00647F13">
        <w:rPr>
          <w:rFonts w:ascii="Times New Roman" w:hAnsi="Times New Roman" w:cs="Times New Roman"/>
          <w:sz w:val="24"/>
          <w:szCs w:val="24"/>
        </w:rPr>
        <w:t xml:space="preserve">. </w:t>
      </w:r>
      <w:r w:rsidR="0031277E">
        <w:rPr>
          <w:rFonts w:ascii="Times New Roman" w:hAnsi="Times New Roman" w:cs="Times New Roman"/>
          <w:sz w:val="24"/>
          <w:szCs w:val="24"/>
        </w:rPr>
        <w:t xml:space="preserve"> </w:t>
      </w:r>
      <w:r w:rsidR="00647F13">
        <w:rPr>
          <w:rFonts w:ascii="Times New Roman" w:hAnsi="Times New Roman" w:cs="Times New Roman"/>
          <w:sz w:val="24"/>
          <w:szCs w:val="24"/>
        </w:rPr>
        <w:t>To address this shortfall and improve prospects for a successful round of collection</w:t>
      </w:r>
      <w:r w:rsidRPr="00C31122">
        <w:rPr>
          <w:rFonts w:ascii="Times New Roman" w:hAnsi="Times New Roman" w:cs="Times New Roman"/>
          <w:sz w:val="24"/>
          <w:szCs w:val="24"/>
        </w:rPr>
        <w:t>, we are requesting an enhanced incentive to be given to respondents.  This request is for a one-time incentive that would not continue for future rounds of the NLSY97 and is tied specifically to the increasing difficulties with gaining respondent cooperation that survey organizations have experienced during the pandemic.</w:t>
      </w:r>
    </w:p>
    <w:p w:rsidRPr="00647F13" w:rsidR="00647F13" w:rsidP="00647F13" w:rsidRDefault="00647F13" w14:paraId="53759D36" w14:textId="3542DEF6">
      <w:pPr>
        <w:rPr>
          <w:rFonts w:ascii="Times New Roman" w:hAnsi="Times New Roman" w:cs="Times New Roman"/>
          <w:sz w:val="24"/>
          <w:szCs w:val="24"/>
        </w:rPr>
      </w:pPr>
      <w:r w:rsidRPr="00647F13">
        <w:rPr>
          <w:rFonts w:ascii="Times New Roman" w:hAnsi="Times New Roman" w:cs="Times New Roman"/>
          <w:sz w:val="24"/>
          <w:szCs w:val="24"/>
        </w:rPr>
        <w:t xml:space="preserve">The fielding period for Round 20 began in September 2021 and is projected to end in the summer of 2022.  As of February 2, 2022, we have completed interviews with 4907/8752 non-deceased individuals for an interview completion rate of 56.1%.  At the same point in Round 19 we had roughly 5500 completed interviews, so this represents a shortfall of roughly 600 interviews relative to the prior round.  We are experiencing this shortfall despite a timely round kick-off (Round 20 collection began on September 13, 2021, whereas Round 19 collection began on September 30, 2019) and implementation of outreach activities as planned. </w:t>
      </w:r>
      <w:r w:rsidR="0031277E">
        <w:rPr>
          <w:rFonts w:ascii="Times New Roman" w:hAnsi="Times New Roman" w:cs="Times New Roman"/>
          <w:sz w:val="24"/>
          <w:szCs w:val="24"/>
        </w:rPr>
        <w:t xml:space="preserve"> </w:t>
      </w:r>
      <w:r w:rsidRPr="00647F13">
        <w:rPr>
          <w:rFonts w:ascii="Times New Roman" w:hAnsi="Times New Roman" w:cs="Times New Roman"/>
          <w:sz w:val="24"/>
          <w:szCs w:val="24"/>
        </w:rPr>
        <w:t>The shortfall in completions has steadily accumulated but has varied somewhat; in the weeks of late October and early November 2021 we were near projected output, while in January 2022 we have experienced our greatest shortfalls.  These patterns roughly coincide with patterns in coronavirus case counts in the US.</w:t>
      </w:r>
    </w:p>
    <w:p w:rsidRPr="00647F13" w:rsidR="00647F13" w:rsidP="00647F13" w:rsidRDefault="00647F13" w14:paraId="621CEFBD" w14:textId="77777777">
      <w:pPr>
        <w:rPr>
          <w:rFonts w:ascii="Times New Roman" w:hAnsi="Times New Roman" w:cs="Times New Roman"/>
          <w:sz w:val="24"/>
          <w:szCs w:val="24"/>
        </w:rPr>
      </w:pPr>
      <w:r w:rsidRPr="00647F13">
        <w:rPr>
          <w:rFonts w:ascii="Times New Roman" w:hAnsi="Times New Roman" w:cs="Times New Roman"/>
          <w:sz w:val="24"/>
          <w:szCs w:val="24"/>
        </w:rPr>
        <w:t xml:space="preserve">Based on this experience and our experience collecting Round 29 of the NLSY79, we believe that some members of our sample are impacted by the pandemic in a way that reduces their propensity to respond to the survey.  This seems to reduce response rates below their anticipated levels especially among respondents who have otherwise been cooperative in recent rounds.  To counter these pandemic-related fielding difficulties in a way that is targeted to the affected group, we propose to offer an additional incentive of $25 to respondents who have not completed a Round 20 interview by March 13, 2022, but who have completed at least one in the last 3 rounds (i.e., those respondents who have been out of the panel for at most 2 consecutive rounds). </w:t>
      </w:r>
    </w:p>
    <w:p w:rsidRPr="00647F13" w:rsidR="00647F13" w:rsidP="00647F13" w:rsidRDefault="00647F13" w14:paraId="0B261EAC" w14:textId="77777777">
      <w:pPr>
        <w:rPr>
          <w:rFonts w:ascii="Times New Roman" w:hAnsi="Times New Roman" w:cs="Times New Roman"/>
          <w:sz w:val="24"/>
          <w:szCs w:val="24"/>
        </w:rPr>
      </w:pPr>
      <w:r w:rsidRPr="00647F13">
        <w:rPr>
          <w:rFonts w:ascii="Times New Roman" w:hAnsi="Times New Roman" w:cs="Times New Roman"/>
          <w:sz w:val="24"/>
          <w:szCs w:val="24"/>
        </w:rPr>
        <w:t>We propose to roll this incentive out at the same time as the final push incentive, which is currently planned for the beginning of April.  For any eligible respondent, the incentive would be added to their existing final push and enhanced final push payments.  For example, a respondent who last completed in Round 18 and was not eligible for enhanced final push would have their incentive increased from $115 to $140.  Likewise, a respondent who last completed in Round 18 and was eligible for enhanced final push would have their incentive increased from $140 to $165.  To clarify that this is a one-time offer that has been extended due to the unique circumstances, we would inform all recipients that the additional $25 was attributable to the late-round coronavirus incentive.</w:t>
      </w:r>
    </w:p>
    <w:p w:rsidRPr="00647F13" w:rsidR="00647F13" w:rsidP="00647F13" w:rsidRDefault="00647F13" w14:paraId="50736D5F" w14:textId="5CB54F63">
      <w:pPr>
        <w:rPr>
          <w:rFonts w:ascii="Times New Roman" w:hAnsi="Times New Roman" w:cs="Times New Roman"/>
          <w:sz w:val="24"/>
          <w:szCs w:val="24"/>
        </w:rPr>
      </w:pPr>
      <w:r w:rsidRPr="00647F13">
        <w:rPr>
          <w:rFonts w:ascii="Times New Roman" w:hAnsi="Times New Roman" w:cs="Times New Roman"/>
          <w:sz w:val="24"/>
          <w:szCs w:val="24"/>
        </w:rPr>
        <w:t xml:space="preserve">We believe offering this additional incentive would be cost-effective and significantly increase our chances of a successful round. </w:t>
      </w:r>
      <w:r w:rsidR="00571D57">
        <w:rPr>
          <w:rFonts w:ascii="Times New Roman" w:hAnsi="Times New Roman" w:cs="Times New Roman"/>
          <w:sz w:val="24"/>
          <w:szCs w:val="24"/>
        </w:rPr>
        <w:t xml:space="preserve"> </w:t>
      </w:r>
      <w:r w:rsidRPr="00647F13">
        <w:rPr>
          <w:rFonts w:ascii="Times New Roman" w:hAnsi="Times New Roman" w:cs="Times New Roman"/>
          <w:sz w:val="24"/>
          <w:szCs w:val="24"/>
        </w:rPr>
        <w:t>An increased response rate of 3 percentage points due to the incentive would translate to an additional 90 completes; such an impact on our most difficult cases would be substantial.  In terms of cost, if we were to assume an additional 1</w:t>
      </w:r>
      <w:r w:rsidR="007E7ACE">
        <w:rPr>
          <w:rFonts w:ascii="Times New Roman" w:hAnsi="Times New Roman" w:cs="Times New Roman"/>
          <w:sz w:val="24"/>
          <w:szCs w:val="24"/>
        </w:rPr>
        <w:t>,</w:t>
      </w:r>
      <w:r w:rsidRPr="00647F13">
        <w:rPr>
          <w:rFonts w:ascii="Times New Roman" w:hAnsi="Times New Roman" w:cs="Times New Roman"/>
          <w:sz w:val="24"/>
          <w:szCs w:val="24"/>
        </w:rPr>
        <w:t xml:space="preserve">000 completes </w:t>
      </w:r>
      <w:r w:rsidRPr="00647F13">
        <w:rPr>
          <w:rFonts w:ascii="Times New Roman" w:hAnsi="Times New Roman" w:cs="Times New Roman"/>
          <w:sz w:val="24"/>
          <w:szCs w:val="24"/>
        </w:rPr>
        <w:lastRenderedPageBreak/>
        <w:t>after the incentive went into effect, the additional cost due to the increased incentive would be $25,000.  This would translate to $278 per additional complete, which we project to be more cost effective than extending the data collection period to obtain the extra completes.</w:t>
      </w:r>
    </w:p>
    <w:p w:rsidRPr="00647F13" w:rsidR="00647F13" w:rsidP="00647F13" w:rsidRDefault="00647F13" w14:paraId="30098D74" w14:textId="751493C4">
      <w:pPr>
        <w:rPr>
          <w:rFonts w:ascii="Times New Roman" w:hAnsi="Times New Roman" w:cs="Times New Roman"/>
          <w:sz w:val="24"/>
          <w:szCs w:val="24"/>
        </w:rPr>
      </w:pPr>
      <w:r w:rsidRPr="00647F13">
        <w:rPr>
          <w:rFonts w:ascii="Times New Roman" w:hAnsi="Times New Roman" w:cs="Times New Roman"/>
          <w:sz w:val="24"/>
          <w:szCs w:val="24"/>
        </w:rPr>
        <w:t xml:space="preserve">Table 6a below shows how the proposed incentive would impact the package of incentives originally planned for Round 20.  Compared to Table 6 of the NLSY97 Round 20 clearance package, an extra row has been added for the Proposed Coronavirus Late-Round Incentive and figures for maximum pay-outs in the corresponding columns have been adjusted upward by $25.  Neither the Minimum </w:t>
      </w:r>
      <w:r w:rsidRPr="00647F13" w:rsidR="007E7ACE">
        <w:rPr>
          <w:rFonts w:ascii="Times New Roman" w:hAnsi="Times New Roman" w:cs="Times New Roman"/>
          <w:sz w:val="24"/>
          <w:szCs w:val="24"/>
        </w:rPr>
        <w:t>nor</w:t>
      </w:r>
      <w:r w:rsidRPr="00647F13">
        <w:rPr>
          <w:rFonts w:ascii="Times New Roman" w:hAnsi="Times New Roman" w:cs="Times New Roman"/>
          <w:sz w:val="24"/>
          <w:szCs w:val="24"/>
        </w:rPr>
        <w:t xml:space="preserve"> Typical Pay-out </w:t>
      </w:r>
      <w:r w:rsidR="002B35D4">
        <w:rPr>
          <w:rFonts w:ascii="Times New Roman" w:hAnsi="Times New Roman" w:cs="Times New Roman"/>
          <w:sz w:val="24"/>
          <w:szCs w:val="24"/>
        </w:rPr>
        <w:t>rows</w:t>
      </w:r>
      <w:r w:rsidRPr="00647F13">
        <w:rPr>
          <w:rFonts w:ascii="Times New Roman" w:hAnsi="Times New Roman" w:cs="Times New Roman"/>
          <w:sz w:val="24"/>
          <w:szCs w:val="24"/>
        </w:rPr>
        <w:t xml:space="preserve"> have been affected.</w:t>
      </w:r>
    </w:p>
    <w:p w:rsidRPr="001052BE" w:rsidR="00647F13" w:rsidP="00647F13" w:rsidRDefault="00647F13" w14:paraId="79845FB2" w14:textId="77777777">
      <w:pPr>
        <w:rPr>
          <w:rStyle w:val="BookTitle"/>
          <w:rFonts w:ascii="Times New Roman" w:hAnsi="Times New Roman"/>
          <w:i w:val="0"/>
        </w:rPr>
      </w:pPr>
      <w:r w:rsidRPr="001052BE">
        <w:rPr>
          <w:rStyle w:val="BookTitle"/>
          <w:rFonts w:ascii="Times New Roman" w:hAnsi="Times New Roman"/>
        </w:rPr>
        <w:t xml:space="preserve">Table </w:t>
      </w:r>
      <w:r>
        <w:rPr>
          <w:rStyle w:val="BookTitle"/>
          <w:rFonts w:ascii="Times New Roman" w:hAnsi="Times New Roman"/>
        </w:rPr>
        <w:t>6a</w:t>
      </w:r>
      <w:r w:rsidRPr="001052BE">
        <w:rPr>
          <w:rStyle w:val="BookTitle"/>
          <w:rFonts w:ascii="Times New Roman" w:hAnsi="Times New Roman"/>
        </w:rPr>
        <w:t>. Summary of Round 20 Incentive Structure</w:t>
      </w:r>
      <w:r>
        <w:rPr>
          <w:rStyle w:val="BookTitle"/>
          <w:rFonts w:ascii="Times New Roman" w:hAnsi="Times New Roman"/>
        </w:rPr>
        <w:t xml:space="preserve"> under Proposed Revision</w:t>
      </w:r>
    </w:p>
    <w:tbl>
      <w:tblPr>
        <w:tblStyle w:val="TableGrid"/>
        <w:tblW w:w="9518" w:type="dxa"/>
        <w:tblLayout w:type="fixed"/>
        <w:tblLook w:val="04A0" w:firstRow="1" w:lastRow="0" w:firstColumn="1" w:lastColumn="0" w:noHBand="0" w:noVBand="1"/>
      </w:tblPr>
      <w:tblGrid>
        <w:gridCol w:w="1255"/>
        <w:gridCol w:w="1260"/>
        <w:gridCol w:w="1350"/>
        <w:gridCol w:w="990"/>
        <w:gridCol w:w="1082"/>
        <w:gridCol w:w="1192"/>
        <w:gridCol w:w="1192"/>
        <w:gridCol w:w="1197"/>
      </w:tblGrid>
      <w:tr w:rsidRPr="001052BE" w:rsidR="00647F13" w:rsidTr="000D4DBB" w14:paraId="15A4FC5B" w14:textId="77777777">
        <w:trPr>
          <w:trHeight w:val="254"/>
        </w:trPr>
        <w:tc>
          <w:tcPr>
            <w:tcW w:w="1255" w:type="dxa"/>
            <w:vAlign w:val="center"/>
          </w:tcPr>
          <w:p w:rsidRPr="001052BE" w:rsidR="00647F13" w:rsidP="000D4DBB" w:rsidRDefault="00647F13" w14:paraId="66583795" w14:textId="77777777"/>
        </w:tc>
        <w:tc>
          <w:tcPr>
            <w:tcW w:w="1260" w:type="dxa"/>
          </w:tcPr>
          <w:p w:rsidRPr="001052BE" w:rsidR="00647F13" w:rsidP="000D4DBB" w:rsidRDefault="00647F13" w14:paraId="61593C26" w14:textId="77777777">
            <w:pPr>
              <w:tabs>
                <w:tab w:val="left" w:pos="510"/>
                <w:tab w:val="center" w:pos="1062"/>
              </w:tabs>
            </w:pPr>
            <w:r w:rsidRPr="001052BE">
              <w:t>Segment 1</w:t>
            </w:r>
          </w:p>
        </w:tc>
        <w:tc>
          <w:tcPr>
            <w:tcW w:w="1350" w:type="dxa"/>
            <w:vAlign w:val="center"/>
          </w:tcPr>
          <w:p w:rsidRPr="001052BE" w:rsidR="00647F13" w:rsidP="000D4DBB" w:rsidRDefault="00647F13" w14:paraId="376562A9" w14:textId="77777777">
            <w:pPr>
              <w:jc w:val="center"/>
            </w:pPr>
            <w:r w:rsidRPr="001052BE">
              <w:t>Segment 2</w:t>
            </w:r>
          </w:p>
        </w:tc>
        <w:tc>
          <w:tcPr>
            <w:tcW w:w="5653" w:type="dxa"/>
            <w:gridSpan w:val="5"/>
            <w:vAlign w:val="center"/>
          </w:tcPr>
          <w:p w:rsidRPr="001052BE" w:rsidR="00647F13" w:rsidP="000D4DBB" w:rsidRDefault="00647F13" w14:paraId="4786B39A" w14:textId="77777777">
            <w:pPr>
              <w:jc w:val="center"/>
            </w:pPr>
            <w:r w:rsidRPr="001052BE">
              <w:t>Segment 3</w:t>
            </w:r>
          </w:p>
        </w:tc>
      </w:tr>
      <w:tr w:rsidRPr="001052BE" w:rsidR="00647F13" w:rsidTr="000D4DBB" w14:paraId="29455F26" w14:textId="77777777">
        <w:trPr>
          <w:trHeight w:val="1302"/>
        </w:trPr>
        <w:tc>
          <w:tcPr>
            <w:tcW w:w="1255" w:type="dxa"/>
            <w:vAlign w:val="center"/>
          </w:tcPr>
          <w:p w:rsidRPr="001052BE" w:rsidR="00647F13" w:rsidP="000D4DBB" w:rsidRDefault="00647F13" w14:paraId="7571E7A0" w14:textId="77777777"/>
        </w:tc>
        <w:tc>
          <w:tcPr>
            <w:tcW w:w="1260" w:type="dxa"/>
          </w:tcPr>
          <w:p w:rsidRPr="001052BE" w:rsidR="00647F13" w:rsidP="000D4DBB" w:rsidRDefault="00647F13" w14:paraId="2DCFEAA6" w14:textId="77777777">
            <w:r w:rsidRPr="001052BE">
              <w:t xml:space="preserve">“Perfect” </w:t>
            </w:r>
          </w:p>
        </w:tc>
        <w:tc>
          <w:tcPr>
            <w:tcW w:w="1350" w:type="dxa"/>
          </w:tcPr>
          <w:p w:rsidRPr="001052BE" w:rsidR="00647F13" w:rsidP="000D4DBB" w:rsidRDefault="00647F13" w14:paraId="1C69B028" w14:textId="64A1B6A8">
            <w:r w:rsidRPr="001052BE">
              <w:t>Completed</w:t>
            </w:r>
            <w:r w:rsidR="00510763">
              <w:t xml:space="preserve"> </w:t>
            </w:r>
            <w:r w:rsidRPr="001052BE">
              <w:t>R19, not “perfect”</w:t>
            </w:r>
          </w:p>
        </w:tc>
        <w:tc>
          <w:tcPr>
            <w:tcW w:w="990" w:type="dxa"/>
          </w:tcPr>
          <w:p w:rsidRPr="001052BE" w:rsidR="00647F13" w:rsidP="000D4DBB" w:rsidRDefault="00647F13" w14:paraId="1D97BDCF" w14:textId="77777777">
            <w:r w:rsidRPr="001052BE">
              <w:t xml:space="preserve">Missed R19 only              </w:t>
            </w:r>
          </w:p>
        </w:tc>
        <w:tc>
          <w:tcPr>
            <w:tcW w:w="1082" w:type="dxa"/>
          </w:tcPr>
          <w:p w:rsidRPr="001052BE" w:rsidR="00647F13" w:rsidP="000D4DBB" w:rsidRDefault="00647F13" w14:paraId="6159686B" w14:textId="77777777">
            <w:r w:rsidRPr="001052BE">
              <w:t xml:space="preserve">Missed R19 and R18 only           </w:t>
            </w:r>
          </w:p>
        </w:tc>
        <w:tc>
          <w:tcPr>
            <w:tcW w:w="1192" w:type="dxa"/>
          </w:tcPr>
          <w:p w:rsidRPr="001052BE" w:rsidR="00647F13" w:rsidP="000D4DBB" w:rsidRDefault="00647F13" w14:paraId="3E07AFE1" w14:textId="77777777">
            <w:r w:rsidRPr="001052BE">
              <w:t xml:space="preserve">Missed R19, R18, and R17 only            </w:t>
            </w:r>
          </w:p>
        </w:tc>
        <w:tc>
          <w:tcPr>
            <w:tcW w:w="1192" w:type="dxa"/>
          </w:tcPr>
          <w:p w:rsidRPr="001052BE" w:rsidR="00647F13" w:rsidP="000D4DBB" w:rsidRDefault="00647F13" w14:paraId="47F330DE" w14:textId="77777777">
            <w:r w:rsidRPr="001052BE">
              <w:t xml:space="preserve">Missed R19, R18, R17, and R16 only         </w:t>
            </w:r>
          </w:p>
        </w:tc>
        <w:tc>
          <w:tcPr>
            <w:tcW w:w="1197" w:type="dxa"/>
          </w:tcPr>
          <w:p w:rsidRPr="001052BE" w:rsidR="00647F13" w:rsidP="000D4DBB" w:rsidRDefault="00647F13" w14:paraId="57A67E3A" w14:textId="77777777">
            <w:r w:rsidRPr="001052BE">
              <w:t xml:space="preserve">Missed </w:t>
            </w:r>
            <w:proofErr w:type="gramStart"/>
            <w:r w:rsidRPr="001052BE">
              <w:t>all of</w:t>
            </w:r>
            <w:proofErr w:type="gramEnd"/>
            <w:r w:rsidRPr="001052BE">
              <w:t xml:space="preserve"> the prior 5 rounds </w:t>
            </w:r>
          </w:p>
        </w:tc>
      </w:tr>
      <w:tr w:rsidRPr="001052BE" w:rsidR="00647F13" w:rsidTr="000D4DBB" w14:paraId="23E5F0C6" w14:textId="77777777">
        <w:trPr>
          <w:trHeight w:val="254"/>
        </w:trPr>
        <w:tc>
          <w:tcPr>
            <w:tcW w:w="1255" w:type="dxa"/>
            <w:vAlign w:val="center"/>
          </w:tcPr>
          <w:p w:rsidRPr="001052BE" w:rsidR="00647F13" w:rsidP="000D4DBB" w:rsidRDefault="00647F13" w14:paraId="655FF3BE" w14:textId="77777777">
            <w:r w:rsidRPr="001052BE">
              <w:t>Base</w:t>
            </w:r>
          </w:p>
        </w:tc>
        <w:tc>
          <w:tcPr>
            <w:tcW w:w="1260" w:type="dxa"/>
            <w:vAlign w:val="center"/>
          </w:tcPr>
          <w:p w:rsidRPr="001052BE" w:rsidR="00647F13" w:rsidP="000D4DBB" w:rsidRDefault="00647F13" w14:paraId="2D16B00B" w14:textId="77777777">
            <w:pPr>
              <w:jc w:val="center"/>
            </w:pPr>
            <w:r w:rsidRPr="001052BE">
              <w:t>$50</w:t>
            </w:r>
          </w:p>
        </w:tc>
        <w:tc>
          <w:tcPr>
            <w:tcW w:w="1350" w:type="dxa"/>
            <w:vAlign w:val="center"/>
          </w:tcPr>
          <w:p w:rsidRPr="001052BE" w:rsidR="00647F13" w:rsidP="000D4DBB" w:rsidRDefault="00647F13" w14:paraId="5A6C5EAD" w14:textId="77777777">
            <w:pPr>
              <w:jc w:val="center"/>
            </w:pPr>
            <w:r w:rsidRPr="001052BE">
              <w:t>$50</w:t>
            </w:r>
          </w:p>
        </w:tc>
        <w:tc>
          <w:tcPr>
            <w:tcW w:w="990" w:type="dxa"/>
            <w:vAlign w:val="center"/>
          </w:tcPr>
          <w:p w:rsidRPr="001052BE" w:rsidR="00647F13" w:rsidP="000D4DBB" w:rsidRDefault="00647F13" w14:paraId="0A78F409" w14:textId="77777777">
            <w:pPr>
              <w:jc w:val="center"/>
            </w:pPr>
            <w:r w:rsidRPr="001052BE">
              <w:t>$50</w:t>
            </w:r>
          </w:p>
        </w:tc>
        <w:tc>
          <w:tcPr>
            <w:tcW w:w="1082" w:type="dxa"/>
            <w:vAlign w:val="center"/>
          </w:tcPr>
          <w:p w:rsidRPr="001052BE" w:rsidR="00647F13" w:rsidP="000D4DBB" w:rsidRDefault="00647F13" w14:paraId="5D36A0EF" w14:textId="77777777">
            <w:pPr>
              <w:jc w:val="center"/>
            </w:pPr>
            <w:r w:rsidRPr="001052BE">
              <w:t>$50</w:t>
            </w:r>
          </w:p>
        </w:tc>
        <w:tc>
          <w:tcPr>
            <w:tcW w:w="1192" w:type="dxa"/>
            <w:vAlign w:val="center"/>
          </w:tcPr>
          <w:p w:rsidRPr="001052BE" w:rsidR="00647F13" w:rsidP="000D4DBB" w:rsidRDefault="00647F13" w14:paraId="13C8DC59" w14:textId="77777777">
            <w:pPr>
              <w:jc w:val="center"/>
            </w:pPr>
            <w:r w:rsidRPr="001052BE">
              <w:t>$50</w:t>
            </w:r>
          </w:p>
        </w:tc>
        <w:tc>
          <w:tcPr>
            <w:tcW w:w="1192" w:type="dxa"/>
            <w:vAlign w:val="center"/>
          </w:tcPr>
          <w:p w:rsidRPr="001052BE" w:rsidR="00647F13" w:rsidP="000D4DBB" w:rsidRDefault="00647F13" w14:paraId="1BBA0EE9" w14:textId="77777777">
            <w:pPr>
              <w:jc w:val="center"/>
            </w:pPr>
            <w:r w:rsidRPr="001052BE">
              <w:t>$50</w:t>
            </w:r>
          </w:p>
        </w:tc>
        <w:tc>
          <w:tcPr>
            <w:tcW w:w="1197" w:type="dxa"/>
            <w:vAlign w:val="center"/>
          </w:tcPr>
          <w:p w:rsidRPr="001052BE" w:rsidR="00647F13" w:rsidP="000D4DBB" w:rsidRDefault="00647F13" w14:paraId="4BDACC8C" w14:textId="77777777">
            <w:pPr>
              <w:jc w:val="center"/>
            </w:pPr>
            <w:r w:rsidRPr="001052BE">
              <w:t>$50</w:t>
            </w:r>
          </w:p>
        </w:tc>
      </w:tr>
      <w:tr w:rsidRPr="001052BE" w:rsidR="00647F13" w:rsidTr="000D4DBB" w14:paraId="191BF08E" w14:textId="77777777">
        <w:trPr>
          <w:trHeight w:val="509"/>
        </w:trPr>
        <w:tc>
          <w:tcPr>
            <w:tcW w:w="1255" w:type="dxa"/>
            <w:vAlign w:val="center"/>
          </w:tcPr>
          <w:p w:rsidRPr="001052BE" w:rsidR="00647F13" w:rsidP="000D4DBB" w:rsidRDefault="00647F13" w14:paraId="4752B492" w14:textId="77777777">
            <w:r w:rsidRPr="001052BE">
              <w:t>Thank You</w:t>
            </w:r>
          </w:p>
        </w:tc>
        <w:tc>
          <w:tcPr>
            <w:tcW w:w="1260" w:type="dxa"/>
            <w:vAlign w:val="center"/>
          </w:tcPr>
          <w:p w:rsidRPr="001052BE" w:rsidR="00647F13" w:rsidP="000D4DBB" w:rsidRDefault="00647F13" w14:paraId="4AE61A4F" w14:textId="77777777">
            <w:pPr>
              <w:jc w:val="center"/>
            </w:pPr>
            <w:r w:rsidRPr="001052BE">
              <w:t>$25</w:t>
            </w:r>
          </w:p>
        </w:tc>
        <w:tc>
          <w:tcPr>
            <w:tcW w:w="1350" w:type="dxa"/>
            <w:vAlign w:val="center"/>
          </w:tcPr>
          <w:p w:rsidRPr="001052BE" w:rsidR="00647F13" w:rsidP="000D4DBB" w:rsidRDefault="00647F13" w14:paraId="788C174C" w14:textId="77777777">
            <w:pPr>
              <w:jc w:val="center"/>
            </w:pPr>
            <w:r w:rsidRPr="001052BE">
              <w:t>-</w:t>
            </w:r>
          </w:p>
        </w:tc>
        <w:tc>
          <w:tcPr>
            <w:tcW w:w="990" w:type="dxa"/>
            <w:vAlign w:val="center"/>
          </w:tcPr>
          <w:p w:rsidRPr="001052BE" w:rsidR="00647F13" w:rsidP="000D4DBB" w:rsidRDefault="00647F13" w14:paraId="3166AD34" w14:textId="77777777">
            <w:pPr>
              <w:jc w:val="center"/>
            </w:pPr>
            <w:r w:rsidRPr="001052BE">
              <w:t>-</w:t>
            </w:r>
          </w:p>
        </w:tc>
        <w:tc>
          <w:tcPr>
            <w:tcW w:w="1082" w:type="dxa"/>
            <w:vAlign w:val="center"/>
          </w:tcPr>
          <w:p w:rsidRPr="001052BE" w:rsidR="00647F13" w:rsidP="000D4DBB" w:rsidRDefault="00647F13" w14:paraId="4B0F81A0" w14:textId="77777777">
            <w:pPr>
              <w:jc w:val="center"/>
            </w:pPr>
            <w:r w:rsidRPr="001052BE">
              <w:t>-</w:t>
            </w:r>
          </w:p>
        </w:tc>
        <w:tc>
          <w:tcPr>
            <w:tcW w:w="1192" w:type="dxa"/>
            <w:vAlign w:val="center"/>
          </w:tcPr>
          <w:p w:rsidRPr="001052BE" w:rsidR="00647F13" w:rsidP="000D4DBB" w:rsidRDefault="00647F13" w14:paraId="2CECB9E2" w14:textId="77777777">
            <w:pPr>
              <w:jc w:val="center"/>
            </w:pPr>
            <w:r w:rsidRPr="001052BE">
              <w:t>-</w:t>
            </w:r>
          </w:p>
        </w:tc>
        <w:tc>
          <w:tcPr>
            <w:tcW w:w="1192" w:type="dxa"/>
            <w:vAlign w:val="center"/>
          </w:tcPr>
          <w:p w:rsidRPr="001052BE" w:rsidR="00647F13" w:rsidP="000D4DBB" w:rsidRDefault="00647F13" w14:paraId="10A3D604" w14:textId="77777777">
            <w:pPr>
              <w:jc w:val="center"/>
            </w:pPr>
            <w:r w:rsidRPr="001052BE">
              <w:t>-</w:t>
            </w:r>
          </w:p>
        </w:tc>
        <w:tc>
          <w:tcPr>
            <w:tcW w:w="1197" w:type="dxa"/>
            <w:vAlign w:val="center"/>
          </w:tcPr>
          <w:p w:rsidRPr="001052BE" w:rsidR="00647F13" w:rsidP="000D4DBB" w:rsidRDefault="00647F13" w14:paraId="785612CB" w14:textId="77777777">
            <w:pPr>
              <w:jc w:val="center"/>
            </w:pPr>
            <w:r w:rsidRPr="001052BE">
              <w:t>-</w:t>
            </w:r>
          </w:p>
        </w:tc>
      </w:tr>
      <w:tr w:rsidRPr="001052BE" w:rsidR="00647F13" w:rsidTr="000D4DBB" w14:paraId="78705ACD" w14:textId="77777777">
        <w:trPr>
          <w:trHeight w:val="523"/>
        </w:trPr>
        <w:tc>
          <w:tcPr>
            <w:tcW w:w="1255" w:type="dxa"/>
            <w:vAlign w:val="center"/>
          </w:tcPr>
          <w:p w:rsidRPr="001052BE" w:rsidR="00647F13" w:rsidP="000D4DBB" w:rsidRDefault="00647F13" w14:paraId="5FE84655" w14:textId="77777777">
            <w:pPr>
              <w:rPr>
                <w:color w:val="000000" w:themeColor="text1"/>
              </w:rPr>
            </w:pPr>
            <w:r w:rsidRPr="001052BE">
              <w:rPr>
                <w:color w:val="000000" w:themeColor="text1"/>
              </w:rPr>
              <w:t xml:space="preserve">Missed Round </w:t>
            </w:r>
          </w:p>
        </w:tc>
        <w:tc>
          <w:tcPr>
            <w:tcW w:w="1260" w:type="dxa"/>
            <w:vAlign w:val="center"/>
          </w:tcPr>
          <w:p w:rsidRPr="001052BE" w:rsidR="00647F13" w:rsidP="000D4DBB" w:rsidRDefault="00647F13" w14:paraId="6CDF2768" w14:textId="77777777">
            <w:pPr>
              <w:jc w:val="center"/>
            </w:pPr>
            <w:r w:rsidRPr="001052BE">
              <w:t>-</w:t>
            </w:r>
          </w:p>
        </w:tc>
        <w:tc>
          <w:tcPr>
            <w:tcW w:w="1350" w:type="dxa"/>
            <w:vAlign w:val="center"/>
          </w:tcPr>
          <w:p w:rsidRPr="001052BE" w:rsidR="00647F13" w:rsidP="000D4DBB" w:rsidRDefault="00647F13" w14:paraId="47F7BCA3" w14:textId="77777777">
            <w:pPr>
              <w:jc w:val="center"/>
            </w:pPr>
            <w:r w:rsidRPr="001052BE">
              <w:t>-</w:t>
            </w:r>
          </w:p>
        </w:tc>
        <w:tc>
          <w:tcPr>
            <w:tcW w:w="990" w:type="dxa"/>
            <w:vAlign w:val="center"/>
          </w:tcPr>
          <w:p w:rsidRPr="001052BE" w:rsidR="00647F13" w:rsidP="000D4DBB" w:rsidRDefault="00647F13" w14:paraId="060C9CCC" w14:textId="77777777">
            <w:pPr>
              <w:jc w:val="center"/>
              <w:rPr>
                <w:color w:val="000000" w:themeColor="text1"/>
              </w:rPr>
            </w:pPr>
            <w:r w:rsidRPr="001052BE">
              <w:rPr>
                <w:color w:val="000000" w:themeColor="text1"/>
              </w:rPr>
              <w:t>$40</w:t>
            </w:r>
          </w:p>
        </w:tc>
        <w:tc>
          <w:tcPr>
            <w:tcW w:w="1082" w:type="dxa"/>
            <w:vAlign w:val="center"/>
          </w:tcPr>
          <w:p w:rsidRPr="001052BE" w:rsidR="00647F13" w:rsidP="000D4DBB" w:rsidRDefault="00647F13" w14:paraId="2CE800F2" w14:textId="77777777">
            <w:pPr>
              <w:jc w:val="center"/>
            </w:pPr>
            <w:r w:rsidRPr="001052BE">
              <w:t>$60</w:t>
            </w:r>
          </w:p>
        </w:tc>
        <w:tc>
          <w:tcPr>
            <w:tcW w:w="1192" w:type="dxa"/>
            <w:vAlign w:val="center"/>
          </w:tcPr>
          <w:p w:rsidRPr="001052BE" w:rsidR="00647F13" w:rsidP="000D4DBB" w:rsidRDefault="00647F13" w14:paraId="5B791EA7" w14:textId="77777777">
            <w:pPr>
              <w:jc w:val="center"/>
            </w:pPr>
            <w:r w:rsidRPr="001052BE">
              <w:t>$80</w:t>
            </w:r>
          </w:p>
        </w:tc>
        <w:tc>
          <w:tcPr>
            <w:tcW w:w="1192" w:type="dxa"/>
            <w:vAlign w:val="center"/>
          </w:tcPr>
          <w:p w:rsidRPr="001052BE" w:rsidR="00647F13" w:rsidP="000D4DBB" w:rsidRDefault="00647F13" w14:paraId="5099C53C" w14:textId="77777777">
            <w:pPr>
              <w:jc w:val="center"/>
            </w:pPr>
            <w:r w:rsidRPr="001052BE">
              <w:t>$100</w:t>
            </w:r>
          </w:p>
        </w:tc>
        <w:tc>
          <w:tcPr>
            <w:tcW w:w="1197" w:type="dxa"/>
            <w:vAlign w:val="center"/>
          </w:tcPr>
          <w:p w:rsidRPr="001052BE" w:rsidR="00647F13" w:rsidP="000D4DBB" w:rsidRDefault="00647F13" w14:paraId="36305D19" w14:textId="77777777">
            <w:pPr>
              <w:jc w:val="center"/>
            </w:pPr>
            <w:r w:rsidRPr="001052BE">
              <w:t>$150</w:t>
            </w:r>
          </w:p>
        </w:tc>
      </w:tr>
      <w:tr w:rsidRPr="001052BE" w:rsidR="00647F13" w:rsidTr="000D4DBB" w14:paraId="65C510AB" w14:textId="77777777">
        <w:trPr>
          <w:trHeight w:val="509"/>
        </w:trPr>
        <w:tc>
          <w:tcPr>
            <w:tcW w:w="1255" w:type="dxa"/>
            <w:shd w:val="clear" w:color="auto" w:fill="auto"/>
            <w:vAlign w:val="center"/>
          </w:tcPr>
          <w:p w:rsidRPr="001052BE" w:rsidR="00647F13" w:rsidP="000D4DBB" w:rsidRDefault="00647F13" w14:paraId="095858B2" w14:textId="77777777">
            <w:pPr>
              <w:rPr>
                <w:color w:val="000000" w:themeColor="text1"/>
              </w:rPr>
            </w:pPr>
            <w:r w:rsidRPr="001052BE">
              <w:rPr>
                <w:color w:val="000000" w:themeColor="text1"/>
              </w:rPr>
              <w:t>Final Push</w:t>
            </w:r>
          </w:p>
        </w:tc>
        <w:tc>
          <w:tcPr>
            <w:tcW w:w="1260" w:type="dxa"/>
            <w:vAlign w:val="center"/>
          </w:tcPr>
          <w:p w:rsidRPr="001052BE" w:rsidR="00647F13" w:rsidP="000D4DBB" w:rsidRDefault="00647F13" w14:paraId="1D4F5FA3" w14:textId="77777777">
            <w:pPr>
              <w:jc w:val="center"/>
            </w:pPr>
            <w:r w:rsidRPr="001052BE">
              <w:t>$25</w:t>
            </w:r>
          </w:p>
        </w:tc>
        <w:tc>
          <w:tcPr>
            <w:tcW w:w="1350" w:type="dxa"/>
            <w:shd w:val="clear" w:color="auto" w:fill="auto"/>
            <w:vAlign w:val="center"/>
          </w:tcPr>
          <w:p w:rsidRPr="001052BE" w:rsidR="00647F13" w:rsidP="000D4DBB" w:rsidRDefault="00647F13" w14:paraId="0914A1D2" w14:textId="77777777">
            <w:pPr>
              <w:jc w:val="center"/>
            </w:pPr>
            <w:r w:rsidRPr="001052BE">
              <w:t>$25</w:t>
            </w:r>
          </w:p>
        </w:tc>
        <w:tc>
          <w:tcPr>
            <w:tcW w:w="990" w:type="dxa"/>
            <w:shd w:val="clear" w:color="auto" w:fill="auto"/>
            <w:vAlign w:val="center"/>
          </w:tcPr>
          <w:p w:rsidRPr="001052BE" w:rsidR="00647F13" w:rsidP="000D4DBB" w:rsidRDefault="00647F13" w14:paraId="7790B234" w14:textId="77777777">
            <w:pPr>
              <w:jc w:val="center"/>
              <w:rPr>
                <w:color w:val="000000" w:themeColor="text1"/>
              </w:rPr>
            </w:pPr>
            <w:r w:rsidRPr="001052BE">
              <w:t>$25</w:t>
            </w:r>
          </w:p>
        </w:tc>
        <w:tc>
          <w:tcPr>
            <w:tcW w:w="1082" w:type="dxa"/>
            <w:shd w:val="clear" w:color="auto" w:fill="auto"/>
            <w:vAlign w:val="center"/>
          </w:tcPr>
          <w:p w:rsidRPr="001052BE" w:rsidR="00647F13" w:rsidP="000D4DBB" w:rsidRDefault="00647F13" w14:paraId="05116895" w14:textId="77777777">
            <w:pPr>
              <w:jc w:val="center"/>
            </w:pPr>
            <w:r w:rsidRPr="001052BE">
              <w:t>$25</w:t>
            </w:r>
          </w:p>
        </w:tc>
        <w:tc>
          <w:tcPr>
            <w:tcW w:w="1192" w:type="dxa"/>
            <w:shd w:val="clear" w:color="auto" w:fill="auto"/>
            <w:vAlign w:val="center"/>
          </w:tcPr>
          <w:p w:rsidRPr="001052BE" w:rsidR="00647F13" w:rsidP="000D4DBB" w:rsidRDefault="00647F13" w14:paraId="07E5E0FE" w14:textId="77777777">
            <w:pPr>
              <w:jc w:val="center"/>
            </w:pPr>
            <w:r w:rsidRPr="001052BE">
              <w:t>$25</w:t>
            </w:r>
          </w:p>
        </w:tc>
        <w:tc>
          <w:tcPr>
            <w:tcW w:w="1192" w:type="dxa"/>
            <w:shd w:val="clear" w:color="auto" w:fill="auto"/>
            <w:vAlign w:val="center"/>
          </w:tcPr>
          <w:p w:rsidRPr="001052BE" w:rsidR="00647F13" w:rsidP="000D4DBB" w:rsidRDefault="00647F13" w14:paraId="18F520FB" w14:textId="77777777">
            <w:pPr>
              <w:jc w:val="center"/>
            </w:pPr>
            <w:r w:rsidRPr="001052BE">
              <w:t>$25</w:t>
            </w:r>
          </w:p>
        </w:tc>
        <w:tc>
          <w:tcPr>
            <w:tcW w:w="1197" w:type="dxa"/>
            <w:shd w:val="clear" w:color="auto" w:fill="auto"/>
            <w:vAlign w:val="center"/>
          </w:tcPr>
          <w:p w:rsidRPr="001052BE" w:rsidR="00647F13" w:rsidP="000D4DBB" w:rsidRDefault="00647F13" w14:paraId="0EFEF336" w14:textId="77777777">
            <w:pPr>
              <w:jc w:val="center"/>
            </w:pPr>
            <w:r w:rsidRPr="001052BE">
              <w:t>$25</w:t>
            </w:r>
          </w:p>
        </w:tc>
      </w:tr>
      <w:tr w:rsidRPr="001052BE" w:rsidR="00647F13" w:rsidTr="000D4DBB" w14:paraId="69CE3D5C" w14:textId="77777777">
        <w:trPr>
          <w:trHeight w:val="778"/>
        </w:trPr>
        <w:tc>
          <w:tcPr>
            <w:tcW w:w="1255" w:type="dxa"/>
            <w:shd w:val="clear" w:color="auto" w:fill="auto"/>
            <w:vAlign w:val="center"/>
          </w:tcPr>
          <w:p w:rsidRPr="001052BE" w:rsidR="00647F13" w:rsidP="000D4DBB" w:rsidRDefault="00647F13" w14:paraId="541D56D9" w14:textId="77777777">
            <w:pPr>
              <w:rPr>
                <w:color w:val="000000" w:themeColor="text1"/>
              </w:rPr>
            </w:pPr>
            <w:r w:rsidRPr="001052BE">
              <w:rPr>
                <w:color w:val="000000" w:themeColor="text1"/>
              </w:rPr>
              <w:t>Enhanced Final Push</w:t>
            </w:r>
          </w:p>
        </w:tc>
        <w:tc>
          <w:tcPr>
            <w:tcW w:w="1260" w:type="dxa"/>
            <w:vAlign w:val="center"/>
          </w:tcPr>
          <w:p w:rsidRPr="001052BE" w:rsidR="00647F13" w:rsidP="000D4DBB" w:rsidRDefault="00647F13" w14:paraId="04999DCD" w14:textId="77777777">
            <w:pPr>
              <w:jc w:val="center"/>
            </w:pPr>
            <w:r w:rsidRPr="001052BE">
              <w:t>$25</w:t>
            </w:r>
          </w:p>
        </w:tc>
        <w:tc>
          <w:tcPr>
            <w:tcW w:w="1350" w:type="dxa"/>
            <w:shd w:val="clear" w:color="auto" w:fill="auto"/>
            <w:vAlign w:val="center"/>
          </w:tcPr>
          <w:p w:rsidRPr="001052BE" w:rsidR="00647F13" w:rsidP="000D4DBB" w:rsidRDefault="00647F13" w14:paraId="14476238" w14:textId="77777777">
            <w:pPr>
              <w:jc w:val="center"/>
            </w:pPr>
            <w:r w:rsidRPr="001052BE">
              <w:t>$25</w:t>
            </w:r>
          </w:p>
        </w:tc>
        <w:tc>
          <w:tcPr>
            <w:tcW w:w="990" w:type="dxa"/>
            <w:shd w:val="clear" w:color="auto" w:fill="auto"/>
            <w:vAlign w:val="center"/>
          </w:tcPr>
          <w:p w:rsidRPr="001052BE" w:rsidR="00647F13" w:rsidP="000D4DBB" w:rsidRDefault="00647F13" w14:paraId="118FC049" w14:textId="77777777">
            <w:pPr>
              <w:jc w:val="center"/>
              <w:rPr>
                <w:color w:val="000000" w:themeColor="text1"/>
              </w:rPr>
            </w:pPr>
            <w:r w:rsidRPr="001052BE">
              <w:t>$25</w:t>
            </w:r>
          </w:p>
        </w:tc>
        <w:tc>
          <w:tcPr>
            <w:tcW w:w="1082" w:type="dxa"/>
            <w:shd w:val="clear" w:color="auto" w:fill="auto"/>
            <w:vAlign w:val="center"/>
          </w:tcPr>
          <w:p w:rsidRPr="001052BE" w:rsidR="00647F13" w:rsidP="000D4DBB" w:rsidRDefault="00647F13" w14:paraId="52D05E00" w14:textId="77777777">
            <w:pPr>
              <w:jc w:val="center"/>
            </w:pPr>
            <w:r w:rsidRPr="001052BE">
              <w:t>$25</w:t>
            </w:r>
          </w:p>
        </w:tc>
        <w:tc>
          <w:tcPr>
            <w:tcW w:w="1192" w:type="dxa"/>
            <w:shd w:val="clear" w:color="auto" w:fill="auto"/>
            <w:vAlign w:val="center"/>
          </w:tcPr>
          <w:p w:rsidRPr="001052BE" w:rsidR="00647F13" w:rsidP="000D4DBB" w:rsidRDefault="00647F13" w14:paraId="1EB309A8" w14:textId="77777777">
            <w:pPr>
              <w:jc w:val="center"/>
            </w:pPr>
            <w:r w:rsidRPr="001052BE">
              <w:t>$25</w:t>
            </w:r>
          </w:p>
        </w:tc>
        <w:tc>
          <w:tcPr>
            <w:tcW w:w="1192" w:type="dxa"/>
            <w:shd w:val="clear" w:color="auto" w:fill="auto"/>
            <w:vAlign w:val="center"/>
          </w:tcPr>
          <w:p w:rsidRPr="001052BE" w:rsidR="00647F13" w:rsidP="000D4DBB" w:rsidRDefault="00647F13" w14:paraId="55863BD6" w14:textId="77777777">
            <w:pPr>
              <w:jc w:val="center"/>
            </w:pPr>
            <w:r w:rsidRPr="001052BE">
              <w:t>$25</w:t>
            </w:r>
          </w:p>
        </w:tc>
        <w:tc>
          <w:tcPr>
            <w:tcW w:w="1197" w:type="dxa"/>
            <w:shd w:val="clear" w:color="auto" w:fill="auto"/>
            <w:vAlign w:val="center"/>
          </w:tcPr>
          <w:p w:rsidRPr="001052BE" w:rsidR="00647F13" w:rsidP="000D4DBB" w:rsidRDefault="00647F13" w14:paraId="19B2575D" w14:textId="77777777">
            <w:pPr>
              <w:jc w:val="center"/>
            </w:pPr>
            <w:r w:rsidRPr="001052BE">
              <w:t>$25</w:t>
            </w:r>
          </w:p>
        </w:tc>
      </w:tr>
      <w:tr w:rsidRPr="001052BE" w:rsidR="00647F13" w:rsidTr="000D4DBB" w14:paraId="689DEDAF" w14:textId="77777777">
        <w:trPr>
          <w:trHeight w:val="778"/>
        </w:trPr>
        <w:tc>
          <w:tcPr>
            <w:tcW w:w="1255" w:type="dxa"/>
            <w:shd w:val="clear" w:color="auto" w:fill="auto"/>
            <w:vAlign w:val="center"/>
          </w:tcPr>
          <w:p w:rsidRPr="001052BE" w:rsidR="00647F13" w:rsidP="000D4DBB" w:rsidRDefault="00647F13" w14:paraId="2814E391" w14:textId="77777777">
            <w:pPr>
              <w:rPr>
                <w:color w:val="000000" w:themeColor="text1"/>
              </w:rPr>
            </w:pPr>
            <w:r>
              <w:rPr>
                <w:color w:val="000000" w:themeColor="text1"/>
              </w:rPr>
              <w:t>Proposed Coronavirus Late-Round Incentive</w:t>
            </w:r>
          </w:p>
        </w:tc>
        <w:tc>
          <w:tcPr>
            <w:tcW w:w="1260" w:type="dxa"/>
            <w:vAlign w:val="center"/>
          </w:tcPr>
          <w:p w:rsidRPr="001052BE" w:rsidR="00647F13" w:rsidP="000D4DBB" w:rsidRDefault="00647F13" w14:paraId="446AEFCB" w14:textId="77777777">
            <w:pPr>
              <w:jc w:val="center"/>
            </w:pPr>
            <w:r w:rsidRPr="001052BE">
              <w:t>$25</w:t>
            </w:r>
          </w:p>
        </w:tc>
        <w:tc>
          <w:tcPr>
            <w:tcW w:w="1350" w:type="dxa"/>
            <w:shd w:val="clear" w:color="auto" w:fill="auto"/>
            <w:vAlign w:val="center"/>
          </w:tcPr>
          <w:p w:rsidRPr="001052BE" w:rsidR="00647F13" w:rsidP="000D4DBB" w:rsidRDefault="00647F13" w14:paraId="557E0879" w14:textId="77777777">
            <w:pPr>
              <w:jc w:val="center"/>
            </w:pPr>
            <w:r w:rsidRPr="001052BE">
              <w:t>$25</w:t>
            </w:r>
          </w:p>
        </w:tc>
        <w:tc>
          <w:tcPr>
            <w:tcW w:w="990" w:type="dxa"/>
            <w:shd w:val="clear" w:color="auto" w:fill="auto"/>
            <w:vAlign w:val="center"/>
          </w:tcPr>
          <w:p w:rsidRPr="001052BE" w:rsidR="00647F13" w:rsidP="000D4DBB" w:rsidRDefault="00647F13" w14:paraId="5F17FFF8" w14:textId="77777777">
            <w:pPr>
              <w:jc w:val="center"/>
            </w:pPr>
            <w:r w:rsidRPr="001052BE">
              <w:t>$25</w:t>
            </w:r>
          </w:p>
        </w:tc>
        <w:tc>
          <w:tcPr>
            <w:tcW w:w="1082" w:type="dxa"/>
            <w:shd w:val="clear" w:color="auto" w:fill="auto"/>
            <w:vAlign w:val="center"/>
          </w:tcPr>
          <w:p w:rsidRPr="001052BE" w:rsidR="00647F13" w:rsidP="000D4DBB" w:rsidRDefault="00647F13" w14:paraId="36C3AA28" w14:textId="77777777">
            <w:pPr>
              <w:jc w:val="center"/>
            </w:pPr>
            <w:r w:rsidRPr="001052BE">
              <w:t>$25</w:t>
            </w:r>
          </w:p>
        </w:tc>
        <w:tc>
          <w:tcPr>
            <w:tcW w:w="1192" w:type="dxa"/>
            <w:shd w:val="clear" w:color="auto" w:fill="auto"/>
            <w:vAlign w:val="center"/>
          </w:tcPr>
          <w:p w:rsidRPr="001052BE" w:rsidR="00647F13" w:rsidP="000D4DBB" w:rsidRDefault="00647F13" w14:paraId="0B638AF0" w14:textId="77777777">
            <w:pPr>
              <w:jc w:val="center"/>
            </w:pPr>
            <w:r w:rsidRPr="001052BE">
              <w:t>-</w:t>
            </w:r>
          </w:p>
        </w:tc>
        <w:tc>
          <w:tcPr>
            <w:tcW w:w="1192" w:type="dxa"/>
            <w:shd w:val="clear" w:color="auto" w:fill="auto"/>
            <w:vAlign w:val="center"/>
          </w:tcPr>
          <w:p w:rsidRPr="001052BE" w:rsidR="00647F13" w:rsidP="000D4DBB" w:rsidRDefault="00647F13" w14:paraId="04D5DAD4" w14:textId="77777777">
            <w:pPr>
              <w:jc w:val="center"/>
            </w:pPr>
            <w:r w:rsidRPr="001052BE">
              <w:t>-</w:t>
            </w:r>
          </w:p>
        </w:tc>
        <w:tc>
          <w:tcPr>
            <w:tcW w:w="1197" w:type="dxa"/>
            <w:shd w:val="clear" w:color="auto" w:fill="auto"/>
            <w:vAlign w:val="center"/>
          </w:tcPr>
          <w:p w:rsidRPr="001052BE" w:rsidR="00647F13" w:rsidP="000D4DBB" w:rsidRDefault="00647F13" w14:paraId="1B38AEFD" w14:textId="77777777">
            <w:pPr>
              <w:jc w:val="center"/>
            </w:pPr>
            <w:r w:rsidRPr="001052BE">
              <w:t>-</w:t>
            </w:r>
          </w:p>
        </w:tc>
      </w:tr>
      <w:tr w:rsidRPr="001052BE" w:rsidR="00647F13" w:rsidTr="000D4DBB" w14:paraId="4D8FAEE2" w14:textId="77777777">
        <w:trPr>
          <w:trHeight w:val="254"/>
        </w:trPr>
        <w:tc>
          <w:tcPr>
            <w:tcW w:w="1255" w:type="dxa"/>
            <w:shd w:val="clear" w:color="auto" w:fill="D9D9D9" w:themeFill="background1" w:themeFillShade="D9"/>
            <w:vAlign w:val="center"/>
          </w:tcPr>
          <w:p w:rsidRPr="001052BE" w:rsidR="00647F13" w:rsidP="000D4DBB" w:rsidRDefault="00647F13" w14:paraId="0DB4413F" w14:textId="77777777">
            <w:pPr>
              <w:rPr>
                <w:b/>
                <w:color w:val="000000" w:themeColor="text1"/>
              </w:rPr>
            </w:pPr>
            <w:r w:rsidRPr="001052BE">
              <w:rPr>
                <w:b/>
                <w:color w:val="000000" w:themeColor="text1"/>
              </w:rPr>
              <w:t>Min</w:t>
            </w:r>
          </w:p>
        </w:tc>
        <w:tc>
          <w:tcPr>
            <w:tcW w:w="1260" w:type="dxa"/>
            <w:shd w:val="clear" w:color="auto" w:fill="D9D9D9" w:themeFill="background1" w:themeFillShade="D9"/>
            <w:vAlign w:val="center"/>
          </w:tcPr>
          <w:p w:rsidRPr="001052BE" w:rsidR="00647F13" w:rsidP="000D4DBB" w:rsidRDefault="00647F13" w14:paraId="5737CC3A" w14:textId="77777777">
            <w:pPr>
              <w:jc w:val="center"/>
              <w:rPr>
                <w:b/>
              </w:rPr>
            </w:pPr>
            <w:r w:rsidRPr="001052BE">
              <w:rPr>
                <w:b/>
              </w:rPr>
              <w:t>$50</w:t>
            </w:r>
          </w:p>
        </w:tc>
        <w:tc>
          <w:tcPr>
            <w:tcW w:w="1350" w:type="dxa"/>
            <w:shd w:val="clear" w:color="auto" w:fill="D9D9D9" w:themeFill="background1" w:themeFillShade="D9"/>
            <w:vAlign w:val="center"/>
          </w:tcPr>
          <w:p w:rsidRPr="001052BE" w:rsidR="00647F13" w:rsidP="000D4DBB" w:rsidRDefault="00647F13" w14:paraId="12A2ABB5" w14:textId="77777777">
            <w:pPr>
              <w:jc w:val="center"/>
              <w:rPr>
                <w:b/>
              </w:rPr>
            </w:pPr>
            <w:r w:rsidRPr="001052BE">
              <w:rPr>
                <w:b/>
              </w:rPr>
              <w:t>$50</w:t>
            </w:r>
          </w:p>
        </w:tc>
        <w:tc>
          <w:tcPr>
            <w:tcW w:w="990" w:type="dxa"/>
            <w:shd w:val="clear" w:color="auto" w:fill="D9D9D9" w:themeFill="background1" w:themeFillShade="D9"/>
            <w:vAlign w:val="center"/>
          </w:tcPr>
          <w:p w:rsidRPr="001052BE" w:rsidR="00647F13" w:rsidP="000D4DBB" w:rsidRDefault="00647F13" w14:paraId="05A2020B" w14:textId="77777777">
            <w:pPr>
              <w:jc w:val="center"/>
              <w:rPr>
                <w:b/>
                <w:color w:val="000000" w:themeColor="text1"/>
              </w:rPr>
            </w:pPr>
            <w:r w:rsidRPr="001052BE">
              <w:rPr>
                <w:b/>
              </w:rPr>
              <w:t>$</w:t>
            </w:r>
            <w:r w:rsidRPr="001052BE">
              <w:rPr>
                <w:b/>
                <w:color w:val="000000" w:themeColor="text1"/>
              </w:rPr>
              <w:t>90</w:t>
            </w:r>
          </w:p>
        </w:tc>
        <w:tc>
          <w:tcPr>
            <w:tcW w:w="1082" w:type="dxa"/>
            <w:shd w:val="clear" w:color="auto" w:fill="D9D9D9" w:themeFill="background1" w:themeFillShade="D9"/>
          </w:tcPr>
          <w:p w:rsidRPr="001052BE" w:rsidR="00647F13" w:rsidP="000D4DBB" w:rsidRDefault="00647F13" w14:paraId="333517D2" w14:textId="77777777">
            <w:pPr>
              <w:jc w:val="center"/>
              <w:rPr>
                <w:b/>
              </w:rPr>
            </w:pPr>
            <w:r w:rsidRPr="001052BE">
              <w:rPr>
                <w:b/>
              </w:rPr>
              <w:t>$110</w:t>
            </w:r>
          </w:p>
        </w:tc>
        <w:tc>
          <w:tcPr>
            <w:tcW w:w="1192" w:type="dxa"/>
            <w:shd w:val="clear" w:color="auto" w:fill="D9D9D9" w:themeFill="background1" w:themeFillShade="D9"/>
          </w:tcPr>
          <w:p w:rsidRPr="001052BE" w:rsidR="00647F13" w:rsidP="000D4DBB" w:rsidRDefault="00647F13" w14:paraId="16DF9321" w14:textId="77777777">
            <w:pPr>
              <w:jc w:val="center"/>
              <w:rPr>
                <w:b/>
              </w:rPr>
            </w:pPr>
            <w:r w:rsidRPr="001052BE">
              <w:rPr>
                <w:b/>
              </w:rPr>
              <w:t>$130</w:t>
            </w:r>
          </w:p>
        </w:tc>
        <w:tc>
          <w:tcPr>
            <w:tcW w:w="1192" w:type="dxa"/>
            <w:shd w:val="clear" w:color="auto" w:fill="D9D9D9" w:themeFill="background1" w:themeFillShade="D9"/>
          </w:tcPr>
          <w:p w:rsidRPr="001052BE" w:rsidR="00647F13" w:rsidP="000D4DBB" w:rsidRDefault="00647F13" w14:paraId="1A1C298A" w14:textId="77777777">
            <w:pPr>
              <w:jc w:val="center"/>
              <w:rPr>
                <w:b/>
              </w:rPr>
            </w:pPr>
            <w:r w:rsidRPr="001052BE">
              <w:rPr>
                <w:b/>
              </w:rPr>
              <w:t>$150</w:t>
            </w:r>
          </w:p>
        </w:tc>
        <w:tc>
          <w:tcPr>
            <w:tcW w:w="1197" w:type="dxa"/>
            <w:shd w:val="clear" w:color="auto" w:fill="D9D9D9" w:themeFill="background1" w:themeFillShade="D9"/>
          </w:tcPr>
          <w:p w:rsidRPr="001052BE" w:rsidR="00647F13" w:rsidP="000D4DBB" w:rsidRDefault="00647F13" w14:paraId="457250B9" w14:textId="77777777">
            <w:pPr>
              <w:jc w:val="center"/>
              <w:rPr>
                <w:b/>
              </w:rPr>
            </w:pPr>
            <w:r w:rsidRPr="001052BE">
              <w:rPr>
                <w:b/>
              </w:rPr>
              <w:t>$200</w:t>
            </w:r>
          </w:p>
        </w:tc>
      </w:tr>
      <w:tr w:rsidRPr="001052BE" w:rsidR="00647F13" w:rsidTr="000D4DBB" w14:paraId="6E3C44A6" w14:textId="77777777">
        <w:trPr>
          <w:trHeight w:val="254"/>
        </w:trPr>
        <w:tc>
          <w:tcPr>
            <w:tcW w:w="1255" w:type="dxa"/>
            <w:shd w:val="clear" w:color="auto" w:fill="D9D9D9" w:themeFill="background1" w:themeFillShade="D9"/>
            <w:vAlign w:val="center"/>
          </w:tcPr>
          <w:p w:rsidRPr="001052BE" w:rsidR="00647F13" w:rsidP="000D4DBB" w:rsidRDefault="00647F13" w14:paraId="1C35009A" w14:textId="77777777">
            <w:pPr>
              <w:rPr>
                <w:b/>
                <w:color w:val="000000" w:themeColor="text1"/>
              </w:rPr>
            </w:pPr>
            <w:r w:rsidRPr="001052BE">
              <w:rPr>
                <w:b/>
                <w:color w:val="000000" w:themeColor="text1"/>
              </w:rPr>
              <w:t>Max</w:t>
            </w:r>
          </w:p>
        </w:tc>
        <w:tc>
          <w:tcPr>
            <w:tcW w:w="1260" w:type="dxa"/>
            <w:shd w:val="clear" w:color="auto" w:fill="D9D9D9" w:themeFill="background1" w:themeFillShade="D9"/>
            <w:vAlign w:val="center"/>
          </w:tcPr>
          <w:p w:rsidRPr="001052BE" w:rsidR="00647F13" w:rsidP="000D4DBB" w:rsidRDefault="00647F13" w14:paraId="3864C805" w14:textId="77777777">
            <w:pPr>
              <w:jc w:val="center"/>
              <w:rPr>
                <w:b/>
              </w:rPr>
            </w:pPr>
            <w:r w:rsidRPr="001052BE">
              <w:rPr>
                <w:b/>
              </w:rPr>
              <w:t>$1</w:t>
            </w:r>
            <w:r>
              <w:rPr>
                <w:b/>
              </w:rPr>
              <w:t>50</w:t>
            </w:r>
          </w:p>
        </w:tc>
        <w:tc>
          <w:tcPr>
            <w:tcW w:w="1350" w:type="dxa"/>
            <w:shd w:val="clear" w:color="auto" w:fill="D9D9D9" w:themeFill="background1" w:themeFillShade="D9"/>
            <w:vAlign w:val="center"/>
          </w:tcPr>
          <w:p w:rsidRPr="001052BE" w:rsidR="00647F13" w:rsidP="000D4DBB" w:rsidRDefault="00647F13" w14:paraId="0D5A4AE0" w14:textId="77777777">
            <w:pPr>
              <w:jc w:val="center"/>
              <w:rPr>
                <w:b/>
              </w:rPr>
            </w:pPr>
            <w:r w:rsidRPr="001052BE">
              <w:rPr>
                <w:b/>
              </w:rPr>
              <w:t>$1</w:t>
            </w:r>
            <w:r>
              <w:rPr>
                <w:b/>
              </w:rPr>
              <w:t>25</w:t>
            </w:r>
          </w:p>
        </w:tc>
        <w:tc>
          <w:tcPr>
            <w:tcW w:w="990" w:type="dxa"/>
            <w:shd w:val="clear" w:color="auto" w:fill="D9D9D9" w:themeFill="background1" w:themeFillShade="D9"/>
            <w:vAlign w:val="center"/>
          </w:tcPr>
          <w:p w:rsidRPr="001052BE" w:rsidR="00647F13" w:rsidP="000D4DBB" w:rsidRDefault="00647F13" w14:paraId="5BF72BCB" w14:textId="77777777">
            <w:pPr>
              <w:jc w:val="center"/>
              <w:rPr>
                <w:b/>
                <w:color w:val="000000" w:themeColor="text1"/>
              </w:rPr>
            </w:pPr>
            <w:r w:rsidRPr="001052BE">
              <w:rPr>
                <w:b/>
              </w:rPr>
              <w:t>$</w:t>
            </w:r>
            <w:r w:rsidRPr="001052BE">
              <w:rPr>
                <w:b/>
                <w:color w:val="000000" w:themeColor="text1"/>
              </w:rPr>
              <w:t>1</w:t>
            </w:r>
            <w:r>
              <w:rPr>
                <w:b/>
                <w:color w:val="000000" w:themeColor="text1"/>
              </w:rPr>
              <w:t>65</w:t>
            </w:r>
          </w:p>
        </w:tc>
        <w:tc>
          <w:tcPr>
            <w:tcW w:w="1082" w:type="dxa"/>
            <w:shd w:val="clear" w:color="auto" w:fill="D9D9D9" w:themeFill="background1" w:themeFillShade="D9"/>
          </w:tcPr>
          <w:p w:rsidRPr="001052BE" w:rsidR="00647F13" w:rsidP="000D4DBB" w:rsidRDefault="00647F13" w14:paraId="34580255" w14:textId="77777777">
            <w:pPr>
              <w:jc w:val="center"/>
              <w:rPr>
                <w:b/>
              </w:rPr>
            </w:pPr>
            <w:r w:rsidRPr="001052BE">
              <w:rPr>
                <w:b/>
              </w:rPr>
              <w:t>$1</w:t>
            </w:r>
            <w:r>
              <w:rPr>
                <w:b/>
              </w:rPr>
              <w:t>85</w:t>
            </w:r>
          </w:p>
        </w:tc>
        <w:tc>
          <w:tcPr>
            <w:tcW w:w="1192" w:type="dxa"/>
            <w:shd w:val="clear" w:color="auto" w:fill="D9D9D9" w:themeFill="background1" w:themeFillShade="D9"/>
          </w:tcPr>
          <w:p w:rsidRPr="001052BE" w:rsidR="00647F13" w:rsidP="000D4DBB" w:rsidRDefault="00647F13" w14:paraId="2F5E4CD3" w14:textId="77777777">
            <w:pPr>
              <w:jc w:val="center"/>
              <w:rPr>
                <w:b/>
              </w:rPr>
            </w:pPr>
            <w:r w:rsidRPr="001052BE">
              <w:rPr>
                <w:b/>
              </w:rPr>
              <w:t>$180</w:t>
            </w:r>
          </w:p>
        </w:tc>
        <w:tc>
          <w:tcPr>
            <w:tcW w:w="1192" w:type="dxa"/>
            <w:shd w:val="clear" w:color="auto" w:fill="D9D9D9" w:themeFill="background1" w:themeFillShade="D9"/>
          </w:tcPr>
          <w:p w:rsidRPr="001052BE" w:rsidR="00647F13" w:rsidP="000D4DBB" w:rsidRDefault="00647F13" w14:paraId="4FB5FB3D" w14:textId="77777777">
            <w:pPr>
              <w:jc w:val="center"/>
              <w:rPr>
                <w:b/>
              </w:rPr>
            </w:pPr>
            <w:r w:rsidRPr="001052BE">
              <w:rPr>
                <w:b/>
              </w:rPr>
              <w:t>$200</w:t>
            </w:r>
          </w:p>
        </w:tc>
        <w:tc>
          <w:tcPr>
            <w:tcW w:w="1197" w:type="dxa"/>
            <w:shd w:val="clear" w:color="auto" w:fill="D9D9D9" w:themeFill="background1" w:themeFillShade="D9"/>
          </w:tcPr>
          <w:p w:rsidRPr="001052BE" w:rsidR="00647F13" w:rsidP="000D4DBB" w:rsidRDefault="00647F13" w14:paraId="13744308" w14:textId="77777777">
            <w:pPr>
              <w:jc w:val="center"/>
              <w:rPr>
                <w:b/>
              </w:rPr>
            </w:pPr>
            <w:r w:rsidRPr="001052BE">
              <w:rPr>
                <w:b/>
              </w:rPr>
              <w:t>$200</w:t>
            </w:r>
          </w:p>
        </w:tc>
      </w:tr>
      <w:tr w:rsidRPr="001052BE" w:rsidR="00647F13" w:rsidTr="000D4DBB" w14:paraId="2CA97BF0" w14:textId="77777777">
        <w:trPr>
          <w:trHeight w:val="254"/>
        </w:trPr>
        <w:tc>
          <w:tcPr>
            <w:tcW w:w="1255" w:type="dxa"/>
            <w:shd w:val="clear" w:color="auto" w:fill="D9D9D9" w:themeFill="background1" w:themeFillShade="D9"/>
            <w:vAlign w:val="center"/>
          </w:tcPr>
          <w:p w:rsidRPr="001052BE" w:rsidR="00647F13" w:rsidP="000D4DBB" w:rsidRDefault="00647F13" w14:paraId="19227DBB" w14:textId="77777777">
            <w:pPr>
              <w:rPr>
                <w:b/>
                <w:color w:val="000000" w:themeColor="text1"/>
              </w:rPr>
            </w:pPr>
            <w:r w:rsidRPr="001052BE">
              <w:rPr>
                <w:b/>
                <w:color w:val="000000" w:themeColor="text1"/>
              </w:rPr>
              <w:t>Typical</w:t>
            </w:r>
          </w:p>
        </w:tc>
        <w:tc>
          <w:tcPr>
            <w:tcW w:w="1260" w:type="dxa"/>
            <w:shd w:val="clear" w:color="auto" w:fill="D9D9D9" w:themeFill="background1" w:themeFillShade="D9"/>
            <w:vAlign w:val="center"/>
          </w:tcPr>
          <w:p w:rsidRPr="001052BE" w:rsidR="00647F13" w:rsidP="000D4DBB" w:rsidRDefault="00647F13" w14:paraId="5B3E3849" w14:textId="77777777">
            <w:pPr>
              <w:jc w:val="center"/>
              <w:rPr>
                <w:b/>
              </w:rPr>
            </w:pPr>
            <w:r w:rsidRPr="001052BE">
              <w:rPr>
                <w:b/>
              </w:rPr>
              <w:t>$50</w:t>
            </w:r>
          </w:p>
        </w:tc>
        <w:tc>
          <w:tcPr>
            <w:tcW w:w="1350" w:type="dxa"/>
            <w:shd w:val="clear" w:color="auto" w:fill="D9D9D9" w:themeFill="background1" w:themeFillShade="D9"/>
            <w:vAlign w:val="center"/>
          </w:tcPr>
          <w:p w:rsidRPr="001052BE" w:rsidR="00647F13" w:rsidP="000D4DBB" w:rsidRDefault="00647F13" w14:paraId="7D02420D" w14:textId="77777777">
            <w:pPr>
              <w:jc w:val="center"/>
              <w:rPr>
                <w:b/>
              </w:rPr>
            </w:pPr>
            <w:r w:rsidRPr="001052BE">
              <w:rPr>
                <w:b/>
              </w:rPr>
              <w:t>$50</w:t>
            </w:r>
          </w:p>
        </w:tc>
        <w:tc>
          <w:tcPr>
            <w:tcW w:w="990" w:type="dxa"/>
            <w:shd w:val="clear" w:color="auto" w:fill="D9D9D9" w:themeFill="background1" w:themeFillShade="D9"/>
            <w:vAlign w:val="center"/>
          </w:tcPr>
          <w:p w:rsidRPr="001052BE" w:rsidR="00647F13" w:rsidP="000D4DBB" w:rsidRDefault="00647F13" w14:paraId="5AACDE63" w14:textId="77777777">
            <w:pPr>
              <w:jc w:val="center"/>
              <w:rPr>
                <w:b/>
                <w:color w:val="000000" w:themeColor="text1"/>
              </w:rPr>
            </w:pPr>
            <w:r w:rsidRPr="001052BE">
              <w:rPr>
                <w:b/>
              </w:rPr>
              <w:t>$</w:t>
            </w:r>
            <w:r w:rsidRPr="001052BE">
              <w:rPr>
                <w:b/>
                <w:color w:val="000000" w:themeColor="text1"/>
              </w:rPr>
              <w:t>90</w:t>
            </w:r>
          </w:p>
        </w:tc>
        <w:tc>
          <w:tcPr>
            <w:tcW w:w="1082" w:type="dxa"/>
            <w:shd w:val="clear" w:color="auto" w:fill="D9D9D9" w:themeFill="background1" w:themeFillShade="D9"/>
          </w:tcPr>
          <w:p w:rsidRPr="001052BE" w:rsidR="00647F13" w:rsidP="000D4DBB" w:rsidRDefault="00647F13" w14:paraId="34DC6AEF" w14:textId="77777777">
            <w:pPr>
              <w:jc w:val="center"/>
              <w:rPr>
                <w:b/>
              </w:rPr>
            </w:pPr>
            <w:r w:rsidRPr="001052BE">
              <w:rPr>
                <w:b/>
              </w:rPr>
              <w:t>$110</w:t>
            </w:r>
          </w:p>
        </w:tc>
        <w:tc>
          <w:tcPr>
            <w:tcW w:w="1192" w:type="dxa"/>
            <w:shd w:val="clear" w:color="auto" w:fill="D9D9D9" w:themeFill="background1" w:themeFillShade="D9"/>
          </w:tcPr>
          <w:p w:rsidRPr="001052BE" w:rsidR="00647F13" w:rsidP="000D4DBB" w:rsidRDefault="00647F13" w14:paraId="06FF2D0B" w14:textId="77777777">
            <w:pPr>
              <w:jc w:val="center"/>
              <w:rPr>
                <w:b/>
              </w:rPr>
            </w:pPr>
            <w:r w:rsidRPr="001052BE">
              <w:rPr>
                <w:b/>
              </w:rPr>
              <w:t>$130</w:t>
            </w:r>
          </w:p>
        </w:tc>
        <w:tc>
          <w:tcPr>
            <w:tcW w:w="1192" w:type="dxa"/>
            <w:shd w:val="clear" w:color="auto" w:fill="D9D9D9" w:themeFill="background1" w:themeFillShade="D9"/>
          </w:tcPr>
          <w:p w:rsidRPr="001052BE" w:rsidR="00647F13" w:rsidP="000D4DBB" w:rsidRDefault="00647F13" w14:paraId="066FA6C9" w14:textId="77777777">
            <w:pPr>
              <w:jc w:val="center"/>
              <w:rPr>
                <w:b/>
              </w:rPr>
            </w:pPr>
            <w:r w:rsidRPr="001052BE">
              <w:rPr>
                <w:b/>
              </w:rPr>
              <w:t>$150</w:t>
            </w:r>
          </w:p>
        </w:tc>
        <w:tc>
          <w:tcPr>
            <w:tcW w:w="1197" w:type="dxa"/>
            <w:shd w:val="clear" w:color="auto" w:fill="D9D9D9" w:themeFill="background1" w:themeFillShade="D9"/>
          </w:tcPr>
          <w:p w:rsidRPr="001052BE" w:rsidR="00647F13" w:rsidP="000D4DBB" w:rsidRDefault="00647F13" w14:paraId="045E31CF" w14:textId="77777777">
            <w:pPr>
              <w:jc w:val="center"/>
              <w:rPr>
                <w:b/>
              </w:rPr>
            </w:pPr>
            <w:r w:rsidRPr="001052BE">
              <w:rPr>
                <w:b/>
              </w:rPr>
              <w:t>$200</w:t>
            </w:r>
          </w:p>
        </w:tc>
      </w:tr>
      <w:tr w:rsidRPr="001052BE" w:rsidR="00647F13" w:rsidTr="000D4DBB" w14:paraId="42C245B2" w14:textId="77777777">
        <w:trPr>
          <w:trHeight w:val="254"/>
        </w:trPr>
        <w:tc>
          <w:tcPr>
            <w:tcW w:w="1255" w:type="dxa"/>
          </w:tcPr>
          <w:p w:rsidRPr="001052BE" w:rsidR="00647F13" w:rsidP="000D4DBB" w:rsidRDefault="00647F13" w14:paraId="7D046054" w14:textId="77777777">
            <w:pPr>
              <w:jc w:val="center"/>
              <w:rPr>
                <w:b/>
              </w:rPr>
            </w:pPr>
          </w:p>
        </w:tc>
        <w:tc>
          <w:tcPr>
            <w:tcW w:w="8263" w:type="dxa"/>
            <w:gridSpan w:val="7"/>
            <w:vAlign w:val="center"/>
          </w:tcPr>
          <w:p w:rsidRPr="001052BE" w:rsidR="00647F13" w:rsidP="000D4DBB" w:rsidRDefault="00647F13" w14:paraId="2BF074EC" w14:textId="77777777">
            <w:pPr>
              <w:jc w:val="center"/>
              <w:rPr>
                <w:b/>
              </w:rPr>
            </w:pPr>
            <w:r w:rsidRPr="001052BE">
              <w:rPr>
                <w:b/>
              </w:rPr>
              <w:t>Incentive Enhancements</w:t>
            </w:r>
          </w:p>
        </w:tc>
      </w:tr>
      <w:tr w:rsidRPr="001052BE" w:rsidR="00647F13" w:rsidTr="000D4DBB" w14:paraId="16A16244" w14:textId="77777777">
        <w:trPr>
          <w:trHeight w:val="778"/>
        </w:trPr>
        <w:tc>
          <w:tcPr>
            <w:tcW w:w="1255" w:type="dxa"/>
            <w:vAlign w:val="center"/>
          </w:tcPr>
          <w:p w:rsidRPr="001052BE" w:rsidR="00647F13" w:rsidP="000D4DBB" w:rsidRDefault="00647F13" w14:paraId="31F88DD7" w14:textId="77777777">
            <w:r w:rsidRPr="001052BE">
              <w:t>Token In-Kind</w:t>
            </w:r>
          </w:p>
        </w:tc>
        <w:tc>
          <w:tcPr>
            <w:tcW w:w="8263" w:type="dxa"/>
            <w:gridSpan w:val="7"/>
          </w:tcPr>
          <w:p w:rsidRPr="001052BE" w:rsidR="00647F13" w:rsidP="000D4DBB" w:rsidRDefault="00647F13" w14:paraId="27663238" w14:textId="77777777">
            <w:r w:rsidRPr="001052BE">
              <w:t>Up to $10 per respondent for up to 3,000 respondents may be spent on in-kind token items. The distribution of these respondents across the almost 9,000 respondents in the above four groups is not known ex ante.</w:t>
            </w:r>
          </w:p>
        </w:tc>
      </w:tr>
    </w:tbl>
    <w:p w:rsidR="00647F13" w:rsidP="00647F13" w:rsidRDefault="00647F13" w14:paraId="48438EF6" w14:textId="77777777">
      <w:pPr>
        <w:rPr>
          <w:rFonts w:ascii="Times New Roman" w:hAnsi="Times New Roman"/>
        </w:rPr>
      </w:pPr>
    </w:p>
    <w:p w:rsidR="00647F13" w:rsidP="00647F13" w:rsidRDefault="00647F13" w14:paraId="62D05F69" w14:textId="77777777">
      <w:pPr>
        <w:rPr>
          <w:rFonts w:ascii="Times New Roman" w:hAnsi="Times New Roman"/>
        </w:rPr>
      </w:pPr>
    </w:p>
    <w:p w:rsidRPr="0099416F" w:rsidR="00647F13" w:rsidP="00647F13" w:rsidRDefault="00647F13" w14:paraId="6EE93C7F" w14:textId="77777777">
      <w:pPr>
        <w:rPr>
          <w:rFonts w:ascii="Times New Roman" w:hAnsi="Times New Roman" w:cs="Times New Roman"/>
        </w:rPr>
      </w:pPr>
    </w:p>
    <w:p w:rsidR="00A022BA" w:rsidP="004122F3" w:rsidRDefault="00A022BA" w14:paraId="2AB80B5E" w14:textId="77777777">
      <w:pPr>
        <w:rPr>
          <w:rFonts w:ascii="Times New Roman" w:hAnsi="Times New Roman" w:cs="Times New Roman"/>
          <w:sz w:val="24"/>
          <w:szCs w:val="24"/>
        </w:rPr>
      </w:pPr>
    </w:p>
    <w:p w:rsidRPr="004122F3" w:rsidR="00567079" w:rsidP="004122F3" w:rsidRDefault="00567079" w14:paraId="434BE938" w14:textId="1CBFA7F3">
      <w:pPr>
        <w:rPr>
          <w:rFonts w:ascii="Times New Roman" w:hAnsi="Times New Roman" w:cs="Times New Roman"/>
          <w:sz w:val="24"/>
          <w:szCs w:val="24"/>
        </w:rPr>
      </w:pPr>
    </w:p>
    <w:sectPr w:rsidRPr="004122F3" w:rsidR="005670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C5C2" w14:textId="77777777" w:rsidR="00A52A6D" w:rsidRDefault="00A52A6D" w:rsidP="00A52A6D">
      <w:pPr>
        <w:spacing w:after="0" w:line="240" w:lineRule="auto"/>
      </w:pPr>
      <w:r>
        <w:separator/>
      </w:r>
    </w:p>
  </w:endnote>
  <w:endnote w:type="continuationSeparator" w:id="0">
    <w:p w14:paraId="25814C0C" w14:textId="77777777" w:rsidR="00A52A6D" w:rsidRDefault="00A52A6D" w:rsidP="00A5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635726"/>
      <w:docPartObj>
        <w:docPartGallery w:val="Page Numbers (Bottom of Page)"/>
        <w:docPartUnique/>
      </w:docPartObj>
    </w:sdtPr>
    <w:sdtEndPr>
      <w:rPr>
        <w:noProof/>
      </w:rPr>
    </w:sdtEndPr>
    <w:sdtContent>
      <w:p w14:paraId="71665657" w14:textId="12D7160D" w:rsidR="00193F09" w:rsidRDefault="00193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7BDD2" w14:textId="77777777" w:rsidR="00193F09" w:rsidRDefault="0019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30A3" w14:textId="77777777" w:rsidR="00A52A6D" w:rsidRDefault="00A52A6D" w:rsidP="00A52A6D">
      <w:pPr>
        <w:spacing w:after="0" w:line="240" w:lineRule="auto"/>
      </w:pPr>
      <w:r>
        <w:separator/>
      </w:r>
    </w:p>
  </w:footnote>
  <w:footnote w:type="continuationSeparator" w:id="0">
    <w:p w14:paraId="7D6F8540" w14:textId="77777777" w:rsidR="00A52A6D" w:rsidRDefault="00A52A6D" w:rsidP="00A52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64E0"/>
    <w:multiLevelType w:val="hybridMultilevel"/>
    <w:tmpl w:val="A01A9B78"/>
    <w:lvl w:ilvl="0" w:tplc="B978D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4E9B"/>
    <w:multiLevelType w:val="hybridMultilevel"/>
    <w:tmpl w:val="FFE2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3E"/>
    <w:rsid w:val="000901C3"/>
    <w:rsid w:val="00097E01"/>
    <w:rsid w:val="000E5BD8"/>
    <w:rsid w:val="00170D45"/>
    <w:rsid w:val="00175251"/>
    <w:rsid w:val="00193F09"/>
    <w:rsid w:val="00214F8C"/>
    <w:rsid w:val="00242B3E"/>
    <w:rsid w:val="0029153E"/>
    <w:rsid w:val="00293B4A"/>
    <w:rsid w:val="002B35D4"/>
    <w:rsid w:val="002C102F"/>
    <w:rsid w:val="002D0582"/>
    <w:rsid w:val="0031277E"/>
    <w:rsid w:val="00334292"/>
    <w:rsid w:val="003F1107"/>
    <w:rsid w:val="00411732"/>
    <w:rsid w:val="004122F3"/>
    <w:rsid w:val="00446603"/>
    <w:rsid w:val="00477B3E"/>
    <w:rsid w:val="004B7BA9"/>
    <w:rsid w:val="00510763"/>
    <w:rsid w:val="00567079"/>
    <w:rsid w:val="00571D57"/>
    <w:rsid w:val="005A76F9"/>
    <w:rsid w:val="005B0FBE"/>
    <w:rsid w:val="005C0F07"/>
    <w:rsid w:val="00610262"/>
    <w:rsid w:val="00612D08"/>
    <w:rsid w:val="00614DCF"/>
    <w:rsid w:val="00647F13"/>
    <w:rsid w:val="006D73C0"/>
    <w:rsid w:val="00732416"/>
    <w:rsid w:val="007374D1"/>
    <w:rsid w:val="007E7ACE"/>
    <w:rsid w:val="00A022BA"/>
    <w:rsid w:val="00A33761"/>
    <w:rsid w:val="00A52A6D"/>
    <w:rsid w:val="00AB18B7"/>
    <w:rsid w:val="00AE70BE"/>
    <w:rsid w:val="00B154EC"/>
    <w:rsid w:val="00B3457D"/>
    <w:rsid w:val="00B51E29"/>
    <w:rsid w:val="00BC2EDD"/>
    <w:rsid w:val="00C31122"/>
    <w:rsid w:val="00C90825"/>
    <w:rsid w:val="00D53D59"/>
    <w:rsid w:val="00D8435C"/>
    <w:rsid w:val="00DA7DA2"/>
    <w:rsid w:val="00DD53FA"/>
    <w:rsid w:val="00E07496"/>
    <w:rsid w:val="00E534E9"/>
    <w:rsid w:val="00F21134"/>
    <w:rsid w:val="00F81035"/>
    <w:rsid w:val="00FA25E5"/>
    <w:rsid w:val="00FF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1F97"/>
  <w15:chartTrackingRefBased/>
  <w15:docId w15:val="{31F75214-6E96-418B-808E-590EEA2E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C"/>
    <w:pPr>
      <w:ind w:left="720"/>
      <w:contextualSpacing/>
    </w:pPr>
  </w:style>
  <w:style w:type="paragraph" w:customStyle="1" w:styleId="xxmsonormal">
    <w:name w:val="x_xmsonormal"/>
    <w:basedOn w:val="Normal"/>
    <w:uiPriority w:val="99"/>
    <w:rsid w:val="00B154EC"/>
    <w:pPr>
      <w:spacing w:after="0" w:line="240" w:lineRule="auto"/>
    </w:pPr>
    <w:rPr>
      <w:rFonts w:ascii="Calibri" w:hAnsi="Calibri" w:cs="Calibri"/>
    </w:rPr>
  </w:style>
  <w:style w:type="character" w:customStyle="1" w:styleId="qname1">
    <w:name w:val="qname1"/>
    <w:basedOn w:val="DefaultParagraphFont"/>
    <w:rsid w:val="00B154EC"/>
    <w:rPr>
      <w:rFonts w:ascii="Helvetica" w:hAnsi="Helvetica" w:cs="Helvetica" w:hint="default"/>
      <w:b/>
      <w:bCs/>
      <w:color w:val="0000FF"/>
      <w:sz w:val="27"/>
      <w:szCs w:val="27"/>
      <w:u w:val="single"/>
    </w:rPr>
  </w:style>
  <w:style w:type="paragraph" w:styleId="NormalWeb">
    <w:name w:val="Normal (Web)"/>
    <w:basedOn w:val="Normal"/>
    <w:uiPriority w:val="99"/>
    <w:semiHidden/>
    <w:unhideWhenUsed/>
    <w:rsid w:val="00B15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54EC"/>
    <w:rPr>
      <w:color w:val="0000FF"/>
      <w:u w:val="single"/>
    </w:rPr>
  </w:style>
  <w:style w:type="character" w:styleId="CommentReference">
    <w:name w:val="annotation reference"/>
    <w:basedOn w:val="DefaultParagraphFont"/>
    <w:uiPriority w:val="99"/>
    <w:semiHidden/>
    <w:unhideWhenUsed/>
    <w:rsid w:val="00DD53FA"/>
    <w:rPr>
      <w:sz w:val="16"/>
      <w:szCs w:val="16"/>
    </w:rPr>
  </w:style>
  <w:style w:type="paragraph" w:styleId="CommentText">
    <w:name w:val="annotation text"/>
    <w:basedOn w:val="Normal"/>
    <w:link w:val="CommentTextChar"/>
    <w:uiPriority w:val="99"/>
    <w:semiHidden/>
    <w:unhideWhenUsed/>
    <w:rsid w:val="00DD53FA"/>
    <w:pPr>
      <w:spacing w:line="240" w:lineRule="auto"/>
    </w:pPr>
    <w:rPr>
      <w:sz w:val="20"/>
      <w:szCs w:val="20"/>
    </w:rPr>
  </w:style>
  <w:style w:type="character" w:customStyle="1" w:styleId="CommentTextChar">
    <w:name w:val="Comment Text Char"/>
    <w:basedOn w:val="DefaultParagraphFont"/>
    <w:link w:val="CommentText"/>
    <w:uiPriority w:val="99"/>
    <w:semiHidden/>
    <w:rsid w:val="00DD53FA"/>
    <w:rPr>
      <w:sz w:val="20"/>
      <w:szCs w:val="20"/>
    </w:rPr>
  </w:style>
  <w:style w:type="paragraph" w:styleId="CommentSubject">
    <w:name w:val="annotation subject"/>
    <w:basedOn w:val="CommentText"/>
    <w:next w:val="CommentText"/>
    <w:link w:val="CommentSubjectChar"/>
    <w:uiPriority w:val="99"/>
    <w:semiHidden/>
    <w:unhideWhenUsed/>
    <w:rsid w:val="00DD53FA"/>
    <w:rPr>
      <w:b/>
      <w:bCs/>
    </w:rPr>
  </w:style>
  <w:style w:type="character" w:customStyle="1" w:styleId="CommentSubjectChar">
    <w:name w:val="Comment Subject Char"/>
    <w:basedOn w:val="CommentTextChar"/>
    <w:link w:val="CommentSubject"/>
    <w:uiPriority w:val="99"/>
    <w:semiHidden/>
    <w:rsid w:val="00DD53FA"/>
    <w:rPr>
      <w:b/>
      <w:bCs/>
      <w:sz w:val="20"/>
      <w:szCs w:val="20"/>
    </w:rPr>
  </w:style>
  <w:style w:type="paragraph" w:styleId="BalloonText">
    <w:name w:val="Balloon Text"/>
    <w:basedOn w:val="Normal"/>
    <w:link w:val="BalloonTextChar"/>
    <w:uiPriority w:val="99"/>
    <w:semiHidden/>
    <w:unhideWhenUsed/>
    <w:rsid w:val="00DD5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FA"/>
    <w:rPr>
      <w:rFonts w:ascii="Segoe UI" w:hAnsi="Segoe UI" w:cs="Segoe UI"/>
      <w:sz w:val="18"/>
      <w:szCs w:val="18"/>
    </w:rPr>
  </w:style>
  <w:style w:type="paragraph" w:styleId="Header">
    <w:name w:val="header"/>
    <w:basedOn w:val="Normal"/>
    <w:link w:val="HeaderChar"/>
    <w:uiPriority w:val="99"/>
    <w:unhideWhenUsed/>
    <w:rsid w:val="00A52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6D"/>
  </w:style>
  <w:style w:type="paragraph" w:styleId="Footer">
    <w:name w:val="footer"/>
    <w:basedOn w:val="Normal"/>
    <w:link w:val="FooterChar"/>
    <w:uiPriority w:val="99"/>
    <w:unhideWhenUsed/>
    <w:rsid w:val="00A52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6D"/>
  </w:style>
  <w:style w:type="paragraph" w:styleId="Revision">
    <w:name w:val="Revision"/>
    <w:hidden/>
    <w:uiPriority w:val="99"/>
    <w:semiHidden/>
    <w:rsid w:val="00C31122"/>
    <w:pPr>
      <w:spacing w:after="0" w:line="240" w:lineRule="auto"/>
    </w:pPr>
  </w:style>
  <w:style w:type="table" w:styleId="TableGrid">
    <w:name w:val="Table Grid"/>
    <w:basedOn w:val="TableNormal"/>
    <w:uiPriority w:val="59"/>
    <w:rsid w:val="00647F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47F1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9376">
      <w:bodyDiv w:val="1"/>
      <w:marLeft w:val="0"/>
      <w:marRight w:val="0"/>
      <w:marTop w:val="0"/>
      <w:marBottom w:val="0"/>
      <w:divBdr>
        <w:top w:val="none" w:sz="0" w:space="0" w:color="auto"/>
        <w:left w:val="none" w:sz="0" w:space="0" w:color="auto"/>
        <w:bottom w:val="none" w:sz="0" w:space="0" w:color="auto"/>
        <w:right w:val="none" w:sz="0" w:space="0" w:color="auto"/>
      </w:divBdr>
    </w:div>
    <w:div w:id="1769156721">
      <w:bodyDiv w:val="1"/>
      <w:marLeft w:val="0"/>
      <w:marRight w:val="0"/>
      <w:marTop w:val="0"/>
      <w:marBottom w:val="0"/>
      <w:divBdr>
        <w:top w:val="none" w:sz="0" w:space="0" w:color="auto"/>
        <w:left w:val="none" w:sz="0" w:space="0" w:color="auto"/>
        <w:bottom w:val="none" w:sz="0" w:space="0" w:color="auto"/>
        <w:right w:val="none" w:sz="0" w:space="0" w:color="auto"/>
      </w:divBdr>
    </w:div>
    <w:div w:id="1953511058">
      <w:bodyDiv w:val="1"/>
      <w:marLeft w:val="0"/>
      <w:marRight w:val="0"/>
      <w:marTop w:val="0"/>
      <w:marBottom w:val="0"/>
      <w:divBdr>
        <w:top w:val="none" w:sz="0" w:space="0" w:color="auto"/>
        <w:left w:val="none" w:sz="0" w:space="0" w:color="auto"/>
        <w:bottom w:val="none" w:sz="0" w:space="0" w:color="auto"/>
        <w:right w:val="none" w:sz="0" w:space="0" w:color="auto"/>
      </w:divBdr>
      <w:divsChild>
        <w:div w:id="1454517094">
          <w:marLeft w:val="0"/>
          <w:marRight w:val="0"/>
          <w:marTop w:val="0"/>
          <w:marBottom w:val="0"/>
          <w:divBdr>
            <w:top w:val="none" w:sz="0" w:space="0" w:color="auto"/>
            <w:left w:val="none" w:sz="0" w:space="0" w:color="auto"/>
            <w:bottom w:val="none" w:sz="0" w:space="0" w:color="auto"/>
            <w:right w:val="none" w:sz="0" w:space="0" w:color="auto"/>
          </w:divBdr>
          <w:divsChild>
            <w:div w:id="1892695233">
              <w:marLeft w:val="0"/>
              <w:marRight w:val="0"/>
              <w:marTop w:val="0"/>
              <w:marBottom w:val="0"/>
              <w:divBdr>
                <w:top w:val="none" w:sz="0" w:space="0" w:color="auto"/>
                <w:left w:val="none" w:sz="0" w:space="0" w:color="auto"/>
                <w:bottom w:val="none" w:sz="0" w:space="0" w:color="auto"/>
                <w:right w:val="none" w:sz="0" w:space="0" w:color="auto"/>
              </w:divBdr>
              <w:divsChild>
                <w:div w:id="164904230">
                  <w:marLeft w:val="0"/>
                  <w:marRight w:val="0"/>
                  <w:marTop w:val="0"/>
                  <w:marBottom w:val="0"/>
                  <w:divBdr>
                    <w:top w:val="none" w:sz="0" w:space="0" w:color="auto"/>
                    <w:left w:val="none" w:sz="0" w:space="0" w:color="auto"/>
                    <w:bottom w:val="none" w:sz="0" w:space="0" w:color="auto"/>
                    <w:right w:val="none" w:sz="0" w:space="0" w:color="auto"/>
                  </w:divBdr>
                  <w:divsChild>
                    <w:div w:id="1040397419">
                      <w:marLeft w:val="0"/>
                      <w:marRight w:val="0"/>
                      <w:marTop w:val="0"/>
                      <w:marBottom w:val="0"/>
                      <w:divBdr>
                        <w:top w:val="none" w:sz="0" w:space="0" w:color="auto"/>
                        <w:left w:val="none" w:sz="0" w:space="0" w:color="auto"/>
                        <w:bottom w:val="none" w:sz="0" w:space="0" w:color="auto"/>
                        <w:right w:val="none" w:sz="0" w:space="0" w:color="auto"/>
                      </w:divBdr>
                      <w:divsChild>
                        <w:div w:id="1473594454">
                          <w:marLeft w:val="0"/>
                          <w:marRight w:val="0"/>
                          <w:marTop w:val="0"/>
                          <w:marBottom w:val="0"/>
                          <w:divBdr>
                            <w:top w:val="none" w:sz="0" w:space="0" w:color="auto"/>
                            <w:left w:val="none" w:sz="0" w:space="0" w:color="auto"/>
                            <w:bottom w:val="none" w:sz="0" w:space="0" w:color="auto"/>
                            <w:right w:val="none" w:sz="0" w:space="0" w:color="auto"/>
                          </w:divBdr>
                          <w:divsChild>
                            <w:div w:id="1293974128">
                              <w:marLeft w:val="0"/>
                              <w:marRight w:val="0"/>
                              <w:marTop w:val="0"/>
                              <w:marBottom w:val="0"/>
                              <w:divBdr>
                                <w:top w:val="none" w:sz="0" w:space="0" w:color="auto"/>
                                <w:left w:val="none" w:sz="0" w:space="0" w:color="auto"/>
                                <w:bottom w:val="none" w:sz="0" w:space="0" w:color="auto"/>
                                <w:right w:val="none" w:sz="0" w:space="0" w:color="auto"/>
                              </w:divBdr>
                              <w:divsChild>
                                <w:div w:id="1928078080">
                                  <w:marLeft w:val="0"/>
                                  <w:marRight w:val="0"/>
                                  <w:marTop w:val="0"/>
                                  <w:marBottom w:val="0"/>
                                  <w:divBdr>
                                    <w:top w:val="none" w:sz="0" w:space="0" w:color="auto"/>
                                    <w:left w:val="none" w:sz="0" w:space="0" w:color="auto"/>
                                    <w:bottom w:val="none" w:sz="0" w:space="0" w:color="auto"/>
                                    <w:right w:val="none" w:sz="0" w:space="0" w:color="auto"/>
                                  </w:divBdr>
                                  <w:divsChild>
                                    <w:div w:id="1004475643">
                                      <w:marLeft w:val="0"/>
                                      <w:marRight w:val="0"/>
                                      <w:marTop w:val="0"/>
                                      <w:marBottom w:val="0"/>
                                      <w:divBdr>
                                        <w:top w:val="none" w:sz="0" w:space="0" w:color="auto"/>
                                        <w:left w:val="none" w:sz="0" w:space="0" w:color="auto"/>
                                        <w:bottom w:val="none" w:sz="0" w:space="0" w:color="auto"/>
                                        <w:right w:val="none" w:sz="0" w:space="0" w:color="auto"/>
                                      </w:divBdr>
                                      <w:divsChild>
                                        <w:div w:id="1437752628">
                                          <w:marLeft w:val="0"/>
                                          <w:marRight w:val="0"/>
                                          <w:marTop w:val="0"/>
                                          <w:marBottom w:val="0"/>
                                          <w:divBdr>
                                            <w:top w:val="none" w:sz="0" w:space="0" w:color="auto"/>
                                            <w:left w:val="none" w:sz="0" w:space="0" w:color="auto"/>
                                            <w:bottom w:val="none" w:sz="0" w:space="0" w:color="auto"/>
                                            <w:right w:val="none" w:sz="0" w:space="0" w:color="auto"/>
                                          </w:divBdr>
                                          <w:divsChild>
                                            <w:div w:id="566644714">
                                              <w:marLeft w:val="0"/>
                                              <w:marRight w:val="0"/>
                                              <w:marTop w:val="0"/>
                                              <w:marBottom w:val="0"/>
                                              <w:divBdr>
                                                <w:top w:val="none" w:sz="0" w:space="0" w:color="auto"/>
                                                <w:left w:val="none" w:sz="0" w:space="0" w:color="auto"/>
                                                <w:bottom w:val="none" w:sz="0" w:space="0" w:color="auto"/>
                                                <w:right w:val="none" w:sz="0" w:space="0" w:color="auto"/>
                                              </w:divBdr>
                                              <w:divsChild>
                                                <w:div w:id="279846351">
                                                  <w:marLeft w:val="0"/>
                                                  <w:marRight w:val="0"/>
                                                  <w:marTop w:val="0"/>
                                                  <w:marBottom w:val="0"/>
                                                  <w:divBdr>
                                                    <w:top w:val="none" w:sz="0" w:space="0" w:color="auto"/>
                                                    <w:left w:val="none" w:sz="0" w:space="0" w:color="auto"/>
                                                    <w:bottom w:val="none" w:sz="0" w:space="0" w:color="auto"/>
                                                    <w:right w:val="none" w:sz="0" w:space="0" w:color="auto"/>
                                                  </w:divBdr>
                                                  <w:divsChild>
                                                    <w:div w:id="575480504">
                                                      <w:marLeft w:val="0"/>
                                                      <w:marRight w:val="0"/>
                                                      <w:marTop w:val="0"/>
                                                      <w:marBottom w:val="0"/>
                                                      <w:divBdr>
                                                        <w:top w:val="none" w:sz="0" w:space="0" w:color="auto"/>
                                                        <w:left w:val="none" w:sz="0" w:space="0" w:color="auto"/>
                                                        <w:bottom w:val="none" w:sz="0" w:space="0" w:color="auto"/>
                                                        <w:right w:val="none" w:sz="0" w:space="0" w:color="auto"/>
                                                      </w:divBdr>
                                                      <w:divsChild>
                                                        <w:div w:id="328214848">
                                                          <w:marLeft w:val="0"/>
                                                          <w:marRight w:val="0"/>
                                                          <w:marTop w:val="0"/>
                                                          <w:marBottom w:val="0"/>
                                                          <w:divBdr>
                                                            <w:top w:val="none" w:sz="0" w:space="0" w:color="auto"/>
                                                            <w:left w:val="none" w:sz="0" w:space="0" w:color="auto"/>
                                                            <w:bottom w:val="none" w:sz="0" w:space="0" w:color="auto"/>
                                                            <w:right w:val="none" w:sz="0" w:space="0" w:color="auto"/>
                                                          </w:divBdr>
                                                          <w:divsChild>
                                                            <w:div w:id="8466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F95D-D5C3-4721-8336-9F75C3AB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Rowan, Carol - BLS</cp:lastModifiedBy>
  <cp:revision>3</cp:revision>
  <dcterms:created xsi:type="dcterms:W3CDTF">2022-02-17T18:43:00Z</dcterms:created>
  <dcterms:modified xsi:type="dcterms:W3CDTF">2022-02-17T18:44:00Z</dcterms:modified>
</cp:coreProperties>
</file>