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7471" w:rsidR="000C2719" w:rsidP="000C2719" w:rsidRDefault="00874FF1" w14:paraId="4951CBB8" w14:textId="77777777">
      <w:pPr>
        <w:widowControl w:val="0"/>
        <w:tabs>
          <w:tab w:val="center" w:pos="4320"/>
          <w:tab w:val="right" w:pos="8640"/>
        </w:tabs>
        <w:jc w:val="center"/>
        <w:rPr>
          <w:rFonts w:eastAsia="Calibri"/>
          <w:color w:val="000000"/>
        </w:rPr>
      </w:pPr>
      <w:r>
        <w:rPr>
          <w:rFonts w:eastAsia="Calibri"/>
          <w:noProof/>
        </w:rPr>
        <w:object w:dxaOrig="1440" w:dyaOrig="1440" w14:anchorId="0D8772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8.5pt;margin-top:57.75pt;width:63.75pt;height:54pt;z-index:-251658752;visibility:visible;mso-position-horizontal-relative:page;mso-position-vertical-relative:page" o:allowincell="f" fillcolor="window" type="#_x0000_t75">
            <v:imagedata o:title="" r:id="rId10"/>
            <w10:wrap anchorx="page" anchory="page"/>
          </v:shape>
          <o:OLEObject Type="Embed" ProgID="Word.Picture.8" ShapeID="_x0000_s1026" DrawAspect="Content" ObjectID="_1700655757" r:id="rId11"/>
        </w:object>
      </w:r>
      <w:r w:rsidRPr="00344738" w:rsidR="000C2719">
        <w:rPr>
          <w:rFonts w:ascii="Arial" w:hAnsi="Arial" w:eastAsia="Calibri"/>
          <w:b/>
          <w:color w:val="008000"/>
          <w:sz w:val="20"/>
          <w:szCs w:val="20"/>
        </w:rPr>
        <w:t>DEPARTMENT OF THE TREASURY</w:t>
      </w:r>
    </w:p>
    <w:p w:rsidRPr="00157471" w:rsidR="000C2719" w:rsidP="000C2719" w:rsidRDefault="000C2719" w14:paraId="62012A2F" w14:textId="77777777">
      <w:pPr>
        <w:widowControl w:val="0"/>
        <w:tabs>
          <w:tab w:val="center" w:pos="4320"/>
          <w:tab w:val="right" w:pos="8640"/>
        </w:tabs>
        <w:rPr>
          <w:rFonts w:ascii="Arial" w:hAnsi="Arial" w:eastAsia="Calibri"/>
          <w:b/>
          <w:color w:val="008000"/>
          <w:sz w:val="20"/>
          <w:szCs w:val="20"/>
        </w:rPr>
      </w:pPr>
      <w:r>
        <w:rPr>
          <w:rFonts w:ascii="Arial" w:hAnsi="Arial" w:eastAsia="Calibri"/>
          <w:b/>
          <w:color w:val="008000"/>
          <w:sz w:val="16"/>
          <w:szCs w:val="22"/>
        </w:rPr>
        <w:t xml:space="preserve">                                                                         </w:t>
      </w:r>
      <w:r w:rsidRPr="00157471">
        <w:rPr>
          <w:rFonts w:ascii="Arial" w:hAnsi="Arial" w:eastAsia="Calibri"/>
          <w:b/>
          <w:color w:val="008000"/>
          <w:sz w:val="20"/>
          <w:szCs w:val="20"/>
        </w:rPr>
        <w:t>WASHINGTON, D.C.  20220</w:t>
      </w:r>
    </w:p>
    <w:p w:rsidRPr="00157471" w:rsidR="000C2719" w:rsidP="000C2719" w:rsidRDefault="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hAnsi="Arial" w:eastAsia="Calibri" w:cs="Arial"/>
          <w:iCs/>
        </w:rPr>
      </w:pPr>
    </w:p>
    <w:p w:rsidR="000C2719" w:rsidP="000C2719" w:rsidRDefault="000C2719" w14:paraId="0B10C677" w14:textId="77777777">
      <w:pPr>
        <w:outlineLvl w:val="0"/>
        <w:rPr>
          <w:b/>
        </w:rPr>
      </w:pPr>
    </w:p>
    <w:p w:rsidR="000C2719" w:rsidP="000C2719" w:rsidRDefault="000C2719" w14:paraId="1D9A89F7" w14:textId="77777777">
      <w:pPr>
        <w:outlineLvl w:val="0"/>
        <w:rPr>
          <w:b/>
        </w:rPr>
      </w:pPr>
    </w:p>
    <w:p w:rsidRPr="00774B80" w:rsidR="000C2719" w:rsidP="000C2719" w:rsidRDefault="000C2719" w14:paraId="4CAB8E30" w14:textId="77777777">
      <w:pPr>
        <w:ind w:left="2400"/>
        <w:outlineLvl w:val="0"/>
      </w:pPr>
      <w:r w:rsidRPr="00774B80">
        <w:rPr>
          <w:b/>
        </w:rPr>
        <w:t xml:space="preserve"> </w:t>
      </w:r>
      <w:r>
        <w:rPr>
          <w:b/>
        </w:rPr>
        <w:t xml:space="preserve"> </w:t>
      </w:r>
      <w:r w:rsidRPr="00774B80">
        <w:rPr>
          <w:b/>
        </w:rPr>
        <w:t xml:space="preserve">       </w:t>
      </w:r>
      <w:r w:rsidRPr="00774B80">
        <w:rPr>
          <w:b/>
        </w:rPr>
        <w:tab/>
      </w:r>
      <w:r w:rsidRPr="00774B80">
        <w:rPr>
          <w:b/>
        </w:rPr>
        <w:tab/>
      </w:r>
      <w:r w:rsidRPr="00774B80">
        <w:rPr>
          <w:b/>
        </w:rPr>
        <w:tab/>
        <w:t xml:space="preserve">      </w:t>
      </w:r>
    </w:p>
    <w:p w:rsidR="000C2719" w:rsidP="000C2719" w:rsidRDefault="000C2719" w14:paraId="6C7AAFE3" w14:textId="77777777">
      <w:pPr>
        <w:outlineLvl w:val="0"/>
        <w:rPr>
          <w:b/>
        </w:rPr>
      </w:pPr>
      <w:r>
        <w:rPr>
          <w:b/>
        </w:rPr>
        <w:t>TO:</w:t>
      </w:r>
      <w:r>
        <w:rPr>
          <w:b/>
        </w:rPr>
        <w:tab/>
      </w:r>
      <w:r>
        <w:rPr>
          <w:b/>
        </w:rPr>
        <w:tab/>
      </w:r>
      <w:r>
        <w:t>Alex Goodenough</w:t>
      </w:r>
      <w:r w:rsidRPr="00AD5B57">
        <w:t>, Office of Information and Regulatory Affairs</w:t>
      </w:r>
    </w:p>
    <w:p w:rsidR="000C2719" w:rsidP="000C2719" w:rsidRDefault="000C2719" w14:paraId="39BA793F" w14:textId="77777777">
      <w:pPr>
        <w:outlineLvl w:val="0"/>
        <w:rPr>
          <w:b/>
        </w:rPr>
      </w:pPr>
    </w:p>
    <w:p w:rsidR="000C2719" w:rsidP="000C2719" w:rsidRDefault="000C2719" w14:paraId="41CA4160" w14:textId="77777777">
      <w:pPr>
        <w:outlineLvl w:val="0"/>
      </w:pPr>
      <w:r w:rsidRPr="00774B80">
        <w:rPr>
          <w:b/>
        </w:rPr>
        <w:t>FROM:</w:t>
      </w:r>
      <w:r w:rsidRPr="00774B80">
        <w:rPr>
          <w:b/>
        </w:rPr>
        <w:tab/>
      </w:r>
      <w:r w:rsidRPr="00DA2029">
        <w:t>Ryan Law</w:t>
      </w:r>
      <w:r>
        <w:t>, Deputy Assistant Secretary for Privacy, Transparency, and Records</w:t>
      </w:r>
    </w:p>
    <w:p w:rsidRPr="00774B80" w:rsidR="000C2719" w:rsidP="000C2719" w:rsidRDefault="000C2719" w14:paraId="073AD167" w14:textId="77777777">
      <w:pPr>
        <w:outlineLvl w:val="0"/>
      </w:pPr>
      <w:r w:rsidRPr="00774B80">
        <w:tab/>
      </w:r>
      <w:r w:rsidRPr="00774B80">
        <w:tab/>
        <w:t xml:space="preserve">         </w:t>
      </w:r>
      <w:r w:rsidRPr="00774B80">
        <w:tab/>
      </w:r>
      <w:r w:rsidRPr="00774B80">
        <w:tab/>
      </w:r>
    </w:p>
    <w:p w:rsidRPr="00923186" w:rsidR="000C2719" w:rsidP="00A562FE" w:rsidRDefault="000C2719" w14:paraId="27C6AEB2" w14:textId="58B56962">
      <w:pPr>
        <w:pStyle w:val="Default"/>
      </w:pPr>
      <w:r w:rsidRPr="00774B80">
        <w:rPr>
          <w:b/>
        </w:rPr>
        <w:t>SUBJECT:</w:t>
      </w:r>
      <w:r>
        <w:rPr>
          <w:b/>
        </w:rPr>
        <w:t xml:space="preserve">  </w:t>
      </w:r>
      <w:r w:rsidRPr="003718B0">
        <w:t xml:space="preserve">Justification for Emergency Processing: </w:t>
      </w:r>
      <w:r>
        <w:t xml:space="preserve"> </w:t>
      </w:r>
      <w:r w:rsidR="00C3534A">
        <w:t>State and Local Fiscal Recovery Funds (SLFRF) NEU</w:t>
      </w:r>
      <w:r w:rsidR="007D1D4B">
        <w:t xml:space="preserve">s </w:t>
      </w:r>
      <w:r w:rsidR="00790C79">
        <w:t>and non-UGLGs Agreements and Supporting Documentation</w:t>
      </w:r>
      <w:r w:rsidR="00C3534A">
        <w:t xml:space="preserve"> </w:t>
      </w:r>
    </w:p>
    <w:p w:rsidR="000C2719" w:rsidP="000C2719" w:rsidRDefault="000C2719" w14:paraId="0C28ADD2" w14:textId="77777777">
      <w:pPr>
        <w:pStyle w:val="Default"/>
      </w:pPr>
    </w:p>
    <w:p w:rsidRPr="00237B2B" w:rsidR="000C2719" w:rsidP="000C2719" w:rsidRDefault="000C2719" w14:paraId="0FA10BE3" w14:textId="25411987">
      <w:pPr>
        <w:autoSpaceDE w:val="0"/>
        <w:autoSpaceDN w:val="0"/>
        <w:rPr>
          <w:sz w:val="22"/>
          <w:szCs w:val="22"/>
        </w:rPr>
      </w:pPr>
      <w:r w:rsidRPr="00237B2B">
        <w:t xml:space="preserve">Pursuant to the Office of Management and Budget (OMB) procedures established at 5 C.F.R. § 1320.13, the Department of the Treasury (Treasury) requests emergency processing for </w:t>
      </w:r>
      <w:r w:rsidR="003342F5">
        <w:t xml:space="preserve">the </w:t>
      </w:r>
      <w:r w:rsidR="001A6C4A">
        <w:t xml:space="preserve">State and Local Fiscal Recovery Funds (SLFRF) </w:t>
      </w:r>
      <w:r w:rsidRPr="00237B2B">
        <w:t>program</w:t>
      </w:r>
      <w:r w:rsidR="003342F5">
        <w:t>’s</w:t>
      </w:r>
      <w:r w:rsidRPr="00237B2B">
        <w:t xml:space="preserve"> </w:t>
      </w:r>
      <w:r w:rsidR="001A6C4A">
        <w:t xml:space="preserve">Non-entitlement units of local government (NEUs) </w:t>
      </w:r>
      <w:r w:rsidR="007D1D4B">
        <w:t>Use</w:t>
      </w:r>
      <w:r w:rsidR="00874FF1">
        <w:t>r</w:t>
      </w:r>
      <w:r w:rsidR="007D1D4B">
        <w:t xml:space="preserve"> Guide</w:t>
      </w:r>
      <w:r w:rsidR="008F5477">
        <w:t>, revisi</w:t>
      </w:r>
      <w:r w:rsidR="00D65338">
        <w:t>ng</w:t>
      </w:r>
      <w:r w:rsidR="008F5477">
        <w:t xml:space="preserve"> OMB Control Number </w:t>
      </w:r>
      <w:r w:rsidR="001C7766">
        <w:t>1505-0271</w:t>
      </w:r>
      <w:r w:rsidR="008F5477">
        <w:t xml:space="preserve">. </w:t>
      </w:r>
    </w:p>
    <w:p w:rsidRPr="00237B2B" w:rsidR="000C2719" w:rsidP="000C2719" w:rsidRDefault="000C2719" w14:paraId="3051B897" w14:textId="77777777">
      <w:pPr>
        <w:pStyle w:val="Default"/>
      </w:pPr>
    </w:p>
    <w:p w:rsidR="002A47EE" w:rsidP="002A47EE" w:rsidRDefault="002A47EE" w14:paraId="5E3074F0" w14:textId="77777777">
      <w:pPr>
        <w:textAlignment w:val="baseline"/>
      </w:pPr>
      <w:r>
        <w:t xml:space="preserve">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 </w:t>
      </w:r>
    </w:p>
    <w:p w:rsidR="002A47EE" w:rsidP="002A47EE" w:rsidRDefault="002A47EE" w14:paraId="0402FEB2" w14:textId="77777777">
      <w:pPr>
        <w:textAlignment w:val="baseline"/>
      </w:pPr>
    </w:p>
    <w:p w:rsidR="00757B93" w:rsidP="00757B93" w:rsidRDefault="00757B93" w14:paraId="7F635211" w14:textId="76BF1B36">
      <w:pPr>
        <w:textAlignment w:val="baseline"/>
      </w:pPr>
      <w:r>
        <w:t xml:space="preserve">On November 15, 2021, Treasury published updated </w:t>
      </w:r>
      <w:hyperlink w:history="1" r:id="rId12">
        <w:r>
          <w:rPr>
            <w:rStyle w:val="Hyperlink"/>
          </w:rPr>
          <w:t>Compliance and Reporting Guidance</w:t>
        </w:r>
      </w:hyperlink>
      <w:r>
        <w:t xml:space="preserve"> that SLFRF recipients need to comply with to fulfill their reporting requirements. Treasury has directly engaged with various interested agencies and stakeholders as well as SLFRF recipients plans to provide input on reporting.  Due to policy and technical constraints, and recognition of open questions from recipients and external stakeholders on SLFRF eligible uses, the SLFRF program, in coordination with policy, OGC and ORP leadership, recommended a series of updates to reporting requirements and timelines included in the Compliance and Reporting Guidance. </w:t>
      </w:r>
    </w:p>
    <w:p w:rsidR="00757B93" w:rsidP="00757B93" w:rsidRDefault="00757B93" w14:paraId="080358DA" w14:textId="03744BE3">
      <w:pPr>
        <w:textAlignment w:val="baseline"/>
      </w:pPr>
    </w:p>
    <w:p w:rsidR="00757B93" w:rsidP="00A562FE" w:rsidRDefault="007D1D4B" w14:paraId="11101941" w14:textId="05577E73">
      <w:pPr>
        <w:textAlignment w:val="baseline"/>
      </w:pPr>
      <w:r>
        <w:t xml:space="preserve">Concurrently, Treasury has been working on onboarding NEUs based on information provided by States and U.S. territories into the online portal. </w:t>
      </w:r>
      <w:r w:rsidR="00EA326E">
        <w:t xml:space="preserve">Since the potential population of NEUs could reach 27,000 it is critical that outreach and documentation be </w:t>
      </w:r>
      <w:r w:rsidR="00B553DF">
        <w:t>provided</w:t>
      </w:r>
      <w:r w:rsidR="00EA326E">
        <w:t xml:space="preserve"> </w:t>
      </w:r>
      <w:r w:rsidR="003B4D72">
        <w:t>as quickly as possible</w:t>
      </w:r>
      <w:r w:rsidR="00EA326E">
        <w:t xml:space="preserve"> </w:t>
      </w:r>
      <w:r w:rsidR="003B4D72">
        <w:t>to ensure all NEUs are fully prepared to meet their</w:t>
      </w:r>
      <w:r w:rsidR="00EA326E">
        <w:t xml:space="preserve"> </w:t>
      </w:r>
      <w:r w:rsidR="003B4D72">
        <w:t>upcoming reporting requirements</w:t>
      </w:r>
      <w:r w:rsidR="00EA326E">
        <w:t>.</w:t>
      </w:r>
      <w:r w:rsidR="003B4D72">
        <w:t xml:space="preserve"> </w:t>
      </w:r>
      <w:r>
        <w:t xml:space="preserve">NEUs will be required to confirm their account set-ups as well as provide certain documentation noted in the Compliance and Reporting Guidance. The online portal for NEUs to confirm accounts and start providing the Agreements and Supporting Documentation is expected to go live around December </w:t>
      </w:r>
      <w:r w:rsidR="00395ECA">
        <w:t>13</w:t>
      </w:r>
      <w:r>
        <w:t>, 2021.</w:t>
      </w:r>
      <w:r w:rsidR="00A91E09">
        <w:t xml:space="preserve">  Due to the need to provide guidance to NEUs in the User Guide in order to properly report through the Treasury reporting portal and address the goal of publishing the data provided by recipients, Treasury requests emergency processing and approval by December </w:t>
      </w:r>
      <w:r w:rsidR="00395ECA">
        <w:t>13</w:t>
      </w:r>
      <w:r w:rsidR="00A91E09">
        <w:t>, 2021.</w:t>
      </w:r>
      <w:r w:rsidR="007E04D9">
        <w:t xml:space="preserve">   In preparation for the renewal of the OMB approval, Treasury has published a 60-day notice soliciting comments on September 16, 2021</w:t>
      </w:r>
      <w:r w:rsidR="001458B9">
        <w:t xml:space="preserve"> at 86 FR 51727.   </w:t>
      </w:r>
    </w:p>
    <w:sectPr w:rsidR="00757B93" w:rsidSect="000B0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26F1A" w14:textId="77777777" w:rsidR="0078466B" w:rsidRDefault="0078466B">
      <w:r>
        <w:separator/>
      </w:r>
    </w:p>
  </w:endnote>
  <w:endnote w:type="continuationSeparator" w:id="0">
    <w:p w14:paraId="55371A6B" w14:textId="77777777" w:rsidR="0078466B" w:rsidRDefault="0078466B">
      <w:r>
        <w:continuationSeparator/>
      </w:r>
    </w:p>
  </w:endnote>
  <w:endnote w:type="continuationNotice" w:id="1">
    <w:p w14:paraId="398828B9" w14:textId="77777777" w:rsidR="0078466B" w:rsidRDefault="00784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F1466" w14:textId="77777777" w:rsidR="0078466B" w:rsidRDefault="0078466B">
      <w:r>
        <w:separator/>
      </w:r>
    </w:p>
  </w:footnote>
  <w:footnote w:type="continuationSeparator" w:id="0">
    <w:p w14:paraId="3FFFC71C" w14:textId="77777777" w:rsidR="0078466B" w:rsidRDefault="0078466B">
      <w:r>
        <w:continuationSeparator/>
      </w:r>
    </w:p>
  </w:footnote>
  <w:footnote w:type="continuationNotice" w:id="1">
    <w:p w14:paraId="03B14333" w14:textId="77777777" w:rsidR="0078466B" w:rsidRDefault="007846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A4A48"/>
    <w:multiLevelType w:val="hybridMultilevel"/>
    <w:tmpl w:val="47FE4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E575D"/>
    <w:multiLevelType w:val="hybridMultilevel"/>
    <w:tmpl w:val="854E7EE2"/>
    <w:lvl w:ilvl="0" w:tplc="824AB0B0">
      <w:start w:val="1"/>
      <w:numFmt w:val="decimal"/>
      <w:lvlText w:val="1.%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173A7"/>
    <w:rsid w:val="00053124"/>
    <w:rsid w:val="00080F9D"/>
    <w:rsid w:val="00087518"/>
    <w:rsid w:val="000A09AE"/>
    <w:rsid w:val="000A7FB8"/>
    <w:rsid w:val="000B05E7"/>
    <w:rsid w:val="000B08FF"/>
    <w:rsid w:val="000C2719"/>
    <w:rsid w:val="000C40FD"/>
    <w:rsid w:val="000E68EF"/>
    <w:rsid w:val="000F02BE"/>
    <w:rsid w:val="001402A7"/>
    <w:rsid w:val="00141940"/>
    <w:rsid w:val="001458B9"/>
    <w:rsid w:val="001804D6"/>
    <w:rsid w:val="00195859"/>
    <w:rsid w:val="0019696B"/>
    <w:rsid w:val="001A5DCD"/>
    <w:rsid w:val="001A6C4A"/>
    <w:rsid w:val="001B1869"/>
    <w:rsid w:val="001C7766"/>
    <w:rsid w:val="001E7447"/>
    <w:rsid w:val="00225D98"/>
    <w:rsid w:val="0023701E"/>
    <w:rsid w:val="00244732"/>
    <w:rsid w:val="0025608E"/>
    <w:rsid w:val="002620EA"/>
    <w:rsid w:val="00276642"/>
    <w:rsid w:val="002803C6"/>
    <w:rsid w:val="002A1B02"/>
    <w:rsid w:val="002A47EE"/>
    <w:rsid w:val="002A6AA3"/>
    <w:rsid w:val="002B0D22"/>
    <w:rsid w:val="002D291D"/>
    <w:rsid w:val="003168A7"/>
    <w:rsid w:val="003342F5"/>
    <w:rsid w:val="003377B2"/>
    <w:rsid w:val="00362C38"/>
    <w:rsid w:val="00372552"/>
    <w:rsid w:val="00382BA3"/>
    <w:rsid w:val="003866D4"/>
    <w:rsid w:val="00395ECA"/>
    <w:rsid w:val="003A36E2"/>
    <w:rsid w:val="003B4D72"/>
    <w:rsid w:val="003D4FF8"/>
    <w:rsid w:val="003F21CD"/>
    <w:rsid w:val="00414F4F"/>
    <w:rsid w:val="0042789D"/>
    <w:rsid w:val="00461D06"/>
    <w:rsid w:val="004809AC"/>
    <w:rsid w:val="004C64E6"/>
    <w:rsid w:val="004F4B52"/>
    <w:rsid w:val="00524A52"/>
    <w:rsid w:val="005538A0"/>
    <w:rsid w:val="005708E1"/>
    <w:rsid w:val="005B6244"/>
    <w:rsid w:val="005B68CF"/>
    <w:rsid w:val="005C4C2F"/>
    <w:rsid w:val="005C51C5"/>
    <w:rsid w:val="005F2BF1"/>
    <w:rsid w:val="005F6E23"/>
    <w:rsid w:val="006147FB"/>
    <w:rsid w:val="00642142"/>
    <w:rsid w:val="00643802"/>
    <w:rsid w:val="00644E86"/>
    <w:rsid w:val="0065554E"/>
    <w:rsid w:val="00663A11"/>
    <w:rsid w:val="006645BF"/>
    <w:rsid w:val="0067260A"/>
    <w:rsid w:val="006A329E"/>
    <w:rsid w:val="006D2123"/>
    <w:rsid w:val="006E40F7"/>
    <w:rsid w:val="006E47D5"/>
    <w:rsid w:val="00703696"/>
    <w:rsid w:val="007074DE"/>
    <w:rsid w:val="00722629"/>
    <w:rsid w:val="00727CD3"/>
    <w:rsid w:val="00751D94"/>
    <w:rsid w:val="00757368"/>
    <w:rsid w:val="00757B93"/>
    <w:rsid w:val="00757E7B"/>
    <w:rsid w:val="00774873"/>
    <w:rsid w:val="0078466B"/>
    <w:rsid w:val="00790C79"/>
    <w:rsid w:val="007A14AD"/>
    <w:rsid w:val="007B57ED"/>
    <w:rsid w:val="007D1D4B"/>
    <w:rsid w:val="007D6A55"/>
    <w:rsid w:val="007E04D9"/>
    <w:rsid w:val="007E6E1C"/>
    <w:rsid w:val="007E78C9"/>
    <w:rsid w:val="007F0144"/>
    <w:rsid w:val="008246DD"/>
    <w:rsid w:val="00874FF1"/>
    <w:rsid w:val="008869CF"/>
    <w:rsid w:val="008E271A"/>
    <w:rsid w:val="008E730A"/>
    <w:rsid w:val="008F5477"/>
    <w:rsid w:val="00904908"/>
    <w:rsid w:val="00916495"/>
    <w:rsid w:val="00916F43"/>
    <w:rsid w:val="00922E85"/>
    <w:rsid w:val="0093324E"/>
    <w:rsid w:val="0093560D"/>
    <w:rsid w:val="00941B04"/>
    <w:rsid w:val="00976E6E"/>
    <w:rsid w:val="009828EF"/>
    <w:rsid w:val="009A1896"/>
    <w:rsid w:val="009A45CC"/>
    <w:rsid w:val="009F6DBD"/>
    <w:rsid w:val="00A01AE3"/>
    <w:rsid w:val="00A14522"/>
    <w:rsid w:val="00A472F3"/>
    <w:rsid w:val="00A562FE"/>
    <w:rsid w:val="00A572D9"/>
    <w:rsid w:val="00A90CD2"/>
    <w:rsid w:val="00A91E09"/>
    <w:rsid w:val="00AB74B0"/>
    <w:rsid w:val="00AC361C"/>
    <w:rsid w:val="00AF05EE"/>
    <w:rsid w:val="00B06A6C"/>
    <w:rsid w:val="00B47275"/>
    <w:rsid w:val="00B553DF"/>
    <w:rsid w:val="00B71120"/>
    <w:rsid w:val="00B72A23"/>
    <w:rsid w:val="00B73DBB"/>
    <w:rsid w:val="00BD0E1F"/>
    <w:rsid w:val="00BD27D0"/>
    <w:rsid w:val="00BE795A"/>
    <w:rsid w:val="00BF1A49"/>
    <w:rsid w:val="00C00F6F"/>
    <w:rsid w:val="00C313BE"/>
    <w:rsid w:val="00C3534A"/>
    <w:rsid w:val="00C43CB9"/>
    <w:rsid w:val="00C559B8"/>
    <w:rsid w:val="00C632D8"/>
    <w:rsid w:val="00CB67CD"/>
    <w:rsid w:val="00CD2FEC"/>
    <w:rsid w:val="00CD6629"/>
    <w:rsid w:val="00CF774C"/>
    <w:rsid w:val="00D03E66"/>
    <w:rsid w:val="00D04DA9"/>
    <w:rsid w:val="00D15A6B"/>
    <w:rsid w:val="00D163FA"/>
    <w:rsid w:val="00D41A10"/>
    <w:rsid w:val="00D65338"/>
    <w:rsid w:val="00D85E4C"/>
    <w:rsid w:val="00DA2029"/>
    <w:rsid w:val="00DB099E"/>
    <w:rsid w:val="00DE3E34"/>
    <w:rsid w:val="00DF730B"/>
    <w:rsid w:val="00E00240"/>
    <w:rsid w:val="00E17990"/>
    <w:rsid w:val="00E52B04"/>
    <w:rsid w:val="00E62F32"/>
    <w:rsid w:val="00E66BC1"/>
    <w:rsid w:val="00E8095C"/>
    <w:rsid w:val="00E80E32"/>
    <w:rsid w:val="00EA326E"/>
    <w:rsid w:val="00EA3909"/>
    <w:rsid w:val="00EA661C"/>
    <w:rsid w:val="00EB5649"/>
    <w:rsid w:val="00EB7201"/>
    <w:rsid w:val="00EC60D0"/>
    <w:rsid w:val="00EE4F6F"/>
    <w:rsid w:val="00F214E6"/>
    <w:rsid w:val="00F34828"/>
    <w:rsid w:val="00F6553A"/>
    <w:rsid w:val="00F71796"/>
    <w:rsid w:val="00FA4302"/>
    <w:rsid w:val="00FB6260"/>
    <w:rsid w:val="00FC4608"/>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ListParagraph">
    <w:name w:val="List Paragraph"/>
    <w:basedOn w:val="Normal"/>
    <w:uiPriority w:val="34"/>
    <w:qFormat/>
    <w:rsid w:val="00916495"/>
    <w:pPr>
      <w:spacing w:after="160" w:line="259" w:lineRule="auto"/>
      <w:ind w:left="720"/>
      <w:contextualSpacing/>
    </w:pPr>
    <w:rPr>
      <w:rFonts w:ascii="Arial" w:eastAsiaTheme="minorHAnsi" w:hAnsi="Arial" w:cstheme="minorBidi"/>
      <w:sz w:val="22"/>
      <w:szCs w:val="22"/>
    </w:rPr>
  </w:style>
  <w:style w:type="character" w:styleId="FollowedHyperlink">
    <w:name w:val="FollowedHyperlink"/>
    <w:basedOn w:val="DefaultParagraphFont"/>
    <w:uiPriority w:val="99"/>
    <w:semiHidden/>
    <w:unhideWhenUsed/>
    <w:rsid w:val="00D16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453702">
      <w:bodyDiv w:val="1"/>
      <w:marLeft w:val="0"/>
      <w:marRight w:val="0"/>
      <w:marTop w:val="0"/>
      <w:marBottom w:val="0"/>
      <w:divBdr>
        <w:top w:val="none" w:sz="0" w:space="0" w:color="auto"/>
        <w:left w:val="none" w:sz="0" w:space="0" w:color="auto"/>
        <w:bottom w:val="none" w:sz="0" w:space="0" w:color="auto"/>
        <w:right w:val="none" w:sz="0" w:space="0" w:color="auto"/>
      </w:divBdr>
    </w:div>
    <w:div w:id="1062487187">
      <w:bodyDiv w:val="1"/>
      <w:marLeft w:val="0"/>
      <w:marRight w:val="0"/>
      <w:marTop w:val="0"/>
      <w:marBottom w:val="0"/>
      <w:divBdr>
        <w:top w:val="none" w:sz="0" w:space="0" w:color="auto"/>
        <w:left w:val="none" w:sz="0" w:space="0" w:color="auto"/>
        <w:bottom w:val="none" w:sz="0" w:space="0" w:color="auto"/>
        <w:right w:val="none" w:sz="0" w:space="0" w:color="auto"/>
      </w:divBdr>
    </w:div>
    <w:div w:id="1396316150">
      <w:bodyDiv w:val="1"/>
      <w:marLeft w:val="0"/>
      <w:marRight w:val="0"/>
      <w:marTop w:val="0"/>
      <w:marBottom w:val="0"/>
      <w:divBdr>
        <w:top w:val="none" w:sz="0" w:space="0" w:color="auto"/>
        <w:left w:val="none" w:sz="0" w:space="0" w:color="auto"/>
        <w:bottom w:val="none" w:sz="0" w:space="0" w:color="auto"/>
        <w:right w:val="none" w:sz="0" w:space="0" w:color="auto"/>
      </w:divBdr>
    </w:div>
    <w:div w:id="19705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me.treasury.gov/system/files/136/SLFRF-Compliance-and-Reporting-Guidan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2.xml><?xml version="1.0" encoding="utf-8"?>
<ds:datastoreItem xmlns:ds="http://schemas.openxmlformats.org/officeDocument/2006/customXml" ds:itemID="{AEED8FF6-8748-4466-8193-EA25C7E3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Clark, Spencer</cp:lastModifiedBy>
  <cp:revision>2</cp:revision>
  <dcterms:created xsi:type="dcterms:W3CDTF">2021-12-10T20:36:00Z</dcterms:created>
  <dcterms:modified xsi:type="dcterms:W3CDTF">2021-12-10T20:36:00Z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