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0C8" w:rsidR="00067742" w:rsidP="005A26D5" w:rsidRDefault="00067742" w14:paraId="34560268" w14:textId="77777777">
      <w:pPr>
        <w:jc w:val="center"/>
        <w:rPr>
          <w:rFonts w:asciiTheme="minorHAnsi" w:hAnsiTheme="minorHAnsi"/>
          <w:sz w:val="22"/>
          <w:szCs w:val="22"/>
        </w:rPr>
      </w:pPr>
      <w:r w:rsidRPr="00F530C8">
        <w:rPr>
          <w:rFonts w:asciiTheme="minorHAnsi" w:hAnsiTheme="minorHAnsi"/>
          <w:b/>
          <w:bCs/>
          <w:sz w:val="22"/>
          <w:szCs w:val="22"/>
        </w:rPr>
        <w:t>SUPPORTING STATEMENT</w:t>
      </w:r>
    </w:p>
    <w:p w:rsidRPr="00F530C8" w:rsidR="00F530C8" w:rsidP="005A26D5" w:rsidRDefault="00F530C8" w14:paraId="2168C39E" w14:textId="4B253E8B">
      <w:pPr>
        <w:jc w:val="center"/>
        <w:rPr>
          <w:rFonts w:asciiTheme="minorHAnsi" w:hAnsiTheme="minorHAnsi"/>
          <w:b/>
          <w:sz w:val="22"/>
          <w:szCs w:val="22"/>
        </w:rPr>
      </w:pPr>
      <w:r w:rsidRPr="00F530C8">
        <w:rPr>
          <w:rFonts w:asciiTheme="minorHAnsi" w:hAnsiTheme="minorHAnsi"/>
          <w:b/>
          <w:sz w:val="22"/>
          <w:szCs w:val="22"/>
        </w:rPr>
        <w:t>Internal Revenue Service</w:t>
      </w:r>
    </w:p>
    <w:p w:rsidR="00F530C8" w:rsidP="005A26D5" w:rsidRDefault="00D97FA8" w14:paraId="49A6720D" w14:textId="09C24DCD">
      <w:pPr>
        <w:jc w:val="center"/>
        <w:rPr>
          <w:rFonts w:asciiTheme="minorHAnsi" w:hAnsiTheme="minorHAnsi"/>
          <w:b/>
          <w:sz w:val="22"/>
          <w:szCs w:val="22"/>
        </w:rPr>
      </w:pPr>
      <w:r w:rsidRPr="00D97FA8">
        <w:rPr>
          <w:rFonts w:asciiTheme="minorHAnsi" w:hAnsiTheme="minorHAnsi"/>
          <w:b/>
          <w:sz w:val="22"/>
          <w:szCs w:val="22"/>
        </w:rPr>
        <w:t>Rev. Procs. 2008-60; 2012-27</w:t>
      </w:r>
    </w:p>
    <w:p w:rsidRPr="00F530C8" w:rsidR="002174CE" w:rsidP="005A26D5" w:rsidRDefault="00D97FA8" w14:paraId="3E17B6EC" w14:textId="6CAD881B">
      <w:pPr>
        <w:jc w:val="center"/>
        <w:rPr>
          <w:rFonts w:asciiTheme="minorHAnsi" w:hAnsiTheme="minorHAnsi"/>
          <w:b/>
          <w:sz w:val="22"/>
          <w:szCs w:val="22"/>
        </w:rPr>
      </w:pPr>
      <w:r>
        <w:rPr>
          <w:rFonts w:asciiTheme="minorHAnsi" w:hAnsiTheme="minorHAnsi"/>
          <w:b/>
          <w:sz w:val="22"/>
          <w:szCs w:val="22"/>
        </w:rPr>
        <w:t>O</w:t>
      </w:r>
      <w:r w:rsidRPr="00F530C8" w:rsidR="002174CE">
        <w:rPr>
          <w:rFonts w:asciiTheme="minorHAnsi" w:hAnsiTheme="minorHAnsi"/>
          <w:b/>
          <w:sz w:val="22"/>
          <w:szCs w:val="22"/>
        </w:rPr>
        <w:t>MB</w:t>
      </w:r>
      <w:r w:rsidR="00067E32">
        <w:rPr>
          <w:rFonts w:asciiTheme="minorHAnsi" w:hAnsiTheme="minorHAnsi"/>
          <w:b/>
          <w:sz w:val="22"/>
          <w:szCs w:val="22"/>
        </w:rPr>
        <w:t xml:space="preserve"> Control Number </w:t>
      </w:r>
      <w:r w:rsidRPr="00F530C8" w:rsidR="002174CE">
        <w:rPr>
          <w:rFonts w:asciiTheme="minorHAnsi" w:hAnsiTheme="minorHAnsi"/>
          <w:b/>
          <w:sz w:val="22"/>
          <w:szCs w:val="22"/>
        </w:rPr>
        <w:t>1545-</w:t>
      </w:r>
      <w:r>
        <w:rPr>
          <w:rFonts w:asciiTheme="minorHAnsi" w:hAnsiTheme="minorHAnsi"/>
          <w:b/>
          <w:sz w:val="22"/>
          <w:szCs w:val="22"/>
        </w:rPr>
        <w:t>2120</w:t>
      </w:r>
    </w:p>
    <w:p w:rsidRPr="00F530C8" w:rsidR="00067742" w:rsidRDefault="00067742" w14:paraId="2ED15354" w14:textId="77777777">
      <w:pPr>
        <w:ind w:left="18" w:right="-72"/>
        <w:rPr>
          <w:rFonts w:asciiTheme="minorHAnsi" w:hAnsiTheme="minorHAnsi"/>
          <w:sz w:val="22"/>
          <w:szCs w:val="22"/>
        </w:rPr>
      </w:pPr>
    </w:p>
    <w:p w:rsidRPr="00F530C8" w:rsidR="00067742" w:rsidP="00C076C8" w:rsidRDefault="00067742" w14:paraId="2F767DF5" w14:textId="77777777">
      <w:pPr>
        <w:tabs>
          <w:tab w:val="left" w:pos="720"/>
        </w:tabs>
        <w:ind w:left="720" w:right="-72" w:hanging="720"/>
        <w:rPr>
          <w:rFonts w:asciiTheme="minorHAnsi" w:hAnsiTheme="minorHAnsi"/>
          <w:sz w:val="22"/>
          <w:szCs w:val="22"/>
        </w:rPr>
      </w:pPr>
    </w:p>
    <w:p w:rsidRPr="00F530C8" w:rsidR="00067742" w:rsidP="00C076C8" w:rsidRDefault="00067742" w14:paraId="6FCADB92"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rsidRPr="00F530C8" w:rsidR="00067742" w:rsidP="00C076C8" w:rsidRDefault="00067742" w14:paraId="54565963" w14:textId="77777777">
      <w:pPr>
        <w:tabs>
          <w:tab w:val="left" w:pos="720"/>
        </w:tabs>
        <w:ind w:left="720" w:right="-72" w:hanging="720"/>
        <w:rPr>
          <w:rFonts w:asciiTheme="minorHAnsi" w:hAnsiTheme="minorHAnsi"/>
          <w:sz w:val="22"/>
          <w:szCs w:val="22"/>
        </w:rPr>
      </w:pPr>
    </w:p>
    <w:p w:rsidRPr="00D97FA8" w:rsidR="00D97FA8" w:rsidP="00D97FA8" w:rsidRDefault="00C076C8" w14:paraId="52433A2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D97FA8" w:rsidR="00D97FA8">
        <w:rPr>
          <w:rFonts w:asciiTheme="minorHAnsi" w:hAnsiTheme="minorHAnsi"/>
          <w:sz w:val="22"/>
          <w:szCs w:val="22"/>
        </w:rPr>
        <w:t>Revenue Procedure 2008-60 provides guidance on how a taxpayer makes the election under section 3004(i)(2)(B)(ii) of the Housing Assistance Tax Act of 2008 (Act) if the taxpayer disposed of a qualified low-income building under §42 (or an interest therein) on or before July 30, 2008, and, under the former §42(j)(6) of the Internal Revenue Code, either furnished a surety bond to the Secretary, or established a Treasury Direct Account (TDA) funded with Treasury securities under Rev. Proc. 99-11, 1999-1 C.B. 275.  If a taxpayer makes the election, the requirement for a surety bond or TDA account is terminated provided the taxpayer reasonably expects that the building will continue to be operated as a qualified low-income building for the remaining years of compliance period under §42(i)(1).</w:t>
      </w:r>
    </w:p>
    <w:p w:rsidRPr="00D97FA8" w:rsidR="00D97FA8" w:rsidP="00D97FA8" w:rsidRDefault="00D97FA8" w14:paraId="781A0AA2" w14:textId="77777777">
      <w:pPr>
        <w:tabs>
          <w:tab w:val="left" w:pos="720"/>
        </w:tabs>
        <w:ind w:left="720" w:right="-72" w:hanging="720"/>
        <w:rPr>
          <w:rFonts w:asciiTheme="minorHAnsi" w:hAnsiTheme="minorHAnsi"/>
          <w:sz w:val="22"/>
          <w:szCs w:val="22"/>
        </w:rPr>
      </w:pPr>
      <w:r w:rsidRPr="00D97FA8">
        <w:rPr>
          <w:rFonts w:asciiTheme="minorHAnsi" w:hAnsiTheme="minorHAnsi"/>
          <w:sz w:val="22"/>
          <w:szCs w:val="22"/>
        </w:rPr>
        <w:tab/>
      </w:r>
    </w:p>
    <w:p w:rsidRPr="00D97FA8" w:rsidR="00D97FA8" w:rsidP="00D97FA8" w:rsidRDefault="00D97FA8" w14:paraId="1A16D25A" w14:textId="5759B4C6">
      <w:pPr>
        <w:tabs>
          <w:tab w:val="left" w:pos="720"/>
        </w:tabs>
        <w:ind w:left="720" w:right="-72" w:hanging="720"/>
        <w:rPr>
          <w:rFonts w:asciiTheme="minorHAnsi" w:hAnsiTheme="minorHAnsi"/>
          <w:sz w:val="22"/>
          <w:szCs w:val="22"/>
        </w:rPr>
      </w:pPr>
      <w:r>
        <w:rPr>
          <w:rFonts w:asciiTheme="minorHAnsi" w:hAnsiTheme="minorHAnsi"/>
          <w:sz w:val="22"/>
          <w:szCs w:val="22"/>
        </w:rPr>
        <w:t xml:space="preserve">              </w:t>
      </w:r>
      <w:r w:rsidRPr="00D97FA8">
        <w:rPr>
          <w:rFonts w:asciiTheme="minorHAnsi" w:hAnsiTheme="minorHAnsi"/>
          <w:sz w:val="22"/>
          <w:szCs w:val="22"/>
        </w:rPr>
        <w:t xml:space="preserve">A taxpayer who seeks to make this election must following election procedures prescribed under Section 4.01 of Rev. Proc. 2008-60.  An election is a letter to the Internal Revenue Service (IRS) to include a </w:t>
      </w:r>
      <w:bookmarkStart w:name="_Hlk524297320" w:id="0"/>
      <w:r w:rsidRPr="00D97FA8">
        <w:rPr>
          <w:rFonts w:asciiTheme="minorHAnsi" w:hAnsiTheme="minorHAnsi"/>
          <w:sz w:val="22"/>
          <w:szCs w:val="22"/>
        </w:rPr>
        <w:t>statement affirming that the taxpayer reasonably expects that the building will continue to operate as a qualified low-income building for the remainder of the building’s compliance period</w:t>
      </w:r>
      <w:bookmarkEnd w:id="0"/>
      <w:r w:rsidRPr="00D97FA8">
        <w:rPr>
          <w:rFonts w:asciiTheme="minorHAnsi" w:hAnsiTheme="minorHAnsi"/>
          <w:sz w:val="22"/>
          <w:szCs w:val="22"/>
        </w:rPr>
        <w:t xml:space="preserve">.  The taxpayer must attach to this letter a copy of the Form 8693, “Low-Income Housing Credit Disposition Bond,” that was approved by the IRS for the building, signature page only, and mail the letter and attached pages to the IRS. </w:t>
      </w:r>
    </w:p>
    <w:p w:rsidRPr="00D97FA8" w:rsidR="00D97FA8" w:rsidP="00D97FA8" w:rsidRDefault="00D97FA8" w14:paraId="789096F1" w14:textId="77777777">
      <w:pPr>
        <w:tabs>
          <w:tab w:val="left" w:pos="720"/>
        </w:tabs>
        <w:ind w:left="720" w:right="-72" w:hanging="720"/>
        <w:rPr>
          <w:rFonts w:asciiTheme="minorHAnsi" w:hAnsiTheme="minorHAnsi"/>
          <w:sz w:val="22"/>
          <w:szCs w:val="22"/>
        </w:rPr>
      </w:pPr>
    </w:p>
    <w:p w:rsidRPr="00D97FA8" w:rsidR="00D97FA8" w:rsidP="00D97FA8" w:rsidRDefault="00D97FA8" w14:paraId="5DFB89FE" w14:textId="02BECA70">
      <w:pPr>
        <w:tabs>
          <w:tab w:val="left" w:pos="720"/>
        </w:tabs>
        <w:ind w:left="720" w:right="-72" w:hanging="720"/>
        <w:rPr>
          <w:rFonts w:asciiTheme="minorHAnsi" w:hAnsiTheme="minorHAnsi"/>
          <w:sz w:val="22"/>
          <w:szCs w:val="22"/>
        </w:rPr>
      </w:pPr>
      <w:r>
        <w:rPr>
          <w:rFonts w:asciiTheme="minorHAnsi" w:hAnsiTheme="minorHAnsi"/>
          <w:sz w:val="22"/>
          <w:szCs w:val="22"/>
        </w:rPr>
        <w:t xml:space="preserve">               </w:t>
      </w:r>
      <w:r w:rsidRPr="00D97FA8">
        <w:rPr>
          <w:rFonts w:asciiTheme="minorHAnsi" w:hAnsiTheme="minorHAnsi"/>
          <w:sz w:val="22"/>
          <w:szCs w:val="22"/>
        </w:rPr>
        <w:t xml:space="preserve">Revenue Procedure 2012-27 applies to taxpayers that dispose of a low-income housing building (or interest therein) in a transaction to which the amendments made by section 3004(c) of the Act apply; and seek to make the notification prescribed by § 42(j)(6)(B)(i) of the Code of any increase in tax resulting from a reduction in the qualified basis of a low-income housing tax credit building in order to begin the 3-year statutory period for assessing a deficiency with respect to that taxpayer.  To make this notification, a taxpayer must </w:t>
      </w:r>
      <w:bookmarkStart w:name="_Hlk524297344" w:id="1"/>
      <w:r w:rsidRPr="00D97FA8">
        <w:rPr>
          <w:rFonts w:asciiTheme="minorHAnsi" w:hAnsiTheme="minorHAnsi"/>
          <w:sz w:val="22"/>
          <w:szCs w:val="22"/>
        </w:rPr>
        <w:t xml:space="preserve">submit a letter to the IRS by following the procedures prescribed under Section 4.01 of Rev. Proc. 2012-27 </w:t>
      </w:r>
      <w:bookmarkEnd w:id="1"/>
      <w:r w:rsidRPr="00D97FA8">
        <w:rPr>
          <w:rFonts w:asciiTheme="minorHAnsi" w:hAnsiTheme="minorHAnsi"/>
          <w:sz w:val="22"/>
          <w:szCs w:val="22"/>
        </w:rPr>
        <w:t>and mail the letter to the address where the most current form 8609, “Low-Income Housing Credit Allocation and Certification,” would be filed.</w:t>
      </w:r>
    </w:p>
    <w:p w:rsidRPr="00F530C8" w:rsidR="00067742" w:rsidP="00C076C8" w:rsidRDefault="00067742"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Pr="00F530C8" w:rsidR="00067742" w:rsidP="00C076C8" w:rsidRDefault="00067742" w14:paraId="00BC4EF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rsidRPr="00F530C8" w:rsidR="00067742" w:rsidP="00C076C8" w:rsidRDefault="00067742" w14:paraId="532E4BD8" w14:textId="77777777">
      <w:pPr>
        <w:tabs>
          <w:tab w:val="left" w:pos="720"/>
        </w:tabs>
        <w:ind w:left="720" w:right="-72" w:hanging="720"/>
        <w:rPr>
          <w:rFonts w:asciiTheme="minorHAnsi" w:hAnsiTheme="minorHAnsi"/>
          <w:sz w:val="22"/>
          <w:szCs w:val="22"/>
        </w:rPr>
      </w:pPr>
    </w:p>
    <w:p w:rsidR="00067742" w:rsidP="00C076C8" w:rsidRDefault="00C076C8" w14:paraId="32208FD0" w14:textId="254A6EE9">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D97FA8" w:rsidR="00D97FA8">
        <w:rPr>
          <w:rFonts w:asciiTheme="minorHAnsi" w:hAnsiTheme="minorHAnsi"/>
          <w:sz w:val="22"/>
          <w:szCs w:val="22"/>
        </w:rPr>
        <w:t xml:space="preserve">This information will be used by the IRS to determine which taxpayers are electing to terminate surety bonds or TDA accounts that they have already furnished or established with the IRS under the former § 42(j)(6).  The information also will be used to determine whether a taxpayer is subject to recapture tax if there is a reduction in the qualified basis of the building during the remaining years of compliance period.  </w:t>
      </w:r>
      <w:r w:rsidR="00D23A01">
        <w:rPr>
          <w:rFonts w:asciiTheme="minorHAnsi" w:hAnsiTheme="minorHAnsi"/>
          <w:sz w:val="22"/>
          <w:szCs w:val="22"/>
        </w:rPr>
        <w:t xml:space="preserve"> </w:t>
      </w:r>
    </w:p>
    <w:p w:rsidR="00F841ED" w:rsidP="00C076C8" w:rsidRDefault="00F841ED" w14:paraId="338DB05F" w14:textId="7659633A">
      <w:pPr>
        <w:tabs>
          <w:tab w:val="left" w:pos="720"/>
        </w:tabs>
        <w:ind w:left="720" w:right="-72" w:hanging="720"/>
        <w:rPr>
          <w:rFonts w:asciiTheme="minorHAnsi" w:hAnsiTheme="minorHAnsi"/>
          <w:sz w:val="22"/>
          <w:szCs w:val="22"/>
        </w:rPr>
      </w:pPr>
    </w:p>
    <w:p w:rsidR="00F841ED" w:rsidP="00C076C8" w:rsidRDefault="00F841ED" w14:paraId="5E409D7B" w14:textId="3AF39A60">
      <w:pPr>
        <w:tabs>
          <w:tab w:val="left" w:pos="720"/>
        </w:tabs>
        <w:ind w:left="720" w:right="-72" w:hanging="720"/>
        <w:rPr>
          <w:rFonts w:asciiTheme="minorHAnsi" w:hAnsiTheme="minorHAnsi"/>
          <w:sz w:val="22"/>
          <w:szCs w:val="22"/>
        </w:rPr>
      </w:pPr>
    </w:p>
    <w:p w:rsidR="00F841ED" w:rsidP="00C076C8" w:rsidRDefault="00F841ED" w14:paraId="2E762C18" w14:textId="5E83421B">
      <w:pPr>
        <w:tabs>
          <w:tab w:val="left" w:pos="720"/>
        </w:tabs>
        <w:ind w:left="720" w:right="-72" w:hanging="720"/>
        <w:rPr>
          <w:rFonts w:asciiTheme="minorHAnsi" w:hAnsiTheme="minorHAnsi"/>
          <w:sz w:val="22"/>
          <w:szCs w:val="22"/>
        </w:rPr>
      </w:pPr>
    </w:p>
    <w:p w:rsidRPr="00F530C8" w:rsidR="00F841ED" w:rsidP="00C076C8" w:rsidRDefault="00F841ED" w14:paraId="6C8BF35A" w14:textId="77777777">
      <w:pPr>
        <w:tabs>
          <w:tab w:val="left" w:pos="720"/>
        </w:tabs>
        <w:ind w:left="720" w:right="-72" w:hanging="720"/>
        <w:rPr>
          <w:rFonts w:asciiTheme="minorHAnsi" w:hAnsiTheme="minorHAnsi"/>
          <w:sz w:val="22"/>
          <w:szCs w:val="22"/>
        </w:rPr>
      </w:pPr>
    </w:p>
    <w:p w:rsidRPr="00F530C8" w:rsidR="00067742" w:rsidP="00C076C8" w:rsidRDefault="00067742" w14:paraId="2639E48C" w14:textId="77777777">
      <w:pPr>
        <w:tabs>
          <w:tab w:val="left" w:pos="720"/>
        </w:tabs>
        <w:ind w:left="720" w:right="-72" w:hanging="720"/>
        <w:rPr>
          <w:rFonts w:asciiTheme="minorHAnsi" w:hAnsiTheme="minorHAnsi"/>
          <w:b/>
          <w:sz w:val="22"/>
          <w:szCs w:val="22"/>
        </w:rPr>
      </w:pPr>
    </w:p>
    <w:p w:rsidRPr="00F530C8" w:rsidR="00067742" w:rsidP="002174CE" w:rsidRDefault="00067742" w14:paraId="16019B5D" w14:textId="77777777">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lastRenderedPageBreak/>
        <w:t>USE OF</w:t>
      </w:r>
      <w:r w:rsidRPr="00F530C8">
        <w:rPr>
          <w:rFonts w:asciiTheme="minorHAnsi" w:hAnsiTheme="minorHAnsi"/>
          <w:b/>
          <w:bCs/>
          <w:sz w:val="22"/>
          <w:szCs w:val="22"/>
          <w:u w:val="single"/>
        </w:rPr>
        <w:t xml:space="preserve"> IMPROVED INFORMATION TECHNOLOGY TO REDUCE BURDEN</w:t>
      </w:r>
    </w:p>
    <w:p w:rsidRPr="00A432BF" w:rsidR="00A432BF" w:rsidP="00A432BF" w:rsidRDefault="00C076C8"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rsidRDefault="00A432BF" w14:paraId="347A9B01" w14:textId="7DE61759">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Pr>
          <w:rFonts w:asciiTheme="minorHAnsi" w:hAnsiTheme="minorHAnsi"/>
          <w:sz w:val="22"/>
          <w:szCs w:val="22"/>
        </w:rPr>
        <w:t xml:space="preserve"> and is not </w:t>
      </w:r>
      <w:r w:rsidR="00BE5838">
        <w:rPr>
          <w:rFonts w:asciiTheme="minorHAnsi" w:hAnsiTheme="minorHAnsi"/>
          <w:sz w:val="22"/>
          <w:szCs w:val="22"/>
        </w:rPr>
        <w:t xml:space="preserve">practicable with this collection and low volume of filings. </w:t>
      </w:r>
    </w:p>
    <w:p w:rsidRPr="00F530C8" w:rsidR="00BE5838" w:rsidP="00C076C8" w:rsidRDefault="00BE5838" w14:paraId="54AD05FD" w14:textId="77777777">
      <w:pPr>
        <w:tabs>
          <w:tab w:val="left" w:pos="720"/>
        </w:tabs>
        <w:ind w:left="720" w:right="-72" w:hanging="720"/>
        <w:rPr>
          <w:rFonts w:asciiTheme="minorHAnsi" w:hAnsiTheme="minorHAnsi"/>
          <w:sz w:val="22"/>
          <w:szCs w:val="22"/>
        </w:rPr>
      </w:pPr>
    </w:p>
    <w:p w:rsidRPr="00F530C8" w:rsidR="00067742" w:rsidP="00C076C8" w:rsidRDefault="00067742" w14:paraId="5E994E27"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rsidRPr="00F530C8" w:rsidR="00067742" w:rsidP="00C076C8" w:rsidRDefault="00067742" w14:paraId="3A581160" w14:textId="77777777">
      <w:pPr>
        <w:tabs>
          <w:tab w:val="left" w:pos="720"/>
        </w:tabs>
        <w:ind w:left="720" w:right="-72" w:hanging="720"/>
        <w:rPr>
          <w:rFonts w:asciiTheme="minorHAnsi" w:hAnsiTheme="minorHAnsi"/>
          <w:sz w:val="22"/>
          <w:szCs w:val="22"/>
        </w:rPr>
      </w:pPr>
    </w:p>
    <w:p w:rsidRPr="009A6027" w:rsidR="00D44FBE" w:rsidP="00D44FBE" w:rsidRDefault="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Pr="00F530C8" w:rsidR="00D44FBE" w:rsidP="00D44FBE" w:rsidRDefault="00D44FBE" w14:paraId="10AC7016" w14:textId="77777777">
      <w:pPr>
        <w:tabs>
          <w:tab w:val="left" w:pos="720"/>
        </w:tabs>
        <w:ind w:left="720" w:right="-72" w:hanging="720"/>
        <w:rPr>
          <w:rFonts w:asciiTheme="minorHAnsi" w:hAnsiTheme="minorHAnsi"/>
          <w:sz w:val="22"/>
          <w:szCs w:val="22"/>
        </w:rPr>
      </w:pPr>
    </w:p>
    <w:p w:rsidRPr="00F530C8" w:rsidR="00067742" w:rsidP="00C076C8" w:rsidRDefault="00067742" w14:paraId="0E101CFD"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rsidRPr="00F530C8" w:rsidR="00067742" w:rsidP="00C076C8" w:rsidRDefault="00067742" w14:paraId="1B34CF88" w14:textId="77777777">
      <w:pPr>
        <w:tabs>
          <w:tab w:val="left" w:pos="720"/>
        </w:tabs>
        <w:ind w:left="720" w:right="-72" w:hanging="720"/>
        <w:rPr>
          <w:rFonts w:asciiTheme="minorHAnsi" w:hAnsiTheme="minorHAnsi"/>
          <w:sz w:val="22"/>
          <w:szCs w:val="22"/>
        </w:rPr>
      </w:pPr>
    </w:p>
    <w:p w:rsidRPr="00001026" w:rsidR="00421E3F" w:rsidP="00BE07D3" w:rsidRDefault="00001026" w14:paraId="540A6208" w14:textId="06F48E4F">
      <w:pPr>
        <w:ind w:left="720"/>
        <w:rPr>
          <w:rFonts w:asciiTheme="minorHAnsi" w:hAnsiTheme="minorHAnsi"/>
          <w:sz w:val="22"/>
          <w:szCs w:val="22"/>
        </w:rPr>
      </w:pPr>
      <w:r w:rsidRPr="00001026">
        <w:rPr>
          <w:rFonts w:asciiTheme="minorHAnsi" w:hAnsiTheme="minorHAnsi"/>
          <w:iCs/>
          <w:sz w:val="22"/>
          <w:szCs w:val="22"/>
        </w:rPr>
        <w:t xml:space="preserve">Small businesses should not be disadvantaged as the </w:t>
      </w:r>
      <w:r w:rsidR="000D323E">
        <w:rPr>
          <w:rFonts w:asciiTheme="minorHAnsi" w:hAnsiTheme="minorHAnsi"/>
          <w:iCs/>
          <w:sz w:val="22"/>
          <w:szCs w:val="22"/>
        </w:rPr>
        <w:t>Rev. Procs.</w:t>
      </w:r>
      <w:r w:rsidRPr="00001026">
        <w:rPr>
          <w:rFonts w:asciiTheme="minorHAnsi" w:hAnsiTheme="minorHAnsi"/>
          <w:iCs/>
          <w:sz w:val="22"/>
          <w:szCs w:val="22"/>
        </w:rPr>
        <w:t xml:space="preserve"> has been structured to request the least amount of information and still satisfy the requirements of the statute and the needs of the Service.</w:t>
      </w:r>
      <w:r w:rsidRPr="00001026" w:rsidR="00D23A01">
        <w:rPr>
          <w:rFonts w:asciiTheme="minorHAnsi" w:hAnsiTheme="minorHAnsi"/>
          <w:sz w:val="22"/>
          <w:szCs w:val="22"/>
        </w:rPr>
        <w:t xml:space="preserve"> </w:t>
      </w:r>
    </w:p>
    <w:p w:rsidRPr="00F530C8" w:rsidR="00067742" w:rsidP="00C076C8" w:rsidRDefault="00067742" w14:paraId="2D5FADA4" w14:textId="77777777">
      <w:pPr>
        <w:tabs>
          <w:tab w:val="left" w:pos="720"/>
        </w:tabs>
        <w:ind w:left="720" w:right="-72" w:hanging="720"/>
        <w:rPr>
          <w:rFonts w:asciiTheme="minorHAnsi" w:hAnsiTheme="minorHAnsi"/>
          <w:sz w:val="22"/>
          <w:szCs w:val="22"/>
        </w:rPr>
      </w:pPr>
    </w:p>
    <w:p w:rsidRPr="00F530C8" w:rsidR="00067742" w:rsidP="00C076C8" w:rsidRDefault="00067742" w14:paraId="4A95332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Pr="00F530C8" w:rsidR="005A26D5">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rsidRPr="00F530C8" w:rsidR="00067742" w:rsidP="00C076C8" w:rsidRDefault="00067742" w14:paraId="58D889C7" w14:textId="77777777">
      <w:pPr>
        <w:tabs>
          <w:tab w:val="left" w:pos="720"/>
        </w:tabs>
        <w:ind w:left="720" w:right="-72" w:hanging="720"/>
        <w:rPr>
          <w:rFonts w:asciiTheme="minorHAnsi" w:hAnsiTheme="minorHAnsi"/>
          <w:sz w:val="22"/>
          <w:szCs w:val="22"/>
        </w:rPr>
      </w:pPr>
    </w:p>
    <w:p w:rsidRPr="00F530C8" w:rsidR="00421E3F" w:rsidP="00BE07D3" w:rsidRDefault="00D44FBE" w14:paraId="062A87FD" w14:textId="2352F289">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w:t>
      </w:r>
      <w:r w:rsidRPr="00D97FA8" w:rsidR="009B1762">
        <w:rPr>
          <w:rFonts w:asciiTheme="minorHAnsi" w:hAnsiTheme="minorHAnsi"/>
          <w:sz w:val="22"/>
          <w:szCs w:val="22"/>
        </w:rPr>
        <w:t>determin</w:t>
      </w:r>
      <w:r w:rsidR="009B1762">
        <w:rPr>
          <w:rFonts w:asciiTheme="minorHAnsi" w:hAnsiTheme="minorHAnsi"/>
          <w:sz w:val="22"/>
          <w:szCs w:val="22"/>
        </w:rPr>
        <w:t>ing</w:t>
      </w:r>
      <w:r w:rsidRPr="00D97FA8" w:rsidR="009B1762">
        <w:rPr>
          <w:rFonts w:asciiTheme="minorHAnsi" w:hAnsiTheme="minorHAnsi"/>
          <w:sz w:val="22"/>
          <w:szCs w:val="22"/>
        </w:rPr>
        <w:t xml:space="preserve"> which taxpayers are electing to terminate surety bonds or TDA accounts that they have already furnished or established with the IRS under the former § 42(j)(6)</w:t>
      </w:r>
      <w:r w:rsidR="009B1762">
        <w:rPr>
          <w:rFonts w:asciiTheme="minorHAnsi" w:hAnsiTheme="minorHAnsi"/>
          <w:sz w:val="22"/>
          <w:szCs w:val="22"/>
        </w:rPr>
        <w:t xml:space="preserve"> and</w:t>
      </w:r>
      <w:r w:rsidRPr="00D97FA8" w:rsidR="009B1762">
        <w:rPr>
          <w:rFonts w:asciiTheme="minorHAnsi" w:hAnsiTheme="minorHAnsi"/>
          <w:sz w:val="22"/>
          <w:szCs w:val="22"/>
        </w:rPr>
        <w:t xml:space="preserve"> to determine whether a taxpayer is subject to recapture tax if there is a reduction in the qualified basis of the building during the remaining years of compliance period.</w:t>
      </w:r>
    </w:p>
    <w:p w:rsidRPr="00F530C8" w:rsidR="00067742" w:rsidP="00C076C8" w:rsidRDefault="00067742" w14:paraId="28AFAF95" w14:textId="77777777">
      <w:pPr>
        <w:tabs>
          <w:tab w:val="left" w:pos="720"/>
        </w:tabs>
        <w:ind w:left="720" w:right="-72" w:hanging="720"/>
        <w:rPr>
          <w:rFonts w:asciiTheme="minorHAnsi" w:hAnsiTheme="minorHAnsi"/>
          <w:sz w:val="22"/>
          <w:szCs w:val="22"/>
        </w:rPr>
      </w:pPr>
    </w:p>
    <w:p w:rsidRPr="00F530C8" w:rsidR="00067742" w:rsidP="00C076C8" w:rsidRDefault="00067742" w14:paraId="76EFA338"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rsidRPr="00F530C8" w:rsidR="00067742" w:rsidP="00C076C8" w:rsidRDefault="00067742" w14:paraId="62558F1B" w14:textId="77777777">
      <w:pPr>
        <w:tabs>
          <w:tab w:val="left" w:pos="720"/>
        </w:tabs>
        <w:ind w:left="720" w:right="-72" w:hanging="720"/>
        <w:rPr>
          <w:rFonts w:asciiTheme="minorHAnsi" w:hAnsiTheme="minorHAnsi"/>
          <w:sz w:val="22"/>
          <w:szCs w:val="22"/>
        </w:rPr>
      </w:pPr>
    </w:p>
    <w:p w:rsidR="006A4C35" w:rsidP="00421E3F" w:rsidRDefault="00421E3F" w14:paraId="0CDA0659" w14:textId="77777777">
      <w:pPr>
        <w:ind w:left="720"/>
        <w:jc w:val="both"/>
        <w:rPr>
          <w:rFonts w:asciiTheme="minorHAnsi" w:hAnsiTheme="minorHAnsi"/>
          <w:sz w:val="22"/>
          <w:szCs w:val="22"/>
        </w:rPr>
      </w:pPr>
      <w:r w:rsidRPr="00F530C8">
        <w:rPr>
          <w:rFonts w:asciiTheme="minorHAnsi" w:hAnsiTheme="minorHAnsi"/>
          <w:sz w:val="22"/>
          <w:szCs w:val="22"/>
        </w:rPr>
        <w:t>There are no special circumstances requiring data collection to be inconsistent with Guidelines in</w:t>
      </w:r>
    </w:p>
    <w:p w:rsidRPr="00F530C8" w:rsidR="008F75D5" w:rsidP="00421E3F" w:rsidRDefault="00421E3F" w14:paraId="317BA3E3" w14:textId="4D212D77">
      <w:pPr>
        <w:ind w:left="720"/>
        <w:jc w:val="both"/>
        <w:rPr>
          <w:rFonts w:asciiTheme="minorHAnsi" w:hAnsiTheme="minorHAnsi"/>
          <w:b/>
          <w:bCs/>
          <w:sz w:val="22"/>
          <w:szCs w:val="22"/>
        </w:rPr>
      </w:pPr>
      <w:r w:rsidRPr="00F530C8">
        <w:rPr>
          <w:rFonts w:asciiTheme="minorHAnsi" w:hAnsiTheme="minorHAnsi"/>
          <w:sz w:val="22"/>
          <w:szCs w:val="22"/>
        </w:rPr>
        <w:t xml:space="preserve"> 5 CFR 1320.5(d)(2).</w:t>
      </w:r>
    </w:p>
    <w:p w:rsidRPr="00F530C8" w:rsidR="00067742" w:rsidP="00C076C8" w:rsidRDefault="00067742" w14:paraId="06B03FD2" w14:textId="77777777">
      <w:pPr>
        <w:tabs>
          <w:tab w:val="left" w:pos="720"/>
        </w:tabs>
        <w:ind w:left="720" w:right="-72" w:hanging="720"/>
        <w:rPr>
          <w:rFonts w:asciiTheme="minorHAnsi" w:hAnsiTheme="minorHAnsi"/>
          <w:b/>
          <w:bCs/>
          <w:sz w:val="22"/>
          <w:szCs w:val="22"/>
        </w:rPr>
      </w:pPr>
    </w:p>
    <w:p w:rsidRPr="00F530C8" w:rsidR="00067742" w:rsidP="00C076C8" w:rsidRDefault="00067742" w14:paraId="079E61F5"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rsidRPr="00F530C8" w:rsidR="00067742" w:rsidP="00C076C8" w:rsidRDefault="00067742" w14:paraId="6220B6EA" w14:textId="77777777">
      <w:pPr>
        <w:tabs>
          <w:tab w:val="left" w:pos="720"/>
        </w:tabs>
        <w:ind w:left="720" w:right="-72" w:hanging="720"/>
        <w:rPr>
          <w:rFonts w:asciiTheme="minorHAnsi" w:hAnsiTheme="minorHAnsi"/>
          <w:sz w:val="22"/>
          <w:szCs w:val="22"/>
        </w:rPr>
      </w:pPr>
    </w:p>
    <w:p w:rsidRPr="00F530C8" w:rsidR="00067742" w:rsidP="00085A09" w:rsidRDefault="00067742" w14:paraId="397222C6" w14:textId="28B93FEF">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Pr="00F530C8" w:rsidR="002174CE">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067E32">
        <w:rPr>
          <w:rFonts w:asciiTheme="minorHAnsi" w:hAnsiTheme="minorHAnsi"/>
          <w:sz w:val="22"/>
          <w:szCs w:val="22"/>
        </w:rPr>
        <w:t>November 15, 2021 (86</w:t>
      </w:r>
      <w:r w:rsidR="00010B11">
        <w:rPr>
          <w:rFonts w:asciiTheme="minorHAnsi" w:hAnsiTheme="minorHAnsi"/>
          <w:sz w:val="22"/>
          <w:szCs w:val="22"/>
        </w:rPr>
        <w:t xml:space="preserve"> FR </w:t>
      </w:r>
      <w:r w:rsidR="00067E32">
        <w:rPr>
          <w:rFonts w:asciiTheme="minorHAnsi" w:hAnsiTheme="minorHAnsi"/>
          <w:sz w:val="22"/>
          <w:szCs w:val="22"/>
        </w:rPr>
        <w:t>63090</w:t>
      </w:r>
      <w:r w:rsidRPr="00ED18D6" w:rsidR="00EF0BCE">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t>
      </w:r>
      <w:r w:rsidR="00067E32">
        <w:rPr>
          <w:rFonts w:asciiTheme="minorHAnsi" w:hAnsiTheme="minorHAnsi"/>
          <w:sz w:val="22"/>
          <w:szCs w:val="22"/>
        </w:rPr>
        <w:t>IRS</w:t>
      </w:r>
      <w:r w:rsidRPr="00F530C8">
        <w:rPr>
          <w:rFonts w:asciiTheme="minorHAnsi" w:hAnsiTheme="minorHAnsi"/>
          <w:sz w:val="22"/>
          <w:szCs w:val="22"/>
        </w:rPr>
        <w:t xml:space="preserve"> received no comments during the comment period </w:t>
      </w:r>
      <w:r w:rsidR="006A4C35">
        <w:rPr>
          <w:rFonts w:asciiTheme="minorHAnsi" w:hAnsiTheme="minorHAnsi"/>
          <w:sz w:val="22"/>
          <w:szCs w:val="22"/>
        </w:rPr>
        <w:t>regarding</w:t>
      </w:r>
      <w:r w:rsidR="001334D5">
        <w:rPr>
          <w:rFonts w:asciiTheme="minorHAnsi" w:hAnsiTheme="minorHAnsi"/>
          <w:sz w:val="22"/>
          <w:szCs w:val="22"/>
        </w:rPr>
        <w:t xml:space="preserve"> these revenue procedures. </w:t>
      </w:r>
      <w:r w:rsidRPr="00F530C8">
        <w:rPr>
          <w:rFonts w:asciiTheme="minorHAnsi" w:hAnsiTheme="minorHAnsi"/>
          <w:sz w:val="22"/>
          <w:szCs w:val="22"/>
        </w:rPr>
        <w:t xml:space="preserve">   </w:t>
      </w:r>
    </w:p>
    <w:p w:rsidRPr="00F530C8" w:rsidR="00067742" w:rsidP="00C076C8" w:rsidRDefault="00067742" w14:paraId="6AACD520" w14:textId="77777777">
      <w:pPr>
        <w:tabs>
          <w:tab w:val="left" w:pos="720"/>
        </w:tabs>
        <w:ind w:left="720" w:hanging="720"/>
        <w:rPr>
          <w:rFonts w:asciiTheme="minorHAnsi" w:hAnsiTheme="minorHAnsi"/>
          <w:b/>
          <w:sz w:val="22"/>
          <w:szCs w:val="22"/>
        </w:rPr>
      </w:pPr>
    </w:p>
    <w:p w:rsidRPr="00F530C8" w:rsidR="00067742" w:rsidP="00C076C8" w:rsidRDefault="00067742" w14:paraId="03792C9B"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rsidRPr="00F530C8" w:rsidR="00067742" w:rsidP="00C076C8" w:rsidRDefault="00067742" w14:paraId="5AB0F313" w14:textId="77777777">
      <w:pPr>
        <w:tabs>
          <w:tab w:val="left" w:pos="720"/>
        </w:tabs>
        <w:ind w:left="720" w:hanging="720"/>
        <w:rPr>
          <w:rFonts w:asciiTheme="minorHAnsi" w:hAnsiTheme="minorHAnsi"/>
          <w:b/>
          <w:sz w:val="22"/>
          <w:szCs w:val="22"/>
        </w:rPr>
      </w:pPr>
    </w:p>
    <w:p w:rsidRPr="00F530C8" w:rsidR="00421E3F" w:rsidP="00421E3F" w:rsidRDefault="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Pr="00F530C8" w:rsidR="00067742" w:rsidP="00C076C8" w:rsidRDefault="00067742" w14:paraId="6B67CB21" w14:textId="77777777">
      <w:pPr>
        <w:tabs>
          <w:tab w:val="left" w:pos="720"/>
        </w:tabs>
        <w:ind w:left="720" w:hanging="720"/>
        <w:rPr>
          <w:rFonts w:asciiTheme="minorHAnsi" w:hAnsiTheme="minorHAnsi"/>
          <w:sz w:val="22"/>
          <w:szCs w:val="22"/>
        </w:rPr>
      </w:pPr>
    </w:p>
    <w:p w:rsidRPr="00F530C8" w:rsidR="00067742" w:rsidP="00C076C8" w:rsidRDefault="00067742" w14:paraId="07E8ADAC"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rsidRPr="00F530C8" w:rsidR="00067742" w:rsidP="00C076C8" w:rsidRDefault="00067742" w14:paraId="045B5C8E" w14:textId="77777777">
      <w:pPr>
        <w:tabs>
          <w:tab w:val="left" w:pos="720"/>
        </w:tabs>
        <w:ind w:left="720" w:hanging="720"/>
        <w:rPr>
          <w:rFonts w:asciiTheme="minorHAnsi" w:hAnsiTheme="minorHAnsi"/>
          <w:sz w:val="22"/>
          <w:szCs w:val="22"/>
        </w:rPr>
      </w:pPr>
    </w:p>
    <w:p w:rsidR="00067742" w:rsidP="00085A09" w:rsidRDefault="00067742" w14:paraId="3FFA687C" w14:textId="61A5DAFE">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rsidR="00067E32" w:rsidP="00085A09" w:rsidRDefault="00067E32" w14:paraId="32CF26FA" w14:textId="50172374">
      <w:pPr>
        <w:tabs>
          <w:tab w:val="left" w:pos="720"/>
        </w:tabs>
        <w:ind w:left="720"/>
        <w:rPr>
          <w:rFonts w:asciiTheme="minorHAnsi" w:hAnsiTheme="minorHAnsi"/>
          <w:sz w:val="22"/>
          <w:szCs w:val="22"/>
        </w:rPr>
      </w:pPr>
    </w:p>
    <w:p w:rsidRPr="00F530C8" w:rsidR="00067E32" w:rsidP="00085A09" w:rsidRDefault="00067E32" w14:paraId="22B802CB" w14:textId="77777777">
      <w:pPr>
        <w:tabs>
          <w:tab w:val="left" w:pos="720"/>
        </w:tabs>
        <w:ind w:left="720"/>
        <w:rPr>
          <w:rFonts w:asciiTheme="minorHAnsi" w:hAnsiTheme="minorHAnsi"/>
          <w:sz w:val="22"/>
          <w:szCs w:val="22"/>
        </w:rPr>
      </w:pPr>
    </w:p>
    <w:p w:rsidRPr="00F530C8" w:rsidR="00067742" w:rsidP="00C076C8" w:rsidRDefault="002174CE" w14:paraId="04874008" w14:textId="77777777">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rsidRPr="00F530C8" w:rsidR="00067742" w:rsidP="00C076C8" w:rsidRDefault="00067742" w14:paraId="53B0245C" w14:textId="77777777">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lastRenderedPageBreak/>
        <w:t>JUSTIFICATION OF SENSITIVE QUESTIONS</w:t>
      </w:r>
    </w:p>
    <w:p w:rsidRPr="00F530C8" w:rsidR="00067742" w:rsidP="00C076C8" w:rsidRDefault="00067742" w14:paraId="276FB2C4" w14:textId="77777777">
      <w:pPr>
        <w:tabs>
          <w:tab w:val="left" w:pos="720"/>
        </w:tabs>
        <w:ind w:left="720" w:hanging="720"/>
        <w:rPr>
          <w:rFonts w:asciiTheme="minorHAnsi" w:hAnsiTheme="minorHAnsi"/>
          <w:sz w:val="22"/>
          <w:szCs w:val="22"/>
          <w:u w:val="single"/>
        </w:rPr>
      </w:pPr>
    </w:p>
    <w:p w:rsidRPr="00F530C8" w:rsidR="00791E96" w:rsidP="00ED18D6" w:rsidRDefault="00791E96" w14:paraId="0329DEC6" w14:textId="610450FD">
      <w:pPr>
        <w:ind w:left="720"/>
        <w:rPr>
          <w:rFonts w:asciiTheme="minorHAnsi" w:hAnsiTheme="minorHAnsi"/>
          <w:sz w:val="22"/>
          <w:szCs w:val="22"/>
        </w:rPr>
      </w:pPr>
      <w:r w:rsidRPr="00F530C8">
        <w:rPr>
          <w:rFonts w:asciiTheme="minorHAnsi" w:hAnsiTheme="minorHAnsi"/>
          <w:sz w:val="22"/>
          <w:szCs w:val="22"/>
        </w:rPr>
        <w:t xml:space="preserve">There is no </w:t>
      </w:r>
      <w:r w:rsidR="00D96486">
        <w:rPr>
          <w:rFonts w:asciiTheme="minorHAnsi" w:hAnsiTheme="minorHAnsi"/>
          <w:sz w:val="22"/>
          <w:szCs w:val="22"/>
        </w:rPr>
        <w:t xml:space="preserve">sensitive </w:t>
      </w:r>
      <w:r w:rsidRPr="00F530C8">
        <w:rPr>
          <w:rFonts w:asciiTheme="minorHAnsi" w:hAnsiTheme="minorHAnsi"/>
          <w:sz w:val="22"/>
          <w:szCs w:val="22"/>
        </w:rPr>
        <w:t>personally identifiable information (PII) in this collection.</w:t>
      </w:r>
    </w:p>
    <w:p w:rsidRPr="00F530C8" w:rsidR="002174CE" w:rsidP="00C076C8" w:rsidRDefault="002174CE" w14:paraId="78541609" w14:textId="77777777">
      <w:pPr>
        <w:tabs>
          <w:tab w:val="left" w:pos="720"/>
        </w:tabs>
        <w:ind w:left="720" w:hanging="720"/>
        <w:rPr>
          <w:rFonts w:asciiTheme="minorHAnsi" w:hAnsiTheme="minorHAnsi"/>
          <w:sz w:val="22"/>
          <w:szCs w:val="22"/>
        </w:rPr>
      </w:pPr>
    </w:p>
    <w:p w:rsidR="00067742" w:rsidP="00C076C8" w:rsidRDefault="00067742" w14:paraId="4CDE5BBF" w14:textId="05941FC5">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ESTIMATED BURDEN OF INFORMATION COLLECTION</w:t>
      </w:r>
    </w:p>
    <w:p w:rsidR="003E560A" w:rsidP="003E560A" w:rsidRDefault="003E560A" w14:paraId="1E938F00" w14:textId="7F4F5EAF">
      <w:pPr>
        <w:tabs>
          <w:tab w:val="left" w:pos="720"/>
        </w:tabs>
        <w:rPr>
          <w:rFonts w:asciiTheme="minorHAnsi" w:hAnsiTheme="minorHAnsi"/>
          <w:b/>
          <w:bCs/>
          <w:sz w:val="22"/>
          <w:szCs w:val="22"/>
          <w:u w:val="single"/>
        </w:rPr>
      </w:pPr>
    </w:p>
    <w:p w:rsidRPr="00F841ED" w:rsidR="00F841ED" w:rsidP="00F841ED" w:rsidRDefault="00F841ED" w14:paraId="05BE9EC0" w14:textId="797B4F9D">
      <w:pPr>
        <w:tabs>
          <w:tab w:val="left" w:pos="720"/>
        </w:tabs>
        <w:ind w:left="720"/>
        <w:rPr>
          <w:rFonts w:asciiTheme="minorHAnsi" w:hAnsiTheme="minorHAnsi"/>
          <w:bCs/>
          <w:sz w:val="22"/>
          <w:szCs w:val="22"/>
        </w:rPr>
      </w:pPr>
      <w:r>
        <w:rPr>
          <w:rFonts w:asciiTheme="minorHAnsi" w:hAnsiTheme="minorHAnsi"/>
          <w:bCs/>
          <w:sz w:val="22"/>
          <w:szCs w:val="22"/>
        </w:rPr>
        <w:t>R</w:t>
      </w:r>
      <w:r w:rsidRPr="00F841ED">
        <w:rPr>
          <w:rFonts w:asciiTheme="minorHAnsi" w:hAnsiTheme="minorHAnsi"/>
          <w:bCs/>
          <w:sz w:val="22"/>
          <w:szCs w:val="22"/>
        </w:rPr>
        <w:t>ev. Proc. 2008-60:  The reporting requirement is contained in section 4 of the revenue procedure.  This information is required so that taxpayers may elect to terminate surety bonds or TDA accounts furnished or established under the former § 42(j)(6).  The estimated annual burden per respondent is 1 hour.  The estimated number of respondents is 7,800 for a total burden estimated to be 7,800 hours.</w:t>
      </w:r>
    </w:p>
    <w:p w:rsidRPr="00F841ED" w:rsidR="00F841ED" w:rsidP="00F841ED" w:rsidRDefault="00F841ED" w14:paraId="7CDCE092" w14:textId="77777777">
      <w:pPr>
        <w:tabs>
          <w:tab w:val="left" w:pos="720"/>
        </w:tabs>
        <w:ind w:left="720"/>
        <w:rPr>
          <w:rFonts w:asciiTheme="minorHAnsi" w:hAnsiTheme="minorHAnsi"/>
          <w:bCs/>
          <w:sz w:val="22"/>
          <w:szCs w:val="22"/>
        </w:rPr>
      </w:pPr>
      <w:r w:rsidRPr="00F841ED">
        <w:rPr>
          <w:rFonts w:asciiTheme="minorHAnsi" w:hAnsiTheme="minorHAnsi"/>
          <w:bCs/>
          <w:sz w:val="22"/>
          <w:szCs w:val="22"/>
        </w:rPr>
        <w:tab/>
      </w:r>
    </w:p>
    <w:p w:rsidRPr="003E560A" w:rsidR="003E560A" w:rsidP="00F841ED" w:rsidRDefault="00F841ED" w14:paraId="22F051B1" w14:textId="40A0436A">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Rev. Proc. 2012-27:  The reporting requirement is contained in section 4 of the revenue procedure. The information is required so that taxpayers may notify the Service of any increase in tax resulting from a reduction in the qualified basis of a low-income housing tax credit building </w:t>
      </w:r>
      <w:proofErr w:type="gramStart"/>
      <w:r w:rsidRPr="00F841ED">
        <w:rPr>
          <w:rFonts w:asciiTheme="minorHAnsi" w:hAnsiTheme="minorHAnsi"/>
          <w:bCs/>
          <w:sz w:val="22"/>
          <w:szCs w:val="22"/>
        </w:rPr>
        <w:t>in order to</w:t>
      </w:r>
      <w:proofErr w:type="gramEnd"/>
      <w:r w:rsidRPr="00F841ED">
        <w:rPr>
          <w:rFonts w:asciiTheme="minorHAnsi" w:hAnsiTheme="minorHAnsi"/>
          <w:bCs/>
          <w:sz w:val="22"/>
          <w:szCs w:val="22"/>
        </w:rPr>
        <w:t xml:space="preserve"> begin the 3-year statutory period for assessing a deficiency with respect to that taxpayer pursuant to §42(j)(6)(B)(i) of the Code. The likely respondents are taxpayers that have disposed of a low-income building (or interest therein). The estimated total annual reporting burden is 10 hours. The estimated annual burden per respondent is 1 hour, depending on the individual circumstances. The estimated total number of respondents is 10.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rsidRPr="00C076C8" w:rsidR="00067742" w:rsidP="00791E96" w:rsidRDefault="00067742" w14:paraId="085FBC13" w14:textId="77777777">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Pr="00643CFB" w:rsidR="00791E96" w:rsidTr="00791E96" w14:paraId="76DE414A"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43CFB" w:rsidR="00643CFB" w:rsidP="00791E96" w:rsidRDefault="00791E96" w14:paraId="5BBEE710" w14:textId="77777777">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45B33990"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07B4209C"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453A53D"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37F6E137"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152ABC79"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38D17FE"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Pr="00643CFB" w:rsidR="00643CFB" w:rsidTr="00791E96" w14:paraId="6818FC54"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643CFB" w:rsidR="00643CFB" w:rsidP="00643CFB" w:rsidRDefault="00F841ED" w14:paraId="477BA1CD" w14:textId="3ED579DE">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 xml:space="preserve">Rev. Proc. 2008-60 </w:t>
            </w:r>
          </w:p>
        </w:tc>
        <w:tc>
          <w:tcPr>
            <w:tcW w:w="2033"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6CFB214B" w14:textId="31DB4EF4">
            <w:pPr>
              <w:widowControl/>
              <w:autoSpaceDE/>
              <w:autoSpaceDN/>
              <w:adjustRightInd/>
              <w:jc w:val="center"/>
              <w:rPr>
                <w:rFonts w:ascii="Arial Narrow" w:hAnsi="Arial Narrow"/>
                <w:color w:val="000000"/>
                <w:sz w:val="18"/>
                <w:szCs w:val="18"/>
              </w:rPr>
            </w:pPr>
            <w:r w:rsidRPr="00F841ED">
              <w:rPr>
                <w:rFonts w:ascii="Arial Narrow" w:hAnsi="Arial Narrow"/>
                <w:color w:val="000000"/>
                <w:sz w:val="18"/>
                <w:szCs w:val="18"/>
              </w:rPr>
              <w:t>statement affirming that the taxpayer reasonably expects that the building will continue to operate as a qualified low-income building for the remainder of the building’s compliance period</w:t>
            </w:r>
          </w:p>
        </w:tc>
        <w:tc>
          <w:tcPr>
            <w:tcW w:w="1151"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793922B1" w14:textId="4468DCB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1FF4E873" w14:textId="022C13E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118638E8" w14:textId="42B2D8C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6541C770" w14:textId="3C76D814">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 hr..</w:t>
            </w:r>
          </w:p>
        </w:tc>
        <w:tc>
          <w:tcPr>
            <w:tcW w:w="918"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F841ED" w14:paraId="278D0581" w14:textId="27B02D0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 hours</w:t>
            </w:r>
          </w:p>
        </w:tc>
      </w:tr>
      <w:tr w:rsidRPr="00643CFB" w:rsidR="00F841ED" w:rsidTr="00791E96" w14:paraId="1AA50902"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00F841ED" w:rsidP="00643CFB" w:rsidRDefault="00F841ED" w14:paraId="3237FBC7" w14:textId="427DC79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Rev. Proc. 2012-27</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F841ED" w:rsidP="00643CFB" w:rsidRDefault="00F841ED" w14:paraId="28C2D870" w14:textId="68C28F4D">
            <w:pPr>
              <w:widowControl/>
              <w:autoSpaceDE/>
              <w:autoSpaceDN/>
              <w:adjustRightInd/>
              <w:jc w:val="center"/>
              <w:rPr>
                <w:rFonts w:ascii="Arial Narrow" w:hAnsi="Arial Narrow"/>
                <w:color w:val="000000"/>
                <w:sz w:val="18"/>
                <w:szCs w:val="18"/>
              </w:rPr>
            </w:pPr>
            <w:r w:rsidRPr="00F841ED">
              <w:rPr>
                <w:rFonts w:ascii="Arial Narrow" w:hAnsi="Arial Narrow"/>
                <w:color w:val="000000"/>
                <w:sz w:val="18"/>
                <w:szCs w:val="18"/>
              </w:rPr>
              <w:t>submit a letter to the IRS by following the procedures prescribed under Section 4.01 of Rev. Proc. 2012-27</w:t>
            </w:r>
          </w:p>
        </w:tc>
        <w:tc>
          <w:tcPr>
            <w:tcW w:w="1151"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55F5FDAE" w14:textId="60397EC1">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1116"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5911D081" w14:textId="2B7EFDF1">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1B78CBF8" w14:textId="1C455839">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50"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04359A2D" w14:textId="5D1DB971">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 hr.</w:t>
            </w:r>
          </w:p>
        </w:tc>
        <w:tc>
          <w:tcPr>
            <w:tcW w:w="918"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176862DA" w14:textId="707D9FD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 hours</w:t>
            </w:r>
          </w:p>
        </w:tc>
      </w:tr>
      <w:tr w:rsidRPr="00643CFB" w:rsidR="00F841ED" w:rsidTr="00791E96" w14:paraId="63818276"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F841ED" w:rsidP="00643CFB" w:rsidRDefault="00F841ED" w14:paraId="276C5AF3" w14:textId="79E04C1D">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F841ED" w:rsidP="00643CFB" w:rsidRDefault="00F841ED" w14:paraId="02E9E809" w14:textId="77777777">
            <w:pPr>
              <w:widowControl/>
              <w:autoSpaceDE/>
              <w:autoSpaceDN/>
              <w:adjustRightInd/>
              <w:jc w:val="center"/>
              <w:rPr>
                <w:rFonts w:ascii="Arial Narrow" w:hAnsi="Arial Narrow"/>
                <w:color w:val="000000"/>
                <w:sz w:val="18"/>
                <w:szCs w:val="18"/>
              </w:rPr>
            </w:pPr>
          </w:p>
        </w:tc>
        <w:tc>
          <w:tcPr>
            <w:tcW w:w="1151"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260EBE" w14:paraId="627746E2" w14:textId="59EE410D">
            <w:pPr>
              <w:widowControl/>
              <w:autoSpaceDE/>
              <w:autoSpaceDN/>
              <w:adjustRightInd/>
              <w:jc w:val="center"/>
              <w:rPr>
                <w:rFonts w:ascii="Arial Narrow" w:hAnsi="Arial Narrow"/>
                <w:color w:val="000000"/>
                <w:sz w:val="18"/>
                <w:szCs w:val="18"/>
              </w:rPr>
            </w:pPr>
            <w:r xmlns:w="http://schemas.openxmlformats.org/wordprocessingml/2006/main">
              <w:rPr>
                <w:rFonts w:ascii="Arial Narrow" w:hAnsi="Arial Narrow"/>
                <w:color w:val="000000"/>
                <w:sz w:val="18"/>
                <w:szCs w:val="18"/>
              </w:rPr>
              <w:t>7,8</w:t>
            </w:r>
            <w:r w:rsidR="00F841ED">
              <w:rPr>
                <w:rFonts w:ascii="Arial Narrow" w:hAnsi="Arial Narrow"/>
                <w:color w:val="000000"/>
                <w:sz w:val="18"/>
                <w:szCs w:val="18"/>
              </w:rPr>
              <w:t>10</w:t>
            </w:r>
          </w:p>
        </w:tc>
        <w:tc>
          <w:tcPr>
            <w:tcW w:w="1116"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14E72CFD" w14:textId="77777777">
            <w:pPr>
              <w:widowControl/>
              <w:autoSpaceDE/>
              <w:autoSpaceDN/>
              <w:adjustRightInd/>
              <w:jc w:val="center"/>
              <w:rPr>
                <w:rFonts w:ascii="Arial Narrow" w:hAnsi="Arial Narrow"/>
                <w:color w:val="000000"/>
                <w:sz w:val="18"/>
                <w:szCs w:val="18"/>
              </w:rPr>
            </w:pPr>
          </w:p>
        </w:tc>
        <w:tc>
          <w:tcPr>
            <w:tcW w:w="957"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260EBE" w14:paraId="03B5AB13" w14:textId="3ED38F35">
            <w:pPr>
              <w:widowControl/>
              <w:autoSpaceDE/>
              <w:autoSpaceDN/>
              <w:adjustRightInd/>
              <w:jc w:val="center"/>
              <w:rPr>
                <w:rFonts w:ascii="Arial Narrow" w:hAnsi="Arial Narrow"/>
                <w:color w:val="000000"/>
                <w:sz w:val="18"/>
                <w:szCs w:val="18"/>
              </w:rPr>
            </w:pPr>
            <w:r xmlns:w="http://schemas.openxmlformats.org/wordprocessingml/2006/main">
              <w:rPr>
                <w:rFonts w:ascii="Arial Narrow" w:hAnsi="Arial Narrow"/>
                <w:color w:val="000000"/>
                <w:sz w:val="18"/>
                <w:szCs w:val="18"/>
              </w:rPr>
              <w:t>7,8</w:t>
            </w:r>
            <w:r w:rsidR="00F841ED">
              <w:rPr>
                <w:rFonts w:ascii="Arial Narrow" w:hAnsi="Arial Narrow"/>
                <w:color w:val="000000"/>
                <w:sz w:val="18"/>
                <w:szCs w:val="18"/>
              </w:rPr>
              <w:t>10</w:t>
            </w:r>
          </w:p>
        </w:tc>
        <w:tc>
          <w:tcPr>
            <w:tcW w:w="950"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6B709E1D" w14:textId="77777777">
            <w:pPr>
              <w:widowControl/>
              <w:autoSpaceDE/>
              <w:autoSpaceDN/>
              <w:adjustRightInd/>
              <w:jc w:val="center"/>
              <w:rPr>
                <w:rFonts w:ascii="Arial Narrow" w:hAnsi="Arial Narrow"/>
                <w:color w:val="000000"/>
                <w:sz w:val="18"/>
                <w:szCs w:val="18"/>
              </w:rPr>
            </w:pPr>
          </w:p>
        </w:tc>
        <w:tc>
          <w:tcPr>
            <w:tcW w:w="918" w:type="dxa"/>
            <w:tcBorders>
              <w:top w:val="single" w:color="auto" w:sz="4" w:space="0"/>
              <w:left w:val="nil"/>
              <w:bottom w:val="single" w:color="auto" w:sz="4" w:space="0"/>
              <w:right w:val="single" w:color="auto" w:sz="4" w:space="0"/>
            </w:tcBorders>
            <w:shd w:val="clear" w:color="auto" w:fill="auto"/>
            <w:vAlign w:val="center"/>
          </w:tcPr>
          <w:p w:rsidR="00F841ED" w:rsidP="00643CFB" w:rsidRDefault="00F841ED" w14:paraId="5A6EB0CD" w14:textId="639C5F2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7,810</w:t>
            </w:r>
          </w:p>
        </w:tc>
      </w:tr>
    </w:tbl>
    <w:p w:rsidR="00C076C8" w:rsidP="002174CE" w:rsidRDefault="00C076C8" w14:paraId="219513E2" w14:textId="77777777">
      <w:pPr>
        <w:tabs>
          <w:tab w:val="left" w:pos="720"/>
        </w:tabs>
        <w:ind w:left="720"/>
        <w:rPr>
          <w:rFonts w:ascii="Times New Roman" w:hAnsi="Times New Roman"/>
        </w:rPr>
      </w:pPr>
    </w:p>
    <w:p w:rsidRPr="00F530C8" w:rsidR="00067742" w:rsidP="00C076C8" w:rsidRDefault="00067742" w14:paraId="525F80EC" w14:textId="77777777">
      <w:pPr>
        <w:tabs>
          <w:tab w:val="left" w:pos="720"/>
        </w:tabs>
        <w:ind w:left="720" w:hanging="720"/>
        <w:rPr>
          <w:rFonts w:asciiTheme="minorHAnsi" w:hAnsiTheme="minorHAnsi"/>
          <w:b/>
          <w:bCs/>
          <w:sz w:val="22"/>
          <w:szCs w:val="22"/>
        </w:rPr>
      </w:pPr>
    </w:p>
    <w:p w:rsidRPr="00F530C8" w:rsidR="00067742" w:rsidP="00C076C8" w:rsidRDefault="00067742" w14:paraId="34E1C3CA" w14:textId="20CE78B7">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rsidRPr="00F530C8" w:rsidR="00067742" w:rsidP="00C076C8" w:rsidRDefault="00067742" w14:paraId="5420DEFE" w14:textId="77777777">
      <w:pPr>
        <w:tabs>
          <w:tab w:val="left" w:pos="720"/>
        </w:tabs>
        <w:ind w:left="720" w:hanging="720"/>
        <w:rPr>
          <w:rFonts w:asciiTheme="minorHAnsi" w:hAnsiTheme="minorHAnsi"/>
          <w:sz w:val="22"/>
          <w:szCs w:val="22"/>
        </w:rPr>
      </w:pPr>
      <w:bookmarkStart w:name="_Hlk524897593" w:id="4"/>
    </w:p>
    <w:p w:rsidR="00421E3F" w:rsidP="008F75D5" w:rsidRDefault="008F75D5" w14:paraId="0C17A279" w14:textId="084FDD92">
      <w:pPr>
        <w:widowControl/>
        <w:tabs>
          <w:tab w:val="left" w:pos="720"/>
        </w:tabs>
        <w:autoSpaceDE/>
        <w:autoSpaceDN/>
        <w:adjustRightInd/>
        <w:ind w:left="720"/>
        <w:rPr>
          <w:rFonts w:asciiTheme="minorHAnsi" w:hAnsiTheme="minorHAnsi" w:eastAsiaTheme="minorHAnsi" w:cstheme="minorBidi"/>
          <w:sz w:val="22"/>
          <w:szCs w:val="22"/>
        </w:rPr>
      </w:pPr>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rsidR="00067E32" w:rsidP="008F75D5" w:rsidRDefault="00067E32" w14:paraId="7AF3E9E0" w14:textId="26005D1C">
      <w:pPr>
        <w:widowControl/>
        <w:tabs>
          <w:tab w:val="left" w:pos="720"/>
        </w:tabs>
        <w:autoSpaceDE/>
        <w:autoSpaceDN/>
        <w:adjustRightInd/>
        <w:ind w:left="720"/>
        <w:rPr>
          <w:rFonts w:asciiTheme="minorHAnsi" w:hAnsiTheme="minorHAnsi" w:eastAsiaTheme="minorHAnsi" w:cstheme="minorBidi"/>
          <w:sz w:val="22"/>
          <w:szCs w:val="22"/>
        </w:rPr>
      </w:pPr>
    </w:p>
    <w:p w:rsidR="00067E32" w:rsidP="008F75D5" w:rsidRDefault="00067E32" w14:paraId="7700D1DC" w14:textId="7A8F9437">
      <w:pPr>
        <w:widowControl/>
        <w:tabs>
          <w:tab w:val="left" w:pos="720"/>
        </w:tabs>
        <w:autoSpaceDE/>
        <w:autoSpaceDN/>
        <w:adjustRightInd/>
        <w:ind w:left="720"/>
        <w:rPr>
          <w:rFonts w:asciiTheme="minorHAnsi" w:hAnsiTheme="minorHAnsi" w:eastAsiaTheme="minorHAnsi" w:cstheme="minorBidi"/>
          <w:sz w:val="22"/>
          <w:szCs w:val="22"/>
        </w:rPr>
      </w:pPr>
    </w:p>
    <w:p w:rsidRPr="00F530C8" w:rsidR="00067E32" w:rsidP="008F75D5" w:rsidRDefault="00067E32" w14:paraId="7135F584" w14:textId="77777777">
      <w:pPr>
        <w:widowControl/>
        <w:tabs>
          <w:tab w:val="left" w:pos="720"/>
        </w:tabs>
        <w:autoSpaceDE/>
        <w:autoSpaceDN/>
        <w:adjustRightInd/>
        <w:ind w:left="720"/>
        <w:rPr>
          <w:rFonts w:asciiTheme="minorHAnsi" w:hAnsiTheme="minorHAnsi"/>
          <w:sz w:val="22"/>
          <w:szCs w:val="22"/>
        </w:rPr>
      </w:pPr>
    </w:p>
    <w:bookmarkEnd w:id="4"/>
    <w:p w:rsidRPr="00F530C8" w:rsidR="00067742" w:rsidP="00ED18D6" w:rsidRDefault="00067742" w14:paraId="01C0BA87" w14:textId="77777777">
      <w:pPr>
        <w:tabs>
          <w:tab w:val="left" w:pos="-1440"/>
          <w:tab w:val="left" w:pos="720"/>
        </w:tabs>
        <w:ind w:left="720" w:hanging="720"/>
        <w:rPr>
          <w:rFonts w:asciiTheme="minorHAnsi" w:hAnsiTheme="minorHAnsi"/>
          <w:sz w:val="22"/>
          <w:szCs w:val="22"/>
        </w:rPr>
      </w:pPr>
    </w:p>
    <w:p w:rsidRPr="00B27BA4" w:rsidR="00067742" w:rsidP="00C076C8" w:rsidRDefault="00067742" w14:paraId="59C073DB" w14:textId="2A124A9E">
      <w:pPr>
        <w:numPr>
          <w:ilvl w:val="0"/>
          <w:numId w:val="4"/>
        </w:numPr>
        <w:tabs>
          <w:tab w:val="left" w:pos="720"/>
        </w:tabs>
        <w:ind w:hanging="720"/>
        <w:rPr>
          <w:rFonts w:asciiTheme="minorHAnsi" w:hAnsiTheme="minorHAnsi"/>
          <w:b/>
          <w:bCs/>
          <w:sz w:val="22"/>
          <w:szCs w:val="22"/>
        </w:rPr>
      </w:pPr>
      <w:r w:rsidRPr="00B27BA4">
        <w:rPr>
          <w:rFonts w:asciiTheme="minorHAnsi" w:hAnsiTheme="minorHAnsi"/>
          <w:b/>
          <w:bCs/>
          <w:sz w:val="22"/>
          <w:szCs w:val="22"/>
          <w:u w:val="single"/>
        </w:rPr>
        <w:lastRenderedPageBreak/>
        <w:t>ESTIMATED ANNUALIZED</w:t>
      </w:r>
      <w:r w:rsidRPr="00F530C8">
        <w:rPr>
          <w:rFonts w:asciiTheme="minorHAnsi" w:hAnsiTheme="minorHAnsi"/>
          <w:b/>
          <w:bCs/>
          <w:sz w:val="22"/>
          <w:szCs w:val="22"/>
          <w:u w:val="single"/>
        </w:rPr>
        <w:t xml:space="preserve"> COST TO THE FEDERAL GOVERNMENT</w:t>
      </w:r>
    </w:p>
    <w:p w:rsidR="00B27BA4" w:rsidP="00B27BA4" w:rsidRDefault="00B27BA4" w14:paraId="1AC55D40" w14:textId="78D0D7AB">
      <w:pPr>
        <w:tabs>
          <w:tab w:val="left" w:pos="720"/>
        </w:tabs>
        <w:rPr>
          <w:rFonts w:asciiTheme="minorHAnsi" w:hAnsiTheme="minorHAnsi"/>
          <w:b/>
          <w:bCs/>
          <w:sz w:val="22"/>
          <w:szCs w:val="22"/>
          <w:u w:val="single"/>
        </w:rPr>
      </w:pPr>
    </w:p>
    <w:p w:rsidRPr="00B27BA4" w:rsidR="00B27BA4" w:rsidP="00B27BA4" w:rsidRDefault="00B27BA4" w14:paraId="6E1D089B" w14:textId="255D825B">
      <w:pPr>
        <w:tabs>
          <w:tab w:val="left" w:pos="720"/>
        </w:tabs>
        <w:ind w:left="720" w:hanging="720"/>
        <w:rPr>
          <w:rFonts w:asciiTheme="minorHAnsi" w:hAnsiTheme="minorHAnsi"/>
          <w:bCs/>
          <w:sz w:val="22"/>
          <w:szCs w:val="22"/>
        </w:rPr>
      </w:pPr>
      <w:r>
        <w:rPr>
          <w:rFonts w:asciiTheme="minorHAnsi" w:hAnsiTheme="minorHAnsi"/>
          <w:bCs/>
          <w:sz w:val="22"/>
          <w:szCs w:val="22"/>
        </w:rPr>
        <w:t xml:space="preserve">               </w:t>
      </w:r>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IRS will update this information collection to reflect a more precise </w:t>
      </w:r>
      <w:r w:rsidR="00067E32">
        <w:rPr>
          <w:rFonts w:asciiTheme="minorHAnsi" w:hAnsiTheme="minorHAnsi" w:eastAsiaTheme="minorHAnsi" w:cstheme="minorBidi"/>
          <w:sz w:val="22"/>
          <w:szCs w:val="22"/>
        </w:rPr>
        <w:t>e</w:t>
      </w:r>
      <w:r w:rsidRPr="008F75D5">
        <w:rPr>
          <w:rFonts w:asciiTheme="minorHAnsi" w:hAnsiTheme="minorHAnsi" w:eastAsiaTheme="minorHAnsi" w:cstheme="minorBidi"/>
          <w:sz w:val="22"/>
          <w:szCs w:val="22"/>
        </w:rPr>
        <w:t xml:space="preserve">stimate of burden and costs.   </w:t>
      </w:r>
    </w:p>
    <w:p w:rsidRPr="00F530C8" w:rsidR="00067742" w:rsidP="00C076C8" w:rsidRDefault="00067742" w14:paraId="472975D9" w14:textId="77777777">
      <w:pPr>
        <w:tabs>
          <w:tab w:val="left" w:pos="720"/>
        </w:tabs>
        <w:ind w:left="720" w:hanging="720"/>
        <w:rPr>
          <w:rFonts w:asciiTheme="minorHAnsi" w:hAnsiTheme="minorHAnsi"/>
          <w:sz w:val="22"/>
          <w:szCs w:val="22"/>
        </w:rPr>
      </w:pPr>
    </w:p>
    <w:p w:rsidRPr="00F530C8" w:rsidR="00067742" w:rsidP="002174CE" w:rsidRDefault="00067742" w14:paraId="03958D5B" w14:textId="77777777">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rsidRPr="00F530C8" w:rsidR="00067742" w:rsidP="00C076C8" w:rsidRDefault="00067742" w14:paraId="1B5C9F46" w14:textId="77777777">
      <w:pPr>
        <w:tabs>
          <w:tab w:val="left" w:pos="720"/>
        </w:tabs>
        <w:ind w:left="720" w:hanging="720"/>
        <w:rPr>
          <w:rFonts w:asciiTheme="minorHAnsi" w:hAnsiTheme="minorHAnsi"/>
          <w:b/>
          <w:sz w:val="22"/>
          <w:szCs w:val="22"/>
        </w:rPr>
      </w:pPr>
    </w:p>
    <w:p w:rsidR="00C33A48" w:rsidP="00085A09" w:rsidRDefault="00F841ED" w14:paraId="36AC9D77" w14:textId="1BF77297">
      <w:pPr>
        <w:tabs>
          <w:tab w:val="left" w:pos="720"/>
        </w:tabs>
        <w:ind w:left="720"/>
        <w:rPr>
          <w:rFonts w:asciiTheme="minorHAnsi" w:hAnsiTheme="minorHAnsi"/>
          <w:sz w:val="22"/>
          <w:szCs w:val="22"/>
        </w:rPr>
      </w:pPr>
      <w:r w:rsidRPr="00F841ED">
        <w:rPr>
          <w:rFonts w:asciiTheme="minorHAnsi" w:hAnsiTheme="minorHAnsi"/>
          <w:sz w:val="22"/>
          <w:szCs w:val="22"/>
        </w:rPr>
        <w:t>There is no change in the paperwork burden previously approved by OMB</w:t>
      </w:r>
      <w:r>
        <w:rPr>
          <w:rFonts w:asciiTheme="minorHAnsi" w:hAnsiTheme="minorHAnsi"/>
          <w:sz w:val="22"/>
          <w:szCs w:val="22"/>
        </w:rPr>
        <w:t>.</w:t>
      </w:r>
      <w:r w:rsidR="00067E32">
        <w:rPr>
          <w:rFonts w:asciiTheme="minorHAnsi" w:hAnsiTheme="minorHAnsi"/>
          <w:sz w:val="22"/>
          <w:szCs w:val="22"/>
        </w:rPr>
        <w:t xml:space="preserve">  IRS is submitting this collection for renewal purposes.</w:t>
      </w:r>
    </w:p>
    <w:p w:rsidR="00F841ED" w:rsidP="00085A09" w:rsidRDefault="00F841ED" w14:paraId="71CED72D" w14:textId="77777777">
      <w:pPr>
        <w:tabs>
          <w:tab w:val="left" w:pos="720"/>
        </w:tabs>
        <w:ind w:left="720"/>
        <w:rPr>
          <w:rFonts w:asciiTheme="minorHAnsi" w:hAnsiTheme="minorHAnsi"/>
          <w:sz w:val="22"/>
          <w:szCs w:val="22"/>
        </w:rPr>
      </w:pPr>
    </w:p>
    <w:tbl>
      <w:tblPr>
        <w:tblW w:w="5034"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Change w:author="Author" w:id="5">
          <w:tblPr>
            <w:tblW w:w="5000"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PrChange>
      </w:tblPr>
      <w:tblGrid>
        <w:gridCol w:w="1405"/>
        <w:gridCol w:w="1161"/>
        <w:gridCol w:w="1405"/>
        <w:gridCol w:w="1405"/>
        <w:gridCol w:w="1466"/>
        <w:gridCol w:w="1653"/>
        <w:gridCol w:w="1058"/>
        <w:tblGridChange w:id="6">
          <w:tblGrid>
            <w:gridCol w:w="1405"/>
            <w:gridCol w:w="1159"/>
            <w:gridCol w:w="1405"/>
            <w:gridCol w:w="1405"/>
            <w:gridCol w:w="1402"/>
            <w:gridCol w:w="1653"/>
            <w:gridCol w:w="1059"/>
          </w:tblGrid>
        </w:tblGridChange>
      </w:tblGrid>
      <w:tr w:rsidRPr="00C33A48" w:rsidR="00260EBE" w:rsidTr="00260EBE" w14:paraId="6639EA6C" w14:textId="77777777">
        <w:tc>
          <w:tcPr>
            <w:tcW w:w="735" w:type="pct"/>
            <w:tcBorders>
              <w:top w:val="outset" w:color="auto" w:sz="6" w:space="0"/>
              <w:left w:val="outset" w:color="auto" w:sz="6" w:space="0"/>
              <w:bottom w:val="outset" w:color="auto" w:sz="6" w:space="0"/>
              <w:right w:val="outset" w:color="auto" w:sz="6" w:space="0"/>
            </w:tcBorders>
            <w:vAlign w:val="center"/>
            <w:hideMark/>
            <w:tcPrChange w:author="Author" w:id="7">
              <w:tcPr>
                <w:tcW w:w="740"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64532F1D"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 </w:t>
            </w:r>
          </w:p>
        </w:tc>
        <w:tc>
          <w:tcPr>
            <w:tcW w:w="607" w:type="pct"/>
            <w:tcBorders>
              <w:top w:val="outset" w:color="auto" w:sz="6" w:space="0"/>
              <w:left w:val="outset" w:color="auto" w:sz="6" w:space="0"/>
              <w:bottom w:val="outset" w:color="auto" w:sz="6" w:space="0"/>
              <w:right w:val="outset" w:color="auto" w:sz="6" w:space="0"/>
            </w:tcBorders>
            <w:vAlign w:val="center"/>
            <w:hideMark/>
            <w:tcPrChange w:author="Author" w:id="8">
              <w:tcPr>
                <w:tcW w:w="610"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664352DC"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Requested</w:t>
            </w:r>
          </w:p>
        </w:tc>
        <w:tc>
          <w:tcPr>
            <w:tcW w:w="735" w:type="pct"/>
            <w:tcBorders>
              <w:top w:val="outset" w:color="auto" w:sz="6" w:space="0"/>
              <w:left w:val="outset" w:color="auto" w:sz="6" w:space="0"/>
              <w:bottom w:val="outset" w:color="auto" w:sz="6" w:space="0"/>
              <w:right w:val="outset" w:color="auto" w:sz="6" w:space="0"/>
            </w:tcBorders>
            <w:vAlign w:val="center"/>
            <w:hideMark/>
            <w:tcPrChange w:author="Author" w:id="9">
              <w:tcPr>
                <w:tcW w:w="740"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3FCEAE45"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Program Change Due to New Statute</w:t>
            </w:r>
          </w:p>
        </w:tc>
        <w:tc>
          <w:tcPr>
            <w:tcW w:w="735" w:type="pct"/>
            <w:tcBorders>
              <w:top w:val="outset" w:color="auto" w:sz="6" w:space="0"/>
              <w:left w:val="outset" w:color="auto" w:sz="6" w:space="0"/>
              <w:bottom w:val="outset" w:color="auto" w:sz="6" w:space="0"/>
              <w:right w:val="outset" w:color="auto" w:sz="6" w:space="0"/>
            </w:tcBorders>
            <w:vAlign w:val="center"/>
            <w:hideMark/>
            <w:tcPrChange w:author="Author" w:id="10">
              <w:tcPr>
                <w:tcW w:w="740"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77005991"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Program Change Due to Agency Discretion</w:t>
            </w:r>
          </w:p>
        </w:tc>
        <w:tc>
          <w:tcPr>
            <w:tcW w:w="767" w:type="pct"/>
            <w:tcBorders>
              <w:top w:val="outset" w:color="auto" w:sz="6" w:space="0"/>
              <w:left w:val="outset" w:color="auto" w:sz="6" w:space="0"/>
              <w:bottom w:val="outset" w:color="auto" w:sz="6" w:space="0"/>
              <w:right w:val="outset" w:color="auto" w:sz="6" w:space="0"/>
            </w:tcBorders>
            <w:vAlign w:val="center"/>
            <w:hideMark/>
            <w:tcPrChange w:author="Author" w:id="11">
              <w:tcPr>
                <w:tcW w:w="739"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6378FAF9"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Change Due to Adjustment in Agency Estimate</w:t>
            </w:r>
          </w:p>
        </w:tc>
        <w:tc>
          <w:tcPr>
            <w:tcW w:w="865" w:type="pct"/>
            <w:tcBorders>
              <w:top w:val="outset" w:color="auto" w:sz="6" w:space="0"/>
              <w:left w:val="outset" w:color="auto" w:sz="6" w:space="0"/>
              <w:bottom w:val="outset" w:color="auto" w:sz="6" w:space="0"/>
              <w:right w:val="outset" w:color="auto" w:sz="6" w:space="0"/>
            </w:tcBorders>
            <w:vAlign w:val="center"/>
            <w:hideMark/>
            <w:tcPrChange w:author="Author" w:id="12">
              <w:tcPr>
                <w:tcW w:w="871"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3341007E"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Change Due to Potential Violation of the PRA</w:t>
            </w:r>
          </w:p>
        </w:tc>
        <w:tc>
          <w:tcPr>
            <w:tcW w:w="554" w:type="pct"/>
            <w:tcBorders>
              <w:top w:val="outset" w:color="auto" w:sz="6" w:space="0"/>
              <w:left w:val="outset" w:color="auto" w:sz="6" w:space="0"/>
              <w:bottom w:val="outset" w:color="auto" w:sz="6" w:space="0"/>
              <w:right w:val="outset" w:color="auto" w:sz="6" w:space="0"/>
            </w:tcBorders>
            <w:vAlign w:val="center"/>
            <w:hideMark/>
            <w:tcPrChange w:author="Author" w:id="13">
              <w:tcPr>
                <w:tcW w:w="558" w:type="pct"/>
                <w:tcBorders>
                  <w:top w:val="outset" w:color="auto" w:sz="6" w:space="0"/>
                  <w:left w:val="outset" w:color="auto" w:sz="6" w:space="0"/>
                  <w:bottom w:val="outset" w:color="auto" w:sz="6" w:space="0"/>
                  <w:right w:val="outset" w:color="auto" w:sz="6" w:space="0"/>
                </w:tcBorders>
                <w:vAlign w:val="center"/>
                <w:hideMark/>
              </w:tcPr>
            </w:tcPrChange>
          </w:tcPr>
          <w:p w:rsidRPr="00C33A48" w:rsidR="00C33A48" w:rsidP="00C33A48" w:rsidRDefault="00C33A48" w14:paraId="5FBCBA0A" w14:textId="77777777">
            <w:pPr>
              <w:widowControl/>
              <w:autoSpaceDE/>
              <w:autoSpaceDN/>
              <w:adjustRightInd/>
              <w:jc w:val="center"/>
              <w:rPr>
                <w:rFonts w:cs="Arial" w:asciiTheme="minorHAnsi" w:hAnsiTheme="minorHAnsi"/>
                <w:b/>
                <w:bCs/>
                <w:color w:val="000000"/>
                <w:sz w:val="20"/>
                <w:szCs w:val="20"/>
              </w:rPr>
            </w:pPr>
            <w:r w:rsidRPr="00C33A48">
              <w:rPr>
                <w:rFonts w:cs="Arial" w:asciiTheme="minorHAnsi" w:hAnsiTheme="minorHAnsi"/>
                <w:b/>
                <w:bCs/>
                <w:color w:val="000000"/>
                <w:sz w:val="20"/>
                <w:szCs w:val="20"/>
              </w:rPr>
              <w:t>Previously Approved</w:t>
            </w:r>
          </w:p>
        </w:tc>
      </w:tr>
      <w:tr w:rsidRPr="00C33A48" w:rsidR="00260EBE" w:rsidTr="00260EBE" w14:paraId="4622625A" w14:textId="77777777">
        <w:tc>
          <w:tcPr>
            <w:tcW w:w="735" w:type="pct"/>
            <w:tcBorders>
              <w:top w:val="outset" w:color="auto" w:sz="6" w:space="0"/>
              <w:left w:val="outset" w:color="auto" w:sz="6" w:space="0"/>
              <w:bottom w:val="outset" w:color="auto" w:sz="6" w:space="0"/>
              <w:right w:val="outset" w:color="auto" w:sz="6" w:space="0"/>
            </w:tcBorders>
            <w:hideMark/>
            <w:tcPrChange w:author="Author" w:id="14">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56E31470"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Annual Number of Responses for this IC</w:t>
            </w:r>
          </w:p>
        </w:tc>
        <w:tc>
          <w:tcPr>
            <w:tcW w:w="607" w:type="pct"/>
            <w:tcBorders>
              <w:top w:val="outset" w:color="auto" w:sz="6" w:space="0"/>
              <w:left w:val="outset" w:color="auto" w:sz="6" w:space="0"/>
              <w:bottom w:val="outset" w:color="auto" w:sz="6" w:space="0"/>
              <w:right w:val="outset" w:color="auto" w:sz="6" w:space="0"/>
            </w:tcBorders>
            <w:tcPrChange w:author="Author" w:id="15">
              <w:tcPr>
                <w:tcW w:w="610" w:type="pct"/>
                <w:tcBorders>
                  <w:top w:val="outset" w:color="auto" w:sz="6" w:space="0"/>
                  <w:left w:val="outset" w:color="auto" w:sz="6" w:space="0"/>
                  <w:bottom w:val="outset" w:color="auto" w:sz="6" w:space="0"/>
                  <w:right w:val="outset" w:color="auto" w:sz="6" w:space="0"/>
                </w:tcBorders>
              </w:tcPr>
            </w:tcPrChange>
          </w:tcPr>
          <w:p w:rsidRPr="00C33A48" w:rsidR="00C33A48" w:rsidP="00C33A48" w:rsidRDefault="00067E32" w14:paraId="6093F968" w14:textId="40BAF3CE">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 xml:space="preserve">        </w:t>
            </w:r>
            <w:r w:rsidR="00B27BA4">
              <w:rPr>
                <w:rFonts w:cs="Arial" w:asciiTheme="minorHAnsi" w:hAnsiTheme="minorHAnsi"/>
                <w:color w:val="000000"/>
                <w:sz w:val="20"/>
                <w:szCs w:val="20"/>
              </w:rPr>
              <w:t>7,810</w:t>
            </w:r>
          </w:p>
        </w:tc>
        <w:tc>
          <w:tcPr>
            <w:tcW w:w="735" w:type="pct"/>
            <w:tcBorders>
              <w:top w:val="outset" w:color="auto" w:sz="6" w:space="0"/>
              <w:left w:val="outset" w:color="auto" w:sz="6" w:space="0"/>
              <w:bottom w:val="outset" w:color="auto" w:sz="6" w:space="0"/>
              <w:right w:val="outset" w:color="auto" w:sz="6" w:space="0"/>
            </w:tcBorders>
            <w:hideMark/>
            <w:tcPrChange w:author="Author" w:id="16">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27D3FA20"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735" w:type="pct"/>
            <w:tcBorders>
              <w:top w:val="outset" w:color="auto" w:sz="6" w:space="0"/>
              <w:left w:val="outset" w:color="auto" w:sz="6" w:space="0"/>
              <w:bottom w:val="outset" w:color="auto" w:sz="6" w:space="0"/>
              <w:right w:val="outset" w:color="auto" w:sz="6" w:space="0"/>
            </w:tcBorders>
            <w:hideMark/>
            <w:tcPrChange w:author="Author" w:id="17">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0A2F7452"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767" w:type="pct"/>
            <w:tcBorders>
              <w:top w:val="outset" w:color="auto" w:sz="6" w:space="0"/>
              <w:left w:val="outset" w:color="auto" w:sz="6" w:space="0"/>
              <w:bottom w:val="outset" w:color="auto" w:sz="6" w:space="0"/>
              <w:right w:val="outset" w:color="auto" w:sz="6" w:space="0"/>
            </w:tcBorders>
            <w:hideMark/>
            <w:tcPrChange w:author="Author" w:id="18">
              <w:tcPr>
                <w:tcW w:w="739"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598E2755"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865" w:type="pct"/>
            <w:tcBorders>
              <w:top w:val="outset" w:color="auto" w:sz="6" w:space="0"/>
              <w:left w:val="outset" w:color="auto" w:sz="6" w:space="0"/>
              <w:bottom w:val="outset" w:color="auto" w:sz="6" w:space="0"/>
              <w:right w:val="outset" w:color="auto" w:sz="6" w:space="0"/>
            </w:tcBorders>
            <w:hideMark/>
            <w:tcPrChange w:author="Author" w:id="19">
              <w:tcPr>
                <w:tcW w:w="871"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3D87D4E6"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554" w:type="pct"/>
            <w:tcBorders>
              <w:top w:val="outset" w:color="auto" w:sz="6" w:space="0"/>
              <w:left w:val="outset" w:color="auto" w:sz="6" w:space="0"/>
              <w:bottom w:val="outset" w:color="auto" w:sz="6" w:space="0"/>
              <w:right w:val="outset" w:color="auto" w:sz="6" w:space="0"/>
            </w:tcBorders>
            <w:hideMark/>
            <w:tcPrChange w:author="Author" w:id="20">
              <w:tcPr>
                <w:tcW w:w="558"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067E32" w14:paraId="1EFF6069" w14:textId="1369D1D5">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 xml:space="preserve">        </w:t>
            </w:r>
            <w:r w:rsidR="00B27BA4">
              <w:rPr>
                <w:rFonts w:cs="Arial" w:asciiTheme="minorHAnsi" w:hAnsiTheme="minorHAnsi"/>
                <w:color w:val="000000"/>
                <w:sz w:val="20"/>
                <w:szCs w:val="20"/>
              </w:rPr>
              <w:t>7,810</w:t>
            </w:r>
          </w:p>
        </w:tc>
      </w:tr>
      <w:tr w:rsidRPr="00C33A48" w:rsidR="00260EBE" w:rsidTr="00260EBE" w14:paraId="440E179E" w14:textId="77777777">
        <w:tc>
          <w:tcPr>
            <w:tcW w:w="735" w:type="pct"/>
            <w:tcBorders>
              <w:top w:val="outset" w:color="auto" w:sz="6" w:space="0"/>
              <w:left w:val="outset" w:color="auto" w:sz="6" w:space="0"/>
              <w:bottom w:val="outset" w:color="auto" w:sz="6" w:space="0"/>
              <w:right w:val="outset" w:color="auto" w:sz="6" w:space="0"/>
            </w:tcBorders>
            <w:hideMark/>
            <w:tcPrChange w:author="Author" w:id="21">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3023F81A"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Annual IC Time Burden (Hours)</w:t>
            </w:r>
          </w:p>
        </w:tc>
        <w:tc>
          <w:tcPr>
            <w:tcW w:w="607" w:type="pct"/>
            <w:tcBorders>
              <w:top w:val="outset" w:color="auto" w:sz="6" w:space="0"/>
              <w:left w:val="outset" w:color="auto" w:sz="6" w:space="0"/>
              <w:bottom w:val="outset" w:color="auto" w:sz="6" w:space="0"/>
              <w:right w:val="outset" w:color="auto" w:sz="6" w:space="0"/>
            </w:tcBorders>
            <w:hideMark/>
            <w:tcPrChange w:author="Author" w:id="22">
              <w:tcPr>
                <w:tcW w:w="61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067E32" w14:paraId="6EF1DC60" w14:textId="3A60776D">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 xml:space="preserve">       </w:t>
            </w:r>
            <w:r w:rsidR="00B27BA4">
              <w:rPr>
                <w:rFonts w:cs="Arial" w:asciiTheme="minorHAnsi" w:hAnsiTheme="minorHAnsi"/>
                <w:color w:val="000000"/>
                <w:sz w:val="20"/>
                <w:szCs w:val="20"/>
              </w:rPr>
              <w:t>7,810</w:t>
            </w:r>
          </w:p>
        </w:tc>
        <w:tc>
          <w:tcPr>
            <w:tcW w:w="735" w:type="pct"/>
            <w:tcBorders>
              <w:top w:val="outset" w:color="auto" w:sz="6" w:space="0"/>
              <w:left w:val="outset" w:color="auto" w:sz="6" w:space="0"/>
              <w:bottom w:val="outset" w:color="auto" w:sz="6" w:space="0"/>
              <w:right w:val="outset" w:color="auto" w:sz="6" w:space="0"/>
            </w:tcBorders>
            <w:hideMark/>
            <w:tcPrChange w:author="Author" w:id="23">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B27BA4" w14:paraId="4FA05466" w14:textId="001B3836">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0</w:t>
            </w:r>
          </w:p>
        </w:tc>
        <w:tc>
          <w:tcPr>
            <w:tcW w:w="735" w:type="pct"/>
            <w:tcBorders>
              <w:top w:val="outset" w:color="auto" w:sz="6" w:space="0"/>
              <w:left w:val="outset" w:color="auto" w:sz="6" w:space="0"/>
              <w:bottom w:val="outset" w:color="auto" w:sz="6" w:space="0"/>
              <w:right w:val="outset" w:color="auto" w:sz="6" w:space="0"/>
            </w:tcBorders>
            <w:hideMark/>
            <w:tcPrChange w:author="Author" w:id="24">
              <w:tcPr>
                <w:tcW w:w="740"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54D29AE7"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767" w:type="pct"/>
            <w:tcBorders>
              <w:top w:val="outset" w:color="auto" w:sz="6" w:space="0"/>
              <w:left w:val="outset" w:color="auto" w:sz="6" w:space="0"/>
              <w:bottom w:val="outset" w:color="auto" w:sz="6" w:space="0"/>
              <w:right w:val="outset" w:color="auto" w:sz="6" w:space="0"/>
            </w:tcBorders>
            <w:hideMark/>
            <w:tcPrChange w:author="Author" w:id="25">
              <w:tcPr>
                <w:tcW w:w="739"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2E8D858F"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865" w:type="pct"/>
            <w:tcBorders>
              <w:top w:val="outset" w:color="auto" w:sz="6" w:space="0"/>
              <w:left w:val="outset" w:color="auto" w:sz="6" w:space="0"/>
              <w:bottom w:val="outset" w:color="auto" w:sz="6" w:space="0"/>
              <w:right w:val="outset" w:color="auto" w:sz="6" w:space="0"/>
            </w:tcBorders>
            <w:hideMark/>
            <w:tcPrChange w:author="Author" w:id="26">
              <w:tcPr>
                <w:tcW w:w="871"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C33A48" w14:paraId="0649792C" w14:textId="77777777">
            <w:pPr>
              <w:widowControl/>
              <w:autoSpaceDE/>
              <w:autoSpaceDN/>
              <w:adjustRightInd/>
              <w:rPr>
                <w:rFonts w:cs="Arial" w:asciiTheme="minorHAnsi" w:hAnsiTheme="minorHAnsi"/>
                <w:color w:val="000000"/>
                <w:sz w:val="20"/>
                <w:szCs w:val="20"/>
              </w:rPr>
            </w:pPr>
            <w:r w:rsidRPr="00C33A48">
              <w:rPr>
                <w:rFonts w:cs="Arial" w:asciiTheme="minorHAnsi" w:hAnsiTheme="minorHAnsi"/>
                <w:color w:val="000000"/>
                <w:sz w:val="20"/>
                <w:szCs w:val="20"/>
              </w:rPr>
              <w:t>0</w:t>
            </w:r>
          </w:p>
        </w:tc>
        <w:tc>
          <w:tcPr>
            <w:tcW w:w="554" w:type="pct"/>
            <w:tcBorders>
              <w:top w:val="outset" w:color="auto" w:sz="6" w:space="0"/>
              <w:left w:val="outset" w:color="auto" w:sz="6" w:space="0"/>
              <w:bottom w:val="outset" w:color="auto" w:sz="6" w:space="0"/>
              <w:right w:val="outset" w:color="auto" w:sz="6" w:space="0"/>
            </w:tcBorders>
            <w:hideMark/>
            <w:tcPrChange w:author="Author" w:id="27">
              <w:tcPr>
                <w:tcW w:w="558" w:type="pct"/>
                <w:tcBorders>
                  <w:top w:val="outset" w:color="auto" w:sz="6" w:space="0"/>
                  <w:left w:val="outset" w:color="auto" w:sz="6" w:space="0"/>
                  <w:bottom w:val="outset" w:color="auto" w:sz="6" w:space="0"/>
                  <w:right w:val="outset" w:color="auto" w:sz="6" w:space="0"/>
                </w:tcBorders>
                <w:hideMark/>
              </w:tcPr>
            </w:tcPrChange>
          </w:tcPr>
          <w:p w:rsidRPr="00C33A48" w:rsidR="00C33A48" w:rsidP="00C33A48" w:rsidRDefault="00067E32" w14:paraId="4BBA45A1" w14:textId="4C12E84B">
            <w:pPr>
              <w:widowControl/>
              <w:autoSpaceDE/>
              <w:autoSpaceDN/>
              <w:adjustRightInd/>
              <w:rPr>
                <w:rFonts w:cs="Arial" w:asciiTheme="minorHAnsi" w:hAnsiTheme="minorHAnsi"/>
                <w:color w:val="000000"/>
                <w:sz w:val="20"/>
                <w:szCs w:val="20"/>
              </w:rPr>
            </w:pPr>
            <w:r>
              <w:rPr>
                <w:rFonts w:cs="Arial" w:asciiTheme="minorHAnsi" w:hAnsiTheme="minorHAnsi"/>
                <w:color w:val="000000"/>
                <w:sz w:val="20"/>
                <w:szCs w:val="20"/>
              </w:rPr>
              <w:t xml:space="preserve">        </w:t>
            </w:r>
            <w:r w:rsidR="00B27BA4">
              <w:rPr>
                <w:rFonts w:cs="Arial" w:asciiTheme="minorHAnsi" w:hAnsiTheme="minorHAnsi"/>
                <w:color w:val="000000"/>
                <w:sz w:val="20"/>
                <w:szCs w:val="20"/>
              </w:rPr>
              <w:t>7,810</w:t>
            </w:r>
          </w:p>
        </w:tc>
      </w:tr>
    </w:tbl>
    <w:p w:rsidRPr="00C33A48" w:rsidR="00C076C8" w:rsidP="00085A09" w:rsidRDefault="005C1464" w14:paraId="4B56F148" w14:textId="1BC38406">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rsidRPr="00C33A48" w:rsidR="00C33A48" w:rsidP="00C076C8" w:rsidRDefault="00C33A48" w14:paraId="620406BA" w14:textId="77777777">
      <w:pPr>
        <w:tabs>
          <w:tab w:val="left" w:pos="720"/>
        </w:tabs>
        <w:ind w:left="720" w:hanging="720"/>
        <w:rPr>
          <w:rFonts w:asciiTheme="minorHAnsi" w:hAnsiTheme="minorHAnsi"/>
          <w:b/>
          <w:sz w:val="20"/>
          <w:szCs w:val="20"/>
        </w:rPr>
      </w:pPr>
    </w:p>
    <w:p w:rsidRPr="00F530C8" w:rsidR="00067742" w:rsidP="00C076C8" w:rsidRDefault="00067742" w14:paraId="1DA3DBDC"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rsidRPr="00F530C8" w:rsidR="00067742" w:rsidP="00C076C8" w:rsidRDefault="00067742" w14:paraId="32364809" w14:textId="77777777">
      <w:pPr>
        <w:tabs>
          <w:tab w:val="left" w:pos="720"/>
        </w:tabs>
        <w:ind w:left="720" w:hanging="720"/>
        <w:rPr>
          <w:rFonts w:asciiTheme="minorHAnsi" w:hAnsiTheme="minorHAnsi"/>
          <w:b/>
          <w:sz w:val="22"/>
          <w:szCs w:val="22"/>
        </w:rPr>
      </w:pPr>
    </w:p>
    <w:p w:rsidRPr="00F530C8" w:rsidR="00421E3F" w:rsidP="00421E3F" w:rsidRDefault="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Pr="00ED18D6" w:rsidR="005C0C47" w:rsidP="00ED18D6" w:rsidRDefault="005C0C47" w14:paraId="41AEFD10" w14:textId="77777777">
      <w:pPr>
        <w:spacing w:line="228" w:lineRule="auto"/>
        <w:ind w:firstLine="720"/>
        <w:rPr>
          <w:rFonts w:asciiTheme="minorHAnsi" w:hAnsiTheme="minorHAnsi"/>
          <w:sz w:val="22"/>
          <w:szCs w:val="22"/>
        </w:rPr>
      </w:pPr>
    </w:p>
    <w:p w:rsidRPr="00F530C8" w:rsidR="00067742" w:rsidP="00C076C8" w:rsidRDefault="00067742" w14:paraId="712F147E"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rsidRPr="00F530C8" w:rsidR="00067742" w:rsidP="00C076C8" w:rsidRDefault="00067742" w14:paraId="36322321" w14:textId="77777777">
      <w:pPr>
        <w:tabs>
          <w:tab w:val="left" w:pos="720"/>
        </w:tabs>
        <w:ind w:left="720" w:hanging="720"/>
        <w:rPr>
          <w:rFonts w:asciiTheme="minorHAnsi" w:hAnsiTheme="minorHAnsi"/>
          <w:sz w:val="22"/>
          <w:szCs w:val="22"/>
        </w:rPr>
      </w:pPr>
    </w:p>
    <w:p w:rsidRPr="00F530C8" w:rsidR="00421E3F" w:rsidP="00085A09" w:rsidRDefault="00067E32" w14:paraId="3C7A7E7B" w14:textId="5EB8EB6A">
      <w:pPr>
        <w:tabs>
          <w:tab w:val="num" w:pos="720"/>
        </w:tabs>
        <w:ind w:left="720"/>
        <w:rPr>
          <w:rFonts w:asciiTheme="minorHAnsi" w:hAnsiTheme="minorHAnsi"/>
          <w:sz w:val="22"/>
          <w:szCs w:val="22"/>
        </w:rPr>
      </w:pPr>
      <w:r>
        <w:rPr>
          <w:rFonts w:asciiTheme="minorHAnsi" w:hAnsiTheme="minorHAnsi"/>
          <w:sz w:val="22"/>
          <w:szCs w:val="22"/>
        </w:rPr>
        <w:t>IRS</w:t>
      </w:r>
      <w:r w:rsidRPr="00F530C8" w:rsidR="00421E3F">
        <w:rPr>
          <w:rFonts w:asciiTheme="minorHAnsi" w:hAnsiTheme="minorHAnsi"/>
          <w:sz w:val="22"/>
          <w:szCs w:val="22"/>
        </w:rPr>
        <w:t xml:space="preserve"> believe</w:t>
      </w:r>
      <w:r>
        <w:rPr>
          <w:rFonts w:asciiTheme="minorHAnsi" w:hAnsiTheme="minorHAnsi"/>
          <w:sz w:val="22"/>
          <w:szCs w:val="22"/>
        </w:rPr>
        <w:t>s</w:t>
      </w:r>
      <w:r w:rsidRPr="00F530C8" w:rsidR="00421E3F">
        <w:rPr>
          <w:rFonts w:asciiTheme="minorHAnsi" w:hAnsiTheme="minorHAnsi"/>
          <w:sz w:val="22"/>
          <w:szCs w:val="22"/>
        </w:rPr>
        <w:t xml:space="preserve"> that displaying the OMB expiration date is inappropriate because it would cause confusion by leading taxpayers to believe that the </w:t>
      </w:r>
      <w:r>
        <w:rPr>
          <w:rFonts w:asciiTheme="minorHAnsi" w:hAnsiTheme="minorHAnsi"/>
          <w:sz w:val="22"/>
          <w:szCs w:val="22"/>
        </w:rPr>
        <w:t>revenue procedures</w:t>
      </w:r>
      <w:r w:rsidRPr="00F530C8" w:rsidR="00421E3F">
        <w:rPr>
          <w:rFonts w:asciiTheme="minorHAnsi" w:hAnsiTheme="minorHAnsi"/>
          <w:sz w:val="22"/>
          <w:szCs w:val="22"/>
        </w:rPr>
        <w:t xml:space="preserve"> sunset as of the expiration date.  Taxpayers may not be aware that the IRS intends to request renewal of the OMB approval and obtain a new expiration date before the old one expires.</w:t>
      </w:r>
    </w:p>
    <w:p w:rsidRPr="00F530C8" w:rsidR="00067742" w:rsidP="00C076C8" w:rsidRDefault="00067742" w14:paraId="42531830" w14:textId="77777777">
      <w:pPr>
        <w:tabs>
          <w:tab w:val="left" w:pos="720"/>
        </w:tabs>
        <w:ind w:left="720" w:hanging="720"/>
        <w:rPr>
          <w:rFonts w:asciiTheme="minorHAnsi" w:hAnsiTheme="minorHAnsi"/>
          <w:sz w:val="22"/>
          <w:szCs w:val="22"/>
        </w:rPr>
      </w:pPr>
    </w:p>
    <w:p w:rsidRPr="00ED18D6" w:rsidR="00067742" w:rsidP="00C076C8" w:rsidRDefault="00067742" w14:paraId="08D3CBAC" w14:textId="0F0A733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rsidRPr="00F530C8" w:rsidR="005C0C47" w:rsidP="00ED18D6" w:rsidRDefault="005C0C47" w14:paraId="40393DFB" w14:textId="77777777">
      <w:pPr>
        <w:tabs>
          <w:tab w:val="left" w:pos="720"/>
        </w:tabs>
        <w:ind w:left="720"/>
        <w:rPr>
          <w:rFonts w:asciiTheme="minorHAnsi" w:hAnsiTheme="minorHAnsi"/>
          <w:sz w:val="22"/>
          <w:szCs w:val="22"/>
        </w:rPr>
      </w:pPr>
    </w:p>
    <w:p w:rsidRPr="00F530C8" w:rsidR="00067742" w:rsidP="00085A09" w:rsidRDefault="00421E3F"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Pr="00F530C8" w:rsidR="00067742" w:rsidP="00C076C8" w:rsidRDefault="00067742" w14:paraId="2BC79AB3" w14:textId="77777777">
      <w:pPr>
        <w:tabs>
          <w:tab w:val="left" w:pos="720"/>
        </w:tabs>
        <w:ind w:left="720" w:hanging="720"/>
        <w:rPr>
          <w:rFonts w:asciiTheme="minorHAnsi" w:hAnsiTheme="minorHAnsi"/>
          <w:sz w:val="22"/>
          <w:szCs w:val="22"/>
        </w:rPr>
      </w:pPr>
    </w:p>
    <w:p w:rsidRPr="00F530C8" w:rsidR="00067742" w:rsidP="00C076C8" w:rsidRDefault="00067742" w14:paraId="238685FE" w14:textId="77777777">
      <w:pPr>
        <w:tabs>
          <w:tab w:val="left" w:pos="720"/>
        </w:tabs>
        <w:ind w:left="720" w:hanging="720"/>
        <w:rPr>
          <w:rFonts w:asciiTheme="minorHAnsi" w:hAnsiTheme="minorHAnsi"/>
          <w:b/>
          <w:bCs/>
          <w:sz w:val="22"/>
          <w:szCs w:val="22"/>
          <w:u w:val="single"/>
        </w:rPr>
      </w:pPr>
    </w:p>
    <w:p w:rsidRPr="00F530C8" w:rsidR="00067742" w:rsidP="00C076C8" w:rsidRDefault="00067742" w14:paraId="7ACF2741" w14:textId="77777777">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Pr="00F530C8" w:rsidR="00C076C8">
        <w:rPr>
          <w:rFonts w:asciiTheme="minorHAnsi" w:hAnsiTheme="minorHAnsi"/>
          <w:sz w:val="22"/>
          <w:szCs w:val="22"/>
        </w:rPr>
        <w:tab/>
      </w:r>
      <w:r w:rsidRPr="00F530C8">
        <w:rPr>
          <w:rFonts w:asciiTheme="minorHAnsi" w:hAnsiTheme="minorHAnsi"/>
          <w:sz w:val="22"/>
          <w:szCs w:val="22"/>
        </w:rPr>
        <w:t xml:space="preserve">The following paragraph applies to </w:t>
      </w:r>
      <w:proofErr w:type="gramStart"/>
      <w:r w:rsidRPr="00F530C8">
        <w:rPr>
          <w:rFonts w:asciiTheme="minorHAnsi" w:hAnsiTheme="minorHAnsi"/>
          <w:sz w:val="22"/>
          <w:szCs w:val="22"/>
        </w:rPr>
        <w:t>all of</w:t>
      </w:r>
      <w:proofErr w:type="gramEnd"/>
      <w:r w:rsidRPr="00F530C8">
        <w:rPr>
          <w:rFonts w:asciiTheme="minorHAnsi" w:hAnsiTheme="minorHAnsi"/>
          <w:sz w:val="22"/>
          <w:szCs w:val="22"/>
        </w:rPr>
        <w:t xml:space="preserve"> the collections of information in this submission:</w:t>
      </w:r>
    </w:p>
    <w:p w:rsidRPr="00F530C8" w:rsidR="00067742" w:rsidP="00C076C8" w:rsidRDefault="00067742" w14:paraId="7821DB7A" w14:textId="77777777">
      <w:pPr>
        <w:tabs>
          <w:tab w:val="left" w:pos="720"/>
        </w:tabs>
        <w:ind w:left="720" w:hanging="720"/>
        <w:rPr>
          <w:rFonts w:asciiTheme="minorHAnsi" w:hAnsiTheme="minorHAnsi"/>
          <w:sz w:val="22"/>
          <w:szCs w:val="22"/>
        </w:rPr>
      </w:pPr>
    </w:p>
    <w:p w:rsidRPr="00F530C8" w:rsidR="00067742" w:rsidP="00085A09" w:rsidRDefault="00067742" w14:paraId="45EDC2B1" w14:textId="04B2EEBE">
      <w:pPr>
        <w:tabs>
          <w:tab w:val="left" w:pos="720"/>
        </w:tabs>
        <w:ind w:left="720"/>
        <w:rPr>
          <w:rFonts w:asciiTheme="minorHAnsi" w:hAnsiTheme="minorHAnsi"/>
          <w:sz w:val="22"/>
          <w:szCs w:val="22"/>
        </w:rPr>
      </w:pPr>
      <w:r w:rsidRPr="00F530C8">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530C8">
        <w:rPr>
          <w:rFonts w:asciiTheme="minorHAnsi" w:hAnsiTheme="minorHAnsi"/>
          <w:sz w:val="22"/>
          <w:szCs w:val="22"/>
        </w:rPr>
        <w:t>as long as</w:t>
      </w:r>
      <w:proofErr w:type="gramEnd"/>
      <w:r w:rsidRPr="00F530C8">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p>
    <w:sectPr w:rsidRPr="00F530C8" w:rsidR="00067742" w:rsidSect="002174CE">
      <w:headerReference w:type="even" r:id="rId7"/>
      <w:headerReference w:type="default" r:id="rId8"/>
      <w:footerReference w:type="even" r:id="rId9"/>
      <w:footerReference w:type="default" r:id="rId10"/>
      <w:headerReference w:type="first" r:id="rId11"/>
      <w:footerReference w:type="first" r:id="rId12"/>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4006" w14:textId="77777777" w:rsidR="00617FE4" w:rsidRDefault="00617FE4" w:rsidP="002174CE">
      <w:r>
        <w:separator/>
      </w:r>
    </w:p>
  </w:endnote>
  <w:endnote w:type="continuationSeparator" w:id="0">
    <w:p w14:paraId="7B7580D1" w14:textId="77777777" w:rsidR="00617FE4" w:rsidRDefault="00617FE4" w:rsidP="002174CE">
      <w:r>
        <w:continuationSeparator/>
      </w:r>
    </w:p>
  </w:endnote>
  <w:endnote w:type="continuationNotice" w:id="1">
    <w:p w14:paraId="3ED97990" w14:textId="77777777" w:rsidR="00617FE4" w:rsidRDefault="0061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4BA4" w14:textId="77777777" w:rsidR="00ED18D6" w:rsidRDefault="00ED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955B" w14:textId="017B9AC0" w:rsidR="002174CE" w:rsidRDefault="002174CE" w:rsidP="002174CE">
    <w:pPr>
      <w:pStyle w:val="Footer"/>
      <w:jc w:val="right"/>
    </w:pPr>
    <w:r>
      <w:fldChar w:fldCharType="begin"/>
    </w:r>
    <w:r>
      <w:instrText xml:space="preserve"> PAGE   \* MERGEFORMAT </w:instrText>
    </w:r>
    <w:r>
      <w:fldChar w:fldCharType="separate"/>
    </w:r>
    <w:r w:rsidR="00636DC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2F72" w14:textId="77777777" w:rsidR="00ED18D6" w:rsidRDefault="00ED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B193" w14:textId="77777777" w:rsidR="00617FE4" w:rsidRDefault="00617FE4" w:rsidP="002174CE">
      <w:r>
        <w:separator/>
      </w:r>
    </w:p>
  </w:footnote>
  <w:footnote w:type="continuationSeparator" w:id="0">
    <w:p w14:paraId="6D5F4949" w14:textId="77777777" w:rsidR="00617FE4" w:rsidRDefault="00617FE4" w:rsidP="002174CE">
      <w:r>
        <w:continuationSeparator/>
      </w:r>
    </w:p>
  </w:footnote>
  <w:footnote w:type="continuationNotice" w:id="1">
    <w:p w14:paraId="2EC01C82" w14:textId="77777777" w:rsidR="00617FE4" w:rsidRDefault="00617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52C" w14:textId="77777777" w:rsidR="00ED18D6" w:rsidRDefault="00ED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7CF4" w14:textId="77777777" w:rsidR="00F530C8" w:rsidRDefault="00F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AEC" w14:textId="77777777" w:rsidR="00ED18D6" w:rsidRDefault="00ED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1026"/>
    <w:rsid w:val="00010B11"/>
    <w:rsid w:val="0002554F"/>
    <w:rsid w:val="00047528"/>
    <w:rsid w:val="00067742"/>
    <w:rsid w:val="00067E32"/>
    <w:rsid w:val="00085A09"/>
    <w:rsid w:val="000B7347"/>
    <w:rsid w:val="000D323E"/>
    <w:rsid w:val="00103A7F"/>
    <w:rsid w:val="00125D6B"/>
    <w:rsid w:val="001334D5"/>
    <w:rsid w:val="00153BDF"/>
    <w:rsid w:val="0017274F"/>
    <w:rsid w:val="002157B5"/>
    <w:rsid w:val="002174CE"/>
    <w:rsid w:val="00247DA6"/>
    <w:rsid w:val="00260EBE"/>
    <w:rsid w:val="002952FE"/>
    <w:rsid w:val="002C7558"/>
    <w:rsid w:val="002E556F"/>
    <w:rsid w:val="002E713F"/>
    <w:rsid w:val="00324A3B"/>
    <w:rsid w:val="003D33B0"/>
    <w:rsid w:val="003E560A"/>
    <w:rsid w:val="00415252"/>
    <w:rsid w:val="00421E3F"/>
    <w:rsid w:val="004E1299"/>
    <w:rsid w:val="0053799B"/>
    <w:rsid w:val="005441DC"/>
    <w:rsid w:val="005A26D5"/>
    <w:rsid w:val="005B31D6"/>
    <w:rsid w:val="005C0C47"/>
    <w:rsid w:val="005C1464"/>
    <w:rsid w:val="005F1D18"/>
    <w:rsid w:val="00617FE4"/>
    <w:rsid w:val="00636DC7"/>
    <w:rsid w:val="00637E67"/>
    <w:rsid w:val="00643CFB"/>
    <w:rsid w:val="00694D3D"/>
    <w:rsid w:val="006A4C35"/>
    <w:rsid w:val="00724CA7"/>
    <w:rsid w:val="0078668E"/>
    <w:rsid w:val="00786FAB"/>
    <w:rsid w:val="00791E96"/>
    <w:rsid w:val="00832CBE"/>
    <w:rsid w:val="00865757"/>
    <w:rsid w:val="008F75D5"/>
    <w:rsid w:val="00931C0C"/>
    <w:rsid w:val="009B1762"/>
    <w:rsid w:val="00A432BF"/>
    <w:rsid w:val="00A632C6"/>
    <w:rsid w:val="00A75FAF"/>
    <w:rsid w:val="00AB7031"/>
    <w:rsid w:val="00AE1D32"/>
    <w:rsid w:val="00AE2DF3"/>
    <w:rsid w:val="00B0010B"/>
    <w:rsid w:val="00B134FB"/>
    <w:rsid w:val="00B27BA4"/>
    <w:rsid w:val="00B6720C"/>
    <w:rsid w:val="00B953EE"/>
    <w:rsid w:val="00BE07D3"/>
    <w:rsid w:val="00BE2BAB"/>
    <w:rsid w:val="00BE5838"/>
    <w:rsid w:val="00BE6C13"/>
    <w:rsid w:val="00C076C8"/>
    <w:rsid w:val="00C24CE6"/>
    <w:rsid w:val="00C33A48"/>
    <w:rsid w:val="00C468C2"/>
    <w:rsid w:val="00C611EA"/>
    <w:rsid w:val="00C82FFC"/>
    <w:rsid w:val="00C91DF3"/>
    <w:rsid w:val="00C94228"/>
    <w:rsid w:val="00CA7758"/>
    <w:rsid w:val="00CE3C78"/>
    <w:rsid w:val="00D23A01"/>
    <w:rsid w:val="00D258A7"/>
    <w:rsid w:val="00D44FBE"/>
    <w:rsid w:val="00D96486"/>
    <w:rsid w:val="00D97FA8"/>
    <w:rsid w:val="00DF7B6E"/>
    <w:rsid w:val="00E049FD"/>
    <w:rsid w:val="00E11583"/>
    <w:rsid w:val="00E2129E"/>
    <w:rsid w:val="00E45B1C"/>
    <w:rsid w:val="00E52BF5"/>
    <w:rsid w:val="00E61A6D"/>
    <w:rsid w:val="00EC175F"/>
    <w:rsid w:val="00ED18D6"/>
    <w:rsid w:val="00ED2B32"/>
    <w:rsid w:val="00ED360D"/>
    <w:rsid w:val="00EF0BCE"/>
    <w:rsid w:val="00F13A87"/>
    <w:rsid w:val="00F530C8"/>
    <w:rsid w:val="00F841ED"/>
    <w:rsid w:val="00FA2674"/>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2022-03-21T16:12:00Z</dcterms:created>
  <dcterms:modified xsi:type="dcterms:W3CDTF">2022-03-21T16:12:00Z</dcterms:modified>
</cp:coreProperties>
</file>