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CB2" w:rsidP="00863D7E" w:rsidRDefault="00811CB2" w14:paraId="738F43DF" w14:textId="500F336B">
      <w:pPr>
        <w:jc w:val="center"/>
        <w:rPr>
          <w:b/>
          <w:bCs/>
        </w:rPr>
      </w:pPr>
      <w:r>
        <w:rPr>
          <w:b/>
          <w:bCs/>
        </w:rPr>
        <w:t>Office of the Comptroller of the Currency</w:t>
      </w:r>
      <w:r w:rsidR="000421C3">
        <w:rPr>
          <w:b/>
          <w:bCs/>
        </w:rPr>
        <w:t xml:space="preserve"> (OCC)</w:t>
      </w:r>
    </w:p>
    <w:p w:rsidR="00811CB2" w:rsidP="00863D7E" w:rsidRDefault="00811CB2" w14:paraId="5A2BBCD1" w14:textId="77777777">
      <w:pPr>
        <w:jc w:val="center"/>
        <w:rPr>
          <w:b/>
          <w:bCs/>
        </w:rPr>
      </w:pPr>
      <w:r>
        <w:rPr>
          <w:b/>
          <w:bCs/>
        </w:rPr>
        <w:t>Supporting Statement</w:t>
      </w:r>
    </w:p>
    <w:p w:rsidR="00811CB2" w:rsidP="00863D7E" w:rsidRDefault="00811CB2" w14:paraId="5AF7930A" w14:textId="1D897B3D">
      <w:pPr>
        <w:jc w:val="center"/>
        <w:rPr>
          <w:b/>
          <w:bCs/>
        </w:rPr>
      </w:pPr>
      <w:r>
        <w:rPr>
          <w:b/>
          <w:bCs/>
        </w:rPr>
        <w:t>Community Reinvestment Act Regulation – 12 CFR 25</w:t>
      </w:r>
    </w:p>
    <w:p w:rsidR="00811CB2" w:rsidP="00863D7E" w:rsidRDefault="00EA0A78" w14:paraId="66D0BCCC" w14:textId="77777777">
      <w:pPr>
        <w:pStyle w:val="Heading6"/>
      </w:pPr>
      <w:r>
        <w:t>OMB Control No.</w:t>
      </w:r>
      <w:r w:rsidR="00811CB2">
        <w:t xml:space="preserve"> 1557-0160</w:t>
      </w:r>
    </w:p>
    <w:p w:rsidR="00811CB2" w:rsidP="00863D7E" w:rsidRDefault="00811CB2" w14:paraId="70E7D9F7" w14:textId="77777777">
      <w:pPr>
        <w:jc w:val="center"/>
      </w:pPr>
    </w:p>
    <w:p w:rsidR="00811CB2" w:rsidP="00863D7E" w:rsidRDefault="00811CB2" w14:paraId="09A1BC3D" w14:textId="77777777">
      <w:pPr>
        <w:jc w:val="center"/>
      </w:pPr>
    </w:p>
    <w:p w:rsidR="00811CB2" w:rsidP="00863D7E" w:rsidRDefault="00811CB2" w14:paraId="1CBF2C08" w14:textId="77777777">
      <w:pPr>
        <w:pStyle w:val="Footer"/>
        <w:tabs>
          <w:tab w:val="clear" w:pos="4320"/>
          <w:tab w:val="clear" w:pos="8640"/>
        </w:tabs>
        <w:rPr>
          <w:b/>
        </w:rPr>
      </w:pPr>
      <w:r w:rsidRPr="005C2B31">
        <w:rPr>
          <w:b/>
        </w:rPr>
        <w:t>A. Justification</w:t>
      </w:r>
    </w:p>
    <w:p w:rsidRPr="00A75944" w:rsidR="00811CB2" w:rsidP="00863D7E" w:rsidRDefault="00811CB2" w14:paraId="6D08E766" w14:textId="77777777"/>
    <w:p w:rsidRPr="005C2B31" w:rsidR="00811CB2" w:rsidP="00863D7E" w:rsidRDefault="00811CB2" w14:paraId="09A2329D" w14:textId="77777777">
      <w:pPr>
        <w:rPr>
          <w:b/>
          <w:bCs/>
          <w:i/>
        </w:rPr>
      </w:pPr>
      <w:r w:rsidRPr="005C2B31">
        <w:rPr>
          <w:b/>
          <w:bCs/>
          <w:i/>
        </w:rPr>
        <w:t>1.  Circumstances that make the collection necessary</w:t>
      </w:r>
      <w:r w:rsidRPr="005C2B31" w:rsidR="00A75944">
        <w:rPr>
          <w:b/>
          <w:bCs/>
          <w:i/>
        </w:rPr>
        <w:t>:</w:t>
      </w:r>
    </w:p>
    <w:p w:rsidR="00811CB2" w:rsidP="00863D7E" w:rsidRDefault="00811CB2" w14:paraId="2E7C5C92" w14:textId="77777777"/>
    <w:p w:rsidR="0071417F" w:rsidP="000421C3" w:rsidRDefault="000421C3" w14:paraId="275C8B90" w14:textId="77777777">
      <w:pPr>
        <w:ind w:firstLine="720"/>
      </w:pPr>
      <w:r>
        <w:t>The Community Reinvestment Act (CRA) is designed to encourage regulated banks to help meet the credit needs of the local communities in which they are chartered. Specifically, Congress found that “(1) regulated financial institutions are required by law to demonstrate that their deposit facilities serve the convenience and needs of the communities in which they are chartered to do business; (2) the convenience and needs of communities include the need for credit as well as deposit services; and (3) regulated financial institutions have continuing and affirmative obligation to help meet the credit needs of the local communities in which they are chartered.”</w:t>
      </w:r>
      <w:r>
        <w:rPr>
          <w:rStyle w:val="FootnoteReference"/>
        </w:rPr>
        <w:footnoteReference w:id="1"/>
      </w:r>
      <w:r>
        <w:t xml:space="preserve">  </w:t>
      </w:r>
    </w:p>
    <w:p w:rsidR="0071417F" w:rsidP="000421C3" w:rsidRDefault="0071417F" w14:paraId="01B52868" w14:textId="77777777">
      <w:pPr>
        <w:ind w:firstLine="720"/>
      </w:pPr>
    </w:p>
    <w:p w:rsidR="0071417F" w:rsidP="000421C3" w:rsidRDefault="000421C3" w14:paraId="12B5DCA6" w14:textId="77777777">
      <w:pPr>
        <w:ind w:firstLine="720"/>
      </w:pPr>
      <w:r>
        <w:t>The CRA statute requires the agencies to “assess the institution’s record of meeting the credit needs of its entire community, including low- and moderate-income neighborhoods, consistent with the safe and sound operation of such institution.”</w:t>
      </w:r>
      <w:r>
        <w:rPr>
          <w:rStyle w:val="FootnoteReference"/>
        </w:rPr>
        <w:footnoteReference w:id="2"/>
      </w:r>
      <w:r>
        <w:t xml:space="preserve">  Upon completing this assessment, the statute requires the agencies to “prepare a written evaluation of the institution’s record of meeting the credit needs of its entire community, including low- and moderate-income neighborhoods.”</w:t>
      </w:r>
      <w:r>
        <w:rPr>
          <w:rStyle w:val="FootnoteReference"/>
        </w:rPr>
        <w:footnoteReference w:id="3"/>
      </w:r>
      <w:r>
        <w:t xml:space="preserve">  </w:t>
      </w:r>
    </w:p>
    <w:p w:rsidR="0071417F" w:rsidP="000421C3" w:rsidRDefault="0071417F" w14:paraId="24E1616F" w14:textId="77777777">
      <w:pPr>
        <w:ind w:firstLine="720"/>
      </w:pPr>
    </w:p>
    <w:p w:rsidR="00811CB2" w:rsidP="000421C3" w:rsidRDefault="000421C3" w14:paraId="0F495653" w14:textId="65DE86AC">
      <w:pPr>
        <w:ind w:firstLine="720"/>
      </w:pPr>
      <w:r>
        <w:t>In addition, the statute requires making portions of these written evaluations, referred to by the agencies as performance evaluations, available to the public.</w:t>
      </w:r>
      <w:r>
        <w:rPr>
          <w:rStyle w:val="FootnoteReference"/>
        </w:rPr>
        <w:footnoteReference w:id="4"/>
      </w:r>
      <w:r>
        <w:t xml:space="preserve">  The statute further provides that each agency must consider a bank’s CRA performance “in its evaluation of an application for a deposit facility by such institution.”</w:t>
      </w:r>
      <w:r>
        <w:rPr>
          <w:rStyle w:val="FootnoteReference"/>
        </w:rPr>
        <w:footnoteReference w:id="5"/>
      </w:r>
    </w:p>
    <w:p w:rsidR="000421C3" w:rsidP="000421C3" w:rsidRDefault="000421C3" w14:paraId="00348704" w14:textId="77777777">
      <w:pPr>
        <w:ind w:firstLine="720"/>
      </w:pPr>
    </w:p>
    <w:p w:rsidRPr="00A87AF3" w:rsidR="00E55F55" w:rsidP="00863D7E" w:rsidRDefault="00E55F55" w14:paraId="227B97D1" w14:textId="1E63BA4B">
      <w:pPr>
        <w:ind w:firstLine="720"/>
        <w:outlineLvl w:val="1"/>
      </w:pPr>
      <w:r>
        <w:t>This supporting statement is being submitted in connection wit</w:t>
      </w:r>
      <w:r w:rsidR="00384071">
        <w:t>h</w:t>
      </w:r>
      <w:r>
        <w:t xml:space="preserve"> an interagency proposed rule</w:t>
      </w:r>
      <w:r w:rsidR="000421C3">
        <w:t xml:space="preserve"> issued by the OCC, the Board of Governors of the Federal Reserve System, and the Federal Deposit Insurance Corporation</w:t>
      </w:r>
      <w:r>
        <w:t xml:space="preserve">.  The </w:t>
      </w:r>
      <w:r w:rsidR="000421C3">
        <w:t xml:space="preserve">proposed </w:t>
      </w:r>
      <w:r>
        <w:t>requirements are set forth in below.</w:t>
      </w:r>
    </w:p>
    <w:p w:rsidR="00076F67" w:rsidP="00863D7E" w:rsidRDefault="00076F67" w14:paraId="0DD5090B" w14:textId="77777777">
      <w:pPr>
        <w:ind w:firstLine="720"/>
      </w:pPr>
    </w:p>
    <w:p w:rsidRPr="005C2B31" w:rsidR="00811CB2" w:rsidP="00863D7E" w:rsidRDefault="00811CB2" w14:paraId="40C8969B" w14:textId="77777777">
      <w:pPr>
        <w:rPr>
          <w:b/>
          <w:i/>
        </w:rPr>
      </w:pPr>
      <w:r w:rsidRPr="005C2B31">
        <w:rPr>
          <w:b/>
          <w:bCs/>
          <w:i/>
        </w:rPr>
        <w:t>2. Use of the information</w:t>
      </w:r>
      <w:r w:rsidRPr="005C2B31" w:rsidR="00A75944">
        <w:rPr>
          <w:b/>
          <w:bCs/>
          <w:i/>
        </w:rPr>
        <w:t>:</w:t>
      </w:r>
    </w:p>
    <w:p w:rsidR="00811CB2" w:rsidP="00863D7E" w:rsidRDefault="00811CB2" w14:paraId="6A468735" w14:textId="77777777"/>
    <w:p w:rsidRPr="000421C3" w:rsidR="0095067D" w:rsidP="000421C3" w:rsidRDefault="000421C3" w14:paraId="34A0A34C" w14:textId="5D3E722F">
      <w:pPr>
        <w:pStyle w:val="BodyText"/>
        <w:ind w:firstLine="720"/>
        <w:rPr>
          <w:b w:val="0"/>
          <w:bCs w:val="0"/>
        </w:rPr>
      </w:pPr>
      <w:r>
        <w:rPr>
          <w:b w:val="0"/>
          <w:bCs w:val="0"/>
        </w:rPr>
        <w:t>The proposed rule</w:t>
      </w:r>
      <w:r w:rsidRPr="000421C3">
        <w:rPr>
          <w:b w:val="0"/>
          <w:bCs w:val="0"/>
        </w:rPr>
        <w:t xml:space="preserve"> seek</w:t>
      </w:r>
      <w:r>
        <w:rPr>
          <w:b w:val="0"/>
          <w:bCs w:val="0"/>
        </w:rPr>
        <w:t>s</w:t>
      </w:r>
      <w:r w:rsidRPr="000421C3">
        <w:rPr>
          <w:b w:val="0"/>
          <w:bCs w:val="0"/>
        </w:rPr>
        <w:t xml:space="preserve"> feedback on changes to update and clarify the regulations to implement the CRA.</w:t>
      </w:r>
      <w:r>
        <w:rPr>
          <w:rStyle w:val="FootnoteReference"/>
          <w:b w:val="0"/>
          <w:bCs w:val="0"/>
        </w:rPr>
        <w:footnoteReference w:id="6"/>
      </w:r>
      <w:r w:rsidR="000C2247">
        <w:rPr>
          <w:b w:val="0"/>
          <w:bCs w:val="0"/>
        </w:rPr>
        <w:t xml:space="preserve">  </w:t>
      </w:r>
      <w:r w:rsidRPr="000421C3">
        <w:rPr>
          <w:b w:val="0"/>
          <w:bCs w:val="0"/>
        </w:rPr>
        <w:t xml:space="preserve">The CRA encourages banks to help meet the credit needs of the local communities in which they are chartered, consistent with a bank’s safe and sound operations, by </w:t>
      </w:r>
      <w:r w:rsidRPr="000421C3">
        <w:rPr>
          <w:b w:val="0"/>
          <w:bCs w:val="0"/>
        </w:rPr>
        <w:lastRenderedPageBreak/>
        <w:t xml:space="preserve">requiring the Federal </w:t>
      </w:r>
      <w:r w:rsidR="008F2BA1">
        <w:rPr>
          <w:b w:val="0"/>
          <w:bCs w:val="0"/>
        </w:rPr>
        <w:t>financial supervisory</w:t>
      </w:r>
      <w:r w:rsidRPr="000421C3">
        <w:rPr>
          <w:b w:val="0"/>
          <w:bCs w:val="0"/>
        </w:rPr>
        <w:t xml:space="preserve"> agencies to examine banks’ records of </w:t>
      </w:r>
      <w:r w:rsidR="000C2247">
        <w:rPr>
          <w:b w:val="0"/>
          <w:bCs w:val="0"/>
        </w:rPr>
        <w:t xml:space="preserve">meeting the credit needs </w:t>
      </w:r>
      <w:r w:rsidRPr="000421C3">
        <w:rPr>
          <w:b w:val="0"/>
          <w:bCs w:val="0"/>
        </w:rPr>
        <w:t xml:space="preserve">of </w:t>
      </w:r>
      <w:r w:rsidR="0071417F">
        <w:rPr>
          <w:b w:val="0"/>
          <w:bCs w:val="0"/>
        </w:rPr>
        <w:t>their entire community, i</w:t>
      </w:r>
      <w:r w:rsidRPr="000421C3">
        <w:rPr>
          <w:b w:val="0"/>
          <w:bCs w:val="0"/>
        </w:rPr>
        <w:t xml:space="preserve">ncluding low- and moderate-income neighborhoods. </w:t>
      </w:r>
      <w:r w:rsidR="000C2247">
        <w:rPr>
          <w:b w:val="0"/>
          <w:bCs w:val="0"/>
        </w:rPr>
        <w:t xml:space="preserve"> </w:t>
      </w:r>
    </w:p>
    <w:p w:rsidR="000421C3" w:rsidP="00863D7E" w:rsidRDefault="000421C3" w14:paraId="1EA77009" w14:textId="77777777">
      <w:pPr>
        <w:pStyle w:val="BodyText"/>
        <w:rPr>
          <w:b w:val="0"/>
          <w:szCs w:val="24"/>
        </w:rPr>
      </w:pPr>
    </w:p>
    <w:p w:rsidR="00863D7E" w:rsidP="00863D7E" w:rsidRDefault="00863D7E" w14:paraId="6DE458F7" w14:textId="3658624E">
      <w:pPr>
        <w:ind w:firstLine="720"/>
      </w:pPr>
      <w:r>
        <w:t>The information collection requirements in the proposed rule are as follows:</w:t>
      </w:r>
    </w:p>
    <w:p w:rsidR="00863D7E" w:rsidP="00863D7E" w:rsidRDefault="00863D7E" w14:paraId="77C01D34" w14:textId="77777777">
      <w:pPr>
        <w:ind w:firstLine="720"/>
      </w:pPr>
    </w:p>
    <w:p w:rsidR="00863D7E" w:rsidP="00863D7E" w:rsidRDefault="00863D7E" w14:paraId="6C35FE7A" w14:textId="202D500D">
      <w:pPr>
        <w:ind w:firstLine="450"/>
      </w:pPr>
      <w:r>
        <w:rPr>
          <w:b/>
          <w:bCs/>
          <w:i/>
          <w:iCs/>
          <w:u w:val="single"/>
        </w:rPr>
        <w:t>§___.26 Wh</w:t>
      </w:r>
      <w:r>
        <w:rPr>
          <w:b/>
          <w:bCs/>
          <w:i/>
          <w:u w:val="single"/>
        </w:rPr>
        <w:t>olesale and limited purpose banks.</w:t>
      </w:r>
      <w:r>
        <w:rPr>
          <w:b/>
          <w:bCs/>
          <w:iCs/>
        </w:rPr>
        <w:t xml:space="preserve">  </w:t>
      </w:r>
      <w:r>
        <w:t xml:space="preserve">Banks requesting a designation as either a wholesale bank or limited purpose bank would be required to file a request in writing with the appropriate Federal banking agency at least 3 months prior to the proposed effective date of the designation.  </w:t>
      </w:r>
    </w:p>
    <w:p w:rsidR="00863D7E" w:rsidP="00863D7E" w:rsidRDefault="00863D7E" w14:paraId="0564B574" w14:textId="77777777">
      <w:pPr>
        <w:ind w:firstLine="450"/>
      </w:pPr>
    </w:p>
    <w:p w:rsidR="00863D7E" w:rsidP="00863D7E" w:rsidRDefault="00863D7E" w14:paraId="6E708D2C" w14:textId="65F25C94">
      <w:pPr>
        <w:ind w:firstLine="450"/>
      </w:pPr>
      <w:r>
        <w:rPr>
          <w:b/>
          <w:bCs/>
          <w:i/>
          <w:iCs/>
          <w:u w:val="single"/>
        </w:rPr>
        <w:t>§___.27 St</w:t>
      </w:r>
      <w:r>
        <w:rPr>
          <w:b/>
          <w:bCs/>
          <w:i/>
          <w:u w:val="single"/>
        </w:rPr>
        <w:t>rategic plan.</w:t>
      </w:r>
      <w:r>
        <w:rPr>
          <w:b/>
          <w:bCs/>
          <w:i/>
        </w:rPr>
        <w:t xml:space="preserve">  </w:t>
      </w:r>
      <w:r>
        <w:rPr>
          <w:iCs/>
        </w:rPr>
        <w:t xml:space="preserve">Banks could submit a strategic plan to the </w:t>
      </w:r>
      <w:r>
        <w:t>appropriate Federal banking agency</w:t>
      </w:r>
      <w:r>
        <w:rPr>
          <w:iCs/>
        </w:rPr>
        <w:t xml:space="preserve"> for approval.  Requirements regarding the content of such a plan are set forth in § __.27 of the proposed rule.  The </w:t>
      </w:r>
      <w:r>
        <w:t>appropriate Federal banking agency</w:t>
      </w:r>
      <w:r>
        <w:rPr>
          <w:iCs/>
        </w:rPr>
        <w:t xml:space="preserve"> would assess a bank’s record of helping to meet the credit needs of its facility-based assessment areas, and, as applicable, its retail </w:t>
      </w:r>
      <w:r w:rsidR="00830DA0">
        <w:rPr>
          <w:iCs/>
        </w:rPr>
        <w:t xml:space="preserve">lending </w:t>
      </w:r>
      <w:r>
        <w:rPr>
          <w:iCs/>
        </w:rPr>
        <w:t>assessment areas, and geographic areas</w:t>
      </w:r>
      <w:r w:rsidR="00830DA0">
        <w:rPr>
          <w:iCs/>
        </w:rPr>
        <w:t xml:space="preserve"> outside of its assessment areas</w:t>
      </w:r>
      <w:r>
        <w:rPr>
          <w:iCs/>
        </w:rPr>
        <w:t xml:space="preserve"> at the institution level under its strategic plan if the plan has been properly submitted, been approved, is in effect, and in operation for a minimum of one year.  The proposal specifies requirements for the term of a strategic plan, the treatment of multiple assessment areas, the treatment of operations subsidiaries or operating subsidiaries, as applicable, and affiliates, public participation, submission, content, and amendment</w:t>
      </w:r>
      <w:r w:rsidR="00830DA0">
        <w:rPr>
          <w:iCs/>
        </w:rPr>
        <w:t xml:space="preserve"> based on material change</w:t>
      </w:r>
      <w:r>
        <w:rPr>
          <w:iCs/>
        </w:rPr>
        <w:t xml:space="preserve">.  Additionally, during the term of a plan, a bank could request that the </w:t>
      </w:r>
      <w:r>
        <w:t>appropriate Federal banking agency</w:t>
      </w:r>
      <w:r>
        <w:rPr>
          <w:iCs/>
        </w:rPr>
        <w:t xml:space="preserve"> approve an amendment to the plan in the absence of a change in material circumstances.  A bank that requests such an amendment would be required to provide </w:t>
      </w:r>
      <w:r>
        <w:t>an explanation regarding why it is necessary and appropriate to amend its plan goals.</w:t>
      </w:r>
    </w:p>
    <w:p w:rsidR="00863D7E" w:rsidP="00863D7E" w:rsidRDefault="00863D7E" w14:paraId="0CB81F03" w14:textId="77777777">
      <w:pPr>
        <w:ind w:firstLine="450"/>
        <w:rPr>
          <w:i/>
          <w:u w:val="single"/>
        </w:rPr>
      </w:pPr>
    </w:p>
    <w:p w:rsidR="00863D7E" w:rsidP="00863D7E" w:rsidRDefault="00863D7E" w14:paraId="6EE4BEC0" w14:textId="165C1C3C">
      <w:pPr>
        <w:ind w:firstLine="450"/>
        <w:rPr>
          <w:iCs/>
        </w:rPr>
      </w:pPr>
      <w:r>
        <w:rPr>
          <w:b/>
          <w:bCs/>
          <w:i/>
          <w:u w:val="single"/>
        </w:rPr>
        <w:t>§___.42(a)(1) Small business and small farm loans data.</w:t>
      </w:r>
      <w:r>
        <w:rPr>
          <w:b/>
          <w:bCs/>
          <w:i/>
        </w:rPr>
        <w:t xml:space="preserve">  </w:t>
      </w:r>
      <w:r>
        <w:rPr>
          <w:iCs/>
        </w:rPr>
        <w:t>A bank, except a small bank or an intermediate bank,</w:t>
      </w:r>
      <w:r>
        <w:rPr>
          <w:b/>
          <w:i/>
        </w:rPr>
        <w:t xml:space="preserve"> </w:t>
      </w:r>
      <w:r>
        <w:rPr>
          <w:iCs/>
        </w:rPr>
        <w:t xml:space="preserve">would be required to collect and maintain in prescribed machine readable form, until the completion of its next CRA examination, data on small business and small farm loans originated or purchased by the bank during the evaluation period.  </w:t>
      </w:r>
    </w:p>
    <w:p w:rsidR="00863D7E" w:rsidP="00863D7E" w:rsidRDefault="00863D7E" w14:paraId="66B3D4BB" w14:textId="77777777">
      <w:pPr>
        <w:ind w:firstLine="450"/>
        <w:rPr>
          <w:iCs/>
        </w:rPr>
      </w:pPr>
    </w:p>
    <w:p w:rsidR="00863D7E" w:rsidP="00863D7E" w:rsidRDefault="00863D7E" w14:paraId="5876CFFF" w14:textId="08335A79">
      <w:pPr>
        <w:ind w:firstLine="450"/>
      </w:pPr>
      <w:r>
        <w:rPr>
          <w:b/>
          <w:bCs/>
          <w:i/>
          <w:iCs/>
          <w:u w:val="single"/>
        </w:rPr>
        <w:t>§___.42(a)(2) Consumer loans data—automobile loans.</w:t>
      </w:r>
      <w:r>
        <w:t xml:space="preserve">  A bank with assets of over $10 billion </w:t>
      </w:r>
      <w:r w:rsidR="006161F4">
        <w:t xml:space="preserve">in both of the prior two calendar years </w:t>
      </w:r>
      <w:r>
        <w:t>would be required to collect and maintain in prescribed machine readable form, until the completion of its next CRA examination, data for automobile loans originated or purchased by the bank during the evaluation period.</w:t>
      </w:r>
    </w:p>
    <w:p w:rsidR="00863D7E" w:rsidP="00863D7E" w:rsidRDefault="00863D7E" w14:paraId="1D48CF4D" w14:textId="77777777">
      <w:pPr>
        <w:ind w:firstLine="450"/>
      </w:pPr>
    </w:p>
    <w:p w:rsidR="00863D7E" w:rsidP="00863D7E" w:rsidRDefault="00863D7E" w14:paraId="61165A67" w14:textId="3110C1C1">
      <w:pPr>
        <w:ind w:firstLine="450"/>
        <w:rPr>
          <w:iCs/>
        </w:rPr>
      </w:pPr>
      <w:r>
        <w:rPr>
          <w:b/>
          <w:bCs/>
          <w:i/>
          <w:u w:val="single"/>
        </w:rPr>
        <w:t>§___.42(a)(4) Retail services and products data.</w:t>
      </w:r>
      <w:r>
        <w:rPr>
          <w:b/>
          <w:bCs/>
          <w:i/>
        </w:rPr>
        <w:t xml:space="preserve">  </w:t>
      </w:r>
      <w:r>
        <w:rPr>
          <w:iCs/>
        </w:rPr>
        <w:t xml:space="preserve">A large bank would be required to collect and maintain </w:t>
      </w:r>
      <w:r>
        <w:t xml:space="preserve">data in a machine readable form </w:t>
      </w:r>
      <w:r>
        <w:rPr>
          <w:iCs/>
        </w:rPr>
        <w:t>until the completion of its next CRA examination.  These data include information regarding branches and remote service facilities, and</w:t>
      </w:r>
      <w:r w:rsidR="006161F4">
        <w:rPr>
          <w:iCs/>
        </w:rPr>
        <w:t xml:space="preserve"> certain</w:t>
      </w:r>
      <w:r>
        <w:rPr>
          <w:iCs/>
        </w:rPr>
        <w:t xml:space="preserve"> information with respect to retail services and products offered and provided by the bank during the evaluation period.  </w:t>
      </w:r>
      <w:bookmarkStart w:name="OLE_LINK8" w:id="0"/>
      <w:r>
        <w:rPr>
          <w:iCs/>
        </w:rPr>
        <w:t>Large banks with assets of over $10 billion</w:t>
      </w:r>
      <w:r w:rsidR="006161F4">
        <w:rPr>
          <w:iCs/>
        </w:rPr>
        <w:t xml:space="preserve"> in both of the two prior calendar years</w:t>
      </w:r>
      <w:r>
        <w:rPr>
          <w:iCs/>
        </w:rPr>
        <w:t xml:space="preserve">, or large banks with assets of $10 billion or less </w:t>
      </w:r>
      <w:r w:rsidR="006161F4">
        <w:rPr>
          <w:iCs/>
        </w:rPr>
        <w:t xml:space="preserve">in either of the prior two calendar years </w:t>
      </w:r>
      <w:r>
        <w:rPr>
          <w:iCs/>
        </w:rPr>
        <w:t>that request additional consideration for digital and other delivery systems, must collect and maintain data on the range of services and products offered through digital and other delivery systems and digital activity by individuals in low</w:t>
      </w:r>
      <w:r w:rsidR="00DA589A">
        <w:rPr>
          <w:iCs/>
        </w:rPr>
        <w:t>-</w:t>
      </w:r>
      <w:r>
        <w:rPr>
          <w:iCs/>
        </w:rPr>
        <w:t>, moderate</w:t>
      </w:r>
      <w:r w:rsidR="00DA589A">
        <w:rPr>
          <w:iCs/>
        </w:rPr>
        <w:t>-</w:t>
      </w:r>
      <w:r>
        <w:rPr>
          <w:iCs/>
        </w:rPr>
        <w:t>, middle</w:t>
      </w:r>
      <w:r w:rsidR="00DA589A">
        <w:rPr>
          <w:iCs/>
        </w:rPr>
        <w:t>-</w:t>
      </w:r>
      <w:r>
        <w:rPr>
          <w:iCs/>
        </w:rPr>
        <w:t>, and upper-income census tracts.  Large banks with assets of over $10 billion</w:t>
      </w:r>
      <w:r w:rsidR="00B54923">
        <w:rPr>
          <w:iCs/>
        </w:rPr>
        <w:t xml:space="preserve"> in both of the prior two calendar years</w:t>
      </w:r>
      <w:r>
        <w:rPr>
          <w:iCs/>
        </w:rPr>
        <w:t>, or large banks with assets of $10 billion or less</w:t>
      </w:r>
      <w:r w:rsidR="00B54923">
        <w:rPr>
          <w:iCs/>
        </w:rPr>
        <w:t xml:space="preserve"> in either of the prior two calendar </w:t>
      </w:r>
      <w:r w:rsidR="00B54923">
        <w:rPr>
          <w:iCs/>
        </w:rPr>
        <w:lastRenderedPageBreak/>
        <w:t>years</w:t>
      </w:r>
      <w:r>
        <w:rPr>
          <w:iCs/>
        </w:rPr>
        <w:t>, that request additional consideration for responsive deposit products, must collect and maintain data</w:t>
      </w:r>
      <w:r w:rsidR="00DA589A">
        <w:rPr>
          <w:iCs/>
        </w:rPr>
        <w:t>,</w:t>
      </w:r>
      <w:r>
        <w:rPr>
          <w:iCs/>
        </w:rPr>
        <w:t xml:space="preserve"> including the number of deposit products opened and closed by individuals in low-, moderate-, middle-, and upper-income census tracts. </w:t>
      </w:r>
    </w:p>
    <w:p w:rsidR="00863D7E" w:rsidP="00863D7E" w:rsidRDefault="00863D7E" w14:paraId="3F5336C8" w14:textId="77777777">
      <w:pPr>
        <w:ind w:firstLine="450"/>
        <w:rPr>
          <w:iCs/>
        </w:rPr>
      </w:pPr>
    </w:p>
    <w:bookmarkEnd w:id="0"/>
    <w:p w:rsidR="00863D7E" w:rsidP="00863D7E" w:rsidRDefault="00863D7E" w14:paraId="3197096B" w14:textId="55D6885D">
      <w:pPr>
        <w:ind w:firstLine="450"/>
        <w:rPr>
          <w:szCs w:val="24"/>
        </w:rPr>
      </w:pPr>
      <w:r>
        <w:rPr>
          <w:b/>
          <w:bCs/>
          <w:i/>
          <w:u w:val="single"/>
        </w:rPr>
        <w:t>§___.42(a)(5) Community development loans and community development investments data.</w:t>
      </w:r>
      <w:r>
        <w:rPr>
          <w:i/>
        </w:rPr>
        <w:t xml:space="preserve"> </w:t>
      </w:r>
      <w:r>
        <w:rPr>
          <w:b/>
          <w:bCs/>
          <w:i/>
        </w:rPr>
        <w:t xml:space="preserve"> </w:t>
      </w:r>
      <w:r>
        <w:rPr>
          <w:iCs/>
        </w:rPr>
        <w:t xml:space="preserve">A bank, except a small or an intermediate bank, would be required to collect and maintain the following data for community development loans and community development investments originated or purchased by the bank: general information on the loan or investment; community development loan or investment activity information; the indicators of the impact of the activity as applicable; location information; other information relevant to determining that an activity meets the standards under community development; and allocation of dollar value of the activity to counties served by the community development activity, if available.  Large banks would be required to collect and maintain this information in prescribed machine readable form.  An intermediate bank that opts to be evaluated under the Community Development Financing Test, would be required to collect and maintain this information in the format used by the bank in the normal course of business.  Both of these types of banks would be required to maintain this data until completion of its next CRA examination.  </w:t>
      </w:r>
      <w:r>
        <w:t>These banks would be required to collect and maintain, on an annual basis, data for loans and investments originated or purchased during the evaluation period.</w:t>
      </w:r>
      <w:r>
        <w:rPr>
          <w:iCs/>
        </w:rPr>
        <w:t xml:space="preserve">  Likewise, these banks would be required to collect and maintain data on community development loans and investments </w:t>
      </w:r>
      <w:r>
        <w:rPr>
          <w:szCs w:val="24"/>
        </w:rPr>
        <w:t>from prior years that are held on the bank’s balance sheet at the end of each quarter.</w:t>
      </w:r>
    </w:p>
    <w:p w:rsidR="00863D7E" w:rsidP="00863D7E" w:rsidRDefault="00863D7E" w14:paraId="223A4B8D" w14:textId="77777777">
      <w:pPr>
        <w:ind w:firstLine="450"/>
        <w:rPr>
          <w:iCs/>
        </w:rPr>
      </w:pPr>
    </w:p>
    <w:p w:rsidR="00863D7E" w:rsidP="00863D7E" w:rsidRDefault="00863D7E" w14:paraId="0A512C36" w14:textId="5340CBBB">
      <w:pPr>
        <w:ind w:firstLine="450"/>
        <w:rPr>
          <w:iCs/>
        </w:rPr>
      </w:pPr>
      <w:r>
        <w:rPr>
          <w:b/>
          <w:bCs/>
          <w:i/>
          <w:u w:val="single"/>
        </w:rPr>
        <w:t xml:space="preserve">§___.42(a)(6) Community development services data. </w:t>
      </w:r>
      <w:r>
        <w:rPr>
          <w:b/>
          <w:bCs/>
          <w:i/>
        </w:rPr>
        <w:t xml:space="preserve"> </w:t>
      </w:r>
      <w:r>
        <w:t>A large</w:t>
      </w:r>
      <w:r>
        <w:rPr>
          <w:b/>
          <w:bCs/>
          <w:i/>
        </w:rPr>
        <w:t xml:space="preserve"> </w:t>
      </w:r>
      <w:r>
        <w:rPr>
          <w:iCs/>
        </w:rPr>
        <w:t xml:space="preserve">bank with assets of over $10 billion </w:t>
      </w:r>
      <w:r w:rsidR="006161F4">
        <w:rPr>
          <w:iCs/>
        </w:rPr>
        <w:t xml:space="preserve">in both of the prior two calendar years </w:t>
      </w:r>
      <w:r>
        <w:rPr>
          <w:iCs/>
        </w:rPr>
        <w:t>would be required to collect and maintain in prescribed machine readable form until the completion of its next CRA examination, community development services data</w:t>
      </w:r>
      <w:r w:rsidR="00DA589A">
        <w:rPr>
          <w:iCs/>
        </w:rPr>
        <w:t>,</w:t>
      </w:r>
      <w:r>
        <w:rPr>
          <w:iCs/>
        </w:rPr>
        <w:t xml:space="preserve"> including bank information, community development services activity information, and location information.  </w:t>
      </w:r>
    </w:p>
    <w:p w:rsidR="00863D7E" w:rsidP="00863D7E" w:rsidRDefault="00863D7E" w14:paraId="5DB3C1AB" w14:textId="77777777">
      <w:pPr>
        <w:ind w:firstLine="450"/>
        <w:rPr>
          <w:iCs/>
        </w:rPr>
      </w:pPr>
    </w:p>
    <w:p w:rsidR="00863D7E" w:rsidP="00863D7E" w:rsidRDefault="00863D7E" w14:paraId="6719BB07" w14:textId="0C60EBF3">
      <w:pPr>
        <w:ind w:firstLine="450"/>
        <w:rPr>
          <w:iCs/>
        </w:rPr>
      </w:pPr>
      <w:bookmarkStart w:name="OLE_LINK132" w:id="1"/>
      <w:r>
        <w:rPr>
          <w:b/>
          <w:bCs/>
          <w:i/>
          <w:u w:val="single"/>
        </w:rPr>
        <w:t>§___.42(a)(7) Deposits data.</w:t>
      </w:r>
      <w:r>
        <w:rPr>
          <w:b/>
          <w:bCs/>
          <w:i/>
        </w:rPr>
        <w:t xml:space="preserve">  </w:t>
      </w:r>
      <w:bookmarkStart w:name="OLE_LINK134" w:id="2"/>
      <w:r>
        <w:rPr>
          <w:iCs/>
        </w:rPr>
        <w:t>A large bank that had</w:t>
      </w:r>
      <w:r>
        <w:t xml:space="preserve"> assets of over $10 billion</w:t>
      </w:r>
      <w:r w:rsidR="00B54923">
        <w:t xml:space="preserve"> in both of the prior two calendar years</w:t>
      </w:r>
      <w:r>
        <w:rPr>
          <w:b/>
          <w:bCs/>
          <w:i/>
        </w:rPr>
        <w:t xml:space="preserve"> </w:t>
      </w:r>
      <w:bookmarkEnd w:id="2"/>
      <w:r>
        <w:rPr>
          <w:iCs/>
        </w:rPr>
        <w:t xml:space="preserve">would be required to collect and maintain annually in prescribed machine readable form until the completion of its next CRA examination, </w:t>
      </w:r>
      <w:bookmarkEnd w:id="1"/>
      <w:r>
        <w:rPr>
          <w:iCs/>
        </w:rPr>
        <w:t xml:space="preserve">the dollar amount of its deposits at the county level, based upon the address associated with the individual account (except for account types where an address is not available), calculated based on average daily balances as provided in statements such as monthly or quarterly statements.  A large bank with assets of $10 billion or less </w:t>
      </w:r>
      <w:r w:rsidR="00B54923">
        <w:rPr>
          <w:iCs/>
        </w:rPr>
        <w:t xml:space="preserve">in either of the two prior calendar years </w:t>
      </w:r>
      <w:r>
        <w:rPr>
          <w:iCs/>
        </w:rPr>
        <w:t xml:space="preserve">that opts to collect and maintain deposits data would be required to do so in machine readable form until completion of the bank’s next CRA examination.  </w:t>
      </w:r>
    </w:p>
    <w:p w:rsidR="00863D7E" w:rsidP="00863D7E" w:rsidRDefault="00863D7E" w14:paraId="753147FE" w14:textId="77777777">
      <w:pPr>
        <w:ind w:firstLine="450"/>
        <w:rPr>
          <w:iCs/>
        </w:rPr>
      </w:pPr>
    </w:p>
    <w:p w:rsidR="00863D7E" w:rsidP="00863D7E" w:rsidRDefault="00863D7E" w14:paraId="6128EA36" w14:textId="4DA4352E">
      <w:pPr>
        <w:ind w:firstLine="450"/>
        <w:rPr>
          <w:iCs/>
        </w:rPr>
      </w:pPr>
      <w:r>
        <w:rPr>
          <w:b/>
          <w:bCs/>
          <w:i/>
          <w:iCs/>
          <w:u w:val="single"/>
        </w:rPr>
        <w:t>§___.42(b)(1) Sm</w:t>
      </w:r>
      <w:r>
        <w:rPr>
          <w:b/>
          <w:bCs/>
          <w:i/>
          <w:u w:val="single"/>
        </w:rPr>
        <w:t>all business and small farm loan data.</w:t>
      </w:r>
      <w:r>
        <w:rPr>
          <w:b/>
          <w:bCs/>
          <w:i/>
        </w:rPr>
        <w:t xml:space="preserve">  </w:t>
      </w:r>
      <w:r>
        <w:rPr>
          <w:iCs/>
        </w:rPr>
        <w:t>A bank, except a small or intermediate bank, would be required to report annually by April 1</w:t>
      </w:r>
      <w:r w:rsidR="00BD4B9B">
        <w:rPr>
          <w:iCs/>
        </w:rPr>
        <w:t>,</w:t>
      </w:r>
      <w:r>
        <w:rPr>
          <w:iCs/>
        </w:rPr>
        <w:t xml:space="preserve"> in prescribed machine readable form, </w:t>
      </w:r>
      <w:r>
        <w:t xml:space="preserve">certain aggregate data for </w:t>
      </w:r>
      <w:r>
        <w:rPr>
          <w:iCs/>
        </w:rPr>
        <w:t>small business or small farm loans for each census tract in which the bank originated or purchased such loans.</w:t>
      </w:r>
    </w:p>
    <w:p w:rsidR="00863D7E" w:rsidP="00863D7E" w:rsidRDefault="00863D7E" w14:paraId="6DFF964F" w14:textId="77777777">
      <w:pPr>
        <w:ind w:firstLine="450"/>
        <w:rPr>
          <w:i/>
          <w:u w:val="single"/>
        </w:rPr>
      </w:pPr>
    </w:p>
    <w:p w:rsidR="00863D7E" w:rsidP="00863D7E" w:rsidRDefault="00863D7E" w14:paraId="79ADFE51" w14:textId="09017DD2">
      <w:pPr>
        <w:ind w:firstLine="450"/>
        <w:rPr>
          <w:iCs/>
        </w:rPr>
      </w:pPr>
      <w:r>
        <w:rPr>
          <w:b/>
          <w:bCs/>
          <w:i/>
          <w:iCs/>
          <w:u w:val="single"/>
        </w:rPr>
        <w:t>§___.42(b)(2) Con</w:t>
      </w:r>
      <w:r>
        <w:rPr>
          <w:b/>
          <w:bCs/>
          <w:i/>
          <w:u w:val="single"/>
        </w:rPr>
        <w:t>sumer loans—automobile loans data.</w:t>
      </w:r>
      <w:r>
        <w:rPr>
          <w:b/>
          <w:bCs/>
          <w:i/>
        </w:rPr>
        <w:t xml:space="preserve">  </w:t>
      </w:r>
      <w:r>
        <w:rPr>
          <w:iCs/>
        </w:rPr>
        <w:t>A bank with assets of over $10 billion</w:t>
      </w:r>
      <w:r w:rsidR="00B54923">
        <w:rPr>
          <w:iCs/>
        </w:rPr>
        <w:t xml:space="preserve"> in both of the prior two calendar years</w:t>
      </w:r>
      <w:r>
        <w:rPr>
          <w:iCs/>
        </w:rPr>
        <w:t xml:space="preserve"> would be required to report annually by April 1, </w:t>
      </w:r>
      <w:bookmarkStart w:name="_Hlk96598444" w:id="3"/>
      <w:r>
        <w:rPr>
          <w:iCs/>
        </w:rPr>
        <w:t xml:space="preserve">in prescribed machine readable form, the aggregate number and amount of automobile loans and </w:t>
      </w:r>
      <w:r>
        <w:rPr>
          <w:iCs/>
        </w:rPr>
        <w:lastRenderedPageBreak/>
        <w:t xml:space="preserve">the number and amount of those loans made to </w:t>
      </w:r>
      <w:r>
        <w:rPr>
          <w:bCs/>
          <w:szCs w:val="24"/>
        </w:rPr>
        <w:t>low- and moderate-income</w:t>
      </w:r>
      <w:r>
        <w:rPr>
          <w:iCs/>
        </w:rPr>
        <w:t xml:space="preserve"> borrowers </w:t>
      </w:r>
      <w:bookmarkEnd w:id="3"/>
      <w:r>
        <w:rPr>
          <w:iCs/>
        </w:rPr>
        <w:t>for each census tract in which they originated or purchased such loans.</w:t>
      </w:r>
    </w:p>
    <w:p w:rsidR="00863D7E" w:rsidP="00863D7E" w:rsidRDefault="00863D7E" w14:paraId="1CB4700C" w14:textId="77777777">
      <w:pPr>
        <w:ind w:firstLine="450"/>
        <w:rPr>
          <w:i/>
          <w:u w:val="single"/>
        </w:rPr>
      </w:pPr>
    </w:p>
    <w:p w:rsidR="00863D7E" w:rsidP="00863D7E" w:rsidRDefault="00863D7E" w14:paraId="23026E6D" w14:textId="1C70A699">
      <w:pPr>
        <w:ind w:firstLine="450"/>
        <w:rPr>
          <w:iCs/>
        </w:rPr>
      </w:pPr>
      <w:r>
        <w:rPr>
          <w:b/>
          <w:bCs/>
          <w:i/>
          <w:iCs/>
          <w:u w:val="single"/>
        </w:rPr>
        <w:t>§___.42(b)(3) Co</w:t>
      </w:r>
      <w:r>
        <w:rPr>
          <w:b/>
          <w:bCs/>
          <w:i/>
          <w:u w:val="single"/>
        </w:rPr>
        <w:t xml:space="preserve">mmunity development loan and community development investment data. </w:t>
      </w:r>
      <w:r>
        <w:rPr>
          <w:b/>
          <w:bCs/>
          <w:i/>
        </w:rPr>
        <w:t xml:space="preserve"> </w:t>
      </w:r>
      <w:r>
        <w:rPr>
          <w:iCs/>
        </w:rPr>
        <w:t xml:space="preserve">A bank, except a small or an intermediate bank, would be required to report annually by April 1 the following community development loan and community development investment data: general information on loans and investments; community development loan or investment activity information; indicators of the impact of the activity; location information; other information relevant to determining that an activity meets the standards under community development; </w:t>
      </w:r>
      <w:bookmarkStart w:name="OLE_LINK88" w:id="4"/>
      <w:r>
        <w:rPr>
          <w:iCs/>
        </w:rPr>
        <w:t>and allocation of dollar value of activity to counties served by the community development activity (if available)</w:t>
      </w:r>
      <w:bookmarkEnd w:id="4"/>
      <w:r>
        <w:rPr>
          <w:iCs/>
        </w:rPr>
        <w:t xml:space="preserve">.  </w:t>
      </w:r>
    </w:p>
    <w:p w:rsidR="00863D7E" w:rsidP="00863D7E" w:rsidRDefault="00863D7E" w14:paraId="6795972E" w14:textId="77777777">
      <w:pPr>
        <w:ind w:firstLine="450"/>
        <w:rPr>
          <w:iCs/>
        </w:rPr>
      </w:pPr>
    </w:p>
    <w:p w:rsidR="00863D7E" w:rsidP="00863D7E" w:rsidRDefault="00863D7E" w14:paraId="2F530EF6" w14:textId="6459B379">
      <w:pPr>
        <w:ind w:firstLine="450"/>
        <w:rPr>
          <w:iCs/>
        </w:rPr>
      </w:pPr>
      <w:r>
        <w:rPr>
          <w:b/>
          <w:bCs/>
          <w:i/>
          <w:iCs/>
          <w:u w:val="single"/>
        </w:rPr>
        <w:t>§___.42(b)(4) C</w:t>
      </w:r>
      <w:r>
        <w:rPr>
          <w:b/>
          <w:bCs/>
          <w:i/>
          <w:u w:val="single"/>
        </w:rPr>
        <w:t>ommunity development services data.</w:t>
      </w:r>
      <w:r>
        <w:rPr>
          <w:b/>
          <w:bCs/>
          <w:i/>
        </w:rPr>
        <w:t xml:space="preserve">  </w:t>
      </w:r>
      <w:r>
        <w:rPr>
          <w:iCs/>
        </w:rPr>
        <w:t>A</w:t>
      </w:r>
      <w:r>
        <w:rPr>
          <w:b/>
          <w:bCs/>
          <w:i/>
        </w:rPr>
        <w:t xml:space="preserve"> </w:t>
      </w:r>
      <w:r>
        <w:rPr>
          <w:iCs/>
        </w:rPr>
        <w:t xml:space="preserve">large bank with assets of over $10 billion </w:t>
      </w:r>
      <w:r w:rsidR="00B54923">
        <w:rPr>
          <w:iCs/>
        </w:rPr>
        <w:t xml:space="preserve">in both of the prior two calendar years </w:t>
      </w:r>
      <w:r>
        <w:rPr>
          <w:iCs/>
        </w:rPr>
        <w:t>would be required to report annually by April 1 community development services data including bank information.</w:t>
      </w:r>
    </w:p>
    <w:p w:rsidR="00863D7E" w:rsidP="00863D7E" w:rsidRDefault="00863D7E" w14:paraId="500E49C3" w14:textId="77777777">
      <w:pPr>
        <w:ind w:firstLine="450"/>
        <w:rPr>
          <w:i/>
          <w:u w:val="single"/>
        </w:rPr>
      </w:pPr>
    </w:p>
    <w:p w:rsidR="00863D7E" w:rsidP="00863D7E" w:rsidRDefault="00863D7E" w14:paraId="15FE4279" w14:textId="06FD089F">
      <w:pPr>
        <w:ind w:firstLine="450"/>
        <w:rPr>
          <w:iCs/>
        </w:rPr>
      </w:pPr>
      <w:r>
        <w:rPr>
          <w:b/>
          <w:bCs/>
          <w:i/>
          <w:iCs/>
          <w:u w:val="single"/>
        </w:rPr>
        <w:t>§___.42(b)(5) De</w:t>
      </w:r>
      <w:r>
        <w:rPr>
          <w:b/>
          <w:bCs/>
          <w:i/>
          <w:u w:val="single"/>
        </w:rPr>
        <w:t>posits data.</w:t>
      </w:r>
      <w:r>
        <w:rPr>
          <w:b/>
          <w:bCs/>
          <w:i/>
        </w:rPr>
        <w:t xml:space="preserve">  </w:t>
      </w:r>
      <w:r>
        <w:t>A large bank with assets of over $10 billion</w:t>
      </w:r>
      <w:r>
        <w:rPr>
          <w:b/>
          <w:bCs/>
          <w:i/>
        </w:rPr>
        <w:t xml:space="preserve"> </w:t>
      </w:r>
      <w:r w:rsidR="00B54923">
        <w:rPr>
          <w:iCs/>
        </w:rPr>
        <w:t xml:space="preserve">in both of the prior two calendar years </w:t>
      </w:r>
      <w:r>
        <w:rPr>
          <w:iCs/>
        </w:rPr>
        <w:t>would be required to report annually by April 1</w:t>
      </w:r>
      <w:r w:rsidR="00BD4B9B">
        <w:rPr>
          <w:iCs/>
        </w:rPr>
        <w:t>,</w:t>
      </w:r>
      <w:r>
        <w:rPr>
          <w:iCs/>
        </w:rPr>
        <w:t xml:space="preserve"> in prescribed machine readable form</w:t>
      </w:r>
      <w:r w:rsidR="00BD4B9B">
        <w:rPr>
          <w:iCs/>
        </w:rPr>
        <w:t>,</w:t>
      </w:r>
      <w:r>
        <w:rPr>
          <w:iCs/>
        </w:rPr>
        <w:t xml:space="preserve"> the deposits data for the previous calendar year including for each county, state, and multistate MSA and for the institution overall.  The reporting would include the average annual deposit balances (calculated based on average daily balances as provided in statements such as monthly or quarterly statements, as applicable), in aggregate, of deposit accounts with associated addresses located in such county, state</w:t>
      </w:r>
      <w:r w:rsidR="00BD4B9B">
        <w:rPr>
          <w:iCs/>
        </w:rPr>
        <w:t>,</w:t>
      </w:r>
      <w:r>
        <w:rPr>
          <w:iCs/>
        </w:rPr>
        <w:t xml:space="preserve"> or multistate MSA</w:t>
      </w:r>
      <w:r w:rsidR="00BD4B9B">
        <w:rPr>
          <w:iCs/>
        </w:rPr>
        <w:t>,</w:t>
      </w:r>
      <w:r>
        <w:rPr>
          <w:iCs/>
        </w:rPr>
        <w:t xml:space="preserve"> where available, and for the institution overall.</w:t>
      </w:r>
    </w:p>
    <w:p w:rsidR="00863D7E" w:rsidP="00863D7E" w:rsidRDefault="00863D7E" w14:paraId="2071B229" w14:textId="4F30962E">
      <w:pPr>
        <w:ind w:firstLine="450"/>
        <w:rPr>
          <w:i/>
          <w:u w:val="single"/>
        </w:rPr>
      </w:pPr>
      <w:r>
        <w:rPr>
          <w:iCs/>
        </w:rPr>
        <w:t xml:space="preserve">  </w:t>
      </w:r>
    </w:p>
    <w:p w:rsidR="00863D7E" w:rsidP="00863D7E" w:rsidRDefault="00863D7E" w14:paraId="44CC8A9D" w14:textId="447B9A98">
      <w:pPr>
        <w:ind w:firstLine="450"/>
      </w:pPr>
      <w:r>
        <w:rPr>
          <w:b/>
          <w:bCs/>
          <w:i/>
          <w:iCs/>
          <w:u w:val="single"/>
        </w:rPr>
        <w:t xml:space="preserve">§___.42(c) </w:t>
      </w:r>
      <w:r>
        <w:rPr>
          <w:b/>
          <w:bCs/>
          <w:i/>
          <w:u w:val="single"/>
        </w:rPr>
        <w:t>Data on operations subsidiaries or operating subsidiaries.</w:t>
      </w:r>
      <w:r>
        <w:rPr>
          <w:i/>
        </w:rPr>
        <w:t xml:space="preserve"> </w:t>
      </w:r>
      <w:r>
        <w:rPr>
          <w:b/>
          <w:bCs/>
          <w:i/>
        </w:rPr>
        <w:t xml:space="preserve"> </w:t>
      </w:r>
      <w:r>
        <w:t xml:space="preserve">To the extent that </w:t>
      </w:r>
      <w:r w:rsidR="003F6C34">
        <w:t>its</w:t>
      </w:r>
      <w:r>
        <w:t xml:space="preserve"> operating subsidiaries</w:t>
      </w:r>
      <w:r w:rsidR="00BD4B9B">
        <w:t xml:space="preserve"> </w:t>
      </w:r>
      <w:r>
        <w:t>engage in retail lending, retail services, community development financing, or community development services activities, a bank would be required to collect, maintain, and report these activities for purposes of evaluating the bank’s performance.  For home mortgage loans, a bank would need to be prepared to identify the loans reported by the operating subsidiary under 12 CFR part 1003, if applicable, or collect and maintain home mortgage loans by the operat</w:t>
      </w:r>
      <w:r w:rsidR="00BD4B9B">
        <w:t>ing</w:t>
      </w:r>
      <w:r>
        <w:t xml:space="preserve"> subsidiary that the bank would have collected and maintained under §_.42(a)(3) had the loans been originated or purchased by the bank.</w:t>
      </w:r>
    </w:p>
    <w:p w:rsidR="00863D7E" w:rsidP="00863D7E" w:rsidRDefault="00863D7E" w14:paraId="4313DDF2" w14:textId="77777777">
      <w:pPr>
        <w:ind w:firstLine="450"/>
      </w:pPr>
    </w:p>
    <w:p w:rsidR="00863D7E" w:rsidP="00863D7E" w:rsidRDefault="00863D7E" w14:paraId="75EE79F4" w14:textId="2C203E12">
      <w:pPr>
        <w:ind w:firstLine="450"/>
        <w:rPr>
          <w:iCs/>
        </w:rPr>
      </w:pPr>
      <w:r>
        <w:rPr>
          <w:b/>
          <w:bCs/>
          <w:i/>
          <w:iCs/>
          <w:u w:val="single"/>
        </w:rPr>
        <w:t>§___.42(d) Data</w:t>
      </w:r>
      <w:r>
        <w:rPr>
          <w:b/>
          <w:bCs/>
          <w:i/>
          <w:u w:val="single"/>
        </w:rPr>
        <w:t xml:space="preserve"> on other affiliates.</w:t>
      </w:r>
      <w:r>
        <w:rPr>
          <w:b/>
          <w:bCs/>
          <w:i/>
        </w:rPr>
        <w:t xml:space="preserve">  </w:t>
      </w:r>
      <w:r>
        <w:rPr>
          <w:iCs/>
        </w:rPr>
        <w:t xml:space="preserve">A bank that elects to have loans by an affiliate considered for </w:t>
      </w:r>
      <w:r w:rsidR="00BD4B9B">
        <w:rPr>
          <w:iCs/>
        </w:rPr>
        <w:t xml:space="preserve">CRA evaluation </w:t>
      </w:r>
      <w:r>
        <w:rPr>
          <w:iCs/>
        </w:rPr>
        <w:t xml:space="preserve">purposes would be required to collect, maintain, and report the lending and investments data they would have collected, maintained, and reported under § __.42(a) or (b) had the loans or investments been originated or purchased by the bank.  For home mortgage loans, </w:t>
      </w:r>
      <w:r w:rsidR="00BD4B9B">
        <w:rPr>
          <w:iCs/>
        </w:rPr>
        <w:t>a bank</w:t>
      </w:r>
      <w:r>
        <w:rPr>
          <w:iCs/>
        </w:rPr>
        <w:t xml:space="preserve"> would also need to identify the home mortgage loans reported by its affiliate under 12 CFR part 1003, if applicable, or collect and maintain home mortgage loans by the affiliate that the bank would have collected and maintained under § __.42(a)(3) had the loans been originated or purchased by the bank.</w:t>
      </w:r>
    </w:p>
    <w:p w:rsidR="00863D7E" w:rsidP="00863D7E" w:rsidRDefault="00863D7E" w14:paraId="7B02EEF5" w14:textId="77777777">
      <w:pPr>
        <w:ind w:firstLine="450"/>
      </w:pPr>
    </w:p>
    <w:p w:rsidR="00863D7E" w:rsidP="00863D7E" w:rsidRDefault="00863D7E" w14:paraId="58C98C6F" w14:textId="5EC9D678">
      <w:pPr>
        <w:ind w:firstLine="450"/>
      </w:pPr>
      <w:r>
        <w:rPr>
          <w:b/>
          <w:bCs/>
          <w:i/>
          <w:iCs/>
          <w:u w:val="single"/>
        </w:rPr>
        <w:t>§___.42(e) D</w:t>
      </w:r>
      <w:r>
        <w:rPr>
          <w:b/>
          <w:bCs/>
          <w:i/>
          <w:u w:val="single"/>
        </w:rPr>
        <w:t>ata on community development financing by a consortium or a third party.</w:t>
      </w:r>
      <w:r>
        <w:rPr>
          <w:i/>
        </w:rPr>
        <w:t xml:space="preserve"> </w:t>
      </w:r>
      <w:r>
        <w:rPr>
          <w:b/>
          <w:bCs/>
          <w:i/>
        </w:rPr>
        <w:t xml:space="preserve"> </w:t>
      </w:r>
      <w:r>
        <w:t xml:space="preserve">A bank that elects to have community development loans and community development investments by a consortium or third party be considered for </w:t>
      </w:r>
      <w:bookmarkStart w:name="_Hlk96599192" w:id="5"/>
      <w:r w:rsidR="00BD4B9B">
        <w:t xml:space="preserve">CRA evaluation </w:t>
      </w:r>
      <w:r>
        <w:t xml:space="preserve">purposes </w:t>
      </w:r>
      <w:bookmarkEnd w:id="5"/>
      <w:r>
        <w:t xml:space="preserve">would be </w:t>
      </w:r>
      <w:r>
        <w:lastRenderedPageBreak/>
        <w:t>required to collect, maintain, and report the lending and investments data the</w:t>
      </w:r>
      <w:r w:rsidR="00BD4B9B">
        <w:t xml:space="preserve"> bank</w:t>
      </w:r>
      <w:r>
        <w:t xml:space="preserve"> would have collected, maintained, and reported under § __.42(a)(5) and (b)(3) if the loans or investments had been originated or purchased by the bank.</w:t>
      </w:r>
    </w:p>
    <w:p w:rsidR="00863D7E" w:rsidP="00863D7E" w:rsidRDefault="00863D7E" w14:paraId="2F878E09" w14:textId="77777777">
      <w:pPr>
        <w:ind w:firstLine="450"/>
      </w:pPr>
    </w:p>
    <w:p w:rsidR="00863D7E" w:rsidP="00863D7E" w:rsidRDefault="00863D7E" w14:paraId="471D75D6" w14:textId="23D8AA51">
      <w:pPr>
        <w:ind w:firstLine="450"/>
      </w:pPr>
      <w:r>
        <w:rPr>
          <w:b/>
          <w:bCs/>
          <w:i/>
          <w:iCs/>
          <w:u w:val="single"/>
        </w:rPr>
        <w:t>§___.42(f)(1) Facility-based assessment areas.</w:t>
      </w:r>
      <w:r>
        <w:rPr>
          <w:b/>
          <w:bCs/>
          <w:i/>
          <w:iCs/>
        </w:rPr>
        <w:t xml:space="preserve">  </w:t>
      </w:r>
      <w:r>
        <w:t xml:space="preserve">A bank, except a small bank or intermediate bank, would be required to collect and report to the </w:t>
      </w:r>
      <w:r w:rsidR="006D68ED">
        <w:t>OCC</w:t>
      </w:r>
      <w:r>
        <w:t xml:space="preserve"> by April 1 of each year a list of each facility-based assessment area showing the states, MSAs, counties or county equivalents, metropolitan divisions, and nonmetropolitan counties within each facility-based assessment area.</w:t>
      </w:r>
    </w:p>
    <w:p w:rsidR="00863D7E" w:rsidP="00863D7E" w:rsidRDefault="00863D7E" w14:paraId="5F94C56C" w14:textId="77777777">
      <w:pPr>
        <w:ind w:firstLine="450"/>
        <w:rPr>
          <w:i/>
          <w:u w:val="single"/>
        </w:rPr>
      </w:pPr>
    </w:p>
    <w:p w:rsidR="00863D7E" w:rsidP="00863D7E" w:rsidRDefault="00863D7E" w14:paraId="503E61B7" w14:textId="6966B618">
      <w:pPr>
        <w:ind w:firstLine="450"/>
      </w:pPr>
      <w:r>
        <w:rPr>
          <w:b/>
          <w:bCs/>
          <w:i/>
          <w:iCs/>
          <w:u w:val="single"/>
        </w:rPr>
        <w:t>§___.42(f)(2) Retail lending assessment areas.</w:t>
      </w:r>
      <w:r>
        <w:rPr>
          <w:b/>
          <w:bCs/>
          <w:i/>
          <w:iCs/>
        </w:rPr>
        <w:t xml:space="preserve">  </w:t>
      </w:r>
      <w:r>
        <w:t>A large bank would be required to delineate retail lending assessment area based on geographic, MSA, and nonmetropolitan areas of states criteria specified in the proposal.  A large bank would be required to collect and report a list showing the MSAs and nonmetropolitan counties within each retail lending assessment area by April 1 of each year.</w:t>
      </w:r>
    </w:p>
    <w:p w:rsidR="00863D7E" w:rsidP="00863D7E" w:rsidRDefault="00863D7E" w14:paraId="2464AC35" w14:textId="77777777">
      <w:pPr>
        <w:ind w:firstLine="450"/>
      </w:pPr>
    </w:p>
    <w:p w:rsidR="00811CB2" w:rsidP="00863D7E" w:rsidRDefault="00863D7E" w14:paraId="2DE51362" w14:textId="452F3FE6">
      <w:pPr>
        <w:ind w:firstLine="450"/>
      </w:pPr>
      <w:r>
        <w:rPr>
          <w:b/>
          <w:bCs/>
          <w:i/>
          <w:iCs/>
          <w:u w:val="single"/>
        </w:rPr>
        <w:t>§§__.43, ___.44 Public File and Public Notice.</w:t>
      </w:r>
      <w:r>
        <w:rPr>
          <w:b/>
          <w:bCs/>
          <w:i/>
          <w:iCs/>
        </w:rPr>
        <w:t xml:space="preserve">  </w:t>
      </w:r>
      <w:r>
        <w:t xml:space="preserve">Banks would be required to maintain a public file, in either paper or digital format, that includes prescribed information.  Banks would be required to provide copies on request, either on paper or in another form acceptable to the person making the request, of the information in its public file.  A bank would also be required to provide in the public area of its main office and branches the public notice set forth in proposed appendix F.  </w:t>
      </w:r>
    </w:p>
    <w:p w:rsidR="00863D7E" w:rsidP="00863D7E" w:rsidRDefault="00863D7E" w14:paraId="40B341CE" w14:textId="77777777">
      <w:pPr>
        <w:ind w:firstLine="450"/>
      </w:pPr>
    </w:p>
    <w:p w:rsidRPr="005C2B31" w:rsidR="00811CB2" w:rsidP="00E55F55" w:rsidRDefault="00811CB2" w14:paraId="48256846" w14:textId="77777777">
      <w:pPr>
        <w:rPr>
          <w:b/>
          <w:bCs/>
          <w:i/>
        </w:rPr>
      </w:pPr>
      <w:r w:rsidRPr="005C2B31">
        <w:rPr>
          <w:b/>
          <w:bCs/>
          <w:i/>
        </w:rPr>
        <w:t>3. Consideration of the use of improved information technology</w:t>
      </w:r>
      <w:r w:rsidRPr="005C2B31" w:rsidR="00A75944">
        <w:rPr>
          <w:b/>
          <w:bCs/>
          <w:i/>
        </w:rPr>
        <w:t>:</w:t>
      </w:r>
    </w:p>
    <w:p w:rsidR="00811CB2" w:rsidP="00E55F55" w:rsidRDefault="00811CB2" w14:paraId="5E1E1ED1" w14:textId="77777777"/>
    <w:p w:rsidR="000A0516" w:rsidP="00E55F55" w:rsidRDefault="000A0516" w14:paraId="44912C84" w14:textId="77777777">
      <w:pPr>
        <w:ind w:firstLine="720"/>
      </w:pPr>
      <w:r>
        <w:t>The OCC uses information technology to reduce compliance burden on banks and decrease costs to both the banks and the OCC.</w:t>
      </w:r>
    </w:p>
    <w:p w:rsidR="00811CB2" w:rsidP="00E55F55" w:rsidRDefault="00811CB2" w14:paraId="70DB8CD0" w14:textId="77777777"/>
    <w:p w:rsidRPr="005C2B31" w:rsidR="00811CB2" w:rsidP="00E55F55" w:rsidRDefault="00811CB2" w14:paraId="31B60272" w14:textId="77777777">
      <w:pPr>
        <w:rPr>
          <w:b/>
          <w:bCs/>
          <w:i/>
        </w:rPr>
      </w:pPr>
      <w:r w:rsidRPr="005C2B31">
        <w:rPr>
          <w:b/>
          <w:bCs/>
          <w:i/>
        </w:rPr>
        <w:t>4. Efforts to identify duplication</w:t>
      </w:r>
      <w:r w:rsidRPr="005C2B31" w:rsidR="00A75944">
        <w:rPr>
          <w:b/>
          <w:bCs/>
          <w:i/>
        </w:rPr>
        <w:t>:</w:t>
      </w:r>
    </w:p>
    <w:p w:rsidR="00811CB2" w:rsidP="00E55F55" w:rsidRDefault="00811CB2" w14:paraId="2E88A50F" w14:textId="77777777"/>
    <w:p w:rsidR="000A0516" w:rsidP="00E55F55" w:rsidRDefault="00AB45B2" w14:paraId="4B30FB87" w14:textId="4A77D62D">
      <w:pPr>
        <w:ind w:firstLine="720"/>
      </w:pPr>
      <w:r>
        <w:t>A</w:t>
      </w:r>
      <w:r w:rsidR="000A0516">
        <w:t>lmost all of the information collected pursuant to the CRA regulation is not otherwise available.  Where the OCC already collects information useful for CRA purposes, it has relied on the existing collection, rather than requiring banks</w:t>
      </w:r>
      <w:r w:rsidR="00B827AC">
        <w:t xml:space="preserve"> and savings associations</w:t>
      </w:r>
      <w:r w:rsidR="000A0516">
        <w:t xml:space="preserve"> to provide the information in a different format.  </w:t>
      </w:r>
    </w:p>
    <w:p w:rsidR="00FA51DB" w:rsidP="00E55F55" w:rsidRDefault="00FA51DB" w14:paraId="312E4408" w14:textId="77777777">
      <w:pPr>
        <w:rPr>
          <w:b/>
          <w:bCs/>
          <w:i/>
        </w:rPr>
      </w:pPr>
    </w:p>
    <w:p w:rsidRPr="005C2B31" w:rsidR="00811CB2" w:rsidP="00E55F55" w:rsidRDefault="00811CB2" w14:paraId="56F4C684" w14:textId="77777777">
      <w:pPr>
        <w:rPr>
          <w:b/>
          <w:bCs/>
          <w:i/>
        </w:rPr>
      </w:pP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E55F55" w:rsidRDefault="00811CB2" w14:paraId="0770871B" w14:textId="77777777">
      <w:pPr>
        <w:rPr>
          <w:b/>
          <w:bCs/>
        </w:rPr>
      </w:pPr>
    </w:p>
    <w:p w:rsidR="00811CB2" w:rsidP="00E55F55" w:rsidRDefault="00DC5578" w14:paraId="02FBBF6C" w14:textId="3B0382E0">
      <w:pPr>
        <w:ind w:firstLine="720"/>
      </w:pPr>
      <w:r>
        <w:t>S</w:t>
      </w:r>
      <w:r w:rsidR="00811CB2">
        <w:t>mall institutions are subject to modest burden under the CRA regulations</w:t>
      </w:r>
      <w:r w:rsidR="00AB45B2">
        <w:t>.</w:t>
      </w:r>
    </w:p>
    <w:p w:rsidR="00811CB2" w:rsidP="00E55F55" w:rsidRDefault="00811CB2" w14:paraId="0EEB56F2" w14:textId="77777777">
      <w:pPr>
        <w:ind w:firstLine="720"/>
        <w:rPr>
          <w:b/>
          <w:bCs/>
        </w:rPr>
      </w:pPr>
    </w:p>
    <w:p w:rsidRPr="005C2B31" w:rsidR="00811CB2" w:rsidP="00E55F55" w:rsidRDefault="009D4F9D" w14:paraId="75734B0B" w14:textId="77777777">
      <w:pPr>
        <w:rPr>
          <w:b/>
          <w:i/>
        </w:rPr>
      </w:pPr>
      <w:r>
        <w:rPr>
          <w:b/>
          <w:bCs/>
          <w:i/>
        </w:rPr>
        <w:t>6. Consequences to the F</w:t>
      </w:r>
      <w:r w:rsidRPr="005C2B31" w:rsidR="00811CB2">
        <w:rPr>
          <w:b/>
          <w:bCs/>
          <w:i/>
        </w:rPr>
        <w:t>ederal</w:t>
      </w:r>
      <w:r w:rsidRPr="005C2B31" w:rsidR="00DC5578">
        <w:rPr>
          <w:b/>
          <w:bCs/>
          <w:i/>
        </w:rPr>
        <w:t xml:space="preserve"> program if the collection was </w:t>
      </w:r>
      <w:r w:rsidRPr="005C2B31" w:rsidR="00811CB2">
        <w:rPr>
          <w:b/>
          <w:bCs/>
          <w:i/>
        </w:rPr>
        <w:t>conducted less frequently</w:t>
      </w:r>
      <w:r w:rsidRPr="005C2B31" w:rsidR="009B59E3">
        <w:rPr>
          <w:b/>
          <w:bCs/>
          <w:i/>
        </w:rPr>
        <w:t>:</w:t>
      </w:r>
    </w:p>
    <w:p w:rsidR="00811CB2" w:rsidP="00E55F55" w:rsidRDefault="00811CB2" w14:paraId="6312E0A0" w14:textId="77777777"/>
    <w:p w:rsidR="00811CB2" w:rsidP="00E55F55" w:rsidRDefault="00811CB2" w14:paraId="66404F3C" w14:textId="1C065BFC">
      <w:pPr>
        <w:ind w:firstLine="720"/>
      </w:pPr>
      <w:r>
        <w:t>Reporting less frequently would decrease the utility of the da</w:t>
      </w:r>
      <w:r w:rsidR="002A5D68">
        <w:t>ta for both the public and the a</w:t>
      </w:r>
      <w:r>
        <w:t xml:space="preserve">gencies.  </w:t>
      </w:r>
    </w:p>
    <w:p w:rsidR="00AD7DD3" w:rsidP="00E55F55" w:rsidRDefault="00AD7DD3" w14:paraId="4C2CAD54" w14:textId="77777777">
      <w:pPr>
        <w:rPr>
          <w:bCs/>
        </w:rPr>
      </w:pPr>
    </w:p>
    <w:p w:rsidRPr="005C2B31" w:rsidR="00811CB2" w:rsidP="00E55F55" w:rsidRDefault="00811CB2" w14:paraId="69024502" w14:textId="77777777">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E55F55" w:rsidRDefault="00811CB2" w14:paraId="171E413C" w14:textId="77777777"/>
    <w:p w:rsidR="00811CB2" w:rsidP="00E55F55" w:rsidRDefault="00811CB2" w14:paraId="7EB956A9" w14:textId="77777777">
      <w:pPr>
        <w:ind w:firstLine="720"/>
      </w:pPr>
      <w:r>
        <w:t>The information collection requi</w:t>
      </w:r>
      <w:r w:rsidR="002A5D68">
        <w:t>rements in the a</w:t>
      </w:r>
      <w:r>
        <w:t xml:space="preserve">gencies’ CRA regulations are consistent with </w:t>
      </w:r>
      <w:r w:rsidR="005B4659">
        <w:t>5 CFR part 1320</w:t>
      </w:r>
      <w:r>
        <w:t>.</w:t>
      </w:r>
    </w:p>
    <w:p w:rsidRPr="003962BD" w:rsidR="00811CB2" w:rsidP="00E55F55" w:rsidRDefault="00811CB2" w14:paraId="273E969E" w14:textId="77777777"/>
    <w:p w:rsidRPr="005C2B31" w:rsidR="00811CB2" w:rsidP="00E55F55" w:rsidRDefault="00811CB2" w14:paraId="272503BE" w14:textId="77777777">
      <w:pPr>
        <w:rPr>
          <w:b/>
          <w:bCs/>
          <w:i/>
        </w:rPr>
      </w:pPr>
      <w:r w:rsidRPr="005C2B31">
        <w:rPr>
          <w:b/>
          <w:bCs/>
          <w:i/>
        </w:rPr>
        <w:t>8. Efforts to co</w:t>
      </w:r>
      <w:r w:rsidRPr="005C2B31" w:rsidR="00F24564">
        <w:rPr>
          <w:b/>
          <w:bCs/>
          <w:i/>
        </w:rPr>
        <w:t>nsult with persons outside the a</w:t>
      </w:r>
      <w:r w:rsidRPr="005C2B31">
        <w:rPr>
          <w:b/>
          <w:bCs/>
          <w:i/>
        </w:rPr>
        <w:t>gency</w:t>
      </w:r>
      <w:r w:rsidRPr="005C2B31" w:rsidR="00A75944">
        <w:rPr>
          <w:b/>
          <w:bCs/>
          <w:i/>
        </w:rPr>
        <w:t>:</w:t>
      </w:r>
    </w:p>
    <w:p w:rsidRPr="00162689" w:rsidR="00811CB2" w:rsidP="00E55F55" w:rsidRDefault="00811CB2" w14:paraId="520D496B" w14:textId="77777777"/>
    <w:p w:rsidRPr="00162689" w:rsidR="00162689" w:rsidP="00E55F55" w:rsidRDefault="00F73831" w14:paraId="62C66CF4" w14:textId="77777777">
      <w:pPr>
        <w:autoSpaceDE w:val="0"/>
        <w:autoSpaceDN w:val="0"/>
        <w:adjustRightInd w:val="0"/>
        <w:ind w:firstLine="720"/>
        <w:rPr>
          <w:rFonts w:eastAsia="Calibri"/>
        </w:rPr>
      </w:pPr>
      <w:r>
        <w:rPr>
          <w:spacing w:val="-1"/>
          <w:szCs w:val="24"/>
        </w:rPr>
        <w:t>The OCC issued the collection of information for 60 days of comment as part of the proposed rule.</w:t>
      </w:r>
    </w:p>
    <w:p w:rsidR="008D28D1" w:rsidP="00E55F55" w:rsidRDefault="008D28D1" w14:paraId="714EB9BC" w14:textId="77777777">
      <w:pPr>
        <w:rPr>
          <w:b/>
          <w:bCs/>
          <w:i/>
        </w:rPr>
      </w:pPr>
    </w:p>
    <w:p w:rsidRPr="005C2B31" w:rsidR="00811CB2" w:rsidP="00E55F55" w:rsidRDefault="00811CB2" w14:paraId="74384D1E" w14:textId="77777777">
      <w:pPr>
        <w:rPr>
          <w:b/>
          <w:bCs/>
          <w:i/>
        </w:rPr>
      </w:pPr>
      <w:r w:rsidRPr="005C2B31">
        <w:rPr>
          <w:b/>
          <w:bCs/>
          <w:i/>
        </w:rPr>
        <w:t>9. Payment to respondents</w:t>
      </w:r>
      <w:r w:rsidRPr="005C2B31" w:rsidR="00A75944">
        <w:rPr>
          <w:b/>
          <w:bCs/>
          <w:i/>
        </w:rPr>
        <w:t>:</w:t>
      </w:r>
    </w:p>
    <w:p w:rsidR="00811CB2" w:rsidP="00E55F55" w:rsidRDefault="00811CB2" w14:paraId="2EF3606D" w14:textId="77777777"/>
    <w:p w:rsidR="00811CB2" w:rsidP="00E55F55" w:rsidRDefault="00811CB2" w14:paraId="49C6F80F" w14:textId="77777777">
      <w:pPr>
        <w:ind w:firstLine="720"/>
      </w:pPr>
      <w:r>
        <w:t>Not applicable.  There is no payment to respondents.</w:t>
      </w:r>
    </w:p>
    <w:p w:rsidR="000E6DD2" w:rsidP="00E55F55" w:rsidRDefault="000E6DD2" w14:paraId="712735B5" w14:textId="77777777">
      <w:pPr>
        <w:rPr>
          <w:b/>
          <w:bCs/>
          <w:i/>
        </w:rPr>
      </w:pPr>
    </w:p>
    <w:p w:rsidRPr="005C2B31" w:rsidR="00811CB2" w:rsidP="00E55F55" w:rsidRDefault="00811CB2" w14:paraId="08444DEE" w14:textId="77777777">
      <w:pPr>
        <w:rPr>
          <w:b/>
          <w:bCs/>
          <w:i/>
        </w:rPr>
      </w:pPr>
      <w:r w:rsidRPr="005C2B31">
        <w:rPr>
          <w:b/>
          <w:bCs/>
          <w:i/>
        </w:rPr>
        <w:t>10. Assurance of confidentiality</w:t>
      </w:r>
      <w:r w:rsidRPr="005C2B31" w:rsidR="00A75944">
        <w:rPr>
          <w:b/>
          <w:bCs/>
          <w:i/>
        </w:rPr>
        <w:t>:</w:t>
      </w:r>
    </w:p>
    <w:p w:rsidR="00811CB2" w:rsidP="00E55F55" w:rsidRDefault="00811CB2" w14:paraId="3F6E499A" w14:textId="77777777"/>
    <w:p w:rsidR="00811CB2" w:rsidP="00E55F55" w:rsidRDefault="00811CB2" w14:paraId="050A5DE2" w14:textId="77777777">
      <w:pPr>
        <w:ind w:firstLine="720"/>
      </w:pPr>
      <w:r>
        <w:t>A primary purpose for collection of CRA data is disclosure to the public.  Therefore, no assurance of confidentiality is made.</w:t>
      </w:r>
    </w:p>
    <w:p w:rsidRPr="00A75944" w:rsidR="00811CB2" w:rsidP="00E55F55" w:rsidRDefault="00811CB2" w14:paraId="79C05EC5" w14:textId="77777777"/>
    <w:p w:rsidRPr="005C2B31" w:rsidR="00811CB2" w:rsidP="00E55F55" w:rsidRDefault="00811CB2" w14:paraId="6400AA31" w14:textId="77777777">
      <w:pPr>
        <w:rPr>
          <w:b/>
          <w:bCs/>
          <w:i/>
        </w:rPr>
      </w:pPr>
      <w:r w:rsidRPr="005C2B31">
        <w:rPr>
          <w:b/>
          <w:bCs/>
          <w:i/>
        </w:rPr>
        <w:t>11. Justification for questions of a sensitive nature</w:t>
      </w:r>
      <w:r w:rsidRPr="005C2B31" w:rsidR="00A75944">
        <w:rPr>
          <w:b/>
          <w:bCs/>
          <w:i/>
        </w:rPr>
        <w:t>:</w:t>
      </w:r>
    </w:p>
    <w:p w:rsidR="00811CB2" w:rsidP="00E55F55" w:rsidRDefault="00811CB2" w14:paraId="088E191C" w14:textId="77777777"/>
    <w:p w:rsidR="00811CB2" w:rsidP="00E55F55" w:rsidRDefault="008A1C1E" w14:paraId="4E65EB96" w14:textId="77777777">
      <w:pPr>
        <w:ind w:firstLine="720"/>
      </w:pPr>
      <w:r>
        <w:t>Not applicable.  No personally identifiable information is collected.</w:t>
      </w:r>
    </w:p>
    <w:p w:rsidR="000A3413" w:rsidP="00E55F55" w:rsidRDefault="000A3413" w14:paraId="370BBDF9" w14:textId="77777777"/>
    <w:p w:rsidR="00863D7E" w:rsidP="00863D7E" w:rsidRDefault="00811CB2" w14:paraId="66F1DE1F" w14:textId="30CFBD33">
      <w:pPr>
        <w:rPr>
          <w:b/>
          <w:bCs/>
        </w:rPr>
      </w:pPr>
      <w:r w:rsidRPr="005C2B31">
        <w:rPr>
          <w:b/>
          <w:bCs/>
          <w:i/>
        </w:rPr>
        <w:t xml:space="preserve">12. Burden </w:t>
      </w:r>
      <w:r w:rsidRPr="005C2B31" w:rsidR="008B4E17">
        <w:rPr>
          <w:b/>
          <w:bCs/>
          <w:i/>
        </w:rPr>
        <w:t>e</w:t>
      </w:r>
      <w:r w:rsidRPr="005C2B31">
        <w:rPr>
          <w:b/>
          <w:bCs/>
          <w:i/>
        </w:rPr>
        <w:t>stimate</w:t>
      </w:r>
      <w:r w:rsidRPr="005C2B31" w:rsidR="00A75944">
        <w:rPr>
          <w:b/>
          <w:bCs/>
          <w:i/>
        </w:rPr>
        <w:t>:</w:t>
      </w:r>
      <w:r w:rsidRPr="00863D7E" w:rsidR="00863D7E">
        <w:rPr>
          <w:b/>
          <w:bCs/>
        </w:rPr>
        <w:t xml:space="preserve"> </w:t>
      </w:r>
    </w:p>
    <w:p w:rsidR="00863D7E" w:rsidP="00863D7E" w:rsidRDefault="00863D7E" w14:paraId="67E33ECD" w14:textId="77777777"/>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2387"/>
        <w:gridCol w:w="1309"/>
        <w:gridCol w:w="1295"/>
        <w:gridCol w:w="1768"/>
        <w:gridCol w:w="1516"/>
      </w:tblGrid>
      <w:tr w:rsidR="00863D7E" w:rsidTr="00DA2779" w14:paraId="32F21B61" w14:textId="77777777">
        <w:trPr>
          <w:tblHeader/>
        </w:trPr>
        <w:tc>
          <w:tcPr>
            <w:tcW w:w="1530" w:type="dxa"/>
            <w:tcBorders>
              <w:top w:val="single" w:color="auto" w:sz="4" w:space="0"/>
              <w:left w:val="single" w:color="auto" w:sz="4" w:space="0"/>
              <w:bottom w:val="single" w:color="auto" w:sz="4" w:space="0"/>
              <w:right w:val="single" w:color="auto" w:sz="4" w:space="0"/>
            </w:tcBorders>
            <w:shd w:val="pct20" w:color="auto" w:fill="auto"/>
          </w:tcPr>
          <w:p w:rsidR="00863D7E" w:rsidP="00DA2779" w:rsidRDefault="00863D7E" w14:paraId="13ED1BC3" w14:textId="77777777">
            <w:pPr>
              <w:spacing w:line="252" w:lineRule="auto"/>
              <w:jc w:val="center"/>
              <w:rPr>
                <w:b/>
                <w:bCs/>
                <w:sz w:val="20"/>
              </w:rPr>
            </w:pPr>
            <w:bookmarkStart w:name="OLE_LINK50" w:id="6"/>
          </w:p>
          <w:p w:rsidR="00863D7E" w:rsidP="00DA2779" w:rsidRDefault="00863D7E" w14:paraId="0A4EC0CA" w14:textId="77777777">
            <w:pPr>
              <w:spacing w:line="252" w:lineRule="auto"/>
              <w:jc w:val="center"/>
              <w:rPr>
                <w:b/>
                <w:bCs/>
                <w:sz w:val="20"/>
              </w:rPr>
            </w:pPr>
            <w:r>
              <w:rPr>
                <w:b/>
                <w:bCs/>
                <w:sz w:val="20"/>
              </w:rPr>
              <w:t>Source and Type of Burden</w:t>
            </w:r>
          </w:p>
          <w:p w:rsidR="00863D7E" w:rsidP="00DA2779" w:rsidRDefault="00863D7E" w14:paraId="0A46BAA9" w14:textId="77777777">
            <w:pPr>
              <w:spacing w:line="252" w:lineRule="auto"/>
              <w:jc w:val="center"/>
              <w:rPr>
                <w:b/>
                <w:bCs/>
                <w:sz w:val="20"/>
              </w:rPr>
            </w:pPr>
          </w:p>
        </w:tc>
        <w:tc>
          <w:tcPr>
            <w:tcW w:w="2387" w:type="dxa"/>
            <w:tcBorders>
              <w:top w:val="single" w:color="auto" w:sz="4" w:space="0"/>
              <w:left w:val="single" w:color="auto" w:sz="4" w:space="0"/>
              <w:bottom w:val="single" w:color="auto" w:sz="4" w:space="0"/>
              <w:right w:val="single" w:color="auto" w:sz="4" w:space="0"/>
            </w:tcBorders>
            <w:shd w:val="pct20" w:color="auto" w:fill="auto"/>
          </w:tcPr>
          <w:p w:rsidR="00863D7E" w:rsidP="00DA2779" w:rsidRDefault="00863D7E" w14:paraId="56739E7D" w14:textId="77777777">
            <w:pPr>
              <w:spacing w:line="252" w:lineRule="auto"/>
              <w:jc w:val="center"/>
              <w:rPr>
                <w:b/>
                <w:bCs/>
                <w:sz w:val="20"/>
              </w:rPr>
            </w:pPr>
          </w:p>
          <w:p w:rsidR="00863D7E" w:rsidP="00DA2779" w:rsidRDefault="00863D7E" w14:paraId="2C940AFC" w14:textId="77777777">
            <w:pPr>
              <w:spacing w:line="252" w:lineRule="auto"/>
              <w:jc w:val="center"/>
              <w:rPr>
                <w:b/>
                <w:bCs/>
                <w:sz w:val="20"/>
              </w:rPr>
            </w:pPr>
            <w:r>
              <w:rPr>
                <w:b/>
                <w:bCs/>
                <w:sz w:val="20"/>
              </w:rPr>
              <w:t>Description</w:t>
            </w:r>
          </w:p>
        </w:tc>
        <w:tc>
          <w:tcPr>
            <w:tcW w:w="1309" w:type="dxa"/>
            <w:tcBorders>
              <w:top w:val="single" w:color="auto" w:sz="4" w:space="0"/>
              <w:left w:val="single" w:color="auto" w:sz="4" w:space="0"/>
              <w:bottom w:val="single" w:color="auto" w:sz="4" w:space="0"/>
              <w:right w:val="single" w:color="auto" w:sz="4" w:space="0"/>
            </w:tcBorders>
            <w:shd w:val="pct20" w:color="auto" w:fill="auto"/>
          </w:tcPr>
          <w:p w:rsidR="00863D7E" w:rsidP="00DA2779" w:rsidRDefault="00863D7E" w14:paraId="46763CC3" w14:textId="77777777">
            <w:pPr>
              <w:spacing w:line="252" w:lineRule="auto"/>
              <w:jc w:val="center"/>
              <w:rPr>
                <w:b/>
                <w:bCs/>
                <w:sz w:val="20"/>
              </w:rPr>
            </w:pPr>
          </w:p>
          <w:p w:rsidR="00863D7E" w:rsidP="00DA2779" w:rsidRDefault="00863D7E" w14:paraId="4105EF2A" w14:textId="77777777">
            <w:pPr>
              <w:spacing w:line="252" w:lineRule="auto"/>
              <w:jc w:val="center"/>
              <w:rPr>
                <w:b/>
                <w:bCs/>
                <w:sz w:val="20"/>
              </w:rPr>
            </w:pPr>
            <w:r>
              <w:rPr>
                <w:b/>
                <w:bCs/>
                <w:sz w:val="20"/>
              </w:rPr>
              <w:t xml:space="preserve">Estimated Number of Respondents </w:t>
            </w:r>
          </w:p>
        </w:tc>
        <w:tc>
          <w:tcPr>
            <w:tcW w:w="1295" w:type="dxa"/>
            <w:tcBorders>
              <w:top w:val="single" w:color="auto" w:sz="4" w:space="0"/>
              <w:left w:val="single" w:color="auto" w:sz="4" w:space="0"/>
              <w:bottom w:val="single" w:color="auto" w:sz="4" w:space="0"/>
              <w:right w:val="single" w:color="auto" w:sz="4" w:space="0"/>
            </w:tcBorders>
            <w:shd w:val="pct20" w:color="auto" w:fill="auto"/>
          </w:tcPr>
          <w:p w:rsidR="00863D7E" w:rsidP="00DA2779" w:rsidRDefault="00863D7E" w14:paraId="1BB4EE6F" w14:textId="77777777">
            <w:pPr>
              <w:spacing w:line="252" w:lineRule="auto"/>
              <w:jc w:val="center"/>
              <w:rPr>
                <w:b/>
                <w:bCs/>
                <w:sz w:val="20"/>
              </w:rPr>
            </w:pPr>
          </w:p>
          <w:p w:rsidR="00863D7E" w:rsidP="00DA2779" w:rsidRDefault="00863D7E" w14:paraId="072BD971" w14:textId="77777777">
            <w:pPr>
              <w:spacing w:line="252" w:lineRule="auto"/>
              <w:jc w:val="center"/>
              <w:rPr>
                <w:b/>
                <w:bCs/>
                <w:sz w:val="20"/>
              </w:rPr>
            </w:pPr>
            <w:r>
              <w:rPr>
                <w:b/>
                <w:bCs/>
                <w:sz w:val="20"/>
              </w:rPr>
              <w:t>Average Estimated Time per Response</w:t>
            </w:r>
          </w:p>
          <w:p w:rsidR="00863D7E" w:rsidP="00DA2779" w:rsidRDefault="00863D7E" w14:paraId="3841719C" w14:textId="77777777">
            <w:pPr>
              <w:spacing w:line="252" w:lineRule="auto"/>
              <w:jc w:val="center"/>
              <w:rPr>
                <w:b/>
                <w:bCs/>
                <w:sz w:val="20"/>
              </w:rPr>
            </w:pPr>
          </w:p>
        </w:tc>
        <w:tc>
          <w:tcPr>
            <w:tcW w:w="1768" w:type="dxa"/>
            <w:tcBorders>
              <w:top w:val="single" w:color="auto" w:sz="4" w:space="0"/>
              <w:left w:val="single" w:color="auto" w:sz="4" w:space="0"/>
              <w:bottom w:val="single" w:color="auto" w:sz="4" w:space="0"/>
              <w:right w:val="single" w:color="auto" w:sz="4" w:space="0"/>
            </w:tcBorders>
            <w:shd w:val="pct20" w:color="auto" w:fill="auto"/>
          </w:tcPr>
          <w:p w:rsidR="00863D7E" w:rsidP="00DA2779" w:rsidRDefault="00863D7E" w14:paraId="41B031EF" w14:textId="77777777">
            <w:pPr>
              <w:spacing w:line="252" w:lineRule="auto"/>
              <w:jc w:val="center"/>
              <w:rPr>
                <w:b/>
                <w:bCs/>
                <w:sz w:val="20"/>
              </w:rPr>
            </w:pPr>
          </w:p>
          <w:p w:rsidR="00863D7E" w:rsidP="00DA2779" w:rsidRDefault="00863D7E" w14:paraId="1F786383" w14:textId="77777777">
            <w:pPr>
              <w:spacing w:line="252" w:lineRule="auto"/>
              <w:jc w:val="center"/>
              <w:rPr>
                <w:b/>
                <w:bCs/>
                <w:sz w:val="20"/>
              </w:rPr>
            </w:pPr>
            <w:r>
              <w:rPr>
                <w:b/>
                <w:bCs/>
                <w:sz w:val="20"/>
              </w:rPr>
              <w:t>Frequency of Response</w:t>
            </w:r>
          </w:p>
        </w:tc>
        <w:tc>
          <w:tcPr>
            <w:tcW w:w="1516" w:type="dxa"/>
            <w:tcBorders>
              <w:top w:val="single" w:color="auto" w:sz="4" w:space="0"/>
              <w:left w:val="single" w:color="auto" w:sz="4" w:space="0"/>
              <w:bottom w:val="single" w:color="auto" w:sz="4" w:space="0"/>
              <w:right w:val="single" w:color="auto" w:sz="4" w:space="0"/>
            </w:tcBorders>
            <w:shd w:val="pct20" w:color="auto" w:fill="auto"/>
          </w:tcPr>
          <w:p w:rsidR="00863D7E" w:rsidP="00DA2779" w:rsidRDefault="00863D7E" w14:paraId="688E4937" w14:textId="77777777">
            <w:pPr>
              <w:spacing w:line="252" w:lineRule="auto"/>
              <w:jc w:val="center"/>
              <w:rPr>
                <w:b/>
                <w:bCs/>
                <w:sz w:val="20"/>
              </w:rPr>
            </w:pPr>
          </w:p>
          <w:p w:rsidR="00863D7E" w:rsidP="00DA2779" w:rsidRDefault="00863D7E" w14:paraId="359BBEC3" w14:textId="77777777">
            <w:pPr>
              <w:spacing w:line="252" w:lineRule="auto"/>
              <w:jc w:val="center"/>
              <w:rPr>
                <w:b/>
                <w:bCs/>
                <w:sz w:val="20"/>
              </w:rPr>
            </w:pPr>
            <w:r>
              <w:rPr>
                <w:b/>
                <w:bCs/>
                <w:sz w:val="20"/>
              </w:rPr>
              <w:t>Total Estimated Annual Burden</w:t>
            </w:r>
          </w:p>
        </w:tc>
      </w:tr>
      <w:tr w:rsidR="00863D7E" w:rsidTr="00DA2779" w14:paraId="53FF7A85"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D11183B" w14:textId="77777777">
            <w:pPr>
              <w:spacing w:line="252" w:lineRule="auto"/>
              <w:rPr>
                <w:b/>
                <w:bCs/>
                <w:sz w:val="20"/>
              </w:rPr>
            </w:pPr>
            <w:bookmarkStart w:name="OLE_LINK62" w:id="7"/>
            <w:r>
              <w:rPr>
                <w:b/>
                <w:bCs/>
                <w:sz w:val="20"/>
              </w:rPr>
              <w:t>Reporting</w:t>
            </w:r>
          </w:p>
          <w:p w:rsidR="00863D7E" w:rsidP="00DA2779" w:rsidRDefault="00863D7E" w14:paraId="63DB478E" w14:textId="77777777">
            <w:pPr>
              <w:spacing w:line="252" w:lineRule="auto"/>
              <w:rPr>
                <w:b/>
                <w:bCs/>
                <w:sz w:val="20"/>
              </w:rPr>
            </w:pP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6E54EE4C" w14:textId="77777777">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4B46C009" w14:textId="7777777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7441FECB" w14:textId="77777777">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22D8B6AC" w14:textId="77777777">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6EE4A0F3" w14:textId="77777777">
            <w:pPr>
              <w:spacing w:line="252" w:lineRule="auto"/>
              <w:jc w:val="center"/>
              <w:rPr>
                <w:sz w:val="20"/>
              </w:rPr>
            </w:pPr>
          </w:p>
        </w:tc>
      </w:tr>
      <w:tr w:rsidR="00863D7E" w:rsidTr="00DA2779" w14:paraId="3FD381EE" w14:textId="77777777">
        <w:tc>
          <w:tcPr>
            <w:tcW w:w="1530" w:type="dxa"/>
            <w:tcBorders>
              <w:top w:val="single" w:color="auto" w:sz="4" w:space="0"/>
              <w:left w:val="single" w:color="auto" w:sz="4" w:space="0"/>
              <w:bottom w:val="single" w:color="auto" w:sz="4" w:space="0"/>
              <w:right w:val="single" w:color="auto" w:sz="4" w:space="0"/>
            </w:tcBorders>
          </w:tcPr>
          <w:p w:rsidR="00863D7E" w:rsidP="00863D7E" w:rsidRDefault="00863D7E" w14:paraId="0B0C1E0E" w14:textId="77777777">
            <w:pPr>
              <w:spacing w:line="252" w:lineRule="auto"/>
              <w:rPr>
                <w:sz w:val="20"/>
              </w:rPr>
            </w:pPr>
            <w:r>
              <w:rPr>
                <w:sz w:val="20"/>
              </w:rPr>
              <w:t>§ __.26</w:t>
            </w:r>
          </w:p>
          <w:p w:rsidR="00863D7E" w:rsidP="00863D7E" w:rsidRDefault="00863D7E" w14:paraId="6AE9BB7A"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23CA2099" w14:textId="77777777">
            <w:pPr>
              <w:spacing w:line="252" w:lineRule="auto"/>
              <w:rPr>
                <w:sz w:val="20"/>
              </w:rPr>
            </w:pPr>
            <w:r>
              <w:rPr>
                <w:i/>
                <w:sz w:val="20"/>
              </w:rPr>
              <w:t>Wholesale and limited purpose banks.</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1C514901" w14:textId="26DEE054">
            <w:pPr>
              <w:spacing w:line="252" w:lineRule="auto"/>
              <w:jc w:val="center"/>
              <w:rPr>
                <w:sz w:val="20"/>
              </w:rPr>
            </w:pPr>
            <w:r>
              <w:rPr>
                <w:sz w:val="20"/>
              </w:rPr>
              <w:t>12</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756A6069" w14:textId="4F50C9EA">
            <w:pPr>
              <w:spacing w:line="252" w:lineRule="auto"/>
              <w:jc w:val="center"/>
              <w:rPr>
                <w:sz w:val="20"/>
              </w:rPr>
            </w:pPr>
            <w:r>
              <w:rPr>
                <w:sz w:val="20"/>
              </w:rPr>
              <w:t>4</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0D018D11" w14:textId="695EE6DA">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0F8D6E77" w14:textId="78CB3905">
            <w:pPr>
              <w:spacing w:line="252" w:lineRule="auto"/>
              <w:jc w:val="center"/>
              <w:rPr>
                <w:sz w:val="20"/>
              </w:rPr>
            </w:pPr>
            <w:r>
              <w:rPr>
                <w:sz w:val="20"/>
              </w:rPr>
              <w:t>48</w:t>
            </w:r>
          </w:p>
        </w:tc>
      </w:tr>
      <w:tr w:rsidR="00863D7E" w:rsidTr="00863D7E" w14:paraId="4D8578F3"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302C51DE"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2F4D7349" w14:textId="47C0B67C">
            <w:pPr>
              <w:spacing w:line="252" w:lineRule="auto"/>
              <w:rPr>
                <w:iCs/>
                <w:sz w:val="20"/>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494C95DB" w14:textId="7C5BADFE">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1A1DC056" w14:textId="3CD617CB">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02686B8D" w14:textId="2EB6FB5E">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7AF2BE8F" w14:textId="368BDD56">
            <w:pPr>
              <w:spacing w:line="252" w:lineRule="auto"/>
              <w:jc w:val="center"/>
              <w:rPr>
                <w:sz w:val="20"/>
              </w:rPr>
            </w:pPr>
          </w:p>
        </w:tc>
      </w:tr>
      <w:tr w:rsidR="00863D7E" w:rsidTr="00DA2779" w14:paraId="2CF32C95" w14:textId="77777777">
        <w:tc>
          <w:tcPr>
            <w:tcW w:w="1530" w:type="dxa"/>
            <w:tcBorders>
              <w:top w:val="single" w:color="auto" w:sz="4" w:space="0"/>
              <w:left w:val="single" w:color="auto" w:sz="4" w:space="0"/>
              <w:bottom w:val="single" w:color="auto" w:sz="4" w:space="0"/>
              <w:right w:val="single" w:color="auto" w:sz="4" w:space="0"/>
            </w:tcBorders>
          </w:tcPr>
          <w:p w:rsidR="00863D7E" w:rsidP="00863D7E" w:rsidRDefault="00863D7E" w14:paraId="635141AB" w14:textId="34EE7CD0">
            <w:pPr>
              <w:spacing w:line="252" w:lineRule="auto"/>
              <w:rPr>
                <w:sz w:val="20"/>
              </w:rPr>
            </w:pPr>
            <w:r>
              <w:rPr>
                <w:sz w:val="20"/>
              </w:rPr>
              <w:t>§ __.27</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3F512B1E" w14:textId="77777777">
            <w:pPr>
              <w:spacing w:line="252" w:lineRule="auto"/>
              <w:rPr>
                <w:sz w:val="20"/>
              </w:rPr>
            </w:pPr>
            <w:r>
              <w:rPr>
                <w:i/>
                <w:sz w:val="20"/>
              </w:rPr>
              <w:t>Strategic plan.</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27EFEA41" w14:textId="560B0074">
            <w:pPr>
              <w:spacing w:line="252" w:lineRule="auto"/>
              <w:jc w:val="center"/>
              <w:rPr>
                <w:sz w:val="20"/>
              </w:rPr>
            </w:pPr>
            <w:r>
              <w:rPr>
                <w:sz w:val="20"/>
              </w:rPr>
              <w:t>6</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39FA769D" w14:textId="7F1D3B14">
            <w:pPr>
              <w:spacing w:line="252" w:lineRule="auto"/>
              <w:jc w:val="center"/>
              <w:rPr>
                <w:sz w:val="20"/>
              </w:rPr>
            </w:pPr>
            <w:r>
              <w:rPr>
                <w:sz w:val="20"/>
              </w:rPr>
              <w:t>400</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58A524F3" w14:textId="1F705F69">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528755CB" w14:textId="3508FD69">
            <w:pPr>
              <w:spacing w:line="252" w:lineRule="auto"/>
              <w:jc w:val="center"/>
              <w:rPr>
                <w:sz w:val="20"/>
              </w:rPr>
            </w:pPr>
            <w:r>
              <w:rPr>
                <w:sz w:val="20"/>
              </w:rPr>
              <w:t>2,400</w:t>
            </w:r>
          </w:p>
        </w:tc>
      </w:tr>
      <w:tr w:rsidR="00863D7E" w:rsidTr="00863D7E" w14:paraId="58B0ABA2"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8020FD2"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5225ADE6" w14:textId="47258D8F">
            <w:pPr>
              <w:spacing w:line="252" w:lineRule="auto"/>
              <w:rPr>
                <w:iCs/>
                <w:sz w:val="20"/>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0A8D3CC1" w14:textId="7164B3C0">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676076AD" w14:textId="0842452E">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AB5BE62" w14:textId="315440AF">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2955B941" w14:textId="41B0A91B">
            <w:pPr>
              <w:spacing w:line="252" w:lineRule="auto"/>
              <w:jc w:val="center"/>
              <w:rPr>
                <w:sz w:val="20"/>
              </w:rPr>
            </w:pPr>
          </w:p>
        </w:tc>
      </w:tr>
      <w:tr w:rsidR="006B272C" w:rsidTr="00DA2779" w14:paraId="611F6C4B" w14:textId="77777777">
        <w:tc>
          <w:tcPr>
            <w:tcW w:w="1530" w:type="dxa"/>
            <w:tcBorders>
              <w:top w:val="single" w:color="auto" w:sz="4" w:space="0"/>
              <w:left w:val="single" w:color="auto" w:sz="4" w:space="0"/>
              <w:bottom w:val="single" w:color="auto" w:sz="4" w:space="0"/>
              <w:right w:val="single" w:color="auto" w:sz="4" w:space="0"/>
            </w:tcBorders>
            <w:hideMark/>
          </w:tcPr>
          <w:p w:rsidR="006B272C" w:rsidP="006B272C" w:rsidRDefault="006B272C" w14:paraId="135696DF" w14:textId="77777777">
            <w:pPr>
              <w:spacing w:line="252" w:lineRule="auto"/>
              <w:rPr>
                <w:sz w:val="20"/>
              </w:rPr>
            </w:pPr>
            <w:r>
              <w:rPr>
                <w:sz w:val="20"/>
              </w:rPr>
              <w:t>§ __.42(b)(1)</w:t>
            </w:r>
          </w:p>
        </w:tc>
        <w:tc>
          <w:tcPr>
            <w:tcW w:w="2387" w:type="dxa"/>
            <w:tcBorders>
              <w:top w:val="single" w:color="auto" w:sz="4" w:space="0"/>
              <w:left w:val="single" w:color="auto" w:sz="4" w:space="0"/>
              <w:bottom w:val="single" w:color="auto" w:sz="4" w:space="0"/>
              <w:right w:val="single" w:color="auto" w:sz="4" w:space="0"/>
            </w:tcBorders>
            <w:hideMark/>
          </w:tcPr>
          <w:p w:rsidR="006B272C" w:rsidP="006B272C" w:rsidRDefault="006B272C" w14:paraId="7BE69E6F" w14:textId="77777777">
            <w:pPr>
              <w:spacing w:line="252" w:lineRule="auto"/>
              <w:rPr>
                <w:sz w:val="20"/>
              </w:rPr>
            </w:pPr>
            <w:r>
              <w:rPr>
                <w:i/>
                <w:sz w:val="20"/>
              </w:rPr>
              <w:t>Small business and small farm loan data.</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6B272C" w:rsidP="006B272C" w:rsidRDefault="006B272C" w14:paraId="5958F5B8" w14:textId="7F9409DE">
            <w:pPr>
              <w:spacing w:line="252" w:lineRule="auto"/>
              <w:jc w:val="center"/>
              <w:rPr>
                <w:sz w:val="20"/>
              </w:rPr>
            </w:pPr>
            <w:r>
              <w:rPr>
                <w:sz w:val="20"/>
              </w:rPr>
              <w:t>139</w:t>
            </w:r>
          </w:p>
        </w:tc>
        <w:tc>
          <w:tcPr>
            <w:tcW w:w="1295" w:type="dxa"/>
            <w:tcBorders>
              <w:top w:val="single" w:color="auto" w:sz="4" w:space="0"/>
              <w:left w:val="single" w:color="auto" w:sz="4" w:space="0"/>
              <w:bottom w:val="single" w:color="auto" w:sz="4" w:space="0"/>
              <w:right w:val="single" w:color="auto" w:sz="4" w:space="0"/>
            </w:tcBorders>
          </w:tcPr>
          <w:p w:rsidR="006B272C" w:rsidP="006B272C" w:rsidRDefault="006B272C" w14:paraId="44D7752D" w14:textId="6D4B843B">
            <w:pPr>
              <w:spacing w:line="252" w:lineRule="auto"/>
              <w:jc w:val="center"/>
              <w:rPr>
                <w:sz w:val="20"/>
              </w:rPr>
            </w:pPr>
            <w:r>
              <w:rPr>
                <w:sz w:val="20"/>
              </w:rPr>
              <w:t>8</w:t>
            </w:r>
          </w:p>
        </w:tc>
        <w:tc>
          <w:tcPr>
            <w:tcW w:w="1768" w:type="dxa"/>
            <w:tcBorders>
              <w:top w:val="single" w:color="auto" w:sz="4" w:space="0"/>
              <w:left w:val="single" w:color="auto" w:sz="4" w:space="0"/>
              <w:bottom w:val="single" w:color="auto" w:sz="4" w:space="0"/>
              <w:right w:val="single" w:color="auto" w:sz="4" w:space="0"/>
            </w:tcBorders>
          </w:tcPr>
          <w:p w:rsidR="006B272C" w:rsidP="006B272C" w:rsidRDefault="006B272C" w14:paraId="18B71751" w14:textId="051CAB92">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6B272C" w:rsidP="006B272C" w:rsidRDefault="006B272C" w14:paraId="43063B58" w14:textId="37EEB550">
            <w:pPr>
              <w:spacing w:line="252" w:lineRule="auto"/>
              <w:jc w:val="center"/>
              <w:rPr>
                <w:sz w:val="20"/>
              </w:rPr>
            </w:pPr>
            <w:r>
              <w:rPr>
                <w:sz w:val="20"/>
              </w:rPr>
              <w:t>1,112</w:t>
            </w:r>
          </w:p>
        </w:tc>
      </w:tr>
      <w:tr w:rsidR="00863D7E" w:rsidTr="006B272C" w14:paraId="1F13293B"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D8A6479"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113D26AA" w14:textId="3C36FEF8">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7200FDC7" w14:textId="2EAA9BCB">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2B14BA13" w14:textId="318DF988">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55332B44" w14:textId="38A1C84D">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270FAAAB" w14:textId="2DFC06E8">
            <w:pPr>
              <w:spacing w:line="252" w:lineRule="auto"/>
              <w:jc w:val="center"/>
              <w:rPr>
                <w:sz w:val="20"/>
              </w:rPr>
            </w:pPr>
          </w:p>
        </w:tc>
      </w:tr>
      <w:tr w:rsidR="006B272C" w:rsidTr="00DA2779" w14:paraId="5FBC8B9D" w14:textId="77777777">
        <w:tc>
          <w:tcPr>
            <w:tcW w:w="1530" w:type="dxa"/>
            <w:tcBorders>
              <w:top w:val="single" w:color="auto" w:sz="4" w:space="0"/>
              <w:left w:val="single" w:color="auto" w:sz="4" w:space="0"/>
              <w:bottom w:val="single" w:color="auto" w:sz="4" w:space="0"/>
              <w:right w:val="single" w:color="auto" w:sz="4" w:space="0"/>
            </w:tcBorders>
            <w:hideMark/>
          </w:tcPr>
          <w:p w:rsidR="006B272C" w:rsidP="006B272C" w:rsidRDefault="006B272C" w14:paraId="34237D4F" w14:textId="77777777">
            <w:pPr>
              <w:spacing w:line="252" w:lineRule="auto"/>
              <w:rPr>
                <w:sz w:val="20"/>
              </w:rPr>
            </w:pPr>
            <w:r>
              <w:rPr>
                <w:sz w:val="20"/>
              </w:rPr>
              <w:t>§ __.42(b)(2)</w:t>
            </w:r>
          </w:p>
        </w:tc>
        <w:tc>
          <w:tcPr>
            <w:tcW w:w="2387" w:type="dxa"/>
            <w:tcBorders>
              <w:top w:val="single" w:color="auto" w:sz="4" w:space="0"/>
              <w:left w:val="single" w:color="auto" w:sz="4" w:space="0"/>
              <w:bottom w:val="single" w:color="auto" w:sz="4" w:space="0"/>
              <w:right w:val="single" w:color="auto" w:sz="4" w:space="0"/>
            </w:tcBorders>
            <w:hideMark/>
          </w:tcPr>
          <w:p w:rsidR="006B272C" w:rsidP="006B272C" w:rsidRDefault="006B272C" w14:paraId="508B0827" w14:textId="77777777">
            <w:pPr>
              <w:spacing w:line="252" w:lineRule="auto"/>
              <w:rPr>
                <w:sz w:val="20"/>
              </w:rPr>
            </w:pPr>
            <w:r>
              <w:rPr>
                <w:i/>
                <w:sz w:val="20"/>
              </w:rPr>
              <w:t>Consumer loans—automobile loans data.</w:t>
            </w:r>
            <w:r>
              <w:rPr>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6B272C" w:rsidP="006B272C" w:rsidRDefault="006B272C" w14:paraId="00C4B2D0" w14:textId="734AFEB5">
            <w:pPr>
              <w:spacing w:line="252" w:lineRule="auto"/>
              <w:jc w:val="center"/>
              <w:rPr>
                <w:sz w:val="20"/>
              </w:rPr>
            </w:pPr>
            <w:r>
              <w:rPr>
                <w:sz w:val="20"/>
              </w:rPr>
              <w:t>50</w:t>
            </w:r>
          </w:p>
        </w:tc>
        <w:tc>
          <w:tcPr>
            <w:tcW w:w="1295" w:type="dxa"/>
            <w:tcBorders>
              <w:top w:val="single" w:color="auto" w:sz="4" w:space="0"/>
              <w:left w:val="single" w:color="auto" w:sz="4" w:space="0"/>
              <w:bottom w:val="single" w:color="auto" w:sz="4" w:space="0"/>
              <w:right w:val="single" w:color="auto" w:sz="4" w:space="0"/>
            </w:tcBorders>
          </w:tcPr>
          <w:p w:rsidR="006B272C" w:rsidP="006B272C" w:rsidRDefault="006B272C" w14:paraId="150C8598" w14:textId="1F1A5028">
            <w:pPr>
              <w:spacing w:line="252" w:lineRule="auto"/>
              <w:jc w:val="center"/>
              <w:rPr>
                <w:sz w:val="20"/>
              </w:rPr>
            </w:pPr>
            <w:r>
              <w:rPr>
                <w:sz w:val="20"/>
              </w:rPr>
              <w:t>8</w:t>
            </w:r>
          </w:p>
        </w:tc>
        <w:tc>
          <w:tcPr>
            <w:tcW w:w="1768" w:type="dxa"/>
            <w:tcBorders>
              <w:top w:val="single" w:color="auto" w:sz="4" w:space="0"/>
              <w:left w:val="single" w:color="auto" w:sz="4" w:space="0"/>
              <w:bottom w:val="single" w:color="auto" w:sz="4" w:space="0"/>
              <w:right w:val="single" w:color="auto" w:sz="4" w:space="0"/>
            </w:tcBorders>
          </w:tcPr>
          <w:p w:rsidR="006B272C" w:rsidP="006B272C" w:rsidRDefault="006B272C" w14:paraId="1C6DDC42" w14:textId="4F81BF4F">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6B272C" w:rsidP="006B272C" w:rsidRDefault="006B272C" w14:paraId="3DA78C42" w14:textId="3F951D0E">
            <w:pPr>
              <w:spacing w:line="252" w:lineRule="auto"/>
              <w:jc w:val="center"/>
              <w:rPr>
                <w:sz w:val="20"/>
              </w:rPr>
            </w:pPr>
            <w:r>
              <w:rPr>
                <w:sz w:val="20"/>
              </w:rPr>
              <w:t>400</w:t>
            </w:r>
          </w:p>
        </w:tc>
      </w:tr>
      <w:tr w:rsidR="00863D7E" w:rsidTr="006B272C" w14:paraId="3BBB698C"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5F450111"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7546CCC1" w14:textId="5BAE9D85">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3829F150" w14:textId="7BBF3646">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3C1B64CD" w14:textId="6944495C">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01F6E50B" w14:textId="01B71F9C">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77BD7EEE" w14:textId="4F296290">
            <w:pPr>
              <w:spacing w:line="252" w:lineRule="auto"/>
              <w:jc w:val="center"/>
              <w:rPr>
                <w:sz w:val="20"/>
              </w:rPr>
            </w:pPr>
          </w:p>
        </w:tc>
      </w:tr>
      <w:tr w:rsidR="00863D7E" w:rsidTr="00DA2779" w14:paraId="212952E5"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15B86DEA" w14:textId="77777777">
            <w:pPr>
              <w:spacing w:line="252" w:lineRule="auto"/>
              <w:rPr>
                <w:sz w:val="20"/>
              </w:rPr>
            </w:pPr>
            <w:r>
              <w:rPr>
                <w:sz w:val="20"/>
              </w:rPr>
              <w:t>§ __.42(b)(3)</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5F5D74A3" w14:textId="77777777">
            <w:pPr>
              <w:spacing w:line="252" w:lineRule="auto"/>
              <w:rPr>
                <w:sz w:val="20"/>
              </w:rPr>
            </w:pPr>
            <w:r>
              <w:rPr>
                <w:i/>
                <w:sz w:val="20"/>
              </w:rPr>
              <w:t>Community development loan and community development investment data.</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1F5067C2" w14:textId="0697C570">
            <w:pPr>
              <w:spacing w:line="252" w:lineRule="auto"/>
              <w:jc w:val="center"/>
              <w:rPr>
                <w:sz w:val="20"/>
              </w:rPr>
            </w:pPr>
            <w:r>
              <w:rPr>
                <w:sz w:val="20"/>
              </w:rPr>
              <w:t>148</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6AA94F72" w14:textId="077E1E40">
            <w:pPr>
              <w:spacing w:line="252" w:lineRule="auto"/>
              <w:jc w:val="center"/>
              <w:rPr>
                <w:sz w:val="20"/>
              </w:rPr>
            </w:pPr>
            <w:r>
              <w:rPr>
                <w:sz w:val="20"/>
              </w:rPr>
              <w:t>8</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7C59BDAC" w14:textId="0C5B3872">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19CE79F4" w14:textId="229133EC">
            <w:pPr>
              <w:spacing w:line="252" w:lineRule="auto"/>
              <w:jc w:val="center"/>
              <w:rPr>
                <w:sz w:val="20"/>
              </w:rPr>
            </w:pPr>
            <w:r>
              <w:rPr>
                <w:sz w:val="20"/>
              </w:rPr>
              <w:t>1,184</w:t>
            </w:r>
          </w:p>
        </w:tc>
      </w:tr>
      <w:tr w:rsidR="00863D7E" w:rsidTr="006B272C" w14:paraId="05027C6B"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495DD915"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305DD5D1" w14:textId="54DDE0E4">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1AE08EF1" w14:textId="0759B1A3">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33D86920" w14:textId="4AADC48A">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1045C599" w14:textId="542FD93C">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5FBA314F" w14:textId="65DC6C33">
            <w:pPr>
              <w:spacing w:line="252" w:lineRule="auto"/>
              <w:jc w:val="center"/>
              <w:rPr>
                <w:sz w:val="20"/>
              </w:rPr>
            </w:pPr>
          </w:p>
        </w:tc>
      </w:tr>
      <w:tr w:rsidR="00863D7E" w:rsidTr="00DA2779" w14:paraId="4832BC9C"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665685FA" w14:textId="77777777">
            <w:pPr>
              <w:spacing w:line="252" w:lineRule="auto"/>
              <w:rPr>
                <w:sz w:val="20"/>
              </w:rPr>
            </w:pPr>
            <w:bookmarkStart w:name="_Hlk101527813" w:id="8"/>
            <w:bookmarkStart w:name="_Hlk101522425" w:id="9"/>
            <w:bookmarkEnd w:id="6"/>
            <w:bookmarkEnd w:id="7"/>
            <w:r>
              <w:rPr>
                <w:sz w:val="20"/>
              </w:rPr>
              <w:lastRenderedPageBreak/>
              <w:t>§ __.42(b)(4)</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205EB72A" w14:textId="77777777">
            <w:pPr>
              <w:spacing w:line="252" w:lineRule="auto"/>
              <w:rPr>
                <w:sz w:val="20"/>
              </w:rPr>
            </w:pPr>
            <w:r>
              <w:rPr>
                <w:i/>
                <w:sz w:val="20"/>
              </w:rPr>
              <w:t>Community development services data</w:t>
            </w:r>
            <w:r>
              <w:rPr>
                <w:iCs/>
                <w:sz w:val="20"/>
              </w:rPr>
              <w:t>.</w:t>
            </w:r>
            <w:r>
              <w:rPr>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6CA59CF3" w14:textId="63E9B0DC">
            <w:pPr>
              <w:spacing w:line="252" w:lineRule="auto"/>
              <w:jc w:val="center"/>
              <w:rPr>
                <w:sz w:val="20"/>
              </w:rPr>
            </w:pPr>
            <w:r>
              <w:rPr>
                <w:sz w:val="20"/>
              </w:rPr>
              <w:t>46</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2882F630" w14:textId="1732DF49">
            <w:pPr>
              <w:spacing w:line="252" w:lineRule="auto"/>
              <w:jc w:val="center"/>
              <w:rPr>
                <w:sz w:val="20"/>
              </w:rPr>
            </w:pPr>
            <w:r>
              <w:rPr>
                <w:sz w:val="20"/>
              </w:rPr>
              <w:t>8</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432B5618" w14:textId="15ACB48F">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7092BB92" w14:textId="1D979EE7">
            <w:pPr>
              <w:spacing w:line="252" w:lineRule="auto"/>
              <w:jc w:val="center"/>
              <w:rPr>
                <w:sz w:val="20"/>
              </w:rPr>
            </w:pPr>
            <w:r>
              <w:rPr>
                <w:sz w:val="20"/>
              </w:rPr>
              <w:t>368</w:t>
            </w:r>
          </w:p>
        </w:tc>
        <w:bookmarkEnd w:id="8"/>
      </w:tr>
      <w:tr w:rsidR="00863D7E" w:rsidTr="00863D7E" w14:paraId="2A682ACB"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5D7A8E27"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41AC5412" w14:textId="5F09620B">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0B221195" w14:textId="2912312A">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350928D8" w14:textId="580A9565">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3B70A449" w14:textId="41543F3B">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6B5B58BD" w14:textId="56101075">
            <w:pPr>
              <w:spacing w:line="252" w:lineRule="auto"/>
              <w:jc w:val="center"/>
              <w:rPr>
                <w:sz w:val="20"/>
              </w:rPr>
            </w:pPr>
          </w:p>
        </w:tc>
      </w:tr>
      <w:tr w:rsidR="00863D7E" w:rsidTr="006B272C" w14:paraId="666DF032"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6B272C" w:rsidRDefault="00863D7E" w14:paraId="48F649AB" w14:textId="15F636F2">
            <w:pPr>
              <w:spacing w:line="252" w:lineRule="auto"/>
              <w:rPr>
                <w:sz w:val="20"/>
              </w:rPr>
            </w:pPr>
            <w:bookmarkStart w:name="_Hlk96589579" w:id="10"/>
            <w:r>
              <w:rPr>
                <w:sz w:val="20"/>
              </w:rPr>
              <w:t>§ __.42(b)(5)</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2B74EEB4" w14:textId="77777777">
            <w:pPr>
              <w:spacing w:line="252" w:lineRule="auto"/>
              <w:rPr>
                <w:sz w:val="20"/>
              </w:rPr>
            </w:pPr>
            <w:r>
              <w:rPr>
                <w:i/>
                <w:sz w:val="20"/>
              </w:rPr>
              <w:t>Deposits data</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3FF6311A" w14:textId="44CAF0B7">
            <w:pPr>
              <w:spacing w:line="252" w:lineRule="auto"/>
              <w:jc w:val="center"/>
              <w:rPr>
                <w:sz w:val="20"/>
              </w:rPr>
            </w:pPr>
            <w:r>
              <w:rPr>
                <w:sz w:val="20"/>
              </w:rPr>
              <w:t>46</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62C697BF" w14:textId="38817C04">
            <w:pPr>
              <w:spacing w:line="252" w:lineRule="auto"/>
              <w:jc w:val="center"/>
              <w:rPr>
                <w:sz w:val="20"/>
              </w:rPr>
            </w:pPr>
            <w:r>
              <w:rPr>
                <w:sz w:val="20"/>
              </w:rPr>
              <w:t>8</w:t>
            </w:r>
          </w:p>
        </w:tc>
        <w:tc>
          <w:tcPr>
            <w:tcW w:w="1768" w:type="dxa"/>
            <w:tcBorders>
              <w:top w:val="single" w:color="auto" w:sz="4" w:space="0"/>
              <w:left w:val="single" w:color="auto" w:sz="4" w:space="0"/>
              <w:bottom w:val="single" w:color="auto" w:sz="4" w:space="0"/>
              <w:right w:val="single" w:color="auto" w:sz="4" w:space="0"/>
            </w:tcBorders>
          </w:tcPr>
          <w:p w:rsidR="00863D7E" w:rsidP="006B272C" w:rsidRDefault="00863D7E" w14:paraId="77B86A67" w14:textId="5A7F6FA1">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78D6E075" w14:textId="65EA6CF2">
            <w:pPr>
              <w:spacing w:line="252" w:lineRule="auto"/>
              <w:jc w:val="center"/>
              <w:rPr>
                <w:sz w:val="20"/>
              </w:rPr>
            </w:pPr>
            <w:r>
              <w:rPr>
                <w:sz w:val="20"/>
              </w:rPr>
              <w:t>368</w:t>
            </w:r>
          </w:p>
        </w:tc>
      </w:tr>
      <w:tr w:rsidR="00863D7E" w:rsidTr="00863D7E" w14:paraId="507B4B97"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22A4AC92"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227D20ED" w14:textId="06032A53">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3564ED4E" w14:textId="17FE2CC6">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7BF08E91" w14:textId="36593976">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569A4A95" w14:textId="1437A8F3">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782C2458" w14:textId="4B6F9F1B">
            <w:pPr>
              <w:spacing w:line="252" w:lineRule="auto"/>
              <w:jc w:val="center"/>
              <w:rPr>
                <w:sz w:val="20"/>
              </w:rPr>
            </w:pPr>
          </w:p>
        </w:tc>
        <w:bookmarkEnd w:id="10"/>
      </w:tr>
      <w:tr w:rsidR="00863D7E" w:rsidTr="00DA2779" w14:paraId="3E563449" w14:textId="77777777">
        <w:tc>
          <w:tcPr>
            <w:tcW w:w="1530" w:type="dxa"/>
            <w:tcBorders>
              <w:top w:val="single" w:color="auto" w:sz="4" w:space="0"/>
              <w:left w:val="single" w:color="auto" w:sz="4" w:space="0"/>
              <w:bottom w:val="single" w:color="auto" w:sz="4" w:space="0"/>
              <w:right w:val="single" w:color="auto" w:sz="4" w:space="0"/>
            </w:tcBorders>
          </w:tcPr>
          <w:p w:rsidR="00863D7E" w:rsidP="00863D7E" w:rsidRDefault="00863D7E" w14:paraId="12F2B807" w14:textId="77777777">
            <w:pPr>
              <w:spacing w:line="252" w:lineRule="auto"/>
              <w:rPr>
                <w:sz w:val="20"/>
              </w:rPr>
            </w:pPr>
            <w:r>
              <w:rPr>
                <w:sz w:val="20"/>
              </w:rPr>
              <w:t>§ __.42(c)</w:t>
            </w:r>
          </w:p>
          <w:p w:rsidR="00863D7E" w:rsidP="00863D7E" w:rsidRDefault="00863D7E" w14:paraId="048A99BF"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5438E683" w14:textId="4A0A9DEC">
            <w:pPr>
              <w:spacing w:line="252" w:lineRule="auto"/>
              <w:rPr>
                <w:i/>
                <w:sz w:val="20"/>
              </w:rPr>
            </w:pPr>
            <w:r>
              <w:rPr>
                <w:i/>
                <w:sz w:val="20"/>
              </w:rPr>
              <w:t>Data on</w:t>
            </w:r>
            <w:r w:rsidR="003F6C34">
              <w:rPr>
                <w:i/>
                <w:sz w:val="20"/>
              </w:rPr>
              <w:t xml:space="preserve"> </w:t>
            </w:r>
            <w:r>
              <w:rPr>
                <w:i/>
                <w:sz w:val="20"/>
              </w:rPr>
              <w:t>operating subsidiaries.</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25F01D49" w14:textId="6E5749B0">
            <w:pPr>
              <w:spacing w:line="252" w:lineRule="auto"/>
              <w:jc w:val="center"/>
              <w:rPr>
                <w:sz w:val="20"/>
              </w:rPr>
            </w:pPr>
            <w:r>
              <w:rPr>
                <w:sz w:val="20"/>
              </w:rPr>
              <w:t>174</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07A0505D" w14:textId="25B2C945">
            <w:pPr>
              <w:spacing w:line="252" w:lineRule="auto"/>
              <w:jc w:val="center"/>
              <w:rPr>
                <w:sz w:val="20"/>
              </w:rPr>
            </w:pPr>
            <w:r>
              <w:rPr>
                <w:sz w:val="20"/>
              </w:rPr>
              <w:t>38</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2C37C745" w14:textId="56E017EF">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72E4607B" w14:textId="6E030AAE">
            <w:pPr>
              <w:spacing w:line="252" w:lineRule="auto"/>
              <w:jc w:val="center"/>
              <w:rPr>
                <w:sz w:val="20"/>
              </w:rPr>
            </w:pPr>
            <w:r>
              <w:rPr>
                <w:sz w:val="20"/>
              </w:rPr>
              <w:t>6,612</w:t>
            </w:r>
          </w:p>
        </w:tc>
      </w:tr>
      <w:tr w:rsidR="00863D7E" w:rsidTr="00863D7E" w14:paraId="4F1FE753"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C20BA0D"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5E8E3CEB" w14:textId="485D0EEA">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11C3E60E" w14:textId="38757509">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235D6308" w14:textId="03499212">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50ACE95F" w14:textId="12F605CF">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1481B596" w14:textId="7E3D5BC1">
            <w:pPr>
              <w:spacing w:line="252" w:lineRule="auto"/>
              <w:jc w:val="center"/>
              <w:rPr>
                <w:sz w:val="20"/>
              </w:rPr>
            </w:pPr>
          </w:p>
        </w:tc>
      </w:tr>
      <w:tr w:rsidR="00863D7E" w:rsidTr="00DA2779" w14:paraId="70513AAF" w14:textId="77777777">
        <w:tc>
          <w:tcPr>
            <w:tcW w:w="1530" w:type="dxa"/>
            <w:tcBorders>
              <w:top w:val="single" w:color="auto" w:sz="4" w:space="0"/>
              <w:left w:val="single" w:color="auto" w:sz="4" w:space="0"/>
              <w:bottom w:val="single" w:color="auto" w:sz="4" w:space="0"/>
              <w:right w:val="single" w:color="auto" w:sz="4" w:space="0"/>
            </w:tcBorders>
          </w:tcPr>
          <w:p w:rsidR="00863D7E" w:rsidP="00863D7E" w:rsidRDefault="00863D7E" w14:paraId="5D0B4F05" w14:textId="77777777">
            <w:pPr>
              <w:spacing w:line="252" w:lineRule="auto"/>
              <w:rPr>
                <w:sz w:val="20"/>
              </w:rPr>
            </w:pPr>
            <w:r>
              <w:rPr>
                <w:sz w:val="20"/>
              </w:rPr>
              <w:t>§ __.42(d)</w:t>
            </w:r>
          </w:p>
          <w:p w:rsidR="00863D7E" w:rsidP="00863D7E" w:rsidRDefault="00863D7E" w14:paraId="15E347CA"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4B45C31C" w14:textId="77777777">
            <w:pPr>
              <w:spacing w:line="252" w:lineRule="auto"/>
              <w:rPr>
                <w:sz w:val="20"/>
              </w:rPr>
            </w:pPr>
            <w:r>
              <w:rPr>
                <w:i/>
                <w:sz w:val="20"/>
              </w:rPr>
              <w:t>Data on other affiliates.</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4E5AE1E3" w14:textId="419B2ACA">
            <w:pPr>
              <w:spacing w:line="252" w:lineRule="auto"/>
              <w:jc w:val="center"/>
              <w:rPr>
                <w:sz w:val="20"/>
              </w:rPr>
            </w:pPr>
            <w:r>
              <w:rPr>
                <w:sz w:val="20"/>
              </w:rPr>
              <w:t>9</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0F989DB4" w14:textId="78C56AE2">
            <w:pPr>
              <w:spacing w:line="252" w:lineRule="auto"/>
              <w:jc w:val="center"/>
              <w:rPr>
                <w:sz w:val="20"/>
              </w:rPr>
            </w:pPr>
            <w:r>
              <w:rPr>
                <w:sz w:val="20"/>
              </w:rPr>
              <w:t>38</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6CE6CCDE" w14:textId="48A268B2">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6D4E4F9D" w14:textId="1997539A">
            <w:pPr>
              <w:spacing w:line="252" w:lineRule="auto"/>
              <w:jc w:val="center"/>
              <w:rPr>
                <w:sz w:val="20"/>
              </w:rPr>
            </w:pPr>
            <w:r>
              <w:rPr>
                <w:sz w:val="20"/>
              </w:rPr>
              <w:t>342</w:t>
            </w:r>
          </w:p>
        </w:tc>
      </w:tr>
      <w:tr w:rsidR="00863D7E" w:rsidTr="00863D7E" w14:paraId="118CAF62"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77454721"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37C6AB0F" w14:textId="35121022">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5B9D31D8" w14:textId="172BEC5D">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388E0BAD" w14:textId="0680D304">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3C62CE61" w14:textId="5113FA94">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3594339C" w14:textId="4BA3417B">
            <w:pPr>
              <w:spacing w:line="252" w:lineRule="auto"/>
              <w:jc w:val="center"/>
              <w:rPr>
                <w:sz w:val="20"/>
              </w:rPr>
            </w:pPr>
          </w:p>
        </w:tc>
      </w:tr>
      <w:tr w:rsidR="00863D7E" w:rsidTr="00DA2779" w14:paraId="351A7CDD" w14:textId="77777777">
        <w:tc>
          <w:tcPr>
            <w:tcW w:w="1530" w:type="dxa"/>
            <w:tcBorders>
              <w:top w:val="single" w:color="auto" w:sz="4" w:space="0"/>
              <w:left w:val="single" w:color="auto" w:sz="4" w:space="0"/>
              <w:bottom w:val="single" w:color="auto" w:sz="4" w:space="0"/>
              <w:right w:val="single" w:color="auto" w:sz="4" w:space="0"/>
            </w:tcBorders>
          </w:tcPr>
          <w:p w:rsidR="00863D7E" w:rsidP="00863D7E" w:rsidRDefault="00863D7E" w14:paraId="161F4C1C" w14:textId="77777777">
            <w:pPr>
              <w:spacing w:line="252" w:lineRule="auto"/>
              <w:rPr>
                <w:sz w:val="20"/>
              </w:rPr>
            </w:pPr>
            <w:r>
              <w:rPr>
                <w:sz w:val="20"/>
              </w:rPr>
              <w:t>§ __.42(e)</w:t>
            </w:r>
          </w:p>
          <w:p w:rsidR="00863D7E" w:rsidP="00863D7E" w:rsidRDefault="00863D7E" w14:paraId="49B796B4"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231D4AA3" w14:textId="77777777">
            <w:pPr>
              <w:spacing w:line="252" w:lineRule="auto"/>
              <w:rPr>
                <w:i/>
                <w:sz w:val="20"/>
                <w:u w:val="single"/>
              </w:rPr>
            </w:pPr>
            <w:r>
              <w:rPr>
                <w:i/>
                <w:sz w:val="20"/>
              </w:rPr>
              <w:t>Data on community development financing by a consortium or a third party.</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35C5217D" w14:textId="2D1CBAE5">
            <w:pPr>
              <w:spacing w:line="252" w:lineRule="auto"/>
              <w:jc w:val="center"/>
              <w:rPr>
                <w:sz w:val="20"/>
              </w:rPr>
            </w:pPr>
            <w:r>
              <w:rPr>
                <w:sz w:val="20"/>
              </w:rPr>
              <w:t>31</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66A27CD1" w14:textId="423AB384">
            <w:pPr>
              <w:spacing w:line="252" w:lineRule="auto"/>
              <w:jc w:val="center"/>
              <w:rPr>
                <w:sz w:val="20"/>
              </w:rPr>
            </w:pPr>
            <w:r>
              <w:rPr>
                <w:sz w:val="20"/>
              </w:rPr>
              <w:t>17</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029B57EA" w14:textId="61059E00">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1C885466" w14:textId="2F8B580B">
            <w:pPr>
              <w:spacing w:line="252" w:lineRule="auto"/>
              <w:jc w:val="center"/>
              <w:rPr>
                <w:sz w:val="20"/>
              </w:rPr>
            </w:pPr>
            <w:r>
              <w:rPr>
                <w:sz w:val="20"/>
              </w:rPr>
              <w:t>527</w:t>
            </w:r>
          </w:p>
        </w:tc>
      </w:tr>
      <w:tr w:rsidR="00863D7E" w:rsidTr="00863D7E" w14:paraId="2C60D2F7"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5434F06B"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0DF81350" w14:textId="1101BC20">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0109A0C2" w14:textId="3E734C89">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6968EAE5" w14:textId="2F7534B2">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9084AC6" w14:textId="011C22F1">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4E2995B3" w14:textId="69B28819">
            <w:pPr>
              <w:spacing w:line="252" w:lineRule="auto"/>
              <w:jc w:val="center"/>
              <w:rPr>
                <w:sz w:val="20"/>
              </w:rPr>
            </w:pPr>
          </w:p>
        </w:tc>
      </w:tr>
      <w:tr w:rsidR="00863D7E" w:rsidTr="00DA2779" w14:paraId="20054776"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7CD06359" w14:textId="77777777">
            <w:pPr>
              <w:spacing w:line="252" w:lineRule="auto"/>
              <w:rPr>
                <w:sz w:val="20"/>
              </w:rPr>
            </w:pPr>
            <w:r>
              <w:rPr>
                <w:sz w:val="20"/>
              </w:rPr>
              <w:t>§ __.42(f)(1)</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61804E22" w14:textId="77777777">
            <w:pPr>
              <w:spacing w:line="252" w:lineRule="auto"/>
              <w:rPr>
                <w:i/>
                <w:sz w:val="20"/>
              </w:rPr>
            </w:pPr>
            <w:r>
              <w:rPr>
                <w:i/>
                <w:sz w:val="20"/>
              </w:rPr>
              <w:t>Facility-based assessment areas data</w:t>
            </w:r>
            <w:r>
              <w:rPr>
                <w:sz w:val="20"/>
              </w:rPr>
              <w:t>.</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1242517C" w14:textId="42B5A40E">
            <w:pPr>
              <w:spacing w:line="252" w:lineRule="auto"/>
              <w:jc w:val="center"/>
              <w:rPr>
                <w:sz w:val="20"/>
              </w:rPr>
            </w:pPr>
            <w:r>
              <w:rPr>
                <w:sz w:val="20"/>
              </w:rPr>
              <w:t>151</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153CC170" w14:textId="4D637757">
            <w:pPr>
              <w:spacing w:line="252" w:lineRule="auto"/>
              <w:jc w:val="center"/>
              <w:rPr>
                <w:sz w:val="20"/>
              </w:rPr>
            </w:pPr>
            <w:r>
              <w:rPr>
                <w:sz w:val="20"/>
              </w:rPr>
              <w:t>2</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56D5B2CA" w14:textId="7BE61EAA">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5F38C5B3" w14:textId="46336CB3">
            <w:pPr>
              <w:spacing w:line="252" w:lineRule="auto"/>
              <w:jc w:val="center"/>
              <w:rPr>
                <w:sz w:val="20"/>
              </w:rPr>
            </w:pPr>
            <w:r>
              <w:rPr>
                <w:sz w:val="20"/>
              </w:rPr>
              <w:t>302</w:t>
            </w:r>
          </w:p>
        </w:tc>
      </w:tr>
      <w:tr w:rsidR="00863D7E" w:rsidTr="00863D7E" w14:paraId="1D4C38DA"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5932EC5"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7A75F82E" w14:textId="0A9ACDF4">
            <w:pPr>
              <w:spacing w:line="252" w:lineRule="auto"/>
              <w:rPr>
                <w:iCs/>
                <w:sz w:val="20"/>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1ABEFAE5" w14:textId="41024899">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2BABD22C" w14:textId="76FC1D70">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9AAB78D" w14:textId="523C8661">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255086B3" w14:textId="53753343">
            <w:pPr>
              <w:spacing w:line="252" w:lineRule="auto"/>
              <w:jc w:val="center"/>
              <w:rPr>
                <w:sz w:val="20"/>
              </w:rPr>
            </w:pPr>
          </w:p>
        </w:tc>
      </w:tr>
      <w:tr w:rsidR="00863D7E" w:rsidTr="00DA2779" w14:paraId="19AF6A5B"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36A23506" w14:textId="77777777">
            <w:pPr>
              <w:spacing w:line="252" w:lineRule="auto"/>
              <w:rPr>
                <w:sz w:val="20"/>
              </w:rPr>
            </w:pPr>
            <w:r>
              <w:rPr>
                <w:sz w:val="20"/>
              </w:rPr>
              <w:t>§ __.42(f)(2)</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07D90179" w14:textId="77777777">
            <w:pPr>
              <w:spacing w:line="252" w:lineRule="auto"/>
              <w:rPr>
                <w:i/>
                <w:sz w:val="20"/>
              </w:rPr>
            </w:pPr>
            <w:r>
              <w:rPr>
                <w:i/>
                <w:sz w:val="20"/>
              </w:rPr>
              <w:t>Retail Lending Assessment Areas.</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2B1A44B8" w14:textId="7F3B1AE1">
            <w:pPr>
              <w:spacing w:line="252" w:lineRule="auto"/>
              <w:jc w:val="center"/>
              <w:rPr>
                <w:sz w:val="20"/>
              </w:rPr>
            </w:pPr>
            <w:r>
              <w:rPr>
                <w:sz w:val="20"/>
              </w:rPr>
              <w:t>139</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29CAFE71" w14:textId="19832EE3">
            <w:pPr>
              <w:spacing w:line="252" w:lineRule="auto"/>
              <w:jc w:val="center"/>
              <w:rPr>
                <w:sz w:val="20"/>
              </w:rPr>
            </w:pPr>
            <w:r>
              <w:rPr>
                <w:sz w:val="20"/>
              </w:rPr>
              <w:t>4</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6B900658" w14:textId="58AA8BC3">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0F50613F" w14:textId="21C094C1">
            <w:pPr>
              <w:spacing w:line="252" w:lineRule="auto"/>
              <w:jc w:val="center"/>
              <w:rPr>
                <w:sz w:val="20"/>
              </w:rPr>
            </w:pPr>
            <w:r>
              <w:rPr>
                <w:sz w:val="20"/>
              </w:rPr>
              <w:t>556</w:t>
            </w:r>
          </w:p>
        </w:tc>
      </w:tr>
      <w:tr w:rsidR="00863D7E" w:rsidTr="00863D7E" w14:paraId="614B3B79"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798FEEEF"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21CE4AC6" w14:textId="6FDBB133">
            <w:pPr>
              <w:spacing w:line="252" w:lineRule="auto"/>
              <w:rPr>
                <w:iCs/>
                <w:sz w:val="20"/>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021762D4" w14:textId="2CAB11B8">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56370AC6" w14:textId="11DED556">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18A52AC5" w14:textId="03849F45">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13669412" w14:textId="7DC18127">
            <w:pPr>
              <w:spacing w:line="252" w:lineRule="auto"/>
              <w:jc w:val="center"/>
              <w:rPr>
                <w:sz w:val="20"/>
              </w:rPr>
            </w:pPr>
          </w:p>
        </w:tc>
      </w:tr>
      <w:tr w:rsidR="00863D7E" w:rsidTr="00DA2779" w14:paraId="52AF3126"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41BE5563"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3DDE9BAB" w14:textId="77777777">
            <w:pPr>
              <w:spacing w:line="252" w:lineRule="auto"/>
              <w:rPr>
                <w:iCs/>
                <w:sz w:val="20"/>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2006CDC2" w14:textId="7777777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40104EC3" w14:textId="77777777">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4CAA6D06" w14:textId="77777777">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41256562" w14:textId="77777777">
            <w:pPr>
              <w:spacing w:line="252" w:lineRule="auto"/>
              <w:jc w:val="center"/>
              <w:rPr>
                <w:sz w:val="20"/>
              </w:rPr>
            </w:pPr>
          </w:p>
        </w:tc>
      </w:tr>
      <w:tr w:rsidR="00863D7E" w:rsidTr="00DA2779" w14:paraId="2B411549"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DA2779" w:rsidRDefault="00863D7E" w14:paraId="25FD62C3" w14:textId="77777777">
            <w:pPr>
              <w:spacing w:line="252" w:lineRule="auto"/>
              <w:rPr>
                <w:sz w:val="20"/>
              </w:rPr>
            </w:pPr>
            <w:r>
              <w:rPr>
                <w:b/>
                <w:bCs/>
                <w:sz w:val="20"/>
              </w:rPr>
              <w:t>Recordkeeping</w:t>
            </w: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04C29228" w14:textId="77777777">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376DCEAA" w14:textId="7777777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0A9E2A33" w14:textId="77777777">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0C5A337" w14:textId="77777777">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69137A20" w14:textId="77777777">
            <w:pPr>
              <w:spacing w:line="252" w:lineRule="auto"/>
              <w:jc w:val="center"/>
              <w:rPr>
                <w:sz w:val="20"/>
              </w:rPr>
            </w:pPr>
          </w:p>
        </w:tc>
      </w:tr>
      <w:tr w:rsidR="00863D7E" w:rsidTr="00DA2779" w14:paraId="7621E1EE"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7ADA6E6D" w14:textId="77777777">
            <w:pPr>
              <w:spacing w:line="252" w:lineRule="auto"/>
              <w:rPr>
                <w:sz w:val="20"/>
              </w:rPr>
            </w:pPr>
            <w:r>
              <w:rPr>
                <w:sz w:val="20"/>
              </w:rPr>
              <w:t>§ __.42(a)(1)</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28CB54CB" w14:textId="77777777">
            <w:pPr>
              <w:spacing w:line="252" w:lineRule="auto"/>
              <w:rPr>
                <w:i/>
                <w:sz w:val="20"/>
              </w:rPr>
            </w:pPr>
            <w:r>
              <w:rPr>
                <w:i/>
                <w:sz w:val="20"/>
              </w:rPr>
              <w:t>Small business and small farm loan data</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1B80B9B4" w14:textId="5BDBBAAC">
            <w:pPr>
              <w:spacing w:line="252" w:lineRule="auto"/>
              <w:jc w:val="center"/>
              <w:rPr>
                <w:sz w:val="20"/>
              </w:rPr>
            </w:pPr>
            <w:r>
              <w:rPr>
                <w:sz w:val="20"/>
              </w:rPr>
              <w:t>139</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3460EC95" w14:textId="1795370C">
            <w:pPr>
              <w:spacing w:line="252" w:lineRule="auto"/>
              <w:jc w:val="center"/>
              <w:rPr>
                <w:sz w:val="20"/>
              </w:rPr>
            </w:pPr>
            <w:r>
              <w:rPr>
                <w:sz w:val="20"/>
              </w:rPr>
              <w:t>219</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0560E0D5" w14:textId="526D83AD">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709DF08A" w14:textId="4E616627">
            <w:pPr>
              <w:spacing w:line="252" w:lineRule="auto"/>
              <w:jc w:val="center"/>
              <w:rPr>
                <w:sz w:val="20"/>
              </w:rPr>
            </w:pPr>
            <w:r>
              <w:rPr>
                <w:sz w:val="20"/>
              </w:rPr>
              <w:t>30,441</w:t>
            </w:r>
          </w:p>
        </w:tc>
      </w:tr>
      <w:tr w:rsidR="00863D7E" w:rsidTr="00863D7E" w14:paraId="3405CDB9"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CE554C9"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54F25718" w14:textId="5A29EE22">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700416C5" w14:textId="0174934A">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67EA88B6" w14:textId="3AC3B7F2">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2B8BA5C7" w14:textId="2060C073">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2763A035" w14:textId="5E774361">
            <w:pPr>
              <w:spacing w:line="252" w:lineRule="auto"/>
              <w:jc w:val="center"/>
              <w:rPr>
                <w:sz w:val="20"/>
              </w:rPr>
            </w:pPr>
          </w:p>
        </w:tc>
      </w:tr>
      <w:tr w:rsidR="00863D7E" w:rsidTr="00DA2779" w14:paraId="2F8FF988"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5EF530A2" w14:textId="77777777">
            <w:pPr>
              <w:spacing w:line="252" w:lineRule="auto"/>
              <w:rPr>
                <w:sz w:val="20"/>
              </w:rPr>
            </w:pPr>
            <w:r>
              <w:rPr>
                <w:sz w:val="20"/>
              </w:rPr>
              <w:t>§ __.42(a)(2)</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7F5793AF" w14:textId="77777777">
            <w:pPr>
              <w:spacing w:line="252" w:lineRule="auto"/>
              <w:rPr>
                <w:i/>
                <w:sz w:val="20"/>
              </w:rPr>
            </w:pPr>
            <w:r>
              <w:rPr>
                <w:i/>
                <w:sz w:val="20"/>
              </w:rPr>
              <w:t>Consumer loan data – automobile loans</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5DC9A2CC" w14:textId="2E02BD07">
            <w:pPr>
              <w:spacing w:line="252" w:lineRule="auto"/>
              <w:jc w:val="center"/>
              <w:rPr>
                <w:sz w:val="20"/>
              </w:rPr>
            </w:pPr>
            <w:r>
              <w:rPr>
                <w:sz w:val="20"/>
              </w:rPr>
              <w:t>50</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1B7760A0" w14:textId="3A1A6FD6">
            <w:pPr>
              <w:spacing w:line="252" w:lineRule="auto"/>
              <w:jc w:val="center"/>
              <w:rPr>
                <w:sz w:val="20"/>
              </w:rPr>
            </w:pPr>
            <w:r>
              <w:rPr>
                <w:sz w:val="20"/>
              </w:rPr>
              <w:t>75</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4DC29EE9" w14:textId="23414AB9">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3E5720BE" w14:textId="1ADC56DA">
            <w:pPr>
              <w:spacing w:line="252" w:lineRule="auto"/>
              <w:jc w:val="center"/>
              <w:rPr>
                <w:sz w:val="20"/>
              </w:rPr>
            </w:pPr>
            <w:r>
              <w:rPr>
                <w:sz w:val="20"/>
              </w:rPr>
              <w:t>3,750</w:t>
            </w:r>
          </w:p>
        </w:tc>
      </w:tr>
      <w:tr w:rsidR="00863D7E" w:rsidTr="00863D7E" w14:paraId="18A46AD8"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4164AE72"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4E8535A9" w14:textId="15A16AE4">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676883F6" w14:textId="3CBAEB4F">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2F9B5FF7" w14:textId="28616DB8">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6BD5A46" w14:textId="508C107D">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593D1D93" w14:textId="5D318A1B">
            <w:pPr>
              <w:spacing w:line="252" w:lineRule="auto"/>
              <w:jc w:val="center"/>
              <w:rPr>
                <w:sz w:val="20"/>
              </w:rPr>
            </w:pPr>
          </w:p>
        </w:tc>
      </w:tr>
      <w:tr w:rsidR="00863D7E" w:rsidTr="00DA2779" w14:paraId="361CC243"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2D67098A" w14:textId="77777777">
            <w:pPr>
              <w:spacing w:line="252" w:lineRule="auto"/>
              <w:rPr>
                <w:b/>
                <w:bCs/>
                <w:sz w:val="20"/>
              </w:rPr>
            </w:pPr>
            <w:r>
              <w:rPr>
                <w:sz w:val="20"/>
              </w:rPr>
              <w:t>§ __.42(a)(4)</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64E5C793" w14:textId="77777777">
            <w:pPr>
              <w:spacing w:line="252" w:lineRule="auto"/>
              <w:rPr>
                <w:sz w:val="20"/>
              </w:rPr>
            </w:pPr>
            <w:bookmarkStart w:name="OLE_LINK65" w:id="11"/>
            <w:r>
              <w:rPr>
                <w:i/>
                <w:sz w:val="20"/>
              </w:rPr>
              <w:t>Retail services and products data.</w:t>
            </w:r>
            <w:r>
              <w:rPr>
                <w:iCs/>
                <w:sz w:val="20"/>
              </w:rPr>
              <w:t xml:space="preserve"> </w:t>
            </w:r>
            <w:bookmarkEnd w:id="11"/>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5E264770" w14:textId="20CFEAFE">
            <w:pPr>
              <w:spacing w:line="252" w:lineRule="auto"/>
              <w:jc w:val="center"/>
              <w:rPr>
                <w:sz w:val="20"/>
              </w:rPr>
            </w:pPr>
            <w:r>
              <w:rPr>
                <w:sz w:val="20"/>
              </w:rPr>
              <w:t>139</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7D8F893F" w14:textId="6376D0FD">
            <w:pPr>
              <w:spacing w:line="252" w:lineRule="auto"/>
              <w:jc w:val="center"/>
              <w:rPr>
                <w:sz w:val="20"/>
              </w:rPr>
            </w:pPr>
            <w:r>
              <w:rPr>
                <w:sz w:val="20"/>
              </w:rPr>
              <w:t>50</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069135DE" w14:textId="603C5505">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0BCC426B" w14:textId="05969C3A">
            <w:pPr>
              <w:spacing w:line="252" w:lineRule="auto"/>
              <w:jc w:val="center"/>
              <w:rPr>
                <w:sz w:val="20"/>
              </w:rPr>
            </w:pPr>
            <w:r>
              <w:rPr>
                <w:sz w:val="20"/>
              </w:rPr>
              <w:t>6,950</w:t>
            </w:r>
          </w:p>
        </w:tc>
      </w:tr>
      <w:tr w:rsidR="00863D7E" w:rsidTr="00863D7E" w14:paraId="32CD007B"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8555172"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4C22325E" w14:textId="6C8E6CD1">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56F32394" w14:textId="15C414C1">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48A8C007" w14:textId="3FA41B9C">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0CDBAF87" w14:textId="591CC450">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62E97F7E" w14:textId="0C6350BB">
            <w:pPr>
              <w:spacing w:line="252" w:lineRule="auto"/>
              <w:jc w:val="center"/>
              <w:rPr>
                <w:sz w:val="20"/>
              </w:rPr>
            </w:pPr>
          </w:p>
        </w:tc>
      </w:tr>
      <w:tr w:rsidR="00863D7E" w:rsidTr="00DA2779" w14:paraId="368DD880"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04A98CE6" w14:textId="77777777">
            <w:pPr>
              <w:spacing w:line="252" w:lineRule="auto"/>
              <w:rPr>
                <w:b/>
                <w:bCs/>
                <w:sz w:val="20"/>
              </w:rPr>
            </w:pPr>
            <w:r>
              <w:rPr>
                <w:sz w:val="20"/>
              </w:rPr>
              <w:t>§ __.42(a)(5)</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778F1723" w14:textId="77777777">
            <w:pPr>
              <w:spacing w:line="252" w:lineRule="auto"/>
              <w:rPr>
                <w:i/>
                <w:sz w:val="20"/>
              </w:rPr>
            </w:pPr>
            <w:r>
              <w:rPr>
                <w:i/>
                <w:sz w:val="20"/>
              </w:rPr>
              <w:t>Community development loan and community development investment data.</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477793C6" w14:textId="21024054">
            <w:pPr>
              <w:spacing w:line="252" w:lineRule="auto"/>
              <w:jc w:val="center"/>
              <w:rPr>
                <w:sz w:val="20"/>
              </w:rPr>
            </w:pPr>
            <w:r>
              <w:rPr>
                <w:sz w:val="20"/>
              </w:rPr>
              <w:t>148</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516CE8B9" w14:textId="6E6AAAF5">
            <w:pPr>
              <w:spacing w:line="252" w:lineRule="auto"/>
              <w:jc w:val="center"/>
              <w:rPr>
                <w:sz w:val="20"/>
              </w:rPr>
            </w:pPr>
            <w:r>
              <w:rPr>
                <w:sz w:val="20"/>
              </w:rPr>
              <w:t>300</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5A28DA38" w14:textId="0D2D6E0C">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6C488E74" w14:textId="22E36B59">
            <w:pPr>
              <w:spacing w:line="252" w:lineRule="auto"/>
              <w:jc w:val="center"/>
              <w:rPr>
                <w:sz w:val="20"/>
              </w:rPr>
            </w:pPr>
            <w:r>
              <w:rPr>
                <w:sz w:val="20"/>
              </w:rPr>
              <w:t>44,400</w:t>
            </w:r>
          </w:p>
        </w:tc>
      </w:tr>
      <w:tr w:rsidR="00863D7E" w:rsidTr="00863D7E" w14:paraId="4D9DCF5A"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7AB770C0"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6A6D762D" w14:textId="2EF16C69">
            <w:pPr>
              <w:spacing w:line="252" w:lineRule="auto"/>
              <w:rPr>
                <w:i/>
                <w:sz w:val="20"/>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045B8314" w14:textId="67A47CF3">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45C04ADE" w14:textId="14A0608B">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D04EDC1" w14:textId="6D5C9A82">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4121ED6A" w14:textId="138195CD">
            <w:pPr>
              <w:spacing w:line="252" w:lineRule="auto"/>
              <w:jc w:val="center"/>
              <w:rPr>
                <w:sz w:val="20"/>
              </w:rPr>
            </w:pPr>
          </w:p>
        </w:tc>
      </w:tr>
      <w:tr w:rsidR="00863D7E" w:rsidTr="00DA2779" w14:paraId="0CE3279F"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55CD0BDC" w14:textId="77777777">
            <w:pPr>
              <w:spacing w:line="252" w:lineRule="auto"/>
              <w:rPr>
                <w:b/>
                <w:bCs/>
                <w:sz w:val="20"/>
              </w:rPr>
            </w:pPr>
            <w:r>
              <w:rPr>
                <w:sz w:val="20"/>
              </w:rPr>
              <w:t>§ __.42(a)(6)</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364CD58F" w14:textId="77777777">
            <w:pPr>
              <w:spacing w:line="252" w:lineRule="auto"/>
              <w:rPr>
                <w:i/>
                <w:sz w:val="20"/>
              </w:rPr>
            </w:pPr>
            <w:r>
              <w:rPr>
                <w:i/>
                <w:sz w:val="20"/>
              </w:rPr>
              <w:t>Community development services data.</w:t>
            </w:r>
            <w:r>
              <w:rPr>
                <w:iCs/>
                <w:sz w:val="20"/>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3CA9923C" w14:textId="01282A20">
            <w:pPr>
              <w:spacing w:line="252" w:lineRule="auto"/>
              <w:jc w:val="center"/>
              <w:rPr>
                <w:sz w:val="20"/>
              </w:rPr>
            </w:pPr>
            <w:r>
              <w:rPr>
                <w:sz w:val="20"/>
              </w:rPr>
              <w:t>46</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505BE5FB" w14:textId="7CE4C3CB">
            <w:pPr>
              <w:spacing w:line="252" w:lineRule="auto"/>
              <w:jc w:val="center"/>
              <w:rPr>
                <w:sz w:val="20"/>
              </w:rPr>
            </w:pPr>
            <w:r>
              <w:rPr>
                <w:sz w:val="20"/>
              </w:rPr>
              <w:t>50</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7092B462" w14:textId="6F384F76">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471F0A83" w14:textId="5E4D4BE4">
            <w:pPr>
              <w:spacing w:line="252" w:lineRule="auto"/>
              <w:jc w:val="center"/>
              <w:rPr>
                <w:sz w:val="20"/>
              </w:rPr>
            </w:pPr>
            <w:r>
              <w:rPr>
                <w:sz w:val="20"/>
              </w:rPr>
              <w:t>2,300</w:t>
            </w:r>
          </w:p>
        </w:tc>
      </w:tr>
      <w:tr w:rsidR="00863D7E" w:rsidTr="00863D7E" w14:paraId="2C965625"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0173C50C"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515B1F5F" w14:textId="7ED8D3EE">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2FCF5A54" w14:textId="0ED06DA9">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40C90D26" w14:textId="14CCC5E4">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7C0A5354" w14:textId="014024B4">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332BA644" w14:textId="62E834D8">
            <w:pPr>
              <w:spacing w:line="252" w:lineRule="auto"/>
              <w:jc w:val="center"/>
              <w:rPr>
                <w:sz w:val="20"/>
              </w:rPr>
            </w:pPr>
          </w:p>
        </w:tc>
      </w:tr>
      <w:tr w:rsidR="00863D7E" w:rsidTr="00DA2779" w14:paraId="237336CF"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863D7E" w:rsidRDefault="00863D7E" w14:paraId="48FDF500" w14:textId="77777777">
            <w:pPr>
              <w:spacing w:line="252" w:lineRule="auto"/>
              <w:rPr>
                <w:b/>
                <w:bCs/>
                <w:sz w:val="20"/>
              </w:rPr>
            </w:pPr>
            <w:r>
              <w:rPr>
                <w:sz w:val="20"/>
              </w:rPr>
              <w:t>§ __.42(a)(7)</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51ACEC99" w14:textId="77777777">
            <w:pPr>
              <w:spacing w:line="252" w:lineRule="auto"/>
              <w:rPr>
                <w:sz w:val="20"/>
              </w:rPr>
            </w:pPr>
            <w:r>
              <w:rPr>
                <w:i/>
                <w:sz w:val="20"/>
              </w:rPr>
              <w:t>Deposits data.</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71FD7D20" w14:textId="3DF57D99">
            <w:pPr>
              <w:spacing w:line="252" w:lineRule="auto"/>
              <w:jc w:val="center"/>
              <w:rPr>
                <w:sz w:val="20"/>
              </w:rPr>
            </w:pPr>
            <w:r>
              <w:rPr>
                <w:sz w:val="20"/>
              </w:rPr>
              <w:t>46</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24B622C6" w14:textId="0DE03ED0">
            <w:pPr>
              <w:spacing w:line="252" w:lineRule="auto"/>
              <w:jc w:val="center"/>
              <w:rPr>
                <w:sz w:val="20"/>
              </w:rPr>
            </w:pPr>
            <w:r>
              <w:rPr>
                <w:sz w:val="20"/>
              </w:rPr>
              <w:t>350</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7A60BA00" w14:textId="6ED65813">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6BCC9B6B" w14:textId="2FFDB8AE">
            <w:pPr>
              <w:spacing w:line="252" w:lineRule="auto"/>
              <w:jc w:val="center"/>
              <w:rPr>
                <w:sz w:val="20"/>
              </w:rPr>
            </w:pPr>
            <w:r>
              <w:rPr>
                <w:sz w:val="20"/>
              </w:rPr>
              <w:t>16,100</w:t>
            </w:r>
          </w:p>
        </w:tc>
      </w:tr>
      <w:tr w:rsidR="00863D7E" w:rsidTr="00863D7E" w14:paraId="3AF91A43"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160A5C13"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267AF336" w14:textId="5F473EDB">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55D11BD5" w14:textId="5902FF7D">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5225A394" w14:textId="30376AA5">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09013F82" w14:textId="1D9D223E">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0FEE106F" w14:textId="036D9295">
            <w:pPr>
              <w:spacing w:line="252" w:lineRule="auto"/>
              <w:jc w:val="center"/>
              <w:rPr>
                <w:sz w:val="20"/>
              </w:rPr>
            </w:pPr>
          </w:p>
        </w:tc>
      </w:tr>
      <w:tr w:rsidR="00863D7E" w:rsidTr="00DA2779" w14:paraId="3F476DB9"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DA2779" w:rsidRDefault="00863D7E" w14:paraId="4810B616" w14:textId="77777777">
            <w:pPr>
              <w:spacing w:line="252" w:lineRule="auto"/>
              <w:rPr>
                <w:sz w:val="20"/>
              </w:rPr>
            </w:pPr>
            <w:r>
              <w:rPr>
                <w:b/>
                <w:bCs/>
                <w:sz w:val="20"/>
              </w:rPr>
              <w:t>Disclosures</w:t>
            </w: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442634FF" w14:textId="77777777">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08CBEDA9" w14:textId="7777777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126929C4" w14:textId="77777777">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6773EE9C" w14:textId="77777777">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6595CF87" w14:textId="77777777">
            <w:pPr>
              <w:spacing w:line="252" w:lineRule="auto"/>
              <w:jc w:val="center"/>
              <w:rPr>
                <w:sz w:val="20"/>
              </w:rPr>
            </w:pPr>
          </w:p>
        </w:tc>
      </w:tr>
      <w:tr w:rsidR="00863D7E" w:rsidTr="00DA2779" w14:paraId="0C4DACDA" w14:textId="77777777">
        <w:tc>
          <w:tcPr>
            <w:tcW w:w="1530" w:type="dxa"/>
            <w:tcBorders>
              <w:top w:val="single" w:color="auto" w:sz="4" w:space="0"/>
              <w:left w:val="single" w:color="auto" w:sz="4" w:space="0"/>
              <w:bottom w:val="single" w:color="auto" w:sz="4" w:space="0"/>
              <w:right w:val="single" w:color="auto" w:sz="4" w:space="0"/>
            </w:tcBorders>
          </w:tcPr>
          <w:p w:rsidR="00863D7E" w:rsidP="00863D7E" w:rsidRDefault="00863D7E" w14:paraId="32491977" w14:textId="77777777">
            <w:pPr>
              <w:spacing w:line="252" w:lineRule="auto"/>
              <w:rPr>
                <w:sz w:val="20"/>
              </w:rPr>
            </w:pPr>
            <w:r>
              <w:rPr>
                <w:sz w:val="20"/>
              </w:rPr>
              <w:t>§ __.43</w:t>
            </w:r>
          </w:p>
          <w:p w:rsidR="00863D7E" w:rsidP="00863D7E" w:rsidRDefault="00863D7E" w14:paraId="3962BA1B" w14:textId="77777777">
            <w:pPr>
              <w:spacing w:line="252" w:lineRule="auto"/>
              <w:rPr>
                <w:sz w:val="20"/>
              </w:rPr>
            </w:pPr>
          </w:p>
          <w:p w:rsidR="00863D7E" w:rsidP="00863D7E" w:rsidRDefault="00863D7E" w14:paraId="1B8A696A" w14:textId="77777777">
            <w:pPr>
              <w:spacing w:line="252" w:lineRule="auto"/>
              <w:rPr>
                <w:sz w:val="20"/>
              </w:rPr>
            </w:pPr>
            <w:r>
              <w:rPr>
                <w:sz w:val="20"/>
              </w:rPr>
              <w:lastRenderedPageBreak/>
              <w:t>§ __.44</w:t>
            </w:r>
          </w:p>
        </w:tc>
        <w:tc>
          <w:tcPr>
            <w:tcW w:w="2387" w:type="dxa"/>
            <w:tcBorders>
              <w:top w:val="single" w:color="auto" w:sz="4" w:space="0"/>
              <w:left w:val="single" w:color="auto" w:sz="4" w:space="0"/>
              <w:bottom w:val="single" w:color="auto" w:sz="4" w:space="0"/>
              <w:right w:val="single" w:color="auto" w:sz="4" w:space="0"/>
            </w:tcBorders>
            <w:hideMark/>
          </w:tcPr>
          <w:p w:rsidR="00863D7E" w:rsidP="00863D7E" w:rsidRDefault="00863D7E" w14:paraId="27FAC58D" w14:textId="77777777">
            <w:pPr>
              <w:spacing w:line="252" w:lineRule="auto"/>
              <w:rPr>
                <w:i/>
                <w:sz w:val="20"/>
              </w:rPr>
            </w:pPr>
            <w:r>
              <w:rPr>
                <w:i/>
                <w:sz w:val="20"/>
              </w:rPr>
              <w:lastRenderedPageBreak/>
              <w:t>Content and availability of public file.</w:t>
            </w:r>
            <w:r>
              <w:rPr>
                <w:iCs/>
                <w:sz w:val="20"/>
              </w:rPr>
              <w:t xml:space="preserve"> </w:t>
            </w:r>
          </w:p>
          <w:p w:rsidR="00863D7E" w:rsidP="00863D7E" w:rsidRDefault="00863D7E" w14:paraId="5A7974FC" w14:textId="77777777">
            <w:pPr>
              <w:spacing w:line="252" w:lineRule="auto"/>
              <w:rPr>
                <w:i/>
                <w:sz w:val="20"/>
                <w:u w:val="single"/>
              </w:rPr>
            </w:pPr>
            <w:r>
              <w:rPr>
                <w:i/>
                <w:sz w:val="20"/>
              </w:rPr>
              <w:lastRenderedPageBreak/>
              <w:t>Public notice by banks.</w:t>
            </w:r>
            <w:r>
              <w:rPr>
                <w:iCs/>
                <w:sz w:val="20"/>
              </w:rPr>
              <w:t xml:space="preserve"> </w:t>
            </w:r>
            <w:r>
              <w:rPr>
                <w:i/>
                <w:sz w:val="20"/>
                <w:u w:val="single"/>
              </w:rPr>
              <w:t xml:space="preserve"> </w:t>
            </w:r>
          </w:p>
        </w:tc>
        <w:tc>
          <w:tcPr>
            <w:tcW w:w="1309" w:type="dxa"/>
            <w:tcBorders>
              <w:top w:val="single" w:color="auto" w:sz="4" w:space="0"/>
              <w:left w:val="single" w:color="auto" w:sz="4" w:space="0"/>
              <w:bottom w:val="single" w:color="auto" w:sz="4" w:space="0"/>
              <w:right w:val="single" w:color="auto" w:sz="4" w:space="0"/>
            </w:tcBorders>
          </w:tcPr>
          <w:p w:rsidR="00863D7E" w:rsidP="00863D7E" w:rsidRDefault="00863D7E" w14:paraId="0089BB52" w14:textId="66854BAA">
            <w:pPr>
              <w:spacing w:line="252" w:lineRule="auto"/>
              <w:jc w:val="center"/>
              <w:rPr>
                <w:sz w:val="20"/>
              </w:rPr>
            </w:pPr>
            <w:r>
              <w:rPr>
                <w:sz w:val="20"/>
              </w:rPr>
              <w:lastRenderedPageBreak/>
              <w:t>977</w:t>
            </w:r>
          </w:p>
        </w:tc>
        <w:tc>
          <w:tcPr>
            <w:tcW w:w="1295" w:type="dxa"/>
            <w:tcBorders>
              <w:top w:val="single" w:color="auto" w:sz="4" w:space="0"/>
              <w:left w:val="single" w:color="auto" w:sz="4" w:space="0"/>
              <w:bottom w:val="single" w:color="auto" w:sz="4" w:space="0"/>
              <w:right w:val="single" w:color="auto" w:sz="4" w:space="0"/>
            </w:tcBorders>
          </w:tcPr>
          <w:p w:rsidR="00863D7E" w:rsidP="00863D7E" w:rsidRDefault="00863D7E" w14:paraId="3EE3EF1D" w14:textId="22B49DEA">
            <w:pPr>
              <w:spacing w:line="252" w:lineRule="auto"/>
              <w:jc w:val="center"/>
              <w:rPr>
                <w:sz w:val="20"/>
              </w:rPr>
            </w:pPr>
            <w:r>
              <w:rPr>
                <w:sz w:val="20"/>
              </w:rPr>
              <w:t>10</w:t>
            </w:r>
          </w:p>
        </w:tc>
        <w:tc>
          <w:tcPr>
            <w:tcW w:w="1768" w:type="dxa"/>
            <w:tcBorders>
              <w:top w:val="single" w:color="auto" w:sz="4" w:space="0"/>
              <w:left w:val="single" w:color="auto" w:sz="4" w:space="0"/>
              <w:bottom w:val="single" w:color="auto" w:sz="4" w:space="0"/>
              <w:right w:val="single" w:color="auto" w:sz="4" w:space="0"/>
            </w:tcBorders>
          </w:tcPr>
          <w:p w:rsidR="00863D7E" w:rsidP="00863D7E" w:rsidRDefault="00863D7E" w14:paraId="4958F976" w14:textId="061AD5BB">
            <w:pPr>
              <w:spacing w:line="252" w:lineRule="auto"/>
              <w:jc w:val="center"/>
              <w:rPr>
                <w:sz w:val="20"/>
              </w:rPr>
            </w:pPr>
            <w:r>
              <w:rPr>
                <w:sz w:val="20"/>
              </w:rPr>
              <w:t>1</w:t>
            </w:r>
          </w:p>
        </w:tc>
        <w:tc>
          <w:tcPr>
            <w:tcW w:w="1516" w:type="dxa"/>
            <w:tcBorders>
              <w:top w:val="single" w:color="auto" w:sz="4" w:space="0"/>
              <w:left w:val="single" w:color="auto" w:sz="4" w:space="0"/>
              <w:bottom w:val="single" w:color="auto" w:sz="4" w:space="0"/>
              <w:right w:val="single" w:color="auto" w:sz="4" w:space="0"/>
            </w:tcBorders>
          </w:tcPr>
          <w:p w:rsidR="00863D7E" w:rsidP="00863D7E" w:rsidRDefault="00863D7E" w14:paraId="75670592" w14:textId="4E86117E">
            <w:pPr>
              <w:spacing w:line="252" w:lineRule="auto"/>
              <w:jc w:val="center"/>
              <w:rPr>
                <w:sz w:val="20"/>
              </w:rPr>
            </w:pPr>
            <w:r>
              <w:rPr>
                <w:sz w:val="20"/>
              </w:rPr>
              <w:t>9,770</w:t>
            </w:r>
          </w:p>
        </w:tc>
      </w:tr>
      <w:tr w:rsidR="00863D7E" w:rsidTr="00863D7E" w14:paraId="41FD0C2F"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1AECCF96" w14:textId="77777777">
            <w:pPr>
              <w:spacing w:line="252" w:lineRule="auto"/>
              <w:rPr>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09E45D4D" w14:textId="14A20882">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18DC021B" w14:textId="22DAFBC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4B4982F3" w14:textId="7C13E8E8">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5E318682" w14:textId="5FE8ABCE">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863D7E" w14:paraId="2D020816" w14:textId="5A4338D8">
            <w:pPr>
              <w:spacing w:line="252" w:lineRule="auto"/>
              <w:jc w:val="center"/>
              <w:rPr>
                <w:sz w:val="20"/>
              </w:rPr>
            </w:pPr>
          </w:p>
        </w:tc>
      </w:tr>
      <w:tr w:rsidR="00863D7E" w:rsidTr="00DA2779" w14:paraId="4C04D22E" w14:textId="77777777">
        <w:tc>
          <w:tcPr>
            <w:tcW w:w="1530" w:type="dxa"/>
            <w:tcBorders>
              <w:top w:val="single" w:color="auto" w:sz="4" w:space="0"/>
              <w:left w:val="single" w:color="auto" w:sz="4" w:space="0"/>
              <w:bottom w:val="single" w:color="auto" w:sz="4" w:space="0"/>
              <w:right w:val="single" w:color="auto" w:sz="4" w:space="0"/>
            </w:tcBorders>
            <w:hideMark/>
          </w:tcPr>
          <w:p w:rsidR="00863D7E" w:rsidP="00DA2779" w:rsidRDefault="00863D7E" w14:paraId="2CE29281" w14:textId="77777777">
            <w:pPr>
              <w:spacing w:line="252" w:lineRule="auto"/>
              <w:rPr>
                <w:sz w:val="20"/>
              </w:rPr>
            </w:pPr>
            <w:r>
              <w:rPr>
                <w:b/>
                <w:bCs/>
                <w:sz w:val="20"/>
              </w:rPr>
              <w:t>Total Estimated Annual Burden</w:t>
            </w:r>
          </w:p>
        </w:tc>
        <w:tc>
          <w:tcPr>
            <w:tcW w:w="2387" w:type="dxa"/>
            <w:tcBorders>
              <w:top w:val="single" w:color="auto" w:sz="4" w:space="0"/>
              <w:left w:val="single" w:color="auto" w:sz="4" w:space="0"/>
              <w:bottom w:val="single" w:color="auto" w:sz="4" w:space="0"/>
              <w:right w:val="single" w:color="auto" w:sz="4" w:space="0"/>
            </w:tcBorders>
          </w:tcPr>
          <w:p w:rsidR="00863D7E" w:rsidP="00DA2779" w:rsidRDefault="00863D7E" w14:paraId="0B1B31AA" w14:textId="77777777">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2D4CEF38" w14:textId="7777777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7B82147A" w14:textId="77777777">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4858840E" w14:textId="77777777">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tcPr>
          <w:p w:rsidR="00863D7E" w:rsidP="00DA2779" w:rsidRDefault="006B272C" w14:paraId="06CEF11E" w14:textId="75AA0106">
            <w:pPr>
              <w:spacing w:line="252" w:lineRule="auto"/>
              <w:jc w:val="center"/>
              <w:rPr>
                <w:sz w:val="20"/>
              </w:rPr>
            </w:pPr>
            <w:r>
              <w:rPr>
                <w:bCs/>
                <w:sz w:val="20"/>
              </w:rPr>
              <w:t>127,930</w:t>
            </w:r>
          </w:p>
        </w:tc>
      </w:tr>
      <w:tr w:rsidR="00863D7E" w:rsidTr="00DA2779" w14:paraId="124DDFC4" w14:textId="77777777">
        <w:tc>
          <w:tcPr>
            <w:tcW w:w="1530" w:type="dxa"/>
            <w:tcBorders>
              <w:top w:val="single" w:color="auto" w:sz="4" w:space="0"/>
              <w:left w:val="single" w:color="auto" w:sz="4" w:space="0"/>
              <w:bottom w:val="single" w:color="auto" w:sz="4" w:space="0"/>
              <w:right w:val="single" w:color="auto" w:sz="4" w:space="0"/>
            </w:tcBorders>
          </w:tcPr>
          <w:p w:rsidR="00863D7E" w:rsidP="00DA2779" w:rsidRDefault="00863D7E" w14:paraId="70001715" w14:textId="77777777">
            <w:pPr>
              <w:spacing w:line="252" w:lineRule="auto"/>
              <w:rPr>
                <w:b/>
                <w:bCs/>
                <w:sz w:val="20"/>
              </w:rPr>
            </w:pPr>
          </w:p>
        </w:tc>
        <w:tc>
          <w:tcPr>
            <w:tcW w:w="2387" w:type="dxa"/>
            <w:tcBorders>
              <w:top w:val="single" w:color="auto" w:sz="4" w:space="0"/>
              <w:left w:val="single" w:color="auto" w:sz="4" w:space="0"/>
              <w:bottom w:val="single" w:color="auto" w:sz="4" w:space="0"/>
              <w:right w:val="single" w:color="auto" w:sz="4" w:space="0"/>
            </w:tcBorders>
            <w:hideMark/>
          </w:tcPr>
          <w:p w:rsidR="00863D7E" w:rsidP="00DA2779" w:rsidRDefault="00863D7E" w14:paraId="4E8281CE" w14:textId="698B0093">
            <w:pPr>
              <w:spacing w:line="252" w:lineRule="auto"/>
              <w:rPr>
                <w:i/>
                <w:sz w:val="20"/>
                <w:u w:val="single"/>
              </w:rPr>
            </w:pPr>
          </w:p>
        </w:tc>
        <w:tc>
          <w:tcPr>
            <w:tcW w:w="1309" w:type="dxa"/>
            <w:tcBorders>
              <w:top w:val="single" w:color="auto" w:sz="4" w:space="0"/>
              <w:left w:val="single" w:color="auto" w:sz="4" w:space="0"/>
              <w:bottom w:val="single" w:color="auto" w:sz="4" w:space="0"/>
              <w:right w:val="single" w:color="auto" w:sz="4" w:space="0"/>
            </w:tcBorders>
          </w:tcPr>
          <w:p w:rsidR="00863D7E" w:rsidP="00DA2779" w:rsidRDefault="00863D7E" w14:paraId="7FBA9B5E" w14:textId="77777777">
            <w:pPr>
              <w:spacing w:line="252" w:lineRule="auto"/>
              <w:jc w:val="center"/>
              <w:rPr>
                <w:sz w:val="20"/>
              </w:rPr>
            </w:pPr>
          </w:p>
        </w:tc>
        <w:tc>
          <w:tcPr>
            <w:tcW w:w="1295" w:type="dxa"/>
            <w:tcBorders>
              <w:top w:val="single" w:color="auto" w:sz="4" w:space="0"/>
              <w:left w:val="single" w:color="auto" w:sz="4" w:space="0"/>
              <w:bottom w:val="single" w:color="auto" w:sz="4" w:space="0"/>
              <w:right w:val="single" w:color="auto" w:sz="4" w:space="0"/>
            </w:tcBorders>
          </w:tcPr>
          <w:p w:rsidR="00863D7E" w:rsidP="00DA2779" w:rsidRDefault="00863D7E" w14:paraId="34E755B1" w14:textId="77777777">
            <w:pPr>
              <w:spacing w:line="252" w:lineRule="auto"/>
              <w:jc w:val="center"/>
              <w:rPr>
                <w:sz w:val="20"/>
              </w:rPr>
            </w:pPr>
          </w:p>
        </w:tc>
        <w:tc>
          <w:tcPr>
            <w:tcW w:w="1768" w:type="dxa"/>
            <w:tcBorders>
              <w:top w:val="single" w:color="auto" w:sz="4" w:space="0"/>
              <w:left w:val="single" w:color="auto" w:sz="4" w:space="0"/>
              <w:bottom w:val="single" w:color="auto" w:sz="4" w:space="0"/>
              <w:right w:val="single" w:color="auto" w:sz="4" w:space="0"/>
            </w:tcBorders>
          </w:tcPr>
          <w:p w:rsidR="00863D7E" w:rsidP="00DA2779" w:rsidRDefault="00863D7E" w14:paraId="29CF3A8C" w14:textId="77777777">
            <w:pPr>
              <w:spacing w:line="252" w:lineRule="auto"/>
              <w:jc w:val="center"/>
              <w:rPr>
                <w:sz w:val="20"/>
              </w:rPr>
            </w:pPr>
          </w:p>
        </w:tc>
        <w:tc>
          <w:tcPr>
            <w:tcW w:w="1516" w:type="dxa"/>
            <w:tcBorders>
              <w:top w:val="single" w:color="auto" w:sz="4" w:space="0"/>
              <w:left w:val="single" w:color="auto" w:sz="4" w:space="0"/>
              <w:bottom w:val="single" w:color="auto" w:sz="4" w:space="0"/>
              <w:right w:val="single" w:color="auto" w:sz="4" w:space="0"/>
            </w:tcBorders>
            <w:hideMark/>
          </w:tcPr>
          <w:p w:rsidR="00863D7E" w:rsidP="00DA2779" w:rsidRDefault="00863D7E" w14:paraId="0E05DF22" w14:textId="6CEA5ACB">
            <w:pPr>
              <w:spacing w:line="252" w:lineRule="auto"/>
              <w:jc w:val="center"/>
              <w:rPr>
                <w:bCs/>
                <w:sz w:val="20"/>
              </w:rPr>
            </w:pPr>
          </w:p>
        </w:tc>
      </w:tr>
      <w:bookmarkEnd w:id="9"/>
    </w:tbl>
    <w:p w:rsidR="00863D7E" w:rsidP="00863D7E" w:rsidRDefault="00863D7E" w14:paraId="425F0FBD" w14:textId="77777777">
      <w:pPr>
        <w:spacing w:line="480" w:lineRule="auto"/>
        <w:ind w:firstLine="720"/>
        <w:outlineLvl w:val="1"/>
      </w:pPr>
    </w:p>
    <w:p w:rsidRPr="00F17C93" w:rsidR="00B94181" w:rsidP="00863D7E" w:rsidRDefault="00B94181" w14:paraId="23C001B7" w14:textId="53EB8FFD">
      <w:pPr>
        <w:rPr>
          <w:b/>
          <w:szCs w:val="24"/>
        </w:rPr>
      </w:pPr>
      <w:r w:rsidRPr="00F17C93">
        <w:rPr>
          <w:b/>
          <w:szCs w:val="24"/>
        </w:rPr>
        <w:t>Cost of Hour Burden:</w:t>
      </w:r>
    </w:p>
    <w:p w:rsidRPr="00F17C93" w:rsidR="00B94181" w:rsidP="00E55F55" w:rsidRDefault="00B94181" w14:paraId="180E9A2E" w14:textId="77777777">
      <w:pPr>
        <w:tabs>
          <w:tab w:val="left" w:pos="7290"/>
        </w:tabs>
        <w:ind w:right="-90"/>
        <w:rPr>
          <w:b/>
          <w:szCs w:val="24"/>
        </w:rPr>
      </w:pPr>
    </w:p>
    <w:p w:rsidRPr="00F17C93" w:rsidR="00B94181" w:rsidP="00E55F55" w:rsidRDefault="00A937EE" w14:paraId="033DA23E" w14:textId="10A672DB">
      <w:pPr>
        <w:tabs>
          <w:tab w:val="left" w:pos="7290"/>
        </w:tabs>
        <w:ind w:right="-90"/>
        <w:rPr>
          <w:b/>
          <w:szCs w:val="24"/>
        </w:rPr>
      </w:pPr>
      <w:r>
        <w:rPr>
          <w:b/>
          <w:szCs w:val="24"/>
        </w:rPr>
        <w:t>127,930</w:t>
      </w:r>
      <w:r w:rsidR="00FC12D0">
        <w:rPr>
          <w:b/>
          <w:szCs w:val="24"/>
        </w:rPr>
        <w:t xml:space="preserve"> x $ 114</w:t>
      </w:r>
      <w:r w:rsidR="00554EAC">
        <w:rPr>
          <w:b/>
          <w:szCs w:val="24"/>
        </w:rPr>
        <w:t>.17</w:t>
      </w:r>
      <w:r w:rsidRPr="00F17C93" w:rsidR="00F17C93">
        <w:rPr>
          <w:b/>
          <w:szCs w:val="24"/>
        </w:rPr>
        <w:t xml:space="preserve"> =</w:t>
      </w:r>
      <w:r w:rsidR="00FC12D0">
        <w:rPr>
          <w:b/>
          <w:szCs w:val="24"/>
        </w:rPr>
        <w:t xml:space="preserve"> $ </w:t>
      </w:r>
      <w:r>
        <w:rPr>
          <w:b/>
          <w:szCs w:val="24"/>
        </w:rPr>
        <w:t>14,605,768.10</w:t>
      </w:r>
    </w:p>
    <w:p w:rsidR="00B94181" w:rsidP="00E55F55" w:rsidRDefault="00B94181" w14:paraId="6E85DB98" w14:textId="77777777">
      <w:pPr>
        <w:tabs>
          <w:tab w:val="left" w:pos="7290"/>
        </w:tabs>
        <w:ind w:right="-90"/>
        <w:rPr>
          <w:szCs w:val="24"/>
        </w:rPr>
      </w:pPr>
    </w:p>
    <w:p w:rsidRPr="00A62A21" w:rsidR="00554EAC" w:rsidP="00E55F55" w:rsidRDefault="00554EAC" w14:paraId="20464378" w14:textId="77777777">
      <w:r>
        <w:rPr>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811CB2" w:rsidP="00E55F55" w:rsidRDefault="00811CB2" w14:paraId="429716B4" w14:textId="77777777"/>
    <w:p w:rsidRPr="00E71711" w:rsidR="00811CB2" w:rsidP="00E55F55" w:rsidRDefault="00811CB2" w14:paraId="394ED580" w14:textId="77777777">
      <w:pPr>
        <w:pStyle w:val="BodyText"/>
        <w:rPr>
          <w:i/>
        </w:rPr>
      </w:pPr>
      <w:r w:rsidRPr="00E71711">
        <w:rPr>
          <w:i/>
        </w:rPr>
        <w:t>13.  Estimate of the total annualized cost to respondents</w:t>
      </w:r>
      <w:r w:rsidRPr="00E71711" w:rsidR="00A75944">
        <w:rPr>
          <w:i/>
        </w:rPr>
        <w:t>:</w:t>
      </w:r>
    </w:p>
    <w:p w:rsidR="00811CB2" w:rsidP="00E55F55" w:rsidRDefault="00811CB2" w14:paraId="20616EBC" w14:textId="77777777"/>
    <w:p w:rsidR="00357531" w:rsidP="00E55F55" w:rsidRDefault="007805CA" w14:paraId="54E1F6F7" w14:textId="77777777">
      <w:pPr>
        <w:ind w:firstLine="720"/>
      </w:pPr>
      <w:r>
        <w:t>N/A.</w:t>
      </w:r>
    </w:p>
    <w:p w:rsidR="00FC1E26" w:rsidP="00E55F55" w:rsidRDefault="00FC1E26" w14:paraId="7BCC454F" w14:textId="77777777">
      <w:pPr>
        <w:ind w:firstLine="720"/>
      </w:pPr>
    </w:p>
    <w:p w:rsidRPr="00E71711" w:rsidR="00811CB2" w:rsidP="00E55F55" w:rsidRDefault="00811CB2" w14:paraId="668BD0E6" w14:textId="77777777">
      <w:pPr>
        <w:rPr>
          <w:b/>
          <w:i/>
        </w:rPr>
      </w:pPr>
      <w:r w:rsidRPr="00E71711">
        <w:rPr>
          <w:b/>
          <w:bCs/>
          <w:i/>
        </w:rPr>
        <w:t xml:space="preserve">14.  Estimate of annualized cost to the </w:t>
      </w:r>
      <w:r w:rsidR="009D4F9D">
        <w:rPr>
          <w:b/>
          <w:bCs/>
          <w:i/>
        </w:rPr>
        <w:t>f</w:t>
      </w:r>
      <w:r w:rsidRPr="00E71711">
        <w:rPr>
          <w:b/>
          <w:bCs/>
          <w:i/>
        </w:rPr>
        <w:t>ederal government</w:t>
      </w:r>
      <w:r w:rsidRPr="00E71711" w:rsidR="00A75944">
        <w:rPr>
          <w:b/>
          <w:bCs/>
          <w:i/>
        </w:rPr>
        <w:t>:</w:t>
      </w:r>
    </w:p>
    <w:p w:rsidR="00811CB2" w:rsidP="00E55F55" w:rsidRDefault="00811CB2" w14:paraId="1CD9E24C" w14:textId="77777777"/>
    <w:p w:rsidR="00811CB2" w:rsidP="00E55F55" w:rsidRDefault="007805CA" w14:paraId="6DCB2FCF" w14:textId="77777777">
      <w:pPr>
        <w:ind w:firstLine="720"/>
      </w:pPr>
      <w:r>
        <w:t>N/A.</w:t>
      </w:r>
    </w:p>
    <w:p w:rsidRPr="00B417E6" w:rsidR="00AD7DD3" w:rsidP="00E55F55" w:rsidRDefault="00AD7DD3" w14:paraId="26F60CDD" w14:textId="77777777">
      <w:pPr>
        <w:pStyle w:val="BodyText"/>
        <w:rPr>
          <w:i/>
        </w:rPr>
      </w:pPr>
    </w:p>
    <w:p w:rsidRPr="00B417E6" w:rsidR="00811CB2" w:rsidP="00E55F55" w:rsidRDefault="00811CB2" w14:paraId="48584D15" w14:textId="77777777">
      <w:pPr>
        <w:pStyle w:val="BodyText"/>
        <w:rPr>
          <w:i/>
        </w:rPr>
      </w:pPr>
      <w:r w:rsidRPr="00B417E6">
        <w:rPr>
          <w:i/>
        </w:rPr>
        <w:t>15.  Changes in burden:</w:t>
      </w:r>
    </w:p>
    <w:p w:rsidR="00811CB2" w:rsidP="00E55F55" w:rsidRDefault="00811CB2" w14:paraId="7E91ED73" w14:textId="77777777"/>
    <w:p w:rsidR="007805CA" w:rsidP="00E55F55" w:rsidRDefault="00D05FE4" w14:paraId="3F4F5847" w14:textId="14DA2DC0">
      <w:pPr>
        <w:rPr>
          <w:iCs/>
        </w:rPr>
      </w:pPr>
      <w:r>
        <w:rPr>
          <w:iCs/>
        </w:rPr>
        <w:t xml:space="preserve">Prior Burden:  </w:t>
      </w:r>
      <w:r w:rsidR="0095067D">
        <w:rPr>
          <w:iCs/>
        </w:rPr>
        <w:t>113,351</w:t>
      </w:r>
      <w:r>
        <w:rPr>
          <w:iCs/>
        </w:rPr>
        <w:t xml:space="preserve"> hours</w:t>
      </w:r>
    </w:p>
    <w:p w:rsidR="00D05FE4" w:rsidP="00E55F55" w:rsidRDefault="00D05FE4" w14:paraId="61FA6D3D" w14:textId="45FB77E5">
      <w:pPr>
        <w:rPr>
          <w:iCs/>
        </w:rPr>
      </w:pPr>
      <w:r>
        <w:rPr>
          <w:iCs/>
        </w:rPr>
        <w:t xml:space="preserve">Current Burden:  </w:t>
      </w:r>
      <w:r w:rsidR="00A937EE">
        <w:rPr>
          <w:iCs/>
        </w:rPr>
        <w:t>127,930 hours</w:t>
      </w:r>
    </w:p>
    <w:p w:rsidR="00D05FE4" w:rsidP="00E55F55" w:rsidRDefault="00D05FE4" w14:paraId="5F3DA802" w14:textId="44C6308B">
      <w:pPr>
        <w:rPr>
          <w:iCs/>
        </w:rPr>
      </w:pPr>
      <w:r>
        <w:rPr>
          <w:iCs/>
        </w:rPr>
        <w:t xml:space="preserve">Difference:  </w:t>
      </w:r>
      <w:r w:rsidR="0095067D">
        <w:rPr>
          <w:iCs/>
        </w:rPr>
        <w:t xml:space="preserve">+ </w:t>
      </w:r>
      <w:r w:rsidR="00A937EE">
        <w:rPr>
          <w:iCs/>
        </w:rPr>
        <w:t>14,579 hours</w:t>
      </w:r>
    </w:p>
    <w:p w:rsidR="0095067D" w:rsidP="00E55F55" w:rsidRDefault="0095067D" w14:paraId="03E7C546" w14:textId="6D87B338">
      <w:pPr>
        <w:rPr>
          <w:iCs/>
        </w:rPr>
      </w:pPr>
    </w:p>
    <w:p w:rsidR="0095067D" w:rsidP="00E55F55" w:rsidRDefault="0095067D" w14:paraId="09F34C4E" w14:textId="0332D11A">
      <w:pPr>
        <w:rPr>
          <w:iCs/>
        </w:rPr>
      </w:pPr>
      <w:r>
        <w:rPr>
          <w:iCs/>
        </w:rPr>
        <w:t>The increase in burden is due to the changes made by the proposed rule.</w:t>
      </w:r>
    </w:p>
    <w:p w:rsidRPr="00D05FE4" w:rsidR="00D05FE4" w:rsidP="00E55F55" w:rsidRDefault="00D05FE4" w14:paraId="5B632F50" w14:textId="77777777">
      <w:pPr>
        <w:rPr>
          <w:iCs/>
        </w:rPr>
      </w:pPr>
    </w:p>
    <w:p w:rsidRPr="00E71711" w:rsidR="00811CB2" w:rsidP="00E55F55" w:rsidRDefault="00811CB2" w14:paraId="071B010F" w14:textId="77777777">
      <w:pPr>
        <w:rPr>
          <w:b/>
          <w:i/>
        </w:rPr>
      </w:pPr>
      <w:r w:rsidRPr="00E71711">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Pr="00E71711" w:rsidR="00811CB2" w:rsidP="00E55F55" w:rsidRDefault="00811CB2" w14:paraId="32044CA1" w14:textId="77777777">
      <w:pPr>
        <w:rPr>
          <w:b/>
          <w:i/>
        </w:rPr>
      </w:pPr>
    </w:p>
    <w:p w:rsidR="00811CB2" w:rsidP="00E55F55" w:rsidRDefault="00215514" w14:paraId="69FC8E75" w14:textId="77777777">
      <w:pPr>
        <w:ind w:firstLine="720"/>
      </w:pPr>
      <w:r>
        <w:t>Not applicable.</w:t>
      </w:r>
    </w:p>
    <w:p w:rsidR="00B45715" w:rsidP="00E55F55" w:rsidRDefault="00B45715" w14:paraId="18F213C5" w14:textId="77777777">
      <w:pPr>
        <w:rPr>
          <w:b/>
          <w:bCs/>
          <w:i/>
        </w:rPr>
      </w:pPr>
    </w:p>
    <w:p w:rsidRPr="00E71711" w:rsidR="00811CB2" w:rsidP="00E55F55" w:rsidRDefault="00811CB2" w14:paraId="19ED2A4F" w14:textId="77777777">
      <w:pPr>
        <w:rPr>
          <w:b/>
          <w:bCs/>
          <w:i/>
        </w:rPr>
      </w:pPr>
      <w:r w:rsidRPr="00E71711">
        <w:rPr>
          <w:b/>
          <w:bCs/>
          <w:i/>
        </w:rPr>
        <w:lastRenderedPageBreak/>
        <w:t>17.  Display of expiration date</w:t>
      </w:r>
      <w:r w:rsidRPr="00E71711" w:rsidR="00A75944">
        <w:rPr>
          <w:b/>
          <w:bCs/>
          <w:i/>
        </w:rPr>
        <w:t>:</w:t>
      </w:r>
    </w:p>
    <w:p w:rsidR="00811CB2" w:rsidP="00E55F55" w:rsidRDefault="00811CB2" w14:paraId="3A7CE5F3" w14:textId="77777777"/>
    <w:p w:rsidR="00811CB2" w:rsidP="00E55F55" w:rsidRDefault="00811CB2" w14:paraId="648E7F88" w14:textId="77777777">
      <w:pPr>
        <w:ind w:firstLine="720"/>
      </w:pPr>
      <w:r>
        <w:t>Not applicable.  The information collections are contained in regulations.</w:t>
      </w:r>
    </w:p>
    <w:p w:rsidR="00DF26C9" w:rsidP="00E55F55" w:rsidRDefault="00DF26C9" w14:paraId="49BF5F98" w14:textId="77777777">
      <w:pPr>
        <w:rPr>
          <w:bCs/>
        </w:rPr>
      </w:pPr>
    </w:p>
    <w:p w:rsidRPr="00E71711" w:rsidR="00811CB2" w:rsidP="00E55F55" w:rsidRDefault="00811CB2" w14:paraId="4DC3263B" w14:textId="77777777">
      <w:pPr>
        <w:rPr>
          <w:b/>
          <w:bCs/>
          <w:i/>
        </w:rPr>
      </w:pPr>
      <w:r w:rsidRPr="00E71711">
        <w:rPr>
          <w:b/>
          <w:bCs/>
          <w:i/>
        </w:rPr>
        <w:t>18.  Exceptions to certification statement</w:t>
      </w:r>
      <w:r w:rsidRPr="00E71711" w:rsidR="00A75944">
        <w:rPr>
          <w:b/>
          <w:bCs/>
          <w:i/>
        </w:rPr>
        <w:t>:</w:t>
      </w:r>
    </w:p>
    <w:p w:rsidR="00811CB2" w:rsidP="00E55F55" w:rsidRDefault="00811CB2" w14:paraId="529E815F" w14:textId="77777777"/>
    <w:p w:rsidR="00811CB2" w:rsidP="00E55F55" w:rsidRDefault="00811CB2" w14:paraId="25D5EE7B" w14:textId="77777777">
      <w:pPr>
        <w:ind w:firstLine="720"/>
      </w:pPr>
      <w:r>
        <w:t>Not applicable.</w:t>
      </w:r>
    </w:p>
    <w:p w:rsidR="00811CB2" w:rsidP="00E55F55" w:rsidRDefault="00811CB2" w14:paraId="1B2ABDC7" w14:textId="77777777">
      <w:pPr>
        <w:rPr>
          <w:b/>
        </w:rPr>
      </w:pPr>
    </w:p>
    <w:p w:rsidRPr="00E71711" w:rsidR="00811CB2" w:rsidP="00E55F55" w:rsidRDefault="00811CB2" w14:paraId="51BF2DA5" w14:textId="77777777">
      <w:pPr>
        <w:pStyle w:val="Heading2"/>
        <w:spacing w:before="0" w:after="0"/>
        <w:rPr>
          <w:bCs/>
        </w:rPr>
      </w:pPr>
      <w:r w:rsidRPr="00E71711">
        <w:rPr>
          <w:bCs/>
        </w:rPr>
        <w:t>B.  Collections of information employing statistical methods</w:t>
      </w:r>
    </w:p>
    <w:p w:rsidR="00811CB2" w:rsidP="00E55F55" w:rsidRDefault="00811CB2" w14:paraId="2E46EF2E" w14:textId="77777777"/>
    <w:p w:rsidR="00811CB2" w:rsidP="00E55F55" w:rsidRDefault="00811CB2" w14:paraId="72528230" w14:textId="77777777">
      <w:pPr>
        <w:ind w:firstLine="720"/>
      </w:pPr>
      <w:r>
        <w:t>Not applicable.</w:t>
      </w:r>
    </w:p>
    <w:p w:rsidR="00811CB2" w:rsidP="00E55F55" w:rsidRDefault="00811CB2" w14:paraId="62595A68" w14:textId="77777777"/>
    <w:sectPr w:rsidR="00811CB2" w:rsidSect="00F426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8215" w14:textId="77777777" w:rsidR="001F45F1" w:rsidRDefault="001F45F1">
      <w:r>
        <w:separator/>
      </w:r>
    </w:p>
  </w:endnote>
  <w:endnote w:type="continuationSeparator" w:id="0">
    <w:p w14:paraId="29932902" w14:textId="77777777" w:rsidR="001F45F1" w:rsidRDefault="001F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F91E"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4A9D8" w14:textId="77777777" w:rsidR="00737C90" w:rsidRDefault="0073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7DB7"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2C">
      <w:rPr>
        <w:rStyle w:val="PageNumber"/>
        <w:noProof/>
      </w:rPr>
      <w:t>2</w:t>
    </w:r>
    <w:r>
      <w:rPr>
        <w:rStyle w:val="PageNumber"/>
      </w:rPr>
      <w:fldChar w:fldCharType="end"/>
    </w:r>
  </w:p>
  <w:p w14:paraId="7FB0B709" w14:textId="77777777" w:rsidR="00737C90" w:rsidRDefault="00737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7F8A" w14:textId="77777777" w:rsidR="003A1BCE" w:rsidRDefault="003A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83C5" w14:textId="77777777" w:rsidR="001F45F1" w:rsidRDefault="001F45F1">
      <w:r>
        <w:separator/>
      </w:r>
    </w:p>
  </w:footnote>
  <w:footnote w:type="continuationSeparator" w:id="0">
    <w:p w14:paraId="02C18037" w14:textId="77777777" w:rsidR="001F45F1" w:rsidRDefault="001F45F1">
      <w:r>
        <w:continuationSeparator/>
      </w:r>
    </w:p>
  </w:footnote>
  <w:footnote w:id="1">
    <w:p w14:paraId="13444AFB" w14:textId="12215B9A" w:rsidR="000421C3" w:rsidRDefault="000421C3">
      <w:pPr>
        <w:pStyle w:val="FootnoteText"/>
      </w:pPr>
      <w:r>
        <w:rPr>
          <w:rStyle w:val="FootnoteReference"/>
        </w:rPr>
        <w:footnoteRef/>
      </w:r>
      <w:r>
        <w:t xml:space="preserve"> 12 U.S.C. 2901(a).</w:t>
      </w:r>
    </w:p>
  </w:footnote>
  <w:footnote w:id="2">
    <w:p w14:paraId="4275B7C0" w14:textId="7E39F2E5" w:rsidR="000421C3" w:rsidRDefault="000421C3">
      <w:pPr>
        <w:pStyle w:val="FootnoteText"/>
      </w:pPr>
      <w:r>
        <w:rPr>
          <w:rStyle w:val="FootnoteReference"/>
        </w:rPr>
        <w:footnoteRef/>
      </w:r>
      <w:r>
        <w:t xml:space="preserve"> 12 U.S.C. 2903(a)(1).</w:t>
      </w:r>
    </w:p>
  </w:footnote>
  <w:footnote w:id="3">
    <w:p w14:paraId="569810ED" w14:textId="49B751C1" w:rsidR="000421C3" w:rsidRDefault="000421C3">
      <w:pPr>
        <w:pStyle w:val="FootnoteText"/>
      </w:pPr>
      <w:r>
        <w:rPr>
          <w:rStyle w:val="FootnoteReference"/>
        </w:rPr>
        <w:footnoteRef/>
      </w:r>
      <w:r>
        <w:t xml:space="preserve"> 12 U.S.C. 2906(a).</w:t>
      </w:r>
    </w:p>
  </w:footnote>
  <w:footnote w:id="4">
    <w:p w14:paraId="45415D10" w14:textId="66719B0A" w:rsidR="000421C3" w:rsidRDefault="000421C3">
      <w:pPr>
        <w:pStyle w:val="FootnoteText"/>
      </w:pPr>
      <w:r>
        <w:rPr>
          <w:rStyle w:val="FootnoteReference"/>
        </w:rPr>
        <w:footnoteRef/>
      </w:r>
      <w:r>
        <w:t xml:space="preserve"> 12 U.S.C. 2906(b).</w:t>
      </w:r>
    </w:p>
  </w:footnote>
  <w:footnote w:id="5">
    <w:p w14:paraId="785861D7" w14:textId="4FD10E9B" w:rsidR="000421C3" w:rsidRDefault="000421C3">
      <w:pPr>
        <w:pStyle w:val="FootnoteText"/>
      </w:pPr>
      <w:r>
        <w:rPr>
          <w:rStyle w:val="FootnoteReference"/>
        </w:rPr>
        <w:footnoteRef/>
      </w:r>
      <w:r>
        <w:t xml:space="preserve"> 12 U.S.C. 2903(a)(2).</w:t>
      </w:r>
    </w:p>
  </w:footnote>
  <w:footnote w:id="6">
    <w:p w14:paraId="632695FD" w14:textId="140FE190" w:rsidR="000421C3" w:rsidRDefault="000421C3">
      <w:pPr>
        <w:pStyle w:val="FootnoteText"/>
      </w:pPr>
      <w:r>
        <w:rPr>
          <w:rStyle w:val="FootnoteReference"/>
        </w:rPr>
        <w:footnoteRef/>
      </w:r>
      <w:r>
        <w:t xml:space="preserve"> 12 U.S.C. 2901 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91DD" w14:textId="77777777" w:rsidR="003A1BCE" w:rsidRDefault="003A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47A9" w14:textId="77777777" w:rsidR="003A1BCE" w:rsidRDefault="003A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5912" w14:textId="77777777" w:rsidR="003A1BCE" w:rsidRDefault="003A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7A2"/>
    <w:multiLevelType w:val="hybridMultilevel"/>
    <w:tmpl w:val="F78E8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D25DE"/>
    <w:multiLevelType w:val="hybridMultilevel"/>
    <w:tmpl w:val="C978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AEE7401"/>
    <w:multiLevelType w:val="hybridMultilevel"/>
    <w:tmpl w:val="421A5DDA"/>
    <w:lvl w:ilvl="0" w:tplc="55F2872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A5418"/>
    <w:multiLevelType w:val="hybridMultilevel"/>
    <w:tmpl w:val="DD5494C4"/>
    <w:lvl w:ilvl="0" w:tplc="1F7C386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642104A"/>
    <w:multiLevelType w:val="hybridMultilevel"/>
    <w:tmpl w:val="B36841C8"/>
    <w:lvl w:ilvl="0" w:tplc="1C543AD0">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24867"/>
    <w:multiLevelType w:val="hybridMultilevel"/>
    <w:tmpl w:val="1B4EF41C"/>
    <w:lvl w:ilvl="0" w:tplc="448C43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1E7CF5"/>
    <w:multiLevelType w:val="hybridMultilevel"/>
    <w:tmpl w:val="4A169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4430C9"/>
    <w:multiLevelType w:val="hybridMultilevel"/>
    <w:tmpl w:val="D6506BE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FE4247"/>
    <w:multiLevelType w:val="hybridMultilevel"/>
    <w:tmpl w:val="BC964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FB4B4B"/>
    <w:multiLevelType w:val="hybridMultilevel"/>
    <w:tmpl w:val="D24437F0"/>
    <w:lvl w:ilvl="0" w:tplc="4284213E">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2C6128"/>
    <w:multiLevelType w:val="hybridMultilevel"/>
    <w:tmpl w:val="93246158"/>
    <w:lvl w:ilvl="0" w:tplc="49BAF196">
      <w:start w:val="16"/>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5516C6"/>
    <w:multiLevelType w:val="hybridMultilevel"/>
    <w:tmpl w:val="C242DB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776B60"/>
    <w:multiLevelType w:val="hybridMultilevel"/>
    <w:tmpl w:val="2A58CE42"/>
    <w:lvl w:ilvl="0" w:tplc="95E4E036">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F341D3"/>
    <w:multiLevelType w:val="hybridMultilevel"/>
    <w:tmpl w:val="271E0BD8"/>
    <w:lvl w:ilvl="0" w:tplc="6D38874E">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1D1611"/>
    <w:multiLevelType w:val="hybridMultilevel"/>
    <w:tmpl w:val="7F742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8C6B59"/>
    <w:multiLevelType w:val="hybridMultilevel"/>
    <w:tmpl w:val="E1FE6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1F6FC7"/>
    <w:multiLevelType w:val="hybridMultilevel"/>
    <w:tmpl w:val="00505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B7A70"/>
    <w:multiLevelType w:val="hybridMultilevel"/>
    <w:tmpl w:val="2840901C"/>
    <w:lvl w:ilvl="0" w:tplc="0C0EB332">
      <w:start w:val="14"/>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A4604E"/>
    <w:multiLevelType w:val="hybridMultilevel"/>
    <w:tmpl w:val="BBAC4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BA4AA8"/>
    <w:multiLevelType w:val="hybridMultilevel"/>
    <w:tmpl w:val="94F4E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5E0D29"/>
    <w:multiLevelType w:val="hybridMultilevel"/>
    <w:tmpl w:val="91C26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2654E7"/>
    <w:multiLevelType w:val="hybridMultilevel"/>
    <w:tmpl w:val="D9424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A57ABA"/>
    <w:multiLevelType w:val="hybridMultilevel"/>
    <w:tmpl w:val="1FC08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930DA7"/>
    <w:multiLevelType w:val="hybridMultilevel"/>
    <w:tmpl w:val="E2067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E9734DD"/>
    <w:multiLevelType w:val="hybridMultilevel"/>
    <w:tmpl w:val="DBA28F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14"/>
  </w:num>
  <w:num w:numId="4">
    <w:abstractNumId w:val="1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14"/>
  </w:num>
  <w:num w:numId="14">
    <w:abstractNumId w:val="14"/>
  </w:num>
  <w:num w:numId="15">
    <w:abstractNumId w:val="14"/>
  </w:num>
  <w:num w:numId="16">
    <w:abstractNumId w:val="14"/>
  </w:num>
  <w:num w:numId="17">
    <w:abstractNumId w:val="28"/>
  </w:num>
  <w:num w:numId="18">
    <w:abstractNumId w:val="23"/>
  </w:num>
  <w:num w:numId="19">
    <w:abstractNumId w:val="3"/>
  </w:num>
  <w:num w:numId="20">
    <w:abstractNumId w:val="18"/>
  </w:num>
  <w:num w:numId="21">
    <w:abstractNumId w:val="8"/>
  </w:num>
  <w:num w:numId="22">
    <w:abstractNumId w:val="17"/>
  </w:num>
  <w:num w:numId="23">
    <w:abstractNumId w:val="24"/>
  </w:num>
  <w:num w:numId="24">
    <w:abstractNumId w:val="0"/>
  </w:num>
  <w:num w:numId="25">
    <w:abstractNumId w:val="26"/>
  </w:num>
  <w:num w:numId="26">
    <w:abstractNumId w:val="19"/>
  </w:num>
  <w:num w:numId="27">
    <w:abstractNumId w:val="25"/>
  </w:num>
  <w:num w:numId="28">
    <w:abstractNumId w:val="22"/>
  </w:num>
  <w:num w:numId="29">
    <w:abstractNumId w:val="13"/>
  </w:num>
  <w:num w:numId="30">
    <w:abstractNumId w:val="1"/>
  </w:num>
  <w:num w:numId="31">
    <w:abstractNumId w:val="10"/>
  </w:num>
  <w:num w:numId="32">
    <w:abstractNumId w:val="20"/>
  </w:num>
  <w:num w:numId="33">
    <w:abstractNumId w:val="6"/>
  </w:num>
  <w:num w:numId="34">
    <w:abstractNumId w:val="7"/>
  </w:num>
  <w:num w:numId="35">
    <w:abstractNumId w:val="12"/>
  </w:num>
  <w:num w:numId="36">
    <w:abstractNumId w:val="4"/>
  </w:num>
  <w:num w:numId="37">
    <w:abstractNumId w:val="16"/>
  </w:num>
  <w:num w:numId="38">
    <w:abstractNumId w:val="9"/>
  </w:num>
  <w:num w:numId="39">
    <w:abstractNumId w:val="15"/>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10170"/>
    <w:rsid w:val="00010A7C"/>
    <w:rsid w:val="00011B4C"/>
    <w:rsid w:val="00012BA3"/>
    <w:rsid w:val="00026CBC"/>
    <w:rsid w:val="000421C3"/>
    <w:rsid w:val="00045215"/>
    <w:rsid w:val="00067517"/>
    <w:rsid w:val="00076F67"/>
    <w:rsid w:val="00080467"/>
    <w:rsid w:val="0008688E"/>
    <w:rsid w:val="00087A0E"/>
    <w:rsid w:val="000A0516"/>
    <w:rsid w:val="000A0F04"/>
    <w:rsid w:val="000A3413"/>
    <w:rsid w:val="000B732C"/>
    <w:rsid w:val="000C2247"/>
    <w:rsid w:val="000C7BCB"/>
    <w:rsid w:val="000E1E34"/>
    <w:rsid w:val="000E6DD2"/>
    <w:rsid w:val="000F1D63"/>
    <w:rsid w:val="001015A0"/>
    <w:rsid w:val="001070C0"/>
    <w:rsid w:val="00162689"/>
    <w:rsid w:val="00163D6D"/>
    <w:rsid w:val="001728A0"/>
    <w:rsid w:val="00177B20"/>
    <w:rsid w:val="00186ED6"/>
    <w:rsid w:val="00195417"/>
    <w:rsid w:val="00196FCE"/>
    <w:rsid w:val="001A60D1"/>
    <w:rsid w:val="001B0520"/>
    <w:rsid w:val="001B6B27"/>
    <w:rsid w:val="001D2642"/>
    <w:rsid w:val="001F45F1"/>
    <w:rsid w:val="00207064"/>
    <w:rsid w:val="002070C4"/>
    <w:rsid w:val="00215514"/>
    <w:rsid w:val="00215C3B"/>
    <w:rsid w:val="0023236B"/>
    <w:rsid w:val="00232BF7"/>
    <w:rsid w:val="00234B76"/>
    <w:rsid w:val="00241945"/>
    <w:rsid w:val="002428DA"/>
    <w:rsid w:val="00242DAA"/>
    <w:rsid w:val="002523CF"/>
    <w:rsid w:val="00252D5C"/>
    <w:rsid w:val="00255A58"/>
    <w:rsid w:val="00256DBC"/>
    <w:rsid w:val="00260007"/>
    <w:rsid w:val="00265289"/>
    <w:rsid w:val="00271F7B"/>
    <w:rsid w:val="00277C4B"/>
    <w:rsid w:val="00277FC8"/>
    <w:rsid w:val="0028071B"/>
    <w:rsid w:val="0029337C"/>
    <w:rsid w:val="00295C66"/>
    <w:rsid w:val="002A5D68"/>
    <w:rsid w:val="002D38C1"/>
    <w:rsid w:val="002D535F"/>
    <w:rsid w:val="002E1265"/>
    <w:rsid w:val="0030176C"/>
    <w:rsid w:val="00302FD2"/>
    <w:rsid w:val="00321633"/>
    <w:rsid w:val="00323778"/>
    <w:rsid w:val="00330853"/>
    <w:rsid w:val="00330C62"/>
    <w:rsid w:val="00333EA8"/>
    <w:rsid w:val="003374E8"/>
    <w:rsid w:val="00340FDE"/>
    <w:rsid w:val="00356632"/>
    <w:rsid w:val="00357531"/>
    <w:rsid w:val="00384071"/>
    <w:rsid w:val="00385C21"/>
    <w:rsid w:val="0039300C"/>
    <w:rsid w:val="003962BD"/>
    <w:rsid w:val="003A1BCE"/>
    <w:rsid w:val="003A79C4"/>
    <w:rsid w:val="003B20D4"/>
    <w:rsid w:val="003B3DD2"/>
    <w:rsid w:val="003C0D59"/>
    <w:rsid w:val="003C6231"/>
    <w:rsid w:val="003F6C34"/>
    <w:rsid w:val="00410B9C"/>
    <w:rsid w:val="00425D79"/>
    <w:rsid w:val="00470128"/>
    <w:rsid w:val="00473E94"/>
    <w:rsid w:val="00475F55"/>
    <w:rsid w:val="00486AF8"/>
    <w:rsid w:val="004A4142"/>
    <w:rsid w:val="004B0FDE"/>
    <w:rsid w:val="004B62D0"/>
    <w:rsid w:val="004D755F"/>
    <w:rsid w:val="004E041F"/>
    <w:rsid w:val="004E0DF1"/>
    <w:rsid w:val="004E658D"/>
    <w:rsid w:val="00501289"/>
    <w:rsid w:val="00516979"/>
    <w:rsid w:val="00540B3D"/>
    <w:rsid w:val="00552F7E"/>
    <w:rsid w:val="00554EAC"/>
    <w:rsid w:val="00561528"/>
    <w:rsid w:val="00582644"/>
    <w:rsid w:val="00582744"/>
    <w:rsid w:val="00591814"/>
    <w:rsid w:val="0059537D"/>
    <w:rsid w:val="005B4659"/>
    <w:rsid w:val="005B7602"/>
    <w:rsid w:val="005B77F4"/>
    <w:rsid w:val="005C2B31"/>
    <w:rsid w:val="005C45A6"/>
    <w:rsid w:val="005C63A7"/>
    <w:rsid w:val="005E46BC"/>
    <w:rsid w:val="005F77B3"/>
    <w:rsid w:val="00611219"/>
    <w:rsid w:val="006161F4"/>
    <w:rsid w:val="006263C0"/>
    <w:rsid w:val="006352BC"/>
    <w:rsid w:val="00637908"/>
    <w:rsid w:val="0065184B"/>
    <w:rsid w:val="00651AB5"/>
    <w:rsid w:val="00651F8C"/>
    <w:rsid w:val="006605A8"/>
    <w:rsid w:val="006B272C"/>
    <w:rsid w:val="006B4B47"/>
    <w:rsid w:val="006B58F7"/>
    <w:rsid w:val="006C2216"/>
    <w:rsid w:val="006C4BBD"/>
    <w:rsid w:val="006D68ED"/>
    <w:rsid w:val="006D69E9"/>
    <w:rsid w:val="006F706C"/>
    <w:rsid w:val="00704C1E"/>
    <w:rsid w:val="007130CA"/>
    <w:rsid w:val="00713508"/>
    <w:rsid w:val="0071417F"/>
    <w:rsid w:val="0071707D"/>
    <w:rsid w:val="00737C90"/>
    <w:rsid w:val="00773C16"/>
    <w:rsid w:val="007805CA"/>
    <w:rsid w:val="0079298D"/>
    <w:rsid w:val="007A0131"/>
    <w:rsid w:val="007B5931"/>
    <w:rsid w:val="007B7D67"/>
    <w:rsid w:val="007D7148"/>
    <w:rsid w:val="007E0192"/>
    <w:rsid w:val="007E1504"/>
    <w:rsid w:val="007E213B"/>
    <w:rsid w:val="007F49E8"/>
    <w:rsid w:val="00807E02"/>
    <w:rsid w:val="00811CB2"/>
    <w:rsid w:val="00813527"/>
    <w:rsid w:val="00830DA0"/>
    <w:rsid w:val="00850EDE"/>
    <w:rsid w:val="00851766"/>
    <w:rsid w:val="00863D7E"/>
    <w:rsid w:val="008706A6"/>
    <w:rsid w:val="00883C67"/>
    <w:rsid w:val="0088692C"/>
    <w:rsid w:val="008A1C1E"/>
    <w:rsid w:val="008A7ED2"/>
    <w:rsid w:val="008B4E17"/>
    <w:rsid w:val="008B50FF"/>
    <w:rsid w:val="008C4CC0"/>
    <w:rsid w:val="008D28D1"/>
    <w:rsid w:val="008D5BEA"/>
    <w:rsid w:val="008F029C"/>
    <w:rsid w:val="008F19B1"/>
    <w:rsid w:val="008F2BA1"/>
    <w:rsid w:val="0090108B"/>
    <w:rsid w:val="00902951"/>
    <w:rsid w:val="00910839"/>
    <w:rsid w:val="009146B7"/>
    <w:rsid w:val="0095067D"/>
    <w:rsid w:val="009507EC"/>
    <w:rsid w:val="00963371"/>
    <w:rsid w:val="00971E58"/>
    <w:rsid w:val="00974182"/>
    <w:rsid w:val="009861F5"/>
    <w:rsid w:val="009913B6"/>
    <w:rsid w:val="00994307"/>
    <w:rsid w:val="009B0C05"/>
    <w:rsid w:val="009B59E3"/>
    <w:rsid w:val="009D2C9D"/>
    <w:rsid w:val="009D4F9D"/>
    <w:rsid w:val="009F4A34"/>
    <w:rsid w:val="00A06C0F"/>
    <w:rsid w:val="00A06D94"/>
    <w:rsid w:val="00A131B2"/>
    <w:rsid w:val="00A22148"/>
    <w:rsid w:val="00A42F8D"/>
    <w:rsid w:val="00A431AA"/>
    <w:rsid w:val="00A62427"/>
    <w:rsid w:val="00A75944"/>
    <w:rsid w:val="00A87DF7"/>
    <w:rsid w:val="00A937EE"/>
    <w:rsid w:val="00A94CDC"/>
    <w:rsid w:val="00A975DD"/>
    <w:rsid w:val="00AA016C"/>
    <w:rsid w:val="00AA21A0"/>
    <w:rsid w:val="00AB45B2"/>
    <w:rsid w:val="00AC6F96"/>
    <w:rsid w:val="00AD02D9"/>
    <w:rsid w:val="00AD7DD3"/>
    <w:rsid w:val="00AE35FD"/>
    <w:rsid w:val="00AF2454"/>
    <w:rsid w:val="00AF3623"/>
    <w:rsid w:val="00B0603F"/>
    <w:rsid w:val="00B10E1C"/>
    <w:rsid w:val="00B15E1B"/>
    <w:rsid w:val="00B30DBB"/>
    <w:rsid w:val="00B374D6"/>
    <w:rsid w:val="00B417E6"/>
    <w:rsid w:val="00B45715"/>
    <w:rsid w:val="00B46A52"/>
    <w:rsid w:val="00B508BA"/>
    <w:rsid w:val="00B54923"/>
    <w:rsid w:val="00B827AC"/>
    <w:rsid w:val="00B870DB"/>
    <w:rsid w:val="00B94181"/>
    <w:rsid w:val="00B9636B"/>
    <w:rsid w:val="00BA0DC3"/>
    <w:rsid w:val="00BD486E"/>
    <w:rsid w:val="00BD4B9B"/>
    <w:rsid w:val="00BE2612"/>
    <w:rsid w:val="00BE66E0"/>
    <w:rsid w:val="00BE6F8A"/>
    <w:rsid w:val="00C065C8"/>
    <w:rsid w:val="00C17F51"/>
    <w:rsid w:val="00C20D04"/>
    <w:rsid w:val="00C22F4A"/>
    <w:rsid w:val="00C331EC"/>
    <w:rsid w:val="00C34B37"/>
    <w:rsid w:val="00C51AC4"/>
    <w:rsid w:val="00C70486"/>
    <w:rsid w:val="00C71967"/>
    <w:rsid w:val="00C7532D"/>
    <w:rsid w:val="00C8216E"/>
    <w:rsid w:val="00C8467A"/>
    <w:rsid w:val="00C92816"/>
    <w:rsid w:val="00C9453D"/>
    <w:rsid w:val="00C97111"/>
    <w:rsid w:val="00CA3154"/>
    <w:rsid w:val="00CA3262"/>
    <w:rsid w:val="00CC01A5"/>
    <w:rsid w:val="00CD4056"/>
    <w:rsid w:val="00CE2776"/>
    <w:rsid w:val="00CF7F1A"/>
    <w:rsid w:val="00D05FE4"/>
    <w:rsid w:val="00D14DBB"/>
    <w:rsid w:val="00D157B0"/>
    <w:rsid w:val="00D26881"/>
    <w:rsid w:val="00D33ED7"/>
    <w:rsid w:val="00D37EB3"/>
    <w:rsid w:val="00D47BD3"/>
    <w:rsid w:val="00D538D1"/>
    <w:rsid w:val="00D5778C"/>
    <w:rsid w:val="00D614B9"/>
    <w:rsid w:val="00D6397B"/>
    <w:rsid w:val="00D726E7"/>
    <w:rsid w:val="00D87DB4"/>
    <w:rsid w:val="00DA589A"/>
    <w:rsid w:val="00DB0772"/>
    <w:rsid w:val="00DC5578"/>
    <w:rsid w:val="00DF26C9"/>
    <w:rsid w:val="00DF2C59"/>
    <w:rsid w:val="00E15739"/>
    <w:rsid w:val="00E3270B"/>
    <w:rsid w:val="00E32E00"/>
    <w:rsid w:val="00E55F55"/>
    <w:rsid w:val="00E71711"/>
    <w:rsid w:val="00E8627C"/>
    <w:rsid w:val="00E976AA"/>
    <w:rsid w:val="00EA0A78"/>
    <w:rsid w:val="00EB4369"/>
    <w:rsid w:val="00EC3533"/>
    <w:rsid w:val="00EC6960"/>
    <w:rsid w:val="00EE209E"/>
    <w:rsid w:val="00F17C93"/>
    <w:rsid w:val="00F24564"/>
    <w:rsid w:val="00F327E9"/>
    <w:rsid w:val="00F37AA9"/>
    <w:rsid w:val="00F4260C"/>
    <w:rsid w:val="00F53692"/>
    <w:rsid w:val="00F5695B"/>
    <w:rsid w:val="00F62B37"/>
    <w:rsid w:val="00F73831"/>
    <w:rsid w:val="00F8429E"/>
    <w:rsid w:val="00F9559E"/>
    <w:rsid w:val="00FA51DB"/>
    <w:rsid w:val="00FC12D0"/>
    <w:rsid w:val="00FC1E26"/>
    <w:rsid w:val="00FC2759"/>
    <w:rsid w:val="00FD45BE"/>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20F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qFormat/>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3374E8"/>
    <w:pPr>
      <w:spacing w:after="160" w:line="254" w:lineRule="auto"/>
      <w:ind w:left="720"/>
      <w:contextualSpacing/>
    </w:pPr>
    <w:rPr>
      <w:rFonts w:ascii="Calibri" w:eastAsia="Calibri" w:hAnsi="Calibri"/>
      <w:sz w:val="22"/>
      <w:szCs w:val="22"/>
    </w:rPr>
  </w:style>
  <w:style w:type="character" w:styleId="CommentReference">
    <w:name w:val="annotation reference"/>
    <w:basedOn w:val="DefaultParagraphFont"/>
    <w:rsid w:val="00830DA0"/>
    <w:rPr>
      <w:sz w:val="16"/>
      <w:szCs w:val="16"/>
    </w:rPr>
  </w:style>
  <w:style w:type="paragraph" w:styleId="CommentText">
    <w:name w:val="annotation text"/>
    <w:basedOn w:val="Normal"/>
    <w:link w:val="CommentTextChar"/>
    <w:rsid w:val="00830DA0"/>
    <w:rPr>
      <w:sz w:val="20"/>
    </w:rPr>
  </w:style>
  <w:style w:type="character" w:customStyle="1" w:styleId="CommentTextChar">
    <w:name w:val="Comment Text Char"/>
    <w:basedOn w:val="DefaultParagraphFont"/>
    <w:link w:val="CommentText"/>
    <w:rsid w:val="00830DA0"/>
  </w:style>
  <w:style w:type="paragraph" w:styleId="CommentSubject">
    <w:name w:val="annotation subject"/>
    <w:basedOn w:val="CommentText"/>
    <w:next w:val="CommentText"/>
    <w:link w:val="CommentSubjectChar"/>
    <w:rsid w:val="00830DA0"/>
    <w:rPr>
      <w:b/>
      <w:bCs/>
    </w:rPr>
  </w:style>
  <w:style w:type="character" w:customStyle="1" w:styleId="CommentSubjectChar">
    <w:name w:val="Comment Subject Char"/>
    <w:basedOn w:val="CommentTextChar"/>
    <w:link w:val="CommentSubject"/>
    <w:rsid w:val="00830DA0"/>
    <w:rPr>
      <w:b/>
      <w:bCs/>
    </w:rPr>
  </w:style>
  <w:style w:type="paragraph" w:styleId="NoSpacing">
    <w:name w:val="No Spacing"/>
    <w:uiPriority w:val="1"/>
    <w:qFormat/>
    <w:rsid w:val="006161F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403">
      <w:bodyDiv w:val="1"/>
      <w:marLeft w:val="0"/>
      <w:marRight w:val="0"/>
      <w:marTop w:val="0"/>
      <w:marBottom w:val="0"/>
      <w:divBdr>
        <w:top w:val="none" w:sz="0" w:space="0" w:color="auto"/>
        <w:left w:val="none" w:sz="0" w:space="0" w:color="auto"/>
        <w:bottom w:val="none" w:sz="0" w:space="0" w:color="auto"/>
        <w:right w:val="none" w:sz="0" w:space="0" w:color="auto"/>
      </w:divBdr>
    </w:div>
    <w:div w:id="405566775">
      <w:bodyDiv w:val="1"/>
      <w:marLeft w:val="0"/>
      <w:marRight w:val="0"/>
      <w:marTop w:val="0"/>
      <w:marBottom w:val="0"/>
      <w:divBdr>
        <w:top w:val="none" w:sz="0" w:space="0" w:color="auto"/>
        <w:left w:val="none" w:sz="0" w:space="0" w:color="auto"/>
        <w:bottom w:val="none" w:sz="0" w:space="0" w:color="auto"/>
        <w:right w:val="none" w:sz="0" w:space="0" w:color="auto"/>
      </w:divBdr>
    </w:div>
    <w:div w:id="433945410">
      <w:bodyDiv w:val="1"/>
      <w:marLeft w:val="0"/>
      <w:marRight w:val="0"/>
      <w:marTop w:val="0"/>
      <w:marBottom w:val="0"/>
      <w:divBdr>
        <w:top w:val="none" w:sz="0" w:space="0" w:color="auto"/>
        <w:left w:val="none" w:sz="0" w:space="0" w:color="auto"/>
        <w:bottom w:val="none" w:sz="0" w:space="0" w:color="auto"/>
        <w:right w:val="none" w:sz="0" w:space="0" w:color="auto"/>
      </w:divBdr>
    </w:div>
    <w:div w:id="579875312">
      <w:bodyDiv w:val="1"/>
      <w:marLeft w:val="0"/>
      <w:marRight w:val="0"/>
      <w:marTop w:val="0"/>
      <w:marBottom w:val="0"/>
      <w:divBdr>
        <w:top w:val="none" w:sz="0" w:space="0" w:color="auto"/>
        <w:left w:val="none" w:sz="0" w:space="0" w:color="auto"/>
        <w:bottom w:val="none" w:sz="0" w:space="0" w:color="auto"/>
        <w:right w:val="none" w:sz="0" w:space="0" w:color="auto"/>
      </w:divBdr>
    </w:div>
    <w:div w:id="759836466">
      <w:bodyDiv w:val="1"/>
      <w:marLeft w:val="0"/>
      <w:marRight w:val="0"/>
      <w:marTop w:val="0"/>
      <w:marBottom w:val="0"/>
      <w:divBdr>
        <w:top w:val="none" w:sz="0" w:space="0" w:color="auto"/>
        <w:left w:val="none" w:sz="0" w:space="0" w:color="auto"/>
        <w:bottom w:val="none" w:sz="0" w:space="0" w:color="auto"/>
        <w:right w:val="none" w:sz="0" w:space="0" w:color="auto"/>
      </w:divBdr>
    </w:div>
    <w:div w:id="962275265">
      <w:bodyDiv w:val="1"/>
      <w:marLeft w:val="0"/>
      <w:marRight w:val="0"/>
      <w:marTop w:val="0"/>
      <w:marBottom w:val="0"/>
      <w:divBdr>
        <w:top w:val="none" w:sz="0" w:space="0" w:color="auto"/>
        <w:left w:val="none" w:sz="0" w:space="0" w:color="auto"/>
        <w:bottom w:val="none" w:sz="0" w:space="0" w:color="auto"/>
        <w:right w:val="none" w:sz="0" w:space="0" w:color="auto"/>
      </w:divBdr>
    </w:div>
    <w:div w:id="1167675320">
      <w:bodyDiv w:val="1"/>
      <w:marLeft w:val="0"/>
      <w:marRight w:val="0"/>
      <w:marTop w:val="0"/>
      <w:marBottom w:val="0"/>
      <w:divBdr>
        <w:top w:val="none" w:sz="0" w:space="0" w:color="auto"/>
        <w:left w:val="none" w:sz="0" w:space="0" w:color="auto"/>
        <w:bottom w:val="none" w:sz="0" w:space="0" w:color="auto"/>
        <w:right w:val="none" w:sz="0" w:space="0" w:color="auto"/>
      </w:divBdr>
    </w:div>
    <w:div w:id="18785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688D-0CE1-4202-9625-13AD2CF8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2908</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19094</CharactersWithSpaces>
  <SharedDoc>false</SharedDoc>
  <HLinks>
    <vt:vector size="6" baseType="variant">
      <vt:variant>
        <vt:i4>5636114</vt:i4>
      </vt:variant>
      <vt:variant>
        <vt:i4>0</vt:i4>
      </vt:variant>
      <vt:variant>
        <vt:i4>0</vt:i4>
      </vt:variant>
      <vt:variant>
        <vt:i4>5</vt:i4>
      </vt:variant>
      <vt:variant>
        <vt:lpwstr>http://www.ffiec.gov/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2022-06-03T18:22:00Z</dcterms:created>
  <dcterms:modified xsi:type="dcterms:W3CDTF">2022-06-03T18:23:00Z</dcterms:modified>
</cp:coreProperties>
</file>