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0FEE" w:rsidR="00CB2DCA" w:rsidRDefault="00CB2DCA" w14:paraId="3649F887" w14:textId="77777777">
      <w:pPr>
        <w:tabs>
          <w:tab w:val="center" w:pos="4824"/>
        </w:tabs>
        <w:rPr>
          <w:rFonts w:ascii="Arial" w:hAnsi="Arial"/>
          <w:b/>
          <w:szCs w:val="24"/>
        </w:rPr>
      </w:pPr>
      <w:r>
        <w:rPr>
          <w:rFonts w:ascii="Arial" w:hAnsi="Arial"/>
        </w:rPr>
        <w:tab/>
      </w:r>
      <w:r w:rsidRPr="006B0FEE">
        <w:rPr>
          <w:rFonts w:ascii="Arial" w:hAnsi="Arial"/>
          <w:b/>
          <w:szCs w:val="24"/>
        </w:rPr>
        <w:t>SUPPORTING STATEMENT</w:t>
      </w:r>
    </w:p>
    <w:p w:rsidR="00CB2DCA" w:rsidRDefault="00CB2DCA" w14:paraId="4ED03426" w14:textId="7AED6845">
      <w:pPr>
        <w:tabs>
          <w:tab w:val="center" w:pos="4824"/>
        </w:tabs>
        <w:rPr>
          <w:rFonts w:ascii="Arial" w:hAnsi="Arial"/>
          <w:b/>
          <w:sz w:val="28"/>
        </w:rPr>
      </w:pPr>
      <w:r w:rsidRPr="006B0FEE">
        <w:rPr>
          <w:rFonts w:ascii="Arial" w:hAnsi="Arial"/>
          <w:b/>
          <w:szCs w:val="24"/>
        </w:rPr>
        <w:tab/>
      </w:r>
      <w:r w:rsidR="006A2918">
        <w:rPr>
          <w:rFonts w:ascii="Arial" w:hAnsi="Arial"/>
          <w:b/>
          <w:szCs w:val="24"/>
        </w:rPr>
        <w:t xml:space="preserve"> </w:t>
      </w:r>
      <w:r w:rsidR="004C3D79">
        <w:rPr>
          <w:rFonts w:ascii="Arial" w:hAnsi="Arial"/>
          <w:b/>
          <w:szCs w:val="24"/>
        </w:rPr>
        <w:t xml:space="preserve">INSULAR POSSESSION </w:t>
      </w:r>
      <w:r w:rsidRPr="006B0FEE">
        <w:rPr>
          <w:rFonts w:ascii="Arial" w:hAnsi="Arial"/>
          <w:b/>
          <w:szCs w:val="24"/>
        </w:rPr>
        <w:t>CERTIFICATE OF ORIGIN</w:t>
      </w:r>
    </w:p>
    <w:p w:rsidR="00CB2DCA" w:rsidRDefault="00CB2DCA" w14:paraId="246D7F3B" w14:textId="77777777">
      <w:pPr>
        <w:tabs>
          <w:tab w:val="center" w:pos="4824"/>
        </w:tabs>
        <w:rPr>
          <w:rFonts w:ascii="Arial" w:hAnsi="Arial"/>
          <w:b/>
          <w:sz w:val="28"/>
        </w:rPr>
      </w:pPr>
      <w:r>
        <w:rPr>
          <w:rFonts w:ascii="Arial" w:hAnsi="Arial"/>
          <w:b/>
          <w:sz w:val="28"/>
        </w:rPr>
        <w:tab/>
        <w:t>1651-0016</w:t>
      </w:r>
    </w:p>
    <w:p w:rsidR="00CB2DCA" w:rsidRDefault="00CB2DCA" w14:paraId="17B6C3B7" w14:textId="77777777">
      <w:pPr>
        <w:rPr>
          <w:rFonts w:ascii="Arial" w:hAnsi="Arial"/>
          <w:b/>
        </w:rPr>
      </w:pPr>
    </w:p>
    <w:p w:rsidR="00503FC1" w:rsidRDefault="00503FC1" w14:paraId="597F0FAE" w14:textId="77777777">
      <w:pPr>
        <w:rPr>
          <w:rFonts w:ascii="Arial" w:hAnsi="Arial"/>
          <w:b/>
        </w:rPr>
      </w:pPr>
    </w:p>
    <w:p w:rsidR="00503FC1" w:rsidP="003F2A58" w:rsidRDefault="00503FC1" w14:paraId="7A897BFF" w14:textId="77777777">
      <w:pPr>
        <w:ind w:left="720" w:hanging="360"/>
        <w:jc w:val="both"/>
        <w:rPr>
          <w:rFonts w:ascii="Arial" w:hAnsi="Arial" w:cs="Arial"/>
          <w:b/>
          <w:bCs/>
        </w:rPr>
      </w:pPr>
      <w:r>
        <w:rPr>
          <w:rFonts w:ascii="Arial" w:hAnsi="Arial" w:cs="Arial"/>
          <w:b/>
          <w:bCs/>
        </w:rPr>
        <w:t>1.</w:t>
      </w:r>
      <w:r>
        <w:rPr>
          <w:rFonts w:ascii="Arial" w:hAnsi="Arial" w:cs="Arial"/>
          <w:b/>
          <w:bCs/>
        </w:rPr>
        <w:tab/>
      </w:r>
      <w:r w:rsidRPr="000A6BA7">
        <w:rPr>
          <w:rFonts w:ascii="Arial" w:hAnsi="Arial" w:cs="Arial"/>
          <w:b/>
          <w:bCs/>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503FC1" w:rsidP="003F2A58" w:rsidRDefault="00503FC1" w14:paraId="0766D429" w14:textId="77777777">
      <w:pPr>
        <w:ind w:right="720"/>
        <w:jc w:val="both"/>
        <w:rPr>
          <w:rFonts w:ascii="Arial" w:hAnsi="Arial"/>
        </w:rPr>
      </w:pPr>
    </w:p>
    <w:p w:rsidR="00D42641" w:rsidP="003F1E15" w:rsidRDefault="007E5846" w14:paraId="0EE5D960" w14:textId="0ED71A49">
      <w:pPr>
        <w:tabs>
          <w:tab w:val="left" w:pos="-1440"/>
        </w:tabs>
        <w:ind w:left="720" w:right="108" w:hanging="720"/>
        <w:jc w:val="both"/>
        <w:rPr>
          <w:rFonts w:ascii="Arial" w:hAnsi="Arial"/>
        </w:rPr>
      </w:pPr>
      <w:r>
        <w:rPr>
          <w:rFonts w:ascii="Arial" w:hAnsi="Arial"/>
        </w:rPr>
        <w:tab/>
      </w:r>
      <w:r w:rsidRPr="00B80939">
        <w:rPr>
          <w:rFonts w:ascii="Arial" w:hAnsi="Arial"/>
        </w:rPr>
        <w:t>CBP Form</w:t>
      </w:r>
      <w:r w:rsidRPr="00B80939" w:rsidR="000A1B5E">
        <w:rPr>
          <w:rFonts w:ascii="Arial" w:hAnsi="Arial"/>
        </w:rPr>
        <w:t xml:space="preserve"> </w:t>
      </w:r>
      <w:r w:rsidRPr="00B80939">
        <w:rPr>
          <w:rFonts w:ascii="Arial" w:hAnsi="Arial"/>
        </w:rPr>
        <w:t xml:space="preserve">3229, </w:t>
      </w:r>
      <w:r w:rsidR="008F5DD9">
        <w:rPr>
          <w:rFonts w:ascii="Arial" w:hAnsi="Arial"/>
        </w:rPr>
        <w:t xml:space="preserve">Insular Possession </w:t>
      </w:r>
      <w:r w:rsidRPr="00B80939">
        <w:rPr>
          <w:rFonts w:ascii="Arial" w:hAnsi="Arial"/>
        </w:rPr>
        <w:t>Certificate of Origin, is used</w:t>
      </w:r>
      <w:r w:rsidRPr="00B80939" w:rsidR="00D42641">
        <w:rPr>
          <w:rFonts w:ascii="Arial" w:hAnsi="Arial"/>
        </w:rPr>
        <w:t xml:space="preserve"> by</w:t>
      </w:r>
      <w:r w:rsidRPr="00B80939">
        <w:rPr>
          <w:rFonts w:ascii="Arial" w:hAnsi="Arial"/>
        </w:rPr>
        <w:t xml:space="preserve"> shippers</w:t>
      </w:r>
      <w:r w:rsidRPr="00B80939" w:rsidR="00670902">
        <w:rPr>
          <w:rFonts w:ascii="Arial" w:hAnsi="Arial"/>
        </w:rPr>
        <w:t xml:space="preserve"> and importers</w:t>
      </w:r>
      <w:r w:rsidRPr="00B80939">
        <w:rPr>
          <w:rFonts w:ascii="Arial" w:hAnsi="Arial"/>
        </w:rPr>
        <w:t xml:space="preserve"> to declare that goods being imported into the United States are produced or manufactured in a U.S. insular possession from materials grown, produced or manufactured in such possession</w:t>
      </w:r>
      <w:r w:rsidRPr="00B80939" w:rsidR="00BA5A88">
        <w:rPr>
          <w:rFonts w:ascii="Arial" w:hAnsi="Arial"/>
        </w:rPr>
        <w:t xml:space="preserve">.  This form includes a </w:t>
      </w:r>
      <w:r w:rsidRPr="00B80939">
        <w:rPr>
          <w:rFonts w:ascii="Arial" w:hAnsi="Arial"/>
        </w:rPr>
        <w:t>list</w:t>
      </w:r>
      <w:r w:rsidRPr="00B80939" w:rsidR="00670902">
        <w:rPr>
          <w:rFonts w:ascii="Arial" w:hAnsi="Arial"/>
        </w:rPr>
        <w:t xml:space="preserve"> of</w:t>
      </w:r>
      <w:r w:rsidRPr="00B80939">
        <w:rPr>
          <w:rFonts w:ascii="Arial" w:hAnsi="Arial"/>
        </w:rPr>
        <w:t xml:space="preserve"> the foreign materials in the goods, including their description and value.</w:t>
      </w:r>
      <w:r w:rsidRPr="00B80939" w:rsidR="00D42641">
        <w:rPr>
          <w:rFonts w:ascii="Arial" w:hAnsi="Arial"/>
        </w:rPr>
        <w:t xml:space="preserve">  CBP Form 3229 is used as documentation for goods entitled to enter the </w:t>
      </w:r>
      <w:smartTag w:uri="urn:schemas-microsoft-com:office:smarttags" w:element="place">
        <w:smartTag w:uri="urn:schemas-microsoft-com:office:smarttags" w:element="country-region">
          <w:r w:rsidR="00D42641" w:rsidRPr="00B80939">
            <w:rPr>
              <w:rFonts w:ascii="Arial" w:hAnsi="Arial"/>
            </w:rPr>
            <w:t>U.S.</w:t>
          </w:r>
        </w:smartTag>
      </w:smartTag>
      <w:r w:rsidRPr="00B80939" w:rsidR="00D42641">
        <w:rPr>
          <w:rFonts w:ascii="Arial" w:hAnsi="Arial"/>
        </w:rPr>
        <w:t xml:space="preserve"> free of duty.  This form is authorized by General Note 3(a)(iv) of </w:t>
      </w:r>
      <w:r w:rsidRPr="00B80939" w:rsidR="004B5949">
        <w:rPr>
          <w:rFonts w:ascii="Arial" w:hAnsi="Arial"/>
        </w:rPr>
        <w:t>t</w:t>
      </w:r>
      <w:r w:rsidRPr="00B80939" w:rsidR="00D42641">
        <w:rPr>
          <w:rFonts w:ascii="Arial" w:hAnsi="Arial"/>
        </w:rPr>
        <w:t>he Harmonized Tariff Schedule of the Untied States</w:t>
      </w:r>
      <w:r w:rsidRPr="00B80939" w:rsidR="00F944E2">
        <w:rPr>
          <w:rFonts w:ascii="Arial" w:hAnsi="Arial"/>
        </w:rPr>
        <w:t xml:space="preserve"> </w:t>
      </w:r>
      <w:r w:rsidRPr="00B80939" w:rsidR="00D42641">
        <w:rPr>
          <w:rFonts w:ascii="Arial" w:hAnsi="Arial"/>
        </w:rPr>
        <w:t xml:space="preserve">(19 U.S.C. 1202) and is provided for by 19 CFR </w:t>
      </w:r>
      <w:r w:rsidRPr="00B80939" w:rsidR="00C13CD8">
        <w:rPr>
          <w:rFonts w:ascii="Arial" w:hAnsi="Arial"/>
        </w:rPr>
        <w:t>P</w:t>
      </w:r>
      <w:r w:rsidRPr="00B80939" w:rsidR="00D42641">
        <w:rPr>
          <w:rFonts w:ascii="Arial" w:hAnsi="Arial"/>
        </w:rPr>
        <w:t>art 7</w:t>
      </w:r>
      <w:r w:rsidRPr="00B80939" w:rsidR="003F746F">
        <w:rPr>
          <w:rFonts w:ascii="Arial" w:hAnsi="Arial"/>
        </w:rPr>
        <w:t>.3</w:t>
      </w:r>
      <w:r w:rsidRPr="00B80939" w:rsidR="009E5730">
        <w:rPr>
          <w:rFonts w:ascii="Arial" w:hAnsi="Arial"/>
        </w:rPr>
        <w:t>.</w:t>
      </w:r>
      <w:r w:rsidRPr="00B80939" w:rsidR="009D3091">
        <w:rPr>
          <w:rFonts w:ascii="Arial" w:hAnsi="Arial"/>
        </w:rPr>
        <w:t xml:space="preserve">  CBP Form 3229 is accessible at</w:t>
      </w:r>
      <w:r w:rsidRPr="00B80939" w:rsidR="003905B8">
        <w:rPr>
          <w:rFonts w:ascii="Arial" w:hAnsi="Arial"/>
        </w:rPr>
        <w:t xml:space="preserve"> </w:t>
      </w:r>
      <w:hyperlink w:history="1" r:id="rId7">
        <w:r w:rsidRPr="004D143E" w:rsidR="00120D4A">
          <w:rPr>
            <w:rStyle w:val="Hyperlink"/>
            <w:rFonts w:ascii="Arial" w:hAnsi="Arial"/>
          </w:rPr>
          <w:t>https://www.cbp.gov/newsroom/publications/forms?title=3229&amp;=Apply</w:t>
        </w:r>
      </w:hyperlink>
      <w:r w:rsidR="00120D4A">
        <w:rPr>
          <w:rFonts w:ascii="Arial" w:hAnsi="Arial"/>
        </w:rPr>
        <w:t xml:space="preserve"> </w:t>
      </w:r>
    </w:p>
    <w:p w:rsidR="007E5846" w:rsidP="003905B8" w:rsidRDefault="007E5846" w14:paraId="22D0FF5C" w14:textId="77777777">
      <w:pPr>
        <w:tabs>
          <w:tab w:val="left" w:pos="-1440"/>
        </w:tabs>
        <w:ind w:left="720" w:right="720" w:hanging="720"/>
        <w:jc w:val="both"/>
        <w:rPr>
          <w:rFonts w:ascii="Arial" w:hAnsi="Arial"/>
        </w:rPr>
      </w:pPr>
      <w:r>
        <w:rPr>
          <w:rFonts w:ascii="Arial" w:hAnsi="Arial"/>
        </w:rPr>
        <w:t xml:space="preserve"> </w:t>
      </w:r>
      <w:r w:rsidR="00D42641">
        <w:rPr>
          <w:rFonts w:ascii="Arial" w:hAnsi="Arial"/>
        </w:rPr>
        <w:t xml:space="preserve"> </w:t>
      </w:r>
      <w:r>
        <w:rPr>
          <w:rFonts w:ascii="Arial" w:hAnsi="Arial"/>
        </w:rPr>
        <w:t xml:space="preserve"> </w:t>
      </w:r>
      <w:r w:rsidR="00503FC1">
        <w:rPr>
          <w:rFonts w:ascii="Arial" w:hAnsi="Arial"/>
        </w:rPr>
        <w:t xml:space="preserve">  </w:t>
      </w:r>
      <w:r w:rsidR="00503FC1">
        <w:rPr>
          <w:rFonts w:ascii="Arial" w:hAnsi="Arial"/>
        </w:rPr>
        <w:tab/>
      </w:r>
    </w:p>
    <w:p w:rsidR="00503FC1" w:rsidP="003905B8" w:rsidRDefault="00503FC1" w14:paraId="46E12AD6" w14:textId="77777777">
      <w:pPr>
        <w:tabs>
          <w:tab w:val="left" w:pos="-1440"/>
        </w:tabs>
        <w:ind w:left="720" w:right="720" w:hanging="720"/>
        <w:jc w:val="both"/>
        <w:rPr>
          <w:rFonts w:ascii="Arial" w:hAnsi="Arial"/>
        </w:rPr>
      </w:pPr>
      <w:r>
        <w:rPr>
          <w:rFonts w:ascii="Arial" w:hAnsi="Arial"/>
        </w:rPr>
        <w:t xml:space="preserve">  </w:t>
      </w:r>
      <w:r w:rsidRPr="00EA4B96">
        <w:rPr>
          <w:rFonts w:ascii="Arial" w:hAnsi="Arial"/>
          <w:b/>
        </w:rPr>
        <w:t>2</w:t>
      </w:r>
      <w:r>
        <w:rPr>
          <w:rFonts w:ascii="Arial" w:hAnsi="Arial"/>
          <w:b/>
        </w:rPr>
        <w:t>.</w:t>
      </w:r>
      <w:r>
        <w:rPr>
          <w:rFonts w:ascii="Arial" w:hAnsi="Arial"/>
          <w:b/>
        </w:rPr>
        <w:tab/>
      </w:r>
      <w:r w:rsidRPr="000A6BA7">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0A6BA7">
        <w:t>.</w:t>
      </w:r>
    </w:p>
    <w:p w:rsidR="00503FC1" w:rsidP="003905B8" w:rsidRDefault="00503FC1" w14:paraId="47353958" w14:textId="77777777">
      <w:pPr>
        <w:tabs>
          <w:tab w:val="left" w:pos="-1440"/>
        </w:tabs>
        <w:ind w:left="720" w:right="720" w:hanging="720"/>
        <w:jc w:val="both"/>
        <w:rPr>
          <w:rFonts w:ascii="Arial" w:hAnsi="Arial"/>
        </w:rPr>
      </w:pPr>
    </w:p>
    <w:p w:rsidR="00503FC1" w:rsidP="003905B8" w:rsidRDefault="00503FC1" w14:paraId="5FE5CA7F" w14:textId="77777777">
      <w:pPr>
        <w:tabs>
          <w:tab w:val="left" w:pos="-1440"/>
        </w:tabs>
        <w:ind w:left="720" w:hanging="720"/>
        <w:jc w:val="both"/>
        <w:rPr>
          <w:rFonts w:ascii="Arial" w:hAnsi="Arial"/>
        </w:rPr>
      </w:pPr>
      <w:r>
        <w:rPr>
          <w:rFonts w:ascii="Arial" w:hAnsi="Arial"/>
        </w:rPr>
        <w:tab/>
      </w:r>
      <w:r w:rsidR="000A1B5E">
        <w:rPr>
          <w:rFonts w:ascii="Arial" w:hAnsi="Arial"/>
        </w:rPr>
        <w:t>CBP Form 3229 helps</w:t>
      </w:r>
      <w:r>
        <w:rPr>
          <w:rFonts w:ascii="Arial" w:hAnsi="Arial"/>
        </w:rPr>
        <w:t xml:space="preserve"> CBP determine whether or not </w:t>
      </w:r>
      <w:r w:rsidR="003462F7">
        <w:rPr>
          <w:rFonts w:ascii="Arial" w:hAnsi="Arial"/>
        </w:rPr>
        <w:t>imported</w:t>
      </w:r>
      <w:r w:rsidR="000A1B5E">
        <w:rPr>
          <w:rFonts w:ascii="Arial" w:hAnsi="Arial"/>
        </w:rPr>
        <w:t xml:space="preserve"> merchandise is exempt from duty under the applicable statutory provisions. </w:t>
      </w:r>
    </w:p>
    <w:p w:rsidR="000A1B5E" w:rsidP="003905B8" w:rsidRDefault="000A1B5E" w14:paraId="0D9648B3" w14:textId="77777777">
      <w:pPr>
        <w:ind w:left="720" w:hanging="600"/>
        <w:jc w:val="both"/>
        <w:rPr>
          <w:rFonts w:ascii="Arial" w:hAnsi="Arial"/>
          <w:b/>
        </w:rPr>
      </w:pPr>
    </w:p>
    <w:p w:rsidR="00503FC1" w:rsidP="003905B8" w:rsidRDefault="00503FC1" w14:paraId="596FB758" w14:textId="77777777">
      <w:pPr>
        <w:ind w:left="720" w:hanging="600"/>
        <w:jc w:val="both"/>
      </w:pPr>
      <w:r w:rsidRPr="001E21B9">
        <w:rPr>
          <w:rFonts w:ascii="Arial" w:hAnsi="Arial"/>
          <w:b/>
        </w:rPr>
        <w:t>3.</w:t>
      </w:r>
      <w:r>
        <w:rPr>
          <w:rFonts w:ascii="Arial" w:hAnsi="Arial"/>
        </w:rPr>
        <w:tab/>
      </w:r>
      <w:r w:rsidRPr="000A6BA7">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A6BA7">
        <w:t>.</w:t>
      </w:r>
      <w:r>
        <w:t xml:space="preserve">  </w:t>
      </w:r>
    </w:p>
    <w:p w:rsidR="00503FC1" w:rsidP="003905B8" w:rsidRDefault="00503FC1" w14:paraId="2DD98D47" w14:textId="77777777">
      <w:pPr>
        <w:tabs>
          <w:tab w:val="left" w:pos="-1440"/>
        </w:tabs>
        <w:ind w:left="720" w:right="720" w:hanging="720"/>
        <w:jc w:val="both"/>
        <w:rPr>
          <w:rFonts w:ascii="Arial" w:hAnsi="Arial"/>
        </w:rPr>
      </w:pPr>
    </w:p>
    <w:p w:rsidRPr="00D2259E" w:rsidR="00D2259E" w:rsidP="00D2259E" w:rsidRDefault="00D2259E" w14:paraId="0E0D9C43" w14:textId="77777777">
      <w:pPr>
        <w:ind w:left="720" w:right="432"/>
        <w:rPr>
          <w:rFonts w:ascii="Arial" w:hAnsi="Arial" w:cs="Arial"/>
        </w:rPr>
      </w:pPr>
      <w:r w:rsidRPr="00D2259E">
        <w:rPr>
          <w:rFonts w:ascii="Arial" w:hAnsi="Arial" w:cs="Arial"/>
        </w:rPr>
        <w:t xml:space="preserve">This information </w:t>
      </w:r>
      <w:r w:rsidR="000D69B0">
        <w:rPr>
          <w:rFonts w:ascii="Arial" w:hAnsi="Arial" w:cs="Arial"/>
        </w:rPr>
        <w:t>is automated through the Automated Commercial Environment (ACE)</w:t>
      </w:r>
      <w:r w:rsidRPr="00D2259E">
        <w:rPr>
          <w:rFonts w:ascii="Arial" w:hAnsi="Arial" w:cs="Arial"/>
        </w:rPr>
        <w:t xml:space="preserve">.  </w:t>
      </w:r>
    </w:p>
    <w:p w:rsidR="00D2259E" w:rsidP="00C237E0" w:rsidRDefault="00503FC1" w14:paraId="3B30640C" w14:textId="77777777">
      <w:pPr>
        <w:tabs>
          <w:tab w:val="left" w:pos="-1440"/>
        </w:tabs>
        <w:ind w:left="720" w:hanging="720"/>
        <w:jc w:val="both"/>
        <w:rPr>
          <w:rFonts w:ascii="Arial" w:hAnsi="Arial"/>
        </w:rPr>
      </w:pPr>
      <w:r>
        <w:rPr>
          <w:rFonts w:ascii="Arial" w:hAnsi="Arial"/>
        </w:rPr>
        <w:tab/>
      </w:r>
    </w:p>
    <w:p w:rsidR="00503FC1" w:rsidP="003905B8" w:rsidRDefault="00503FC1" w14:paraId="4A7AF28E" w14:textId="77777777">
      <w:pPr>
        <w:ind w:left="720" w:hanging="540"/>
        <w:jc w:val="both"/>
        <w:rPr>
          <w:rFonts w:ascii="Arial" w:hAnsi="Arial" w:cs="Arial"/>
          <w:b/>
          <w:bCs/>
        </w:rPr>
      </w:pPr>
      <w:r>
        <w:rPr>
          <w:rFonts w:ascii="Arial" w:hAnsi="Arial" w:cs="Arial"/>
          <w:b/>
          <w:bCs/>
        </w:rPr>
        <w:t xml:space="preserve">  4.</w:t>
      </w:r>
      <w:r>
        <w:rPr>
          <w:rFonts w:ascii="Arial" w:hAnsi="Arial" w:cs="Arial"/>
          <w:b/>
          <w:bCs/>
        </w:rPr>
        <w:tab/>
        <w:t xml:space="preserve">Describe efforts to identify duplication.  Show specifically why any similar information already available cannot be used or modified for use for the purposes described in Item 2 above.  </w:t>
      </w:r>
    </w:p>
    <w:p w:rsidR="00503FC1" w:rsidP="003905B8" w:rsidRDefault="00503FC1" w14:paraId="69B81563" w14:textId="77777777">
      <w:pPr>
        <w:tabs>
          <w:tab w:val="left" w:pos="-1440"/>
        </w:tabs>
        <w:ind w:left="720" w:right="720" w:hanging="720"/>
        <w:jc w:val="both"/>
        <w:rPr>
          <w:rFonts w:ascii="Arial" w:hAnsi="Arial"/>
        </w:rPr>
      </w:pPr>
    </w:p>
    <w:p w:rsidR="00503FC1" w:rsidP="003905B8" w:rsidRDefault="00503FC1" w14:paraId="56197511" w14:textId="77777777">
      <w:pPr>
        <w:tabs>
          <w:tab w:val="left" w:pos="-1440"/>
        </w:tabs>
        <w:ind w:left="720" w:right="720" w:hanging="720"/>
        <w:jc w:val="both"/>
        <w:rPr>
          <w:rFonts w:ascii="Arial" w:hAnsi="Arial"/>
        </w:rPr>
      </w:pPr>
      <w:r>
        <w:rPr>
          <w:rFonts w:ascii="Arial" w:hAnsi="Arial"/>
        </w:rPr>
        <w:t xml:space="preserve">  </w:t>
      </w:r>
      <w:r>
        <w:rPr>
          <w:rFonts w:ascii="Arial" w:hAnsi="Arial"/>
        </w:rPr>
        <w:tab/>
      </w:r>
      <w:r w:rsidR="00215541">
        <w:rPr>
          <w:rFonts w:ascii="Arial" w:hAnsi="Arial"/>
        </w:rPr>
        <w:t>The information collection is unique and is not duplicated elsewhere.</w:t>
      </w:r>
      <w:r>
        <w:rPr>
          <w:rFonts w:ascii="Arial" w:hAnsi="Arial"/>
        </w:rPr>
        <w:t xml:space="preserve"> </w:t>
      </w:r>
    </w:p>
    <w:p w:rsidR="00503FC1" w:rsidP="003905B8" w:rsidRDefault="00503FC1" w14:paraId="29AD01EA" w14:textId="77777777">
      <w:pPr>
        <w:ind w:right="720"/>
        <w:jc w:val="both"/>
        <w:rPr>
          <w:rFonts w:ascii="Arial" w:hAnsi="Arial"/>
        </w:rPr>
      </w:pPr>
    </w:p>
    <w:p w:rsidR="00503FC1" w:rsidP="003905B8" w:rsidRDefault="00503FC1" w14:paraId="6D2F47B2" w14:textId="77777777">
      <w:pPr>
        <w:ind w:left="720" w:hanging="600"/>
        <w:jc w:val="both"/>
        <w:rPr>
          <w:rFonts w:ascii="Arial" w:hAnsi="Arial" w:cs="Arial"/>
          <w:b/>
          <w:bCs/>
        </w:rPr>
      </w:pPr>
      <w:r>
        <w:rPr>
          <w:rFonts w:ascii="Arial" w:hAnsi="Arial"/>
        </w:rPr>
        <w:t xml:space="preserve">  </w:t>
      </w:r>
      <w:r>
        <w:rPr>
          <w:rFonts w:ascii="Arial" w:hAnsi="Arial"/>
          <w:b/>
          <w:bCs/>
        </w:rPr>
        <w:t>5.</w:t>
      </w:r>
      <w:r>
        <w:rPr>
          <w:rFonts w:ascii="Arial" w:hAnsi="Arial"/>
        </w:rPr>
        <w:tab/>
      </w:r>
      <w:r w:rsidRPr="000A6BA7">
        <w:rPr>
          <w:rFonts w:ascii="Arial" w:hAnsi="Arial" w:cs="Arial"/>
          <w:b/>
          <w:bCs/>
        </w:rPr>
        <w:t>If the collection of information impacts small businesses or other small entities describe any methods used to minimize burden.</w:t>
      </w:r>
      <w:r>
        <w:rPr>
          <w:rFonts w:ascii="Arial" w:hAnsi="Arial" w:cs="Arial"/>
          <w:b/>
          <w:bCs/>
        </w:rPr>
        <w:t xml:space="preserve">  </w:t>
      </w:r>
    </w:p>
    <w:p w:rsidR="00503FC1" w:rsidP="003905B8" w:rsidRDefault="00503FC1" w14:paraId="49DE61C3" w14:textId="77777777">
      <w:pPr>
        <w:tabs>
          <w:tab w:val="left" w:pos="-1440"/>
        </w:tabs>
        <w:ind w:left="720" w:right="720" w:hanging="720"/>
        <w:jc w:val="both"/>
        <w:rPr>
          <w:rFonts w:ascii="Arial" w:hAnsi="Arial"/>
        </w:rPr>
      </w:pPr>
    </w:p>
    <w:p w:rsidR="00503FC1" w:rsidP="003905B8" w:rsidRDefault="00503FC1" w14:paraId="73595778" w14:textId="77777777">
      <w:pPr>
        <w:tabs>
          <w:tab w:val="left" w:pos="-1440"/>
        </w:tabs>
        <w:ind w:left="720" w:right="720" w:hanging="720"/>
        <w:jc w:val="both"/>
        <w:rPr>
          <w:rFonts w:ascii="Arial" w:hAnsi="Arial"/>
        </w:rPr>
      </w:pPr>
      <w:r>
        <w:rPr>
          <w:rFonts w:ascii="Arial" w:hAnsi="Arial"/>
        </w:rPr>
        <w:tab/>
        <w:t>This collection of information does not have a significant impact on small businesses or other entities.</w:t>
      </w:r>
      <w:r w:rsidR="005D444D">
        <w:rPr>
          <w:rFonts w:ascii="Arial" w:hAnsi="Arial"/>
        </w:rPr>
        <w:t xml:space="preserve">     </w:t>
      </w:r>
    </w:p>
    <w:p w:rsidR="00503FC1" w:rsidP="003905B8" w:rsidRDefault="00503FC1" w14:paraId="457D8A6F" w14:textId="77777777">
      <w:pPr>
        <w:ind w:right="720"/>
        <w:jc w:val="both"/>
        <w:rPr>
          <w:rFonts w:ascii="Arial" w:hAnsi="Arial"/>
        </w:rPr>
      </w:pPr>
    </w:p>
    <w:p w:rsidR="00503FC1" w:rsidP="003905B8" w:rsidRDefault="00B80939" w14:paraId="7C349744" w14:textId="21952038">
      <w:pPr>
        <w:jc w:val="both"/>
        <w:rPr>
          <w:rFonts w:ascii="Arial" w:hAnsi="Arial" w:cs="Arial"/>
          <w:b/>
          <w:bCs/>
        </w:rPr>
      </w:pPr>
      <w:r>
        <w:rPr>
          <w:rFonts w:ascii="Arial" w:hAnsi="Arial" w:cs="Arial"/>
          <w:b/>
          <w:bCs/>
        </w:rPr>
        <w:t xml:space="preserve">    6. </w:t>
      </w:r>
      <w:r w:rsidRPr="000A6BA7" w:rsidR="00503FC1">
        <w:rPr>
          <w:rFonts w:ascii="Arial" w:hAnsi="Arial" w:cs="Arial"/>
          <w:b/>
          <w:bCs/>
        </w:rPr>
        <w:t xml:space="preserve">Describe consequences to Federal program or policy activities if the                 </w:t>
      </w:r>
      <w:r w:rsidRPr="000A6BA7" w:rsidR="00215541">
        <w:rPr>
          <w:rFonts w:ascii="Arial" w:hAnsi="Arial" w:cs="Arial"/>
          <w:b/>
          <w:bCs/>
        </w:rPr>
        <w:t xml:space="preserve">         </w:t>
      </w:r>
      <w:r w:rsidRPr="000A6BA7" w:rsidR="003D0126">
        <w:rPr>
          <w:rFonts w:ascii="Arial" w:hAnsi="Arial" w:cs="Arial"/>
          <w:b/>
          <w:bCs/>
        </w:rPr>
        <w:tab/>
      </w:r>
      <w:r w:rsidRPr="000A6BA7" w:rsidR="00503FC1">
        <w:rPr>
          <w:rFonts w:ascii="Arial" w:hAnsi="Arial" w:cs="Arial"/>
          <w:b/>
          <w:bCs/>
        </w:rPr>
        <w:t>collection is not conducted or is conducted less frequently.</w:t>
      </w:r>
    </w:p>
    <w:p w:rsidR="00503FC1" w:rsidP="003905B8" w:rsidRDefault="00503FC1" w14:paraId="089C0ED5" w14:textId="77777777">
      <w:pPr>
        <w:ind w:right="720"/>
        <w:jc w:val="both"/>
        <w:rPr>
          <w:rFonts w:ascii="Arial" w:hAnsi="Arial"/>
        </w:rPr>
      </w:pPr>
    </w:p>
    <w:p w:rsidR="000A1B5E" w:rsidP="003905B8" w:rsidRDefault="00503FC1" w14:paraId="65F1B00F" w14:textId="77777777">
      <w:pPr>
        <w:tabs>
          <w:tab w:val="left" w:pos="-1440"/>
        </w:tabs>
        <w:ind w:left="720" w:hanging="720"/>
        <w:jc w:val="both"/>
        <w:rPr>
          <w:rFonts w:ascii="Arial" w:hAnsi="Arial"/>
        </w:rPr>
      </w:pPr>
      <w:r>
        <w:rPr>
          <w:rFonts w:ascii="Arial" w:hAnsi="Arial"/>
        </w:rPr>
        <w:tab/>
      </w:r>
      <w:r w:rsidR="000A1B5E">
        <w:rPr>
          <w:rFonts w:ascii="Arial" w:hAnsi="Arial"/>
        </w:rPr>
        <w:t xml:space="preserve">If this information </w:t>
      </w:r>
      <w:r w:rsidR="001454F8">
        <w:rPr>
          <w:rFonts w:ascii="Arial" w:hAnsi="Arial"/>
        </w:rPr>
        <w:t xml:space="preserve">were </w:t>
      </w:r>
      <w:r w:rsidR="000A1B5E">
        <w:rPr>
          <w:rFonts w:ascii="Arial" w:hAnsi="Arial"/>
        </w:rPr>
        <w:t>not collected, CBP would have no means of verifying the claim for duty free treatment under the applicable statutory provisions.</w:t>
      </w:r>
    </w:p>
    <w:p w:rsidR="00503FC1" w:rsidP="003905B8" w:rsidRDefault="00503FC1" w14:paraId="03FC0F83" w14:textId="77777777">
      <w:pPr>
        <w:ind w:right="720"/>
        <w:jc w:val="both"/>
        <w:rPr>
          <w:rFonts w:ascii="Arial" w:hAnsi="Arial"/>
        </w:rPr>
      </w:pPr>
    </w:p>
    <w:p w:rsidR="00503FC1" w:rsidP="004F6E95" w:rsidRDefault="00503FC1" w14:paraId="77EBC2D1" w14:textId="77777777">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AA1400">
        <w:rPr>
          <w:rFonts w:ascii="Arial" w:hAnsi="Arial" w:cs="Arial"/>
          <w:b/>
          <w:bCs/>
        </w:rPr>
        <w:t>.</w:t>
      </w:r>
    </w:p>
    <w:p w:rsidR="00AA1400" w:rsidP="004F6E95" w:rsidRDefault="00AA1400" w14:paraId="2A9DCEE7" w14:textId="77777777">
      <w:pPr>
        <w:ind w:left="720" w:hanging="540"/>
        <w:jc w:val="both"/>
        <w:rPr>
          <w:rFonts w:ascii="Arial" w:hAnsi="Arial"/>
        </w:rPr>
      </w:pPr>
    </w:p>
    <w:p w:rsidR="00503FC1" w:rsidP="003905B8" w:rsidRDefault="00503FC1" w14:paraId="03173AE1" w14:textId="77777777">
      <w:pPr>
        <w:tabs>
          <w:tab w:val="left" w:pos="-1440"/>
        </w:tabs>
        <w:ind w:left="720" w:right="720" w:hanging="720"/>
        <w:jc w:val="both"/>
        <w:rPr>
          <w:rFonts w:ascii="Arial" w:hAnsi="Arial"/>
        </w:rPr>
      </w:pPr>
      <w:r>
        <w:rPr>
          <w:rFonts w:ascii="Arial" w:hAnsi="Arial"/>
        </w:rPr>
        <w:tab/>
        <w:t>This information collection is conducted in a manner consistent with the guidelines in 5 CFR 1320.5(c)(2).</w:t>
      </w:r>
    </w:p>
    <w:p w:rsidR="00503FC1" w:rsidP="003905B8" w:rsidRDefault="00503FC1" w14:paraId="2D3A7DBD" w14:textId="77777777">
      <w:pPr>
        <w:ind w:left="720" w:hanging="720"/>
        <w:jc w:val="both"/>
        <w:rPr>
          <w:rFonts w:ascii="Arial" w:hAnsi="Arial"/>
          <w:b/>
          <w:bCs/>
        </w:rPr>
      </w:pPr>
    </w:p>
    <w:p w:rsidR="00503FC1" w:rsidP="003905B8" w:rsidRDefault="00503FC1" w14:paraId="37F697C0" w14:textId="77777777">
      <w:pPr>
        <w:ind w:left="720" w:hanging="720"/>
        <w:jc w:val="both"/>
        <w:rPr>
          <w:rFonts w:ascii="Arial" w:hAnsi="Arial" w:cs="Arial"/>
          <w:b/>
          <w:bCs/>
        </w:rPr>
      </w:pPr>
      <w:r>
        <w:rPr>
          <w:rFonts w:ascii="Arial" w:hAnsi="Arial"/>
          <w:b/>
          <w:bCs/>
        </w:rPr>
        <w:t xml:space="preserve">   8.</w:t>
      </w:r>
      <w:r>
        <w:rPr>
          <w:rFonts w:ascii="Arial" w:hAnsi="Arial"/>
        </w:rPr>
        <w:tab/>
      </w:r>
      <w:r w:rsidRPr="003B1E3F">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w:t>
      </w:r>
      <w:r>
        <w:rPr>
          <w:rFonts w:ascii="Arial" w:hAnsi="Arial" w:cs="Arial"/>
          <w:b/>
          <w:bCs/>
        </w:rPr>
        <w:t xml:space="preserve">  </w:t>
      </w:r>
    </w:p>
    <w:p w:rsidR="00503FC1" w:rsidP="003905B8" w:rsidRDefault="00503FC1" w14:paraId="0A28744C" w14:textId="77777777">
      <w:pPr>
        <w:ind w:left="720" w:hanging="720"/>
        <w:jc w:val="both"/>
        <w:rPr>
          <w:rFonts w:ascii="Arial" w:hAnsi="Arial"/>
        </w:rPr>
      </w:pPr>
    </w:p>
    <w:p w:rsidRPr="003B1E3F" w:rsidR="00325DED" w:rsidP="003905B8" w:rsidRDefault="00342F03" w14:paraId="4D024F64" w14:textId="79E54C34">
      <w:pPr>
        <w:ind w:left="720"/>
        <w:jc w:val="both"/>
        <w:rPr>
          <w:rFonts w:ascii="Arial" w:hAnsi="Arial"/>
        </w:rPr>
      </w:pPr>
      <w:r w:rsidRPr="003B1E3F">
        <w:rPr>
          <w:rFonts w:ascii="Arial" w:hAnsi="Arial"/>
        </w:rPr>
        <w:t xml:space="preserve">Public comments were solicited through two Federal Register notices including a 60-day notice published on </w:t>
      </w:r>
      <w:r w:rsidR="003B1E3F">
        <w:rPr>
          <w:rFonts w:ascii="Arial" w:hAnsi="Arial"/>
        </w:rPr>
        <w:t>November</w:t>
      </w:r>
      <w:r w:rsidRPr="003B1E3F" w:rsidR="00813565">
        <w:rPr>
          <w:rFonts w:ascii="Arial" w:hAnsi="Arial"/>
        </w:rPr>
        <w:t xml:space="preserve"> </w:t>
      </w:r>
      <w:r w:rsidR="003B1E3F">
        <w:rPr>
          <w:rFonts w:ascii="Arial" w:hAnsi="Arial"/>
        </w:rPr>
        <w:t>30</w:t>
      </w:r>
      <w:r w:rsidRPr="003B1E3F" w:rsidR="00F1128E">
        <w:rPr>
          <w:rFonts w:ascii="Arial" w:hAnsi="Arial"/>
        </w:rPr>
        <w:t>,</w:t>
      </w:r>
      <w:r w:rsidRPr="003B1E3F">
        <w:rPr>
          <w:rFonts w:ascii="Arial" w:hAnsi="Arial"/>
        </w:rPr>
        <w:t xml:space="preserve"> 2</w:t>
      </w:r>
      <w:r w:rsidR="003B1E3F">
        <w:rPr>
          <w:rFonts w:ascii="Arial" w:hAnsi="Arial"/>
        </w:rPr>
        <w:t>021</w:t>
      </w:r>
      <w:r w:rsidRPr="003B1E3F">
        <w:rPr>
          <w:rFonts w:ascii="Arial" w:hAnsi="Arial"/>
        </w:rPr>
        <w:t xml:space="preserve"> (Volume </w:t>
      </w:r>
      <w:r w:rsidRPr="003B1E3F" w:rsidR="00813565">
        <w:rPr>
          <w:rFonts w:ascii="Arial" w:hAnsi="Arial"/>
        </w:rPr>
        <w:t>8</w:t>
      </w:r>
      <w:r w:rsidR="003B1E3F">
        <w:rPr>
          <w:rFonts w:ascii="Arial" w:hAnsi="Arial"/>
        </w:rPr>
        <w:t>6</w:t>
      </w:r>
      <w:r w:rsidRPr="003B1E3F">
        <w:rPr>
          <w:rFonts w:ascii="Arial" w:hAnsi="Arial"/>
        </w:rPr>
        <w:t xml:space="preserve">, Page </w:t>
      </w:r>
      <w:r w:rsidR="003B1E3F">
        <w:rPr>
          <w:rFonts w:ascii="Arial" w:hAnsi="Arial"/>
        </w:rPr>
        <w:t>67962</w:t>
      </w:r>
      <w:r w:rsidRPr="003B1E3F">
        <w:rPr>
          <w:rFonts w:ascii="Arial" w:hAnsi="Arial"/>
        </w:rPr>
        <w:t>) on which</w:t>
      </w:r>
      <w:r w:rsidRPr="003B1E3F" w:rsidR="00D43FF1">
        <w:rPr>
          <w:rFonts w:ascii="Arial" w:hAnsi="Arial"/>
        </w:rPr>
        <w:t xml:space="preserve"> </w:t>
      </w:r>
      <w:r w:rsidRPr="003B1E3F" w:rsidR="00813565">
        <w:rPr>
          <w:rFonts w:ascii="Arial" w:hAnsi="Arial"/>
        </w:rPr>
        <w:t>no</w:t>
      </w:r>
      <w:r w:rsidRPr="003B1E3F" w:rsidR="00D43FF1">
        <w:rPr>
          <w:rFonts w:ascii="Arial" w:hAnsi="Arial"/>
        </w:rPr>
        <w:t xml:space="preserve"> comment</w:t>
      </w:r>
      <w:r w:rsidRPr="003B1E3F" w:rsidR="00813565">
        <w:rPr>
          <w:rFonts w:ascii="Arial" w:hAnsi="Arial"/>
        </w:rPr>
        <w:t>s</w:t>
      </w:r>
      <w:r w:rsidRPr="003B1E3F" w:rsidR="00D43FF1">
        <w:rPr>
          <w:rFonts w:ascii="Arial" w:hAnsi="Arial"/>
        </w:rPr>
        <w:t xml:space="preserve"> w</w:t>
      </w:r>
      <w:r w:rsidRPr="003B1E3F" w:rsidR="00813565">
        <w:rPr>
          <w:rFonts w:ascii="Arial" w:hAnsi="Arial"/>
        </w:rPr>
        <w:t>ere</w:t>
      </w:r>
      <w:r w:rsidRPr="003B1E3F">
        <w:rPr>
          <w:rFonts w:ascii="Arial" w:hAnsi="Arial"/>
        </w:rPr>
        <w:t xml:space="preserve"> received, and a 30-day notice published on</w:t>
      </w:r>
      <w:r w:rsidRPr="001850CD">
        <w:rPr>
          <w:rFonts w:ascii="Arial" w:hAnsi="Arial"/>
        </w:rPr>
        <w:t xml:space="preserve"> </w:t>
      </w:r>
      <w:r w:rsidR="001850CD">
        <w:rPr>
          <w:rFonts w:ascii="Arial" w:hAnsi="Arial"/>
        </w:rPr>
        <w:t>February</w:t>
      </w:r>
      <w:r w:rsidRPr="001850CD" w:rsidR="00813565">
        <w:rPr>
          <w:rFonts w:ascii="Arial" w:hAnsi="Arial"/>
        </w:rPr>
        <w:t xml:space="preserve"> </w:t>
      </w:r>
      <w:r w:rsidR="001850CD">
        <w:rPr>
          <w:rFonts w:ascii="Arial" w:hAnsi="Arial"/>
        </w:rPr>
        <w:t>15</w:t>
      </w:r>
      <w:r w:rsidRPr="001850CD" w:rsidR="00813565">
        <w:rPr>
          <w:rFonts w:ascii="Arial" w:hAnsi="Arial"/>
        </w:rPr>
        <w:t>,</w:t>
      </w:r>
      <w:r w:rsidRPr="001850CD" w:rsidR="00A270AC">
        <w:rPr>
          <w:rFonts w:ascii="Arial" w:hAnsi="Arial"/>
        </w:rPr>
        <w:t xml:space="preserve"> 20</w:t>
      </w:r>
      <w:r w:rsidR="001850CD">
        <w:rPr>
          <w:rFonts w:ascii="Arial" w:hAnsi="Arial"/>
        </w:rPr>
        <w:t>22</w:t>
      </w:r>
      <w:r w:rsidRPr="001850CD">
        <w:rPr>
          <w:rFonts w:ascii="Arial" w:hAnsi="Arial"/>
        </w:rPr>
        <w:t xml:space="preserve"> (Volume </w:t>
      </w:r>
      <w:r w:rsidRPr="001850CD" w:rsidR="00A270AC">
        <w:rPr>
          <w:rFonts w:ascii="Arial" w:hAnsi="Arial"/>
        </w:rPr>
        <w:t>8</w:t>
      </w:r>
      <w:r w:rsidR="001850CD">
        <w:rPr>
          <w:rFonts w:ascii="Arial" w:hAnsi="Arial"/>
        </w:rPr>
        <w:t>7</w:t>
      </w:r>
      <w:r w:rsidRPr="001850CD">
        <w:rPr>
          <w:rFonts w:ascii="Arial" w:hAnsi="Arial"/>
        </w:rPr>
        <w:t xml:space="preserve">, Page </w:t>
      </w:r>
      <w:r w:rsidR="001850CD">
        <w:rPr>
          <w:rFonts w:ascii="Arial" w:hAnsi="Arial"/>
        </w:rPr>
        <w:t>8595</w:t>
      </w:r>
      <w:r w:rsidRPr="001850CD">
        <w:rPr>
          <w:rFonts w:ascii="Arial" w:hAnsi="Arial"/>
        </w:rPr>
        <w:t xml:space="preserve">) on </w:t>
      </w:r>
      <w:r w:rsidRPr="003B1E3F">
        <w:rPr>
          <w:rFonts w:ascii="Arial" w:hAnsi="Arial"/>
        </w:rPr>
        <w:t xml:space="preserve">which no comments have been received. </w:t>
      </w:r>
    </w:p>
    <w:p w:rsidR="00503FC1" w:rsidP="00C20D38" w:rsidRDefault="00503FC1" w14:paraId="6CAC899D" w14:textId="77777777">
      <w:pPr>
        <w:jc w:val="both"/>
        <w:rPr>
          <w:rFonts w:ascii="Arial" w:hAnsi="Arial"/>
          <w:b/>
          <w:bCs/>
        </w:rPr>
      </w:pPr>
    </w:p>
    <w:p w:rsidR="00503FC1" w:rsidP="003905B8" w:rsidRDefault="00503FC1" w14:paraId="32284785" w14:textId="77777777">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503FC1" w:rsidP="003905B8" w:rsidRDefault="00503FC1" w14:paraId="4E4C79FB" w14:textId="77777777">
      <w:pPr>
        <w:tabs>
          <w:tab w:val="left" w:pos="-1440"/>
        </w:tabs>
        <w:ind w:left="720" w:hanging="720"/>
        <w:jc w:val="both"/>
        <w:rPr>
          <w:rFonts w:ascii="Arial" w:hAnsi="Arial"/>
        </w:rPr>
      </w:pPr>
    </w:p>
    <w:p w:rsidR="00503FC1" w:rsidP="003905B8" w:rsidRDefault="00503FC1" w14:paraId="66F062A8" w14:textId="77777777">
      <w:pPr>
        <w:tabs>
          <w:tab w:val="left" w:pos="-1440"/>
        </w:tabs>
        <w:ind w:left="720" w:hanging="720"/>
        <w:jc w:val="both"/>
        <w:rPr>
          <w:rFonts w:ascii="Arial" w:hAnsi="Arial"/>
        </w:rPr>
      </w:pPr>
      <w:r>
        <w:rPr>
          <w:rFonts w:ascii="Arial" w:hAnsi="Arial"/>
        </w:rPr>
        <w:tab/>
        <w:t>There is no offer of a monetary or material value for this declaration.</w:t>
      </w:r>
    </w:p>
    <w:p w:rsidR="00503FC1" w:rsidP="003905B8" w:rsidRDefault="00503FC1" w14:paraId="2F05A405" w14:textId="77777777">
      <w:pPr>
        <w:tabs>
          <w:tab w:val="left" w:pos="-1440"/>
        </w:tabs>
        <w:ind w:left="720" w:hanging="720"/>
        <w:jc w:val="both"/>
        <w:rPr>
          <w:rFonts w:ascii="Arial" w:hAnsi="Arial"/>
        </w:rPr>
      </w:pPr>
    </w:p>
    <w:p w:rsidR="00503FC1" w:rsidP="003905B8" w:rsidRDefault="00503FC1" w14:paraId="06721741" w14:textId="77777777">
      <w:pPr>
        <w:ind w:left="720" w:hanging="720"/>
        <w:jc w:val="both"/>
        <w:rPr>
          <w:rFonts w:ascii="Arial" w:hAnsi="Arial" w:cs="Arial"/>
          <w:b/>
          <w:bCs/>
        </w:rPr>
      </w:pPr>
      <w:r>
        <w:rPr>
          <w:rFonts w:ascii="Arial" w:hAnsi="Arial"/>
          <w:b/>
          <w:bCs/>
        </w:rPr>
        <w:t xml:space="preserve"> 10.</w:t>
      </w:r>
      <w:r>
        <w:rPr>
          <w:rFonts w:ascii="Arial" w:hAnsi="Arial"/>
        </w:rPr>
        <w:tab/>
      </w:r>
      <w:r w:rsidRPr="003B1E3F">
        <w:rPr>
          <w:rFonts w:ascii="Arial" w:hAnsi="Arial" w:cs="Arial"/>
          <w:b/>
          <w:bCs/>
        </w:rPr>
        <w:t>Describe any assurance of confidentiality provided to respondents and the basis for the assurance in statute, regulation, or agency policy.</w:t>
      </w:r>
    </w:p>
    <w:p w:rsidR="00503FC1" w:rsidP="003905B8" w:rsidRDefault="00503FC1" w14:paraId="61F2DE5F" w14:textId="77777777">
      <w:pPr>
        <w:tabs>
          <w:tab w:val="left" w:pos="-1440"/>
        </w:tabs>
        <w:ind w:left="720" w:hanging="720"/>
        <w:jc w:val="both"/>
        <w:rPr>
          <w:rFonts w:ascii="Arial" w:hAnsi="Arial"/>
        </w:rPr>
      </w:pPr>
    </w:p>
    <w:p w:rsidRPr="00EF20BA" w:rsidR="00EF20BA" w:rsidP="00C20D38" w:rsidRDefault="00EF20BA" w14:paraId="3D49C079" w14:textId="77777777">
      <w:pPr>
        <w:ind w:left="720"/>
        <w:jc w:val="both"/>
        <w:rPr>
          <w:rFonts w:ascii="Arial" w:hAnsi="Arial" w:cs="Arial"/>
          <w:iCs/>
          <w:szCs w:val="24"/>
        </w:rPr>
      </w:pPr>
      <w:r w:rsidRPr="00EF20BA">
        <w:rPr>
          <w:rFonts w:ascii="Arial" w:hAnsi="Arial" w:cs="Arial"/>
          <w:iCs/>
          <w:szCs w:val="24"/>
        </w:rPr>
        <w:t>All data submitted and entered into ACE is subject to and protected by the Trade Secrets Act (18 U.S.C. 1905) and is considered confidential, except to the extent as otherwise provided by law. </w:t>
      </w:r>
      <w:r w:rsidRPr="00C20D38" w:rsidR="00C20D38">
        <w:rPr>
          <w:rFonts w:ascii="Arial" w:hAnsi="Arial" w:cs="Arial"/>
          <w:bCs/>
          <w:szCs w:val="24"/>
        </w:rPr>
        <w:t>A PIA for the Automated Commercial Environment (ACE), dated July 31, 2015, and a SORN for IIS, dated July 26, 2016 (Vol. 81, Page 48826) will be included in this ICR.  There are no assurances of</w:t>
      </w:r>
      <w:r w:rsidR="00C20D38">
        <w:rPr>
          <w:rFonts w:ascii="Arial" w:hAnsi="Arial" w:cs="Arial"/>
          <w:bCs/>
          <w:szCs w:val="24"/>
        </w:rPr>
        <w:t xml:space="preserve"> c</w:t>
      </w:r>
      <w:r w:rsidRPr="00C20D38" w:rsidR="00C20D38">
        <w:rPr>
          <w:rFonts w:ascii="Arial" w:hAnsi="Arial" w:cs="Arial"/>
          <w:bCs/>
          <w:szCs w:val="24"/>
        </w:rPr>
        <w:t>onfidentiality provided to the respondents of this information collection</w:t>
      </w:r>
    </w:p>
    <w:p w:rsidR="00503FC1" w:rsidP="003905B8" w:rsidRDefault="00503FC1" w14:paraId="5169B341" w14:textId="77777777">
      <w:pPr>
        <w:jc w:val="both"/>
        <w:rPr>
          <w:rFonts w:ascii="Arial" w:hAnsi="Arial"/>
          <w:b/>
          <w:bCs/>
        </w:rPr>
      </w:pPr>
    </w:p>
    <w:p w:rsidR="00503FC1" w:rsidP="003905B8" w:rsidRDefault="00503FC1" w14:paraId="5F0EA186" w14:textId="77777777">
      <w:pPr>
        <w:jc w:val="both"/>
        <w:rPr>
          <w:rFonts w:ascii="Arial" w:hAnsi="Arial"/>
        </w:rPr>
      </w:pPr>
      <w:r>
        <w:rPr>
          <w:rFonts w:ascii="Arial" w:hAnsi="Arial"/>
          <w:b/>
          <w:bCs/>
        </w:rPr>
        <w:t xml:space="preserve"> 11.</w:t>
      </w:r>
      <w:r>
        <w:rPr>
          <w:rFonts w:ascii="Arial" w:hAnsi="Arial"/>
        </w:rPr>
        <w:tab/>
      </w:r>
      <w:r>
        <w:rPr>
          <w:rFonts w:ascii="Arial" w:hAnsi="Arial" w:cs="Arial"/>
          <w:b/>
          <w:bCs/>
        </w:rPr>
        <w:t>Provide additional justification for any questions of a sensitive nature</w:t>
      </w:r>
    </w:p>
    <w:p w:rsidR="00503FC1" w:rsidP="003905B8" w:rsidRDefault="00503FC1" w14:paraId="4F577482" w14:textId="77777777">
      <w:pPr>
        <w:tabs>
          <w:tab w:val="left" w:pos="-1440"/>
        </w:tabs>
        <w:ind w:left="720" w:hanging="720"/>
        <w:jc w:val="both"/>
        <w:rPr>
          <w:rFonts w:ascii="Arial" w:hAnsi="Arial"/>
        </w:rPr>
      </w:pPr>
    </w:p>
    <w:p w:rsidR="00503FC1" w:rsidP="003905B8" w:rsidRDefault="00503FC1" w14:paraId="691D8F78" w14:textId="77777777">
      <w:pPr>
        <w:tabs>
          <w:tab w:val="left" w:pos="-1440"/>
        </w:tabs>
        <w:ind w:left="720" w:hanging="720"/>
        <w:jc w:val="both"/>
        <w:rPr>
          <w:rFonts w:ascii="Arial" w:hAnsi="Arial"/>
        </w:rPr>
      </w:pPr>
      <w:r>
        <w:rPr>
          <w:rFonts w:ascii="Arial" w:hAnsi="Arial"/>
        </w:rPr>
        <w:tab/>
        <w:t>There are no questions of a personal or sensitive nature on this declaration.</w:t>
      </w:r>
    </w:p>
    <w:p w:rsidR="00503FC1" w:rsidP="003905B8" w:rsidRDefault="00503FC1" w14:paraId="2E15CC2E" w14:textId="77777777">
      <w:pPr>
        <w:tabs>
          <w:tab w:val="left" w:pos="-1440"/>
        </w:tabs>
        <w:ind w:left="720" w:hanging="720"/>
        <w:jc w:val="both"/>
        <w:rPr>
          <w:rFonts w:ascii="Arial" w:hAnsi="Arial"/>
        </w:rPr>
      </w:pPr>
    </w:p>
    <w:p w:rsidRPr="003B1E3F" w:rsidR="00503FC1" w:rsidP="00E926EE" w:rsidRDefault="00503FC1" w14:paraId="1546D588" w14:textId="77777777">
      <w:pPr>
        <w:numPr>
          <w:ilvl w:val="0"/>
          <w:numId w:val="7"/>
        </w:numPr>
        <w:tabs>
          <w:tab w:val="clear" w:pos="1080"/>
          <w:tab w:val="left" w:pos="-1440"/>
          <w:tab w:val="num" w:pos="720"/>
        </w:tabs>
        <w:ind w:hanging="990"/>
        <w:jc w:val="both"/>
        <w:rPr>
          <w:rFonts w:ascii="Arial" w:hAnsi="Arial"/>
        </w:rPr>
      </w:pPr>
      <w:r w:rsidRPr="003B1E3F">
        <w:rPr>
          <w:rFonts w:ascii="Arial" w:hAnsi="Arial" w:cs="Arial"/>
          <w:b/>
          <w:bCs/>
        </w:rPr>
        <w:t>Provide estimates of the hour burden of the collection of information.</w:t>
      </w:r>
      <w:r w:rsidRPr="003B1E3F">
        <w:rPr>
          <w:rFonts w:ascii="Arial" w:hAnsi="Arial"/>
        </w:rPr>
        <w:tab/>
      </w:r>
    </w:p>
    <w:p w:rsidR="00503FC1" w:rsidP="003905B8" w:rsidRDefault="00503FC1" w14:paraId="597A8D8F" w14:textId="77777777">
      <w:pPr>
        <w:tabs>
          <w:tab w:val="left" w:pos="-1440"/>
        </w:tabs>
        <w:ind w:left="360"/>
        <w:jc w:val="both"/>
        <w:rPr>
          <w:rFonts w:ascii="Arial" w:hAnsi="Arial"/>
        </w:rPr>
      </w:pPr>
    </w:p>
    <w:p w:rsidR="00BD290A" w:rsidP="003905B8" w:rsidRDefault="00BD290A" w14:paraId="4D9587E8" w14:textId="77777777">
      <w:pPr>
        <w:tabs>
          <w:tab w:val="left" w:pos="-1440"/>
        </w:tabs>
        <w:ind w:left="360"/>
        <w:jc w:val="both"/>
        <w:rPr>
          <w:rFonts w:ascii="Arial" w:hAnsi="Arial"/>
        </w:rPr>
      </w:pPr>
      <w:r>
        <w:rPr>
          <w:rFonts w:ascii="Arial" w:hAnsi="Arial"/>
        </w:rPr>
        <w:tab/>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990"/>
        <w:gridCol w:w="1620"/>
        <w:gridCol w:w="1980"/>
        <w:gridCol w:w="1440"/>
        <w:gridCol w:w="1656"/>
      </w:tblGrid>
      <w:tr w:rsidRPr="00B80939" w:rsidR="00527BAE" w:rsidTr="00527BAE" w14:paraId="7172DA34" w14:textId="77777777">
        <w:tc>
          <w:tcPr>
            <w:tcW w:w="1530" w:type="dxa"/>
          </w:tcPr>
          <w:p w:rsidR="003A024C" w:rsidP="003A024C" w:rsidRDefault="003A024C" w14:paraId="7C8BAAC4" w14:textId="77777777">
            <w:pPr>
              <w:pStyle w:val="Style"/>
              <w:tabs>
                <w:tab w:val="left" w:pos="-1440"/>
              </w:tabs>
              <w:ind w:left="0" w:firstLine="0"/>
              <w:jc w:val="both"/>
              <w:rPr>
                <w:rFonts w:ascii="Arial" w:hAnsi="Arial"/>
                <w:sz w:val="22"/>
                <w:szCs w:val="22"/>
              </w:rPr>
            </w:pPr>
          </w:p>
          <w:p w:rsidRPr="00B80939" w:rsidR="003A024C" w:rsidP="00527BAE" w:rsidRDefault="003A024C" w14:paraId="15231917" w14:textId="77777777">
            <w:pPr>
              <w:pStyle w:val="Style"/>
              <w:tabs>
                <w:tab w:val="left" w:pos="-1440"/>
              </w:tabs>
              <w:ind w:left="0" w:firstLine="0"/>
              <w:jc w:val="center"/>
              <w:rPr>
                <w:rFonts w:ascii="Arial" w:hAnsi="Arial"/>
                <w:sz w:val="22"/>
                <w:szCs w:val="22"/>
              </w:rPr>
            </w:pPr>
            <w:r w:rsidRPr="00B80939">
              <w:rPr>
                <w:rFonts w:ascii="Arial" w:hAnsi="Arial"/>
                <w:sz w:val="22"/>
                <w:szCs w:val="22"/>
              </w:rPr>
              <w:t>Collection</w:t>
            </w:r>
          </w:p>
        </w:tc>
        <w:tc>
          <w:tcPr>
            <w:tcW w:w="990" w:type="dxa"/>
            <w:shd w:val="clear" w:color="auto" w:fill="auto"/>
          </w:tcPr>
          <w:p w:rsidRPr="00B80939" w:rsidR="003A024C" w:rsidP="005D0670" w:rsidRDefault="003A024C" w14:paraId="7E8652CE" w14:textId="77777777">
            <w:pPr>
              <w:pStyle w:val="Style"/>
              <w:tabs>
                <w:tab w:val="left" w:pos="-1440"/>
              </w:tabs>
              <w:ind w:left="0" w:firstLine="0"/>
              <w:jc w:val="both"/>
              <w:rPr>
                <w:rFonts w:ascii="Arial" w:hAnsi="Arial"/>
                <w:sz w:val="22"/>
                <w:szCs w:val="22"/>
              </w:rPr>
            </w:pPr>
            <w:r w:rsidRPr="00B80939">
              <w:rPr>
                <w:rFonts w:ascii="Arial" w:hAnsi="Arial"/>
                <w:sz w:val="22"/>
                <w:szCs w:val="22"/>
              </w:rPr>
              <w:t>T</w:t>
            </w:r>
            <w:r w:rsidRPr="00B80939" w:rsidR="00527BAE">
              <w:rPr>
                <w:rFonts w:ascii="Arial" w:hAnsi="Arial"/>
                <w:sz w:val="22"/>
                <w:szCs w:val="22"/>
              </w:rPr>
              <w:t>otal</w:t>
            </w:r>
          </w:p>
          <w:p w:rsidRPr="00B80939" w:rsidR="003A024C" w:rsidP="005D0670" w:rsidRDefault="003A024C" w14:paraId="0223A5AC" w14:textId="77777777">
            <w:pPr>
              <w:pStyle w:val="Style"/>
              <w:tabs>
                <w:tab w:val="left" w:pos="-1440"/>
              </w:tabs>
              <w:ind w:left="0" w:firstLine="0"/>
              <w:jc w:val="both"/>
              <w:rPr>
                <w:rFonts w:ascii="Arial" w:hAnsi="Arial"/>
                <w:sz w:val="22"/>
                <w:szCs w:val="22"/>
              </w:rPr>
            </w:pPr>
            <w:r w:rsidRPr="00B80939">
              <w:rPr>
                <w:rFonts w:ascii="Arial" w:hAnsi="Arial"/>
                <w:sz w:val="22"/>
                <w:szCs w:val="22"/>
              </w:rPr>
              <w:t>A</w:t>
            </w:r>
            <w:r w:rsidRPr="00B80939" w:rsidR="00527BAE">
              <w:rPr>
                <w:rFonts w:ascii="Arial" w:hAnsi="Arial"/>
                <w:sz w:val="22"/>
                <w:szCs w:val="22"/>
              </w:rPr>
              <w:t>nnual</w:t>
            </w:r>
          </w:p>
          <w:p w:rsidRPr="00B80939" w:rsidR="003A024C" w:rsidP="005D0670" w:rsidRDefault="003A024C" w14:paraId="2C975C47" w14:textId="77777777">
            <w:pPr>
              <w:pStyle w:val="Style"/>
              <w:tabs>
                <w:tab w:val="left" w:pos="-1440"/>
              </w:tabs>
              <w:ind w:left="0" w:firstLine="0"/>
              <w:jc w:val="both"/>
              <w:rPr>
                <w:rFonts w:ascii="Arial" w:hAnsi="Arial"/>
                <w:sz w:val="22"/>
                <w:szCs w:val="22"/>
              </w:rPr>
            </w:pPr>
            <w:r w:rsidRPr="00B80939">
              <w:rPr>
                <w:rFonts w:ascii="Arial" w:hAnsi="Arial"/>
                <w:sz w:val="22"/>
                <w:szCs w:val="22"/>
              </w:rPr>
              <w:t>B</w:t>
            </w:r>
            <w:r w:rsidRPr="00B80939" w:rsidR="00527BAE">
              <w:rPr>
                <w:rFonts w:ascii="Arial" w:hAnsi="Arial"/>
                <w:sz w:val="22"/>
                <w:szCs w:val="22"/>
              </w:rPr>
              <w:t>urden</w:t>
            </w:r>
          </w:p>
          <w:p w:rsidRPr="00B80939" w:rsidR="003A024C" w:rsidP="00527BAE" w:rsidRDefault="003A024C" w14:paraId="45BBCA64" w14:textId="77777777">
            <w:pPr>
              <w:pStyle w:val="Style"/>
              <w:tabs>
                <w:tab w:val="left" w:pos="-1440"/>
              </w:tabs>
              <w:ind w:left="0" w:firstLine="0"/>
              <w:jc w:val="both"/>
              <w:rPr>
                <w:rFonts w:ascii="Arial" w:hAnsi="Arial"/>
                <w:sz w:val="22"/>
                <w:szCs w:val="22"/>
              </w:rPr>
            </w:pPr>
            <w:r w:rsidRPr="00B80939">
              <w:rPr>
                <w:rFonts w:ascii="Arial" w:hAnsi="Arial"/>
                <w:sz w:val="22"/>
                <w:szCs w:val="22"/>
              </w:rPr>
              <w:t>H</w:t>
            </w:r>
            <w:r w:rsidRPr="00B80939" w:rsidR="00527BAE">
              <w:rPr>
                <w:rFonts w:ascii="Arial" w:hAnsi="Arial"/>
                <w:sz w:val="22"/>
                <w:szCs w:val="22"/>
              </w:rPr>
              <w:t>ours</w:t>
            </w:r>
          </w:p>
        </w:tc>
        <w:tc>
          <w:tcPr>
            <w:tcW w:w="1620" w:type="dxa"/>
            <w:shd w:val="clear" w:color="auto" w:fill="auto"/>
          </w:tcPr>
          <w:p w:rsidRPr="00B80939" w:rsidR="00527BAE" w:rsidP="005D0670" w:rsidRDefault="00527BAE" w14:paraId="50502A74" w14:textId="77777777">
            <w:pPr>
              <w:pStyle w:val="Style"/>
              <w:tabs>
                <w:tab w:val="left" w:pos="-1440"/>
              </w:tabs>
              <w:ind w:left="0" w:firstLine="0"/>
              <w:jc w:val="both"/>
              <w:rPr>
                <w:rFonts w:ascii="Arial" w:hAnsi="Arial"/>
                <w:sz w:val="22"/>
                <w:szCs w:val="22"/>
              </w:rPr>
            </w:pPr>
          </w:p>
          <w:p w:rsidRPr="00B80939" w:rsidR="003A024C" w:rsidP="00527BAE" w:rsidRDefault="003A024C" w14:paraId="2E7992F6" w14:textId="77777777">
            <w:pPr>
              <w:pStyle w:val="Style"/>
              <w:tabs>
                <w:tab w:val="left" w:pos="-1440"/>
              </w:tabs>
              <w:ind w:left="0" w:firstLine="0"/>
              <w:jc w:val="center"/>
              <w:rPr>
                <w:rFonts w:ascii="Arial" w:hAnsi="Arial"/>
              </w:rPr>
            </w:pPr>
            <w:r w:rsidRPr="00B80939">
              <w:rPr>
                <w:rFonts w:ascii="Arial" w:hAnsi="Arial"/>
                <w:sz w:val="22"/>
                <w:szCs w:val="22"/>
              </w:rPr>
              <w:t>N</w:t>
            </w:r>
            <w:r w:rsidRPr="00B80939" w:rsidR="00527BAE">
              <w:rPr>
                <w:rFonts w:ascii="Arial" w:hAnsi="Arial"/>
                <w:sz w:val="22"/>
                <w:szCs w:val="22"/>
              </w:rPr>
              <w:t>o. Of Respondents</w:t>
            </w:r>
          </w:p>
        </w:tc>
        <w:tc>
          <w:tcPr>
            <w:tcW w:w="1980" w:type="dxa"/>
            <w:shd w:val="clear" w:color="auto" w:fill="auto"/>
          </w:tcPr>
          <w:p w:rsidRPr="00B80939" w:rsidR="00527BAE" w:rsidP="00527BAE" w:rsidRDefault="00527BAE" w14:paraId="0907B3A6" w14:textId="77777777">
            <w:pPr>
              <w:pStyle w:val="Style"/>
              <w:tabs>
                <w:tab w:val="left" w:pos="-1440"/>
              </w:tabs>
              <w:ind w:left="0" w:firstLine="0"/>
              <w:rPr>
                <w:rFonts w:ascii="Arial" w:hAnsi="Arial"/>
                <w:sz w:val="22"/>
                <w:szCs w:val="22"/>
              </w:rPr>
            </w:pPr>
          </w:p>
          <w:p w:rsidRPr="00B80939" w:rsidR="003A024C" w:rsidP="00527BAE" w:rsidRDefault="003A024C" w14:paraId="07839756" w14:textId="77777777">
            <w:pPr>
              <w:pStyle w:val="Style"/>
              <w:tabs>
                <w:tab w:val="left" w:pos="-1440"/>
              </w:tabs>
              <w:ind w:left="0" w:firstLine="0"/>
              <w:jc w:val="center"/>
              <w:rPr>
                <w:rFonts w:ascii="Arial" w:hAnsi="Arial"/>
                <w:sz w:val="22"/>
                <w:szCs w:val="22"/>
              </w:rPr>
            </w:pPr>
            <w:r w:rsidRPr="00B80939">
              <w:rPr>
                <w:rFonts w:ascii="Arial" w:hAnsi="Arial"/>
                <w:sz w:val="22"/>
                <w:szCs w:val="22"/>
              </w:rPr>
              <w:t>N</w:t>
            </w:r>
            <w:r w:rsidRPr="00B80939" w:rsidR="00527BAE">
              <w:rPr>
                <w:rFonts w:ascii="Arial" w:hAnsi="Arial"/>
                <w:sz w:val="22"/>
                <w:szCs w:val="22"/>
              </w:rPr>
              <w:t>o. of Responses Per Respondent</w:t>
            </w:r>
          </w:p>
        </w:tc>
        <w:tc>
          <w:tcPr>
            <w:tcW w:w="1440" w:type="dxa"/>
            <w:shd w:val="clear" w:color="auto" w:fill="auto"/>
          </w:tcPr>
          <w:p w:rsidRPr="00B80939" w:rsidR="003A024C" w:rsidP="005D0670" w:rsidRDefault="003A024C" w14:paraId="5E518247" w14:textId="77777777">
            <w:pPr>
              <w:pStyle w:val="Style"/>
              <w:tabs>
                <w:tab w:val="left" w:pos="-1440"/>
              </w:tabs>
              <w:ind w:left="0" w:firstLine="0"/>
              <w:jc w:val="both"/>
              <w:rPr>
                <w:rFonts w:ascii="Arial" w:hAnsi="Arial"/>
              </w:rPr>
            </w:pPr>
          </w:p>
          <w:p w:rsidRPr="00B80939" w:rsidR="003A024C" w:rsidP="005D0670" w:rsidRDefault="00527BAE" w14:paraId="77FFB4EE" w14:textId="77777777">
            <w:pPr>
              <w:pStyle w:val="Style"/>
              <w:tabs>
                <w:tab w:val="left" w:pos="-1440"/>
              </w:tabs>
              <w:ind w:left="0" w:firstLine="0"/>
              <w:jc w:val="both"/>
              <w:rPr>
                <w:rFonts w:ascii="Arial" w:hAnsi="Arial"/>
              </w:rPr>
            </w:pPr>
            <w:r w:rsidRPr="00B80939">
              <w:rPr>
                <w:rFonts w:ascii="Arial" w:hAnsi="Arial"/>
              </w:rPr>
              <w:t>Total Responses</w:t>
            </w:r>
          </w:p>
        </w:tc>
        <w:tc>
          <w:tcPr>
            <w:tcW w:w="1656" w:type="dxa"/>
            <w:shd w:val="clear" w:color="auto" w:fill="auto"/>
          </w:tcPr>
          <w:p w:rsidRPr="00B80939" w:rsidR="003A024C" w:rsidP="005D0670" w:rsidRDefault="003A024C" w14:paraId="27CD182E" w14:textId="77777777">
            <w:pPr>
              <w:pStyle w:val="Style"/>
              <w:tabs>
                <w:tab w:val="left" w:pos="-1440"/>
              </w:tabs>
              <w:ind w:left="0" w:firstLine="0"/>
              <w:jc w:val="both"/>
              <w:rPr>
                <w:rFonts w:ascii="Arial" w:hAnsi="Arial"/>
                <w:sz w:val="22"/>
                <w:szCs w:val="22"/>
              </w:rPr>
            </w:pPr>
          </w:p>
          <w:p w:rsidRPr="00B80939" w:rsidR="00527BAE" w:rsidP="00527BAE" w:rsidRDefault="00527BAE" w14:paraId="02257129" w14:textId="77777777">
            <w:pPr>
              <w:pStyle w:val="Style"/>
              <w:tabs>
                <w:tab w:val="left" w:pos="-1440"/>
              </w:tabs>
              <w:ind w:left="0" w:firstLine="0"/>
              <w:jc w:val="center"/>
              <w:rPr>
                <w:rFonts w:ascii="Arial" w:hAnsi="Arial"/>
                <w:sz w:val="22"/>
                <w:szCs w:val="22"/>
              </w:rPr>
            </w:pPr>
            <w:r w:rsidRPr="00B80939">
              <w:rPr>
                <w:rFonts w:ascii="Arial" w:hAnsi="Arial"/>
                <w:sz w:val="22"/>
                <w:szCs w:val="22"/>
              </w:rPr>
              <w:t>Time Per Response</w:t>
            </w:r>
          </w:p>
        </w:tc>
      </w:tr>
      <w:tr w:rsidRPr="00C45895" w:rsidR="00527BAE" w:rsidTr="00527BAE" w14:paraId="1E35D81B" w14:textId="77777777">
        <w:tc>
          <w:tcPr>
            <w:tcW w:w="1530" w:type="dxa"/>
          </w:tcPr>
          <w:p w:rsidR="008F5DD9" w:rsidP="008F5DD9" w:rsidRDefault="008F5DD9" w14:paraId="42FEC1E1" w14:textId="77777777">
            <w:pPr>
              <w:pStyle w:val="Style"/>
              <w:tabs>
                <w:tab w:val="left" w:pos="-1440"/>
              </w:tabs>
              <w:ind w:left="0" w:firstLine="0"/>
              <w:jc w:val="center"/>
              <w:rPr>
                <w:rFonts w:ascii="Arial" w:hAnsi="Arial"/>
              </w:rPr>
            </w:pPr>
          </w:p>
          <w:p w:rsidRPr="00B80939" w:rsidR="003A024C" w:rsidP="008F5DD9" w:rsidRDefault="003A024C" w14:paraId="0A473CC3" w14:textId="20C86606">
            <w:pPr>
              <w:pStyle w:val="Style"/>
              <w:tabs>
                <w:tab w:val="left" w:pos="-1440"/>
              </w:tabs>
              <w:ind w:left="0" w:firstLine="0"/>
              <w:jc w:val="center"/>
              <w:rPr>
                <w:rFonts w:ascii="Arial" w:hAnsi="Arial"/>
              </w:rPr>
            </w:pPr>
            <w:r w:rsidRPr="00B80939">
              <w:rPr>
                <w:rFonts w:ascii="Arial" w:hAnsi="Arial"/>
              </w:rPr>
              <w:t>CBP Form 3229</w:t>
            </w:r>
          </w:p>
        </w:tc>
        <w:tc>
          <w:tcPr>
            <w:tcW w:w="990" w:type="dxa"/>
            <w:shd w:val="clear" w:color="auto" w:fill="auto"/>
          </w:tcPr>
          <w:p w:rsidRPr="00B80939" w:rsidR="003A024C" w:rsidP="005D0670" w:rsidRDefault="003A024C" w14:paraId="69F2B88A" w14:textId="77777777">
            <w:pPr>
              <w:pStyle w:val="Style"/>
              <w:tabs>
                <w:tab w:val="left" w:pos="-1440"/>
              </w:tabs>
              <w:ind w:left="0" w:firstLine="0"/>
              <w:jc w:val="both"/>
              <w:rPr>
                <w:rFonts w:ascii="Arial" w:hAnsi="Arial"/>
              </w:rPr>
            </w:pPr>
            <w:r w:rsidRPr="00B80939">
              <w:rPr>
                <w:rFonts w:ascii="Arial" w:hAnsi="Arial"/>
              </w:rPr>
              <w:t xml:space="preserve">  </w:t>
            </w:r>
          </w:p>
          <w:p w:rsidRPr="00B80939" w:rsidR="003A024C" w:rsidP="003A024C" w:rsidRDefault="003A024C" w14:paraId="1F9E6CB6" w14:textId="15F8D0C9">
            <w:pPr>
              <w:pStyle w:val="Style"/>
              <w:tabs>
                <w:tab w:val="left" w:pos="-1440"/>
              </w:tabs>
              <w:ind w:left="0" w:firstLine="0"/>
              <w:jc w:val="center"/>
              <w:rPr>
                <w:rFonts w:ascii="Arial" w:hAnsi="Arial"/>
              </w:rPr>
            </w:pPr>
            <w:r w:rsidRPr="00B80939">
              <w:rPr>
                <w:rFonts w:ascii="Arial" w:hAnsi="Arial"/>
              </w:rPr>
              <w:t>7</w:t>
            </w:r>
            <w:r w:rsidR="000B19F4">
              <w:rPr>
                <w:rFonts w:ascii="Arial" w:hAnsi="Arial"/>
              </w:rPr>
              <w:t>53</w:t>
            </w:r>
          </w:p>
        </w:tc>
        <w:tc>
          <w:tcPr>
            <w:tcW w:w="1620" w:type="dxa"/>
            <w:shd w:val="clear" w:color="auto" w:fill="auto"/>
          </w:tcPr>
          <w:p w:rsidRPr="00B80939" w:rsidR="003A024C" w:rsidP="005D0670" w:rsidRDefault="003A024C" w14:paraId="1BBD4F25" w14:textId="77777777">
            <w:pPr>
              <w:pStyle w:val="Style"/>
              <w:tabs>
                <w:tab w:val="left" w:pos="-1440"/>
              </w:tabs>
              <w:ind w:left="0" w:firstLine="0"/>
              <w:jc w:val="both"/>
              <w:rPr>
                <w:rFonts w:ascii="Arial" w:hAnsi="Arial"/>
              </w:rPr>
            </w:pPr>
            <w:r w:rsidRPr="00B80939">
              <w:rPr>
                <w:rFonts w:ascii="Arial" w:hAnsi="Arial"/>
              </w:rPr>
              <w:t xml:space="preserve">    </w:t>
            </w:r>
          </w:p>
          <w:p w:rsidRPr="00B80939" w:rsidR="003A024C" w:rsidP="003A024C" w:rsidRDefault="003A024C" w14:paraId="48920DCA" w14:textId="77777777">
            <w:pPr>
              <w:pStyle w:val="Style"/>
              <w:tabs>
                <w:tab w:val="left" w:pos="-1440"/>
              </w:tabs>
              <w:ind w:left="0" w:firstLine="0"/>
              <w:jc w:val="center"/>
              <w:rPr>
                <w:rFonts w:ascii="Arial" w:hAnsi="Arial"/>
              </w:rPr>
            </w:pPr>
            <w:r w:rsidRPr="00B80939">
              <w:rPr>
                <w:rFonts w:ascii="Arial" w:hAnsi="Arial"/>
              </w:rPr>
              <w:t>113</w:t>
            </w:r>
          </w:p>
        </w:tc>
        <w:tc>
          <w:tcPr>
            <w:tcW w:w="1980" w:type="dxa"/>
            <w:shd w:val="clear" w:color="auto" w:fill="auto"/>
          </w:tcPr>
          <w:p w:rsidRPr="00B80939" w:rsidR="003A024C" w:rsidP="005D0670" w:rsidRDefault="003A024C" w14:paraId="2627E5F0" w14:textId="77777777">
            <w:pPr>
              <w:pStyle w:val="Style"/>
              <w:tabs>
                <w:tab w:val="left" w:pos="-1440"/>
              </w:tabs>
              <w:ind w:left="0" w:firstLine="0"/>
              <w:jc w:val="both"/>
              <w:rPr>
                <w:rFonts w:ascii="Arial" w:hAnsi="Arial"/>
              </w:rPr>
            </w:pPr>
            <w:r w:rsidRPr="00B80939">
              <w:rPr>
                <w:rFonts w:ascii="Arial" w:hAnsi="Arial"/>
              </w:rPr>
              <w:t xml:space="preserve">     </w:t>
            </w:r>
          </w:p>
          <w:p w:rsidRPr="00B80939" w:rsidR="003A024C" w:rsidP="003A024C" w:rsidRDefault="003A024C" w14:paraId="63ACDCB6" w14:textId="77777777">
            <w:pPr>
              <w:pStyle w:val="Style"/>
              <w:tabs>
                <w:tab w:val="left" w:pos="-1440"/>
              </w:tabs>
              <w:ind w:left="0" w:firstLine="0"/>
              <w:jc w:val="center"/>
              <w:rPr>
                <w:rFonts w:ascii="Arial" w:hAnsi="Arial"/>
              </w:rPr>
            </w:pPr>
            <w:r w:rsidRPr="00B80939">
              <w:rPr>
                <w:rFonts w:ascii="Arial" w:hAnsi="Arial"/>
              </w:rPr>
              <w:t>20</w:t>
            </w:r>
          </w:p>
        </w:tc>
        <w:tc>
          <w:tcPr>
            <w:tcW w:w="1440" w:type="dxa"/>
            <w:shd w:val="clear" w:color="auto" w:fill="auto"/>
          </w:tcPr>
          <w:p w:rsidRPr="00B80939" w:rsidR="003A024C" w:rsidP="005D0670" w:rsidRDefault="003A024C" w14:paraId="799C189E" w14:textId="77777777">
            <w:pPr>
              <w:pStyle w:val="Style"/>
              <w:tabs>
                <w:tab w:val="left" w:pos="-1440"/>
              </w:tabs>
              <w:ind w:left="0" w:firstLine="0"/>
              <w:jc w:val="both"/>
              <w:rPr>
                <w:rFonts w:ascii="Arial" w:hAnsi="Arial"/>
              </w:rPr>
            </w:pPr>
            <w:r w:rsidRPr="00B80939">
              <w:rPr>
                <w:rFonts w:ascii="Arial" w:hAnsi="Arial"/>
              </w:rPr>
              <w:t xml:space="preserve">    </w:t>
            </w:r>
          </w:p>
          <w:p w:rsidRPr="00B80939" w:rsidR="003A024C" w:rsidP="003A024C" w:rsidRDefault="003A024C" w14:paraId="746951D1" w14:textId="77777777">
            <w:pPr>
              <w:pStyle w:val="Style"/>
              <w:tabs>
                <w:tab w:val="left" w:pos="-1440"/>
              </w:tabs>
              <w:ind w:left="0" w:firstLine="0"/>
              <w:jc w:val="center"/>
              <w:rPr>
                <w:rFonts w:ascii="Arial" w:hAnsi="Arial"/>
              </w:rPr>
            </w:pPr>
            <w:r w:rsidRPr="00B80939">
              <w:rPr>
                <w:rFonts w:ascii="Arial" w:hAnsi="Arial"/>
              </w:rPr>
              <w:t>2,260</w:t>
            </w:r>
          </w:p>
        </w:tc>
        <w:tc>
          <w:tcPr>
            <w:tcW w:w="1656" w:type="dxa"/>
            <w:shd w:val="clear" w:color="auto" w:fill="auto"/>
          </w:tcPr>
          <w:p w:rsidRPr="00B80939" w:rsidR="003A024C" w:rsidP="005D0670" w:rsidRDefault="003A024C" w14:paraId="0774B8D7" w14:textId="77777777">
            <w:pPr>
              <w:pStyle w:val="Style"/>
              <w:tabs>
                <w:tab w:val="left" w:pos="-1440"/>
              </w:tabs>
              <w:ind w:left="0" w:firstLine="0"/>
              <w:jc w:val="both"/>
              <w:rPr>
                <w:rFonts w:ascii="Arial" w:hAnsi="Arial"/>
              </w:rPr>
            </w:pPr>
          </w:p>
          <w:p w:rsidRPr="00C45895" w:rsidR="003A024C" w:rsidP="003A024C" w:rsidRDefault="009A52E3" w14:paraId="23E3B19A" w14:textId="77777777">
            <w:pPr>
              <w:pStyle w:val="Style"/>
              <w:tabs>
                <w:tab w:val="left" w:pos="-1440"/>
              </w:tabs>
              <w:ind w:left="0" w:firstLine="0"/>
              <w:jc w:val="center"/>
              <w:rPr>
                <w:rFonts w:ascii="Arial" w:hAnsi="Arial"/>
              </w:rPr>
            </w:pPr>
            <w:r>
              <w:rPr>
                <w:rFonts w:ascii="Arial" w:hAnsi="Arial"/>
              </w:rPr>
              <w:t>20</w:t>
            </w:r>
            <w:r w:rsidRPr="00B80939" w:rsidR="003A024C">
              <w:rPr>
                <w:rFonts w:ascii="Arial" w:hAnsi="Arial"/>
              </w:rPr>
              <w:t xml:space="preserve"> minutes</w:t>
            </w:r>
          </w:p>
          <w:p w:rsidRPr="00C45895" w:rsidR="003A024C" w:rsidP="005D0670" w:rsidRDefault="003A024C" w14:paraId="71211BD6" w14:textId="77777777">
            <w:pPr>
              <w:pStyle w:val="Style"/>
              <w:tabs>
                <w:tab w:val="left" w:pos="-1440"/>
              </w:tabs>
              <w:ind w:left="0" w:firstLine="0"/>
              <w:jc w:val="both"/>
              <w:rPr>
                <w:rFonts w:ascii="Arial" w:hAnsi="Arial"/>
              </w:rPr>
            </w:pPr>
          </w:p>
        </w:tc>
      </w:tr>
    </w:tbl>
    <w:p w:rsidR="00BD290A" w:rsidP="003905B8" w:rsidRDefault="00BD290A" w14:paraId="12B044ED" w14:textId="77777777">
      <w:pPr>
        <w:tabs>
          <w:tab w:val="left" w:pos="-1440"/>
        </w:tabs>
        <w:ind w:left="360"/>
        <w:jc w:val="both"/>
        <w:rPr>
          <w:rFonts w:ascii="Arial" w:hAnsi="Arial"/>
        </w:rPr>
      </w:pPr>
    </w:p>
    <w:p w:rsidRPr="005C6FCA" w:rsidR="00122E45" w:rsidP="003905B8" w:rsidRDefault="00503FC1" w14:paraId="0F50E5A8" w14:textId="77777777">
      <w:pPr>
        <w:tabs>
          <w:tab w:val="left" w:pos="-1440"/>
        </w:tabs>
        <w:ind w:left="720" w:hanging="720"/>
        <w:jc w:val="both"/>
        <w:rPr>
          <w:rFonts w:ascii="Arial" w:hAnsi="Arial"/>
          <w:b/>
        </w:rPr>
      </w:pPr>
      <w:r>
        <w:rPr>
          <w:rFonts w:ascii="Arial" w:hAnsi="Arial"/>
        </w:rPr>
        <w:tab/>
      </w:r>
      <w:r w:rsidRPr="005C6FCA" w:rsidR="005C6FCA">
        <w:rPr>
          <w:rFonts w:ascii="Arial" w:hAnsi="Arial"/>
          <w:b/>
        </w:rPr>
        <w:t>Public Cost</w:t>
      </w:r>
    </w:p>
    <w:p w:rsidRPr="0047671C" w:rsidR="007861EE" w:rsidP="003905B8" w:rsidRDefault="00503FC1" w14:paraId="2D87224B" w14:textId="77777777">
      <w:pPr>
        <w:tabs>
          <w:tab w:val="left" w:pos="-1440"/>
        </w:tabs>
        <w:ind w:left="720" w:hanging="720"/>
        <w:jc w:val="both"/>
        <w:rPr>
          <w:rFonts w:ascii="Arial" w:hAnsi="Arial"/>
          <w:b/>
          <w:bCs/>
          <w:color w:val="FF0000"/>
          <w:szCs w:val="24"/>
        </w:rPr>
      </w:pPr>
      <w:r>
        <w:rPr>
          <w:rFonts w:ascii="Arial" w:hAnsi="Arial"/>
        </w:rPr>
        <w:tab/>
      </w:r>
    </w:p>
    <w:p w:rsidR="000A6BA7" w:rsidP="000A6BA7" w:rsidRDefault="000A6BA7" w14:paraId="193B9C1C" w14:textId="09EBAB7E">
      <w:pPr>
        <w:tabs>
          <w:tab w:val="left" w:pos="-1440"/>
        </w:tabs>
        <w:ind w:left="720"/>
        <w:jc w:val="both"/>
        <w:rPr>
          <w:rFonts w:ascii="Arial" w:hAnsi="Arial"/>
        </w:rPr>
      </w:pPr>
      <w:r w:rsidRPr="000A6BA7">
        <w:rPr>
          <w:rFonts w:ascii="Arial" w:hAnsi="Arial"/>
        </w:rPr>
        <w:t>The estimated cost to the respondents is $</w:t>
      </w:r>
      <w:r w:rsidR="000B19F4">
        <w:rPr>
          <w:rFonts w:ascii="Arial" w:hAnsi="Arial"/>
        </w:rPr>
        <w:t>23,622</w:t>
      </w:r>
      <w:r w:rsidRPr="000A6BA7">
        <w:rPr>
          <w:rFonts w:ascii="Arial" w:hAnsi="Arial"/>
        </w:rPr>
        <w:t>.  This is based on the estimated burden hours (</w:t>
      </w:r>
      <w:r>
        <w:rPr>
          <w:rFonts w:ascii="Arial" w:hAnsi="Arial"/>
        </w:rPr>
        <w:t>7</w:t>
      </w:r>
      <w:r w:rsidR="000B19F4">
        <w:rPr>
          <w:rFonts w:ascii="Arial" w:hAnsi="Arial"/>
        </w:rPr>
        <w:t>53</w:t>
      </w:r>
      <w:r w:rsidRPr="000A6BA7">
        <w:rPr>
          <w:rFonts w:ascii="Arial" w:hAnsi="Arial"/>
        </w:rPr>
        <w:t>) multiplied by the average loaded hourly wage rate for importers ($31.37).  CBP calculated this loaded wage rate by first multiplying the Bureau of Labor Statistics’ (BLS) 2020 median hourly wage rate for Cargo and Freight Agents ($21.04), which CBP assumes best represents the wage for importers, by the ratio of BLS’ average 2020 total compensation to wages and salaries for Office and Administrative Support occupations (1.4912), the assumed occupational group for importers, to account for non-salary employee benefits.</w:t>
      </w:r>
      <w:r w:rsidRPr="000A6BA7">
        <w:rPr>
          <w:rFonts w:ascii="Arial" w:hAnsi="Arial"/>
          <w:vertAlign w:val="superscript"/>
        </w:rPr>
        <w:footnoteReference w:id="1"/>
      </w:r>
      <w:r w:rsidRPr="000A6BA7">
        <w:rPr>
          <w:rFonts w:ascii="Arial" w:hAnsi="Arial"/>
          <w:vertAlign w:val="superscript"/>
        </w:rPr>
        <w:t xml:space="preserve">  </w:t>
      </w:r>
      <w:r w:rsidRPr="000A6BA7">
        <w:rPr>
          <w:rFonts w:ascii="Arial" w:hAnsi="Arial"/>
        </w:rPr>
        <w:t>This figure is in 2020 U.S. dollars and CBP assumes an annual growth rate of 0 percent; the 2020 U.S. dollar value is equal to the 2021 U.S. dollar value.</w:t>
      </w:r>
      <w:r w:rsidR="0047671C">
        <w:rPr>
          <w:rFonts w:ascii="Arial" w:hAnsi="Arial"/>
        </w:rPr>
        <w:tab/>
      </w:r>
    </w:p>
    <w:p w:rsidR="00503FC1" w:rsidP="000A6BA7" w:rsidRDefault="00503FC1" w14:paraId="6468ED73" w14:textId="77777777">
      <w:pPr>
        <w:tabs>
          <w:tab w:val="left" w:pos="-1440"/>
        </w:tabs>
        <w:jc w:val="both"/>
        <w:rPr>
          <w:rFonts w:ascii="Arial" w:hAnsi="Arial"/>
        </w:rPr>
      </w:pPr>
    </w:p>
    <w:p w:rsidR="00503FC1" w:rsidP="003905B8" w:rsidRDefault="00503FC1" w14:paraId="286A5090" w14:textId="77777777">
      <w:pPr>
        <w:tabs>
          <w:tab w:val="left" w:pos="-1440"/>
        </w:tabs>
        <w:ind w:left="720" w:hanging="720"/>
        <w:jc w:val="both"/>
        <w:rPr>
          <w:rFonts w:ascii="Arial" w:hAnsi="Arial"/>
        </w:rPr>
      </w:pPr>
      <w:r>
        <w:rPr>
          <w:rFonts w:ascii="Arial" w:hAnsi="Arial"/>
          <w:b/>
          <w:bCs/>
        </w:rPr>
        <w:t>13.</w:t>
      </w:r>
      <w:r>
        <w:rPr>
          <w:rFonts w:ascii="Arial" w:hAnsi="Arial"/>
        </w:rPr>
        <w:tab/>
      </w:r>
      <w:r w:rsidRPr="000A6BA7">
        <w:rPr>
          <w:rFonts w:ascii="Arial" w:hAnsi="Arial" w:cs="Arial"/>
          <w:b/>
          <w:bCs/>
        </w:rPr>
        <w:t>Provide an estimate of the total annual cost burden to respondents or recordkeepers resulting from the collection of information.</w:t>
      </w:r>
      <w:r>
        <w:rPr>
          <w:rFonts w:ascii="Arial" w:hAnsi="Arial"/>
        </w:rPr>
        <w:tab/>
      </w:r>
    </w:p>
    <w:p w:rsidR="00031651" w:rsidP="003905B8" w:rsidRDefault="00031651" w14:paraId="11A15A7D" w14:textId="77777777">
      <w:pPr>
        <w:pStyle w:val="BodyTextIndent2"/>
        <w:jc w:val="both"/>
      </w:pPr>
    </w:p>
    <w:p w:rsidR="00031651" w:rsidP="003905B8" w:rsidRDefault="00031651" w14:paraId="76192D65" w14:textId="77777777">
      <w:pPr>
        <w:pStyle w:val="BodyTextIndent2"/>
        <w:jc w:val="both"/>
      </w:pPr>
      <w:r>
        <w:t xml:space="preserve">There are no capital or start-up costs associated with this information collection.   </w:t>
      </w:r>
    </w:p>
    <w:p w:rsidR="00031651" w:rsidP="003905B8" w:rsidRDefault="00031651" w14:paraId="3EEF808A" w14:textId="77777777">
      <w:pPr>
        <w:tabs>
          <w:tab w:val="left" w:pos="-1440"/>
        </w:tabs>
        <w:jc w:val="both"/>
        <w:rPr>
          <w:rFonts w:ascii="Arial" w:hAnsi="Arial"/>
          <w:b/>
          <w:bCs/>
        </w:rPr>
      </w:pPr>
    </w:p>
    <w:p w:rsidR="00503FC1" w:rsidP="003905B8" w:rsidRDefault="00503FC1" w14:paraId="052309ED" w14:textId="77777777">
      <w:pPr>
        <w:tabs>
          <w:tab w:val="left" w:pos="-1440"/>
        </w:tabs>
        <w:jc w:val="both"/>
        <w:rPr>
          <w:rFonts w:ascii="Arial" w:hAnsi="Arial"/>
        </w:rPr>
      </w:pPr>
      <w:r>
        <w:rPr>
          <w:rFonts w:ascii="Arial" w:hAnsi="Arial"/>
          <w:b/>
          <w:bCs/>
        </w:rPr>
        <w:t>14</w:t>
      </w:r>
      <w:r>
        <w:rPr>
          <w:rFonts w:ascii="Arial" w:hAnsi="Arial"/>
        </w:rPr>
        <w:t>.</w:t>
      </w:r>
      <w:r>
        <w:rPr>
          <w:rFonts w:ascii="Arial" w:hAnsi="Arial"/>
        </w:rPr>
        <w:tab/>
      </w:r>
      <w:r>
        <w:rPr>
          <w:rFonts w:ascii="Arial" w:hAnsi="Arial" w:cs="Arial"/>
          <w:b/>
          <w:bCs/>
        </w:rPr>
        <w:t xml:space="preserve">Provide estimates of annualized cost to the Federal Government.  </w:t>
      </w:r>
    </w:p>
    <w:p w:rsidR="008B7885" w:rsidP="003905B8" w:rsidRDefault="008B7885" w14:paraId="2C4069C5" w14:textId="77777777">
      <w:pPr>
        <w:tabs>
          <w:tab w:val="left" w:pos="-1440"/>
        </w:tabs>
        <w:ind w:left="720" w:hanging="720"/>
        <w:jc w:val="both"/>
        <w:rPr>
          <w:rFonts w:ascii="Arial" w:hAnsi="Arial"/>
        </w:rPr>
      </w:pPr>
    </w:p>
    <w:p w:rsidR="000A6BA7" w:rsidP="000A6BA7" w:rsidRDefault="000A6BA7" w14:paraId="2B2B8AF7" w14:textId="37270183">
      <w:pPr>
        <w:tabs>
          <w:tab w:val="left" w:pos="-1440"/>
        </w:tabs>
        <w:ind w:left="720"/>
        <w:jc w:val="both"/>
        <w:rPr>
          <w:rFonts w:ascii="Arial" w:hAnsi="Arial"/>
        </w:rPr>
      </w:pPr>
      <w:r w:rsidRPr="000A6BA7">
        <w:rPr>
          <w:rFonts w:ascii="Arial" w:hAnsi="Arial"/>
        </w:rPr>
        <w:t xml:space="preserve">The estimated annual cost to the Federal Government associated with the review of these </w:t>
      </w:r>
      <w:r>
        <w:rPr>
          <w:rFonts w:ascii="Arial" w:hAnsi="Arial"/>
        </w:rPr>
        <w:t>records</w:t>
      </w:r>
      <w:r w:rsidRPr="000A6BA7">
        <w:rPr>
          <w:rFonts w:ascii="Arial" w:hAnsi="Arial"/>
        </w:rPr>
        <w:t xml:space="preserve"> is $27,484. This is based on the number of responses that must be reviewed (</w:t>
      </w:r>
      <w:r>
        <w:rPr>
          <w:rFonts w:ascii="Arial" w:hAnsi="Arial"/>
        </w:rPr>
        <w:t>2,260</w:t>
      </w:r>
      <w:r w:rsidRPr="000A6BA7">
        <w:rPr>
          <w:rFonts w:ascii="Arial" w:hAnsi="Arial"/>
        </w:rPr>
        <w:t>) multiplied by the time burden to review and process each response (</w:t>
      </w:r>
      <w:r>
        <w:rPr>
          <w:rFonts w:ascii="Arial" w:hAnsi="Arial"/>
        </w:rPr>
        <w:t xml:space="preserve">0.166 </w:t>
      </w:r>
      <w:r w:rsidRPr="000A6BA7">
        <w:rPr>
          <w:rFonts w:ascii="Arial" w:hAnsi="Arial"/>
        </w:rPr>
        <w:t xml:space="preserve">hours) = </w:t>
      </w:r>
      <w:r>
        <w:rPr>
          <w:rFonts w:ascii="Arial" w:hAnsi="Arial"/>
        </w:rPr>
        <w:t xml:space="preserve">375 </w:t>
      </w:r>
      <w:r w:rsidRPr="000A6BA7">
        <w:rPr>
          <w:rFonts w:ascii="Arial" w:hAnsi="Arial"/>
        </w:rPr>
        <w:t>hours multiplied by the average hourly loaded rate for a CBP Trade and Revenue employee ($73.29)</w:t>
      </w:r>
      <w:r w:rsidRPr="000A6BA7">
        <w:rPr>
          <w:rFonts w:ascii="Arial" w:hAnsi="Arial"/>
          <w:vertAlign w:val="superscript"/>
        </w:rPr>
        <w:footnoteReference w:id="2"/>
      </w:r>
      <w:r w:rsidRPr="000A6BA7">
        <w:rPr>
          <w:rFonts w:ascii="Arial" w:hAnsi="Arial"/>
        </w:rPr>
        <w:t xml:space="preserve"> = $</w:t>
      </w:r>
      <w:bookmarkStart w:name="_Hlk87266925" w:id="0"/>
      <w:r>
        <w:rPr>
          <w:rFonts w:ascii="Arial" w:hAnsi="Arial"/>
        </w:rPr>
        <w:t>27,484</w:t>
      </w:r>
      <w:bookmarkEnd w:id="0"/>
      <w:r w:rsidRPr="000A6BA7">
        <w:rPr>
          <w:rFonts w:ascii="Arial" w:hAnsi="Arial"/>
        </w:rPr>
        <w:t>.</w:t>
      </w:r>
    </w:p>
    <w:p w:rsidR="00503FC1" w:rsidP="003905B8" w:rsidRDefault="00503FC1" w14:paraId="6A18DF93" w14:textId="77777777">
      <w:pPr>
        <w:jc w:val="both"/>
        <w:rPr>
          <w:rFonts w:ascii="Arial" w:hAnsi="Arial"/>
        </w:rPr>
      </w:pPr>
    </w:p>
    <w:p w:rsidR="00503FC1" w:rsidP="003905B8" w:rsidRDefault="00503FC1" w14:paraId="5745FE17" w14:textId="77777777">
      <w:pPr>
        <w:ind w:left="720" w:hanging="720"/>
        <w:jc w:val="both"/>
        <w:rPr>
          <w:rFonts w:ascii="Arial" w:hAnsi="Arial" w:cs="Arial"/>
          <w:b/>
          <w:bCs/>
        </w:rPr>
      </w:pPr>
      <w:r>
        <w:rPr>
          <w:rFonts w:ascii="Arial" w:hAnsi="Arial"/>
          <w:b/>
          <w:bCs/>
        </w:rPr>
        <w:t>15.</w:t>
      </w:r>
      <w:r>
        <w:rPr>
          <w:rFonts w:ascii="Arial" w:hAnsi="Arial"/>
        </w:rPr>
        <w:tab/>
      </w:r>
      <w:r w:rsidRPr="000A6BA7">
        <w:rPr>
          <w:rFonts w:ascii="Arial" w:hAnsi="Arial" w:cs="Arial"/>
          <w:b/>
          <w:bCs/>
        </w:rPr>
        <w:t xml:space="preserve">Explain the reasons for any program changes or adjustments reported in Items </w:t>
      </w:r>
      <w:r w:rsidRPr="000A6BA7">
        <w:rPr>
          <w:rFonts w:ascii="Arial" w:hAnsi="Arial" w:cs="Arial"/>
          <w:b/>
          <w:bCs/>
        </w:rPr>
        <w:lastRenderedPageBreak/>
        <w:t>13 or 14 of th</w:t>
      </w:r>
      <w:r w:rsidRPr="000A6BA7" w:rsidR="00097C8C">
        <w:rPr>
          <w:rFonts w:ascii="Arial" w:hAnsi="Arial" w:cs="Arial"/>
          <w:b/>
          <w:bCs/>
        </w:rPr>
        <w:t>is Statement</w:t>
      </w:r>
      <w:r w:rsidRPr="000A6BA7">
        <w:rPr>
          <w:rFonts w:ascii="Arial" w:hAnsi="Arial" w:cs="Arial"/>
          <w:b/>
          <w:bCs/>
        </w:rPr>
        <w:t>.</w:t>
      </w:r>
      <w:r>
        <w:rPr>
          <w:rFonts w:ascii="Arial" w:hAnsi="Arial" w:cs="Arial"/>
          <w:b/>
          <w:bCs/>
        </w:rPr>
        <w:t xml:space="preserve">  </w:t>
      </w:r>
    </w:p>
    <w:p w:rsidR="00503FC1" w:rsidP="003905B8" w:rsidRDefault="00503FC1" w14:paraId="3331A394" w14:textId="77777777">
      <w:pPr>
        <w:ind w:left="720" w:hanging="720"/>
        <w:jc w:val="both"/>
        <w:rPr>
          <w:rFonts w:ascii="Arial" w:hAnsi="Arial"/>
        </w:rPr>
      </w:pPr>
    </w:p>
    <w:p w:rsidRPr="00F602F8" w:rsidR="00FD1ABB" w:rsidP="00F602F8" w:rsidRDefault="00FD1ABB" w14:paraId="125D3BD6" w14:textId="5E607008">
      <w:pPr>
        <w:tabs>
          <w:tab w:val="left" w:pos="-1440"/>
        </w:tabs>
        <w:ind w:left="720" w:hanging="720"/>
        <w:jc w:val="both"/>
        <w:rPr>
          <w:rFonts w:ascii="Arial" w:hAnsi="Arial" w:cs="Arial"/>
        </w:rPr>
      </w:pPr>
      <w:r>
        <w:rPr>
          <w:rFonts w:ascii="Arial" w:hAnsi="Arial" w:cs="Arial"/>
        </w:rPr>
        <w:tab/>
      </w:r>
      <w:r w:rsidRPr="00F602F8" w:rsidR="00F602F8">
        <w:rPr>
          <w:rFonts w:ascii="Arial" w:hAnsi="Arial" w:cs="Arial"/>
        </w:rPr>
        <w:t>There has been no increase or decrease in the estimated annual burden hours</w:t>
      </w:r>
      <w:r w:rsidR="00F602F8">
        <w:rPr>
          <w:rFonts w:ascii="Arial" w:hAnsi="Arial" w:cs="Arial"/>
        </w:rPr>
        <w:t xml:space="preserve"> </w:t>
      </w:r>
      <w:r w:rsidRPr="00F602F8" w:rsidR="00F602F8">
        <w:rPr>
          <w:rFonts w:ascii="Arial" w:hAnsi="Arial" w:cs="Arial"/>
        </w:rPr>
        <w:t>previously reported for this information collection.</w:t>
      </w:r>
      <w:r w:rsidR="00FC1B38">
        <w:rPr>
          <w:rFonts w:ascii="Arial" w:hAnsi="Arial" w:cs="Arial"/>
        </w:rPr>
        <w:t xml:space="preserve"> There is no change to the information collected</w:t>
      </w:r>
      <w:r w:rsidR="00B8348F">
        <w:rPr>
          <w:rFonts w:ascii="Arial" w:hAnsi="Arial" w:cs="Arial"/>
        </w:rPr>
        <w:t xml:space="preserve">. A minor correction in calculations caused a slight </w:t>
      </w:r>
      <w:r w:rsidR="0091211B">
        <w:rPr>
          <w:rFonts w:ascii="Arial" w:hAnsi="Arial" w:cs="Arial"/>
        </w:rPr>
        <w:t>increase</w:t>
      </w:r>
      <w:r w:rsidR="00B8348F">
        <w:rPr>
          <w:rFonts w:ascii="Arial" w:hAnsi="Arial" w:cs="Arial"/>
        </w:rPr>
        <w:t xml:space="preserve"> in </w:t>
      </w:r>
      <w:r w:rsidR="006F56B6">
        <w:rPr>
          <w:rFonts w:ascii="Arial" w:hAnsi="Arial" w:cs="Arial"/>
        </w:rPr>
        <w:t xml:space="preserve">total annual </w:t>
      </w:r>
      <w:r w:rsidR="00B8348F">
        <w:rPr>
          <w:rFonts w:ascii="Arial" w:hAnsi="Arial" w:cs="Arial"/>
        </w:rPr>
        <w:t>burden on ROCIS.</w:t>
      </w:r>
    </w:p>
    <w:p w:rsidR="00EE0AB1" w:rsidP="00890DE6" w:rsidRDefault="00EE0AB1" w14:paraId="1DCD36C5" w14:textId="77777777">
      <w:pPr>
        <w:ind w:left="720"/>
        <w:jc w:val="both"/>
        <w:rPr>
          <w:rFonts w:ascii="Arial" w:hAnsi="Arial"/>
        </w:rPr>
      </w:pPr>
    </w:p>
    <w:p w:rsidR="00503FC1" w:rsidP="003905B8" w:rsidRDefault="00503FC1" w14:paraId="64BAD59E" w14:textId="77777777">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503FC1" w:rsidP="003905B8" w:rsidRDefault="00503FC1" w14:paraId="6EA1F51F" w14:textId="77777777">
      <w:pPr>
        <w:jc w:val="both"/>
        <w:rPr>
          <w:rFonts w:ascii="Arial" w:hAnsi="Arial"/>
        </w:rPr>
      </w:pPr>
    </w:p>
    <w:p w:rsidR="00503FC1" w:rsidP="003905B8" w:rsidRDefault="00503FC1" w14:paraId="5645A796" w14:textId="77777777">
      <w:pPr>
        <w:jc w:val="both"/>
        <w:rPr>
          <w:rFonts w:ascii="Arial" w:hAnsi="Arial"/>
        </w:rPr>
      </w:pPr>
      <w:r>
        <w:rPr>
          <w:rFonts w:ascii="Arial" w:hAnsi="Arial"/>
        </w:rPr>
        <w:tab/>
        <w:t>This information will not be published for statistical purposes.</w:t>
      </w:r>
    </w:p>
    <w:p w:rsidR="00503FC1" w:rsidP="003905B8" w:rsidRDefault="00503FC1" w14:paraId="493B131D" w14:textId="77777777">
      <w:pPr>
        <w:jc w:val="both"/>
        <w:rPr>
          <w:rFonts w:ascii="Arial" w:hAnsi="Arial"/>
        </w:rPr>
      </w:pPr>
    </w:p>
    <w:p w:rsidR="00503FC1" w:rsidP="00D07F23" w:rsidRDefault="00813F29" w14:paraId="7A590F68" w14:textId="77777777">
      <w:pPr>
        <w:jc w:val="both"/>
        <w:rPr>
          <w:rFonts w:ascii="Arial" w:hAnsi="Arial" w:cs="Arial"/>
          <w:b/>
          <w:bCs/>
        </w:rPr>
      </w:pPr>
      <w:r>
        <w:rPr>
          <w:rFonts w:ascii="Arial" w:hAnsi="Arial" w:cs="Arial"/>
          <w:b/>
          <w:bCs/>
        </w:rPr>
        <w:t xml:space="preserve">17. </w:t>
      </w:r>
      <w:r w:rsidR="00503FC1">
        <w:rPr>
          <w:rFonts w:ascii="Arial" w:hAnsi="Arial" w:cs="Arial"/>
          <w:b/>
          <w:bCs/>
        </w:rPr>
        <w:t xml:space="preserve">  If seeking approval to not display the expiration date for OMB approval of </w:t>
      </w:r>
      <w:r>
        <w:rPr>
          <w:rFonts w:ascii="Arial" w:hAnsi="Arial" w:cs="Arial"/>
          <w:b/>
          <w:bCs/>
        </w:rPr>
        <w:t xml:space="preserve">             </w:t>
      </w:r>
      <w:r w:rsidR="00D07F23">
        <w:rPr>
          <w:rFonts w:ascii="Arial" w:hAnsi="Arial" w:cs="Arial"/>
          <w:b/>
          <w:bCs/>
        </w:rPr>
        <w:t xml:space="preserve">              </w:t>
      </w:r>
      <w:r w:rsidR="00503FC1">
        <w:rPr>
          <w:rFonts w:ascii="Arial" w:hAnsi="Arial" w:cs="Arial"/>
          <w:b/>
          <w:bCs/>
        </w:rPr>
        <w:t xml:space="preserve">the information collection, explain the reasons that display would be </w:t>
      </w:r>
      <w:r>
        <w:rPr>
          <w:rFonts w:ascii="Arial" w:hAnsi="Arial" w:cs="Arial"/>
          <w:b/>
          <w:bCs/>
        </w:rPr>
        <w:t xml:space="preserve">                          </w:t>
      </w:r>
      <w:r w:rsidR="00D07F23">
        <w:rPr>
          <w:rFonts w:ascii="Arial" w:hAnsi="Arial" w:cs="Arial"/>
          <w:b/>
          <w:bCs/>
        </w:rPr>
        <w:t xml:space="preserve">     </w:t>
      </w:r>
      <w:r>
        <w:rPr>
          <w:rFonts w:ascii="Arial" w:hAnsi="Arial" w:cs="Arial"/>
          <w:b/>
          <w:bCs/>
        </w:rPr>
        <w:t>in</w:t>
      </w:r>
      <w:r w:rsidR="00503FC1">
        <w:rPr>
          <w:rFonts w:ascii="Arial" w:hAnsi="Arial" w:cs="Arial"/>
          <w:b/>
          <w:bCs/>
        </w:rPr>
        <w:t>appropriate.</w:t>
      </w:r>
    </w:p>
    <w:p w:rsidR="00503FC1" w:rsidP="003905B8" w:rsidRDefault="00503FC1" w14:paraId="45B0FABF" w14:textId="77777777">
      <w:pPr>
        <w:tabs>
          <w:tab w:val="left" w:pos="-2768"/>
          <w:tab w:val="left" w:pos="-2048"/>
          <w:tab w:val="left" w:pos="-1328"/>
          <w:tab w:val="left" w:pos="-608"/>
          <w:tab w:val="left" w:pos="81"/>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jc w:val="both"/>
        <w:rPr>
          <w:rFonts w:ascii="Arial" w:hAnsi="Arial"/>
        </w:rPr>
      </w:pPr>
    </w:p>
    <w:p w:rsidR="00DF41FE" w:rsidP="003905B8" w:rsidRDefault="00503FC1" w14:paraId="319055DE" w14:textId="77777777">
      <w:pPr>
        <w:jc w:val="both"/>
        <w:rPr>
          <w:rFonts w:ascii="Arial" w:hAnsi="Arial" w:cs="Arial"/>
        </w:rPr>
      </w:pPr>
      <w:r>
        <w:rPr>
          <w:rFonts w:ascii="Arial" w:hAnsi="Arial"/>
        </w:rPr>
        <w:t xml:space="preserve">          </w:t>
      </w:r>
      <w:r w:rsidR="00D07F23">
        <w:rPr>
          <w:rFonts w:ascii="Arial" w:hAnsi="Arial"/>
        </w:rPr>
        <w:t xml:space="preserve"> </w:t>
      </w:r>
      <w:r w:rsidRPr="00757746" w:rsidR="00DF41FE">
        <w:rPr>
          <w:rFonts w:ascii="Arial" w:hAnsi="Arial" w:cs="Arial"/>
          <w:bCs/>
        </w:rPr>
        <w:t>CBP</w:t>
      </w:r>
      <w:r w:rsidR="00DF41FE">
        <w:rPr>
          <w:rFonts w:ascii="Arial" w:hAnsi="Arial" w:cs="Arial"/>
          <w:bCs/>
        </w:rPr>
        <w:t xml:space="preserve"> </w:t>
      </w:r>
      <w:r w:rsidRPr="007F20CA" w:rsidR="00DF41FE">
        <w:rPr>
          <w:rFonts w:ascii="Arial" w:hAnsi="Arial" w:cs="Arial"/>
        </w:rPr>
        <w:t>will display the expiration date for OMB approval of this information collection.</w:t>
      </w:r>
      <w:r w:rsidR="00DF41FE">
        <w:rPr>
          <w:rFonts w:ascii="Arial" w:hAnsi="Arial" w:cs="Arial"/>
        </w:rPr>
        <w:t xml:space="preserve"> </w:t>
      </w:r>
    </w:p>
    <w:p w:rsidR="009E5D81" w:rsidP="003905B8" w:rsidRDefault="009E5D81" w14:paraId="093AEF62" w14:textId="77777777">
      <w:pPr>
        <w:jc w:val="both"/>
        <w:rPr>
          <w:rFonts w:ascii="Arial" w:hAnsi="Arial" w:cs="Arial"/>
          <w:b/>
          <w:bCs/>
          <w:szCs w:val="24"/>
        </w:rPr>
      </w:pPr>
    </w:p>
    <w:p w:rsidR="00503FC1" w:rsidP="003905B8" w:rsidRDefault="00503FC1" w14:paraId="34FE2BE3" w14:textId="77777777">
      <w:pPr>
        <w:jc w:val="both"/>
        <w:rPr>
          <w:rFonts w:ascii="Arial" w:hAnsi="Arial"/>
        </w:rPr>
      </w:pPr>
      <w:r>
        <w:rPr>
          <w:rFonts w:ascii="Arial" w:hAnsi="Arial"/>
          <w:b/>
          <w:bCs/>
        </w:rPr>
        <w:t>18.</w:t>
      </w:r>
      <w:r>
        <w:rPr>
          <w:rFonts w:ascii="Arial" w:hAnsi="Arial"/>
        </w:rPr>
        <w:t xml:space="preserve">      </w:t>
      </w:r>
      <w:r>
        <w:rPr>
          <w:rFonts w:ascii="Arial" w:hAnsi="Arial" w:cs="Arial"/>
          <w:b/>
          <w:bCs/>
        </w:rPr>
        <w:t xml:space="preserve">Explain each exception to the certification statement identified in Item </w:t>
      </w:r>
    </w:p>
    <w:p w:rsidR="00503FC1" w:rsidP="003905B8" w:rsidRDefault="00503FC1" w14:paraId="15E68087" w14:textId="77777777">
      <w:pPr>
        <w:ind w:left="720" w:hanging="720"/>
        <w:jc w:val="both"/>
        <w:rPr>
          <w:rFonts w:ascii="Arial" w:hAnsi="Arial"/>
        </w:rPr>
      </w:pPr>
    </w:p>
    <w:p w:rsidRPr="001207D8" w:rsidR="005C332D" w:rsidP="003905B8" w:rsidRDefault="005C332D" w14:paraId="46DD8572"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503FC1" w:rsidP="003905B8" w:rsidRDefault="00503FC1" w14:paraId="3B554E6A" w14:textId="77777777">
      <w:pPr>
        <w:tabs>
          <w:tab w:val="left" w:pos="-2768"/>
          <w:tab w:val="left" w:pos="-2048"/>
          <w:tab w:val="left" w:pos="-1328"/>
          <w:tab w:val="left" w:pos="-608"/>
          <w:tab w:val="left" w:pos="81"/>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jc w:val="both"/>
        <w:rPr>
          <w:rFonts w:ascii="Arial" w:hAnsi="Arial"/>
        </w:rPr>
      </w:pPr>
    </w:p>
    <w:p w:rsidRPr="00695A70" w:rsidR="00695A70" w:rsidP="003905B8" w:rsidRDefault="00695A70" w14:paraId="52AE16D7" w14:textId="77777777">
      <w:pPr>
        <w:pStyle w:val="Heading1"/>
        <w:numPr>
          <w:ilvl w:val="0"/>
          <w:numId w:val="10"/>
        </w:numPr>
        <w:tabs>
          <w:tab w:val="clear" w:pos="4824"/>
        </w:tabs>
        <w:jc w:val="both"/>
        <w:rPr>
          <w:rFonts w:cs="Arial"/>
          <w:sz w:val="24"/>
          <w:szCs w:val="24"/>
        </w:rPr>
      </w:pPr>
      <w:r w:rsidRPr="00695A70">
        <w:rPr>
          <w:rFonts w:cs="Arial"/>
          <w:sz w:val="24"/>
          <w:szCs w:val="24"/>
        </w:rPr>
        <w:t>Collection of Information Employing Statistical Methods</w:t>
      </w:r>
    </w:p>
    <w:p w:rsidRPr="001207D8" w:rsidR="00695A70" w:rsidP="003905B8" w:rsidRDefault="00695A70" w14:paraId="7BAF2A3E" w14:textId="77777777">
      <w:pPr>
        <w:jc w:val="both"/>
        <w:rPr>
          <w:rFonts w:ascii="Arial" w:hAnsi="Arial" w:cs="Arial"/>
          <w:szCs w:val="24"/>
        </w:rPr>
      </w:pPr>
    </w:p>
    <w:p w:rsidR="00695A70" w:rsidP="003905B8" w:rsidRDefault="00695A70" w14:paraId="09F47B32" w14:textId="77777777">
      <w:pPr>
        <w:pStyle w:val="BodyTextIndent2"/>
        <w:jc w:val="both"/>
        <w:rPr>
          <w:szCs w:val="24"/>
        </w:rPr>
      </w:pPr>
      <w:r>
        <w:rPr>
          <w:szCs w:val="24"/>
        </w:rPr>
        <w:t xml:space="preserve">   </w:t>
      </w:r>
      <w:r w:rsidR="00D07F23">
        <w:rPr>
          <w:szCs w:val="24"/>
        </w:rPr>
        <w:t>N</w:t>
      </w:r>
      <w:r w:rsidRPr="000B286B">
        <w:rPr>
          <w:szCs w:val="24"/>
        </w:rPr>
        <w:t>o statistical methods were employed.</w:t>
      </w:r>
    </w:p>
    <w:p w:rsidRPr="00695A70" w:rsidR="00503FC1" w:rsidP="003905B8" w:rsidRDefault="00503FC1" w14:paraId="0326EB95" w14:textId="77777777">
      <w:pPr>
        <w:jc w:val="both"/>
        <w:rPr>
          <w:rFonts w:ascii="Arial" w:hAnsi="Arial"/>
          <w:b/>
        </w:rPr>
      </w:pPr>
    </w:p>
    <w:p w:rsidR="00503FC1" w:rsidP="003905B8" w:rsidRDefault="00503FC1" w14:paraId="0728725F" w14:textId="77777777">
      <w:pPr>
        <w:jc w:val="both"/>
        <w:rPr>
          <w:rFonts w:ascii="Arial" w:hAnsi="Arial"/>
        </w:rPr>
      </w:pPr>
    </w:p>
    <w:p w:rsidR="00503FC1" w:rsidP="003905B8" w:rsidRDefault="00503FC1" w14:paraId="35B865AE" w14:textId="77777777">
      <w:pPr>
        <w:jc w:val="both"/>
        <w:rPr>
          <w:rFonts w:ascii="Arial" w:hAnsi="Arial"/>
        </w:rPr>
      </w:pPr>
    </w:p>
    <w:p w:rsidR="00503FC1" w:rsidP="003905B8" w:rsidRDefault="00503FC1" w14:paraId="7E219366" w14:textId="77777777">
      <w:pPr>
        <w:jc w:val="both"/>
        <w:rPr>
          <w:rFonts w:ascii="Arial" w:hAnsi="Arial"/>
          <w:b/>
        </w:rPr>
      </w:pPr>
    </w:p>
    <w:p w:rsidR="00503FC1" w:rsidP="003905B8" w:rsidRDefault="00503FC1" w14:paraId="6920A0BF" w14:textId="77777777">
      <w:pPr>
        <w:jc w:val="both"/>
        <w:rPr>
          <w:rFonts w:ascii="Arial" w:hAnsi="Arial"/>
          <w:b/>
        </w:rPr>
      </w:pPr>
    </w:p>
    <w:p w:rsidR="00503FC1" w:rsidP="003905B8" w:rsidRDefault="00503FC1" w14:paraId="23C3A06C" w14:textId="77777777">
      <w:pPr>
        <w:jc w:val="both"/>
        <w:rPr>
          <w:rFonts w:ascii="Arial" w:hAnsi="Arial"/>
          <w:b/>
        </w:rPr>
      </w:pPr>
    </w:p>
    <w:sectPr w:rsidR="00503FC1">
      <w:footerReference w:type="even" r:id="rId8"/>
      <w:footerReference w:type="default" r:id="rId9"/>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7EB8" w14:textId="77777777" w:rsidR="006E033E" w:rsidRDefault="006E033E">
      <w:r>
        <w:separator/>
      </w:r>
    </w:p>
  </w:endnote>
  <w:endnote w:type="continuationSeparator" w:id="0">
    <w:p w14:paraId="32257DC8" w14:textId="77777777" w:rsidR="006E033E" w:rsidRDefault="006E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43A3" w14:textId="77777777" w:rsidR="00B00DDC" w:rsidRDefault="00B00DDC" w:rsidP="00401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009237" w14:textId="77777777" w:rsidR="00B00DDC" w:rsidRDefault="00B00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A123" w14:textId="77777777" w:rsidR="00B00DDC" w:rsidRDefault="00B00DDC" w:rsidP="00401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52E3">
      <w:rPr>
        <w:rStyle w:val="PageNumber"/>
        <w:noProof/>
      </w:rPr>
      <w:t>3</w:t>
    </w:r>
    <w:r>
      <w:rPr>
        <w:rStyle w:val="PageNumber"/>
      </w:rPr>
      <w:fldChar w:fldCharType="end"/>
    </w:r>
  </w:p>
  <w:p w14:paraId="641BC1E9" w14:textId="77777777" w:rsidR="00B00DDC" w:rsidRDefault="00B00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0B54" w14:textId="77777777" w:rsidR="006E033E" w:rsidRDefault="006E033E">
      <w:r>
        <w:separator/>
      </w:r>
    </w:p>
  </w:footnote>
  <w:footnote w:type="continuationSeparator" w:id="0">
    <w:p w14:paraId="18209D34" w14:textId="77777777" w:rsidR="006E033E" w:rsidRDefault="006E033E">
      <w:r>
        <w:continuationSeparator/>
      </w:r>
    </w:p>
  </w:footnote>
  <w:footnote w:id="1">
    <w:p w14:paraId="38AE9A6E" w14:textId="77777777" w:rsidR="000A6BA7" w:rsidRPr="00BE463E" w:rsidRDefault="000A6BA7" w:rsidP="000A6BA7">
      <w:pPr>
        <w:rPr>
          <w:color w:val="1F497D"/>
          <w:sz w:val="20"/>
          <w:lang w:val="en"/>
        </w:rPr>
      </w:pPr>
      <w:r w:rsidRPr="00D41379">
        <w:rPr>
          <w:rStyle w:val="FootnoteReference"/>
          <w:sz w:val="20"/>
        </w:rPr>
        <w:footnoteRef/>
      </w:r>
      <w:r w:rsidRPr="00D41379">
        <w:rPr>
          <w:sz w:val="20"/>
        </w:rPr>
        <w:t xml:space="preserve"> </w:t>
      </w:r>
      <w:r>
        <w:rPr>
          <w:sz w:val="20"/>
        </w:rPr>
        <w:t xml:space="preserve">Source of median wage rate: </w:t>
      </w:r>
      <w:r w:rsidRPr="00793AB8">
        <w:rPr>
          <w:sz w:val="20"/>
          <w:lang w:val="en"/>
        </w:rPr>
        <w:t>U.S. Bureau of Labor Statistics.  Occupational Employment Statistics, “May 20</w:t>
      </w:r>
      <w:r>
        <w:rPr>
          <w:sz w:val="20"/>
          <w:lang w:val="en"/>
        </w:rPr>
        <w:t>20</w:t>
      </w:r>
      <w:r w:rsidRPr="00793AB8">
        <w:rPr>
          <w:sz w:val="20"/>
          <w:lang w:val="en"/>
        </w:rPr>
        <w:t xml:space="preserve"> National Occupational Employment and Wage Estimates </w:t>
      </w:r>
      <w:r>
        <w:rPr>
          <w:sz w:val="20"/>
          <w:lang w:val="en"/>
        </w:rPr>
        <w:t>United States.”  Updated March 31, 2021</w:t>
      </w:r>
      <w:r w:rsidRPr="00793AB8">
        <w:rPr>
          <w:sz w:val="20"/>
          <w:lang w:val="en"/>
        </w:rPr>
        <w:t>.  Available at https://www.bls.gov/oes/</w:t>
      </w:r>
      <w:r>
        <w:rPr>
          <w:sz w:val="20"/>
          <w:lang w:val="en"/>
        </w:rPr>
        <w:t>2020</w:t>
      </w:r>
      <w:r w:rsidRPr="00BE463E">
        <w:rPr>
          <w:sz w:val="20"/>
          <w:lang w:val="en"/>
        </w:rPr>
        <w:t xml:space="preserve">/may/oes_nat.htm.  </w:t>
      </w:r>
      <w:r>
        <w:rPr>
          <w:sz w:val="20"/>
          <w:lang w:val="en"/>
        </w:rPr>
        <w:t>Accessed June 1, 2021</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2020</w:t>
      </w:r>
      <w:r w:rsidRPr="00BE463E">
        <w:rPr>
          <w:sz w:val="20"/>
          <w:lang w:val="en"/>
        </w:rPr>
        <w:t xml:space="preserve"> quarterly estimates (shown under Mar., June, Sep., Dec.) of the total compensation cost per hour worked for Office and Administrative </w:t>
      </w:r>
      <w:r>
        <w:rPr>
          <w:sz w:val="20"/>
          <w:lang w:val="en"/>
        </w:rPr>
        <w:t>Support occupations ($28.8875</w:t>
      </w:r>
      <w:r w:rsidRPr="00BE463E">
        <w:rPr>
          <w:sz w:val="20"/>
          <w:lang w:val="en"/>
        </w:rPr>
        <w:t>) divided by th</w:t>
      </w:r>
      <w:r>
        <w:rPr>
          <w:sz w:val="20"/>
          <w:lang w:val="en"/>
        </w:rPr>
        <w:t>e calculated average of the 2020</w:t>
      </w:r>
      <w:r w:rsidRPr="00BE463E">
        <w:rPr>
          <w:sz w:val="20"/>
          <w:lang w:val="en"/>
        </w:rPr>
        <w:t xml:space="preserve"> quarterly estimates (shown under Mar., June, Sep., Dec.) of wages and salaries cost per hour worked for the sa</w:t>
      </w:r>
      <w:r>
        <w:rPr>
          <w:sz w:val="20"/>
          <w:lang w:val="en"/>
        </w:rPr>
        <w:t>me occupation category ($19.3725</w:t>
      </w:r>
      <w:r w:rsidRPr="00BE463E">
        <w:rPr>
          <w:sz w:val="20"/>
          <w:lang w:val="en"/>
        </w:rPr>
        <w:t>).  Source of total compensation to wages and salaries ratio data: U.S. Bureau of Labor Statistics.  Employer Costs for Employee Compensation.  Employer Costs for Employee Compensation Historical Li</w:t>
      </w:r>
      <w:r>
        <w:rPr>
          <w:sz w:val="20"/>
          <w:lang w:val="en"/>
        </w:rPr>
        <w:t>sting March 2004 – December 2020</w:t>
      </w:r>
      <w:r w:rsidRPr="00BE463E">
        <w:rPr>
          <w:sz w:val="20"/>
          <w:lang w:val="en"/>
        </w:rPr>
        <w:t>, “Table 3. Civilian workers, by occupational group: employer costs per hours worked for employee compensation and costs as a percentage of total compe</w:t>
      </w:r>
      <w:r>
        <w:rPr>
          <w:sz w:val="20"/>
          <w:lang w:val="en"/>
        </w:rPr>
        <w:t>nsation, 2004-2020.”  March 2021</w:t>
      </w:r>
      <w:r w:rsidRPr="00BE463E">
        <w:rPr>
          <w:sz w:val="20"/>
          <w:lang w:val="en"/>
        </w:rPr>
        <w:t>.  Available at https://www.bls.gov/web/ecec</w:t>
      </w:r>
      <w:r>
        <w:rPr>
          <w:sz w:val="20"/>
          <w:lang w:val="en"/>
        </w:rPr>
        <w:t>/ececqrtn.pdf.  Accessed June 1, 2021</w:t>
      </w:r>
      <w:r w:rsidRPr="00BE463E">
        <w:rPr>
          <w:sz w:val="20"/>
          <w:lang w:val="en"/>
        </w:rPr>
        <w:t>.</w:t>
      </w:r>
    </w:p>
  </w:footnote>
  <w:footnote w:id="2">
    <w:p w14:paraId="1A471914" w14:textId="77777777" w:rsidR="000A6BA7" w:rsidRPr="00D41379" w:rsidRDefault="000A6BA7" w:rsidP="000A6BA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2021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1</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September 7, 2021</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77FE9"/>
    <w:multiLevelType w:val="singleLevel"/>
    <w:tmpl w:val="B396FCA2"/>
    <w:lvl w:ilvl="0">
      <w:start w:val="6"/>
      <w:numFmt w:val="decimal"/>
      <w:lvlText w:val="%1."/>
      <w:lvlJc w:val="left"/>
      <w:pPr>
        <w:tabs>
          <w:tab w:val="num" w:pos="720"/>
        </w:tabs>
        <w:ind w:left="720" w:hanging="720"/>
      </w:pPr>
      <w:rPr>
        <w:rFonts w:hint="default"/>
      </w:rPr>
    </w:lvl>
  </w:abstractNum>
  <w:abstractNum w:abstractNumId="1" w15:restartNumberingAfterBreak="0">
    <w:nsid w:val="27E829C1"/>
    <w:multiLevelType w:val="singleLevel"/>
    <w:tmpl w:val="09D47732"/>
    <w:lvl w:ilvl="0">
      <w:start w:val="14"/>
      <w:numFmt w:val="decimal"/>
      <w:lvlText w:val="%1."/>
      <w:lvlJc w:val="left"/>
      <w:pPr>
        <w:tabs>
          <w:tab w:val="num" w:pos="720"/>
        </w:tabs>
        <w:ind w:left="720" w:hanging="720"/>
      </w:pPr>
      <w:rPr>
        <w:rFonts w:hint="default"/>
      </w:rPr>
    </w:lvl>
  </w:abstractNum>
  <w:abstractNum w:abstractNumId="2"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3" w15:restartNumberingAfterBreak="0">
    <w:nsid w:val="29223402"/>
    <w:multiLevelType w:val="hybridMultilevel"/>
    <w:tmpl w:val="81BA1B02"/>
    <w:lvl w:ilvl="0" w:tplc="A9AEED2E">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DE3423"/>
    <w:multiLevelType w:val="hybridMultilevel"/>
    <w:tmpl w:val="999A4972"/>
    <w:lvl w:ilvl="0" w:tplc="5B68007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9D5751"/>
    <w:multiLevelType w:val="hybridMultilevel"/>
    <w:tmpl w:val="2EFE4F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C30D34"/>
    <w:multiLevelType w:val="hybridMultilevel"/>
    <w:tmpl w:val="65749B7C"/>
    <w:lvl w:ilvl="0" w:tplc="43381426">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0"/>
  </w:num>
  <w:num w:numId="3">
    <w:abstractNumId w:val="2"/>
  </w:num>
  <w:num w:numId="4">
    <w:abstractNumId w:val="7"/>
  </w:num>
  <w:num w:numId="5">
    <w:abstractNumId w:val="5"/>
  </w:num>
  <w:num w:numId="6">
    <w:abstractNumId w:val="9"/>
  </w:num>
  <w:num w:numId="7">
    <w:abstractNumId w:val="4"/>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0F"/>
    <w:rsid w:val="000034B1"/>
    <w:rsid w:val="0001660A"/>
    <w:rsid w:val="00031651"/>
    <w:rsid w:val="0003766B"/>
    <w:rsid w:val="000416FF"/>
    <w:rsid w:val="00041EC8"/>
    <w:rsid w:val="0006233E"/>
    <w:rsid w:val="00097C8C"/>
    <w:rsid w:val="000A1B5E"/>
    <w:rsid w:val="000A51B5"/>
    <w:rsid w:val="000A6BA7"/>
    <w:rsid w:val="000B19F4"/>
    <w:rsid w:val="000D69B0"/>
    <w:rsid w:val="000D6F9A"/>
    <w:rsid w:val="000D74A7"/>
    <w:rsid w:val="000E7032"/>
    <w:rsid w:val="00106B0F"/>
    <w:rsid w:val="001105B3"/>
    <w:rsid w:val="00120D4A"/>
    <w:rsid w:val="001215A0"/>
    <w:rsid w:val="00122E45"/>
    <w:rsid w:val="00141882"/>
    <w:rsid w:val="001454F8"/>
    <w:rsid w:val="00167EDD"/>
    <w:rsid w:val="00176965"/>
    <w:rsid w:val="001850CD"/>
    <w:rsid w:val="00187F3A"/>
    <w:rsid w:val="001A5514"/>
    <w:rsid w:val="001C6575"/>
    <w:rsid w:val="001D40A6"/>
    <w:rsid w:val="00215541"/>
    <w:rsid w:val="00246B7F"/>
    <w:rsid w:val="00262269"/>
    <w:rsid w:val="002641F6"/>
    <w:rsid w:val="00273C89"/>
    <w:rsid w:val="00283DFF"/>
    <w:rsid w:val="00284173"/>
    <w:rsid w:val="002F28EC"/>
    <w:rsid w:val="00301515"/>
    <w:rsid w:val="00303D7C"/>
    <w:rsid w:val="00310014"/>
    <w:rsid w:val="00311BDD"/>
    <w:rsid w:val="00317213"/>
    <w:rsid w:val="0032234F"/>
    <w:rsid w:val="0032450C"/>
    <w:rsid w:val="00325DED"/>
    <w:rsid w:val="00332278"/>
    <w:rsid w:val="00334861"/>
    <w:rsid w:val="00334CAD"/>
    <w:rsid w:val="00342EF4"/>
    <w:rsid w:val="00342F03"/>
    <w:rsid w:val="003462F7"/>
    <w:rsid w:val="00364416"/>
    <w:rsid w:val="0036683C"/>
    <w:rsid w:val="00371CF9"/>
    <w:rsid w:val="00377579"/>
    <w:rsid w:val="003905B8"/>
    <w:rsid w:val="003A024C"/>
    <w:rsid w:val="003B1E3F"/>
    <w:rsid w:val="003D0126"/>
    <w:rsid w:val="003D7063"/>
    <w:rsid w:val="003F1E15"/>
    <w:rsid w:val="003F2A58"/>
    <w:rsid w:val="003F6785"/>
    <w:rsid w:val="003F746F"/>
    <w:rsid w:val="00401C3D"/>
    <w:rsid w:val="00410E80"/>
    <w:rsid w:val="00411557"/>
    <w:rsid w:val="00413804"/>
    <w:rsid w:val="0043731F"/>
    <w:rsid w:val="004558CB"/>
    <w:rsid w:val="0047671C"/>
    <w:rsid w:val="004877FA"/>
    <w:rsid w:val="004930E0"/>
    <w:rsid w:val="004B234E"/>
    <w:rsid w:val="004B2DBC"/>
    <w:rsid w:val="004B31CD"/>
    <w:rsid w:val="004B5949"/>
    <w:rsid w:val="004C3D79"/>
    <w:rsid w:val="004C3E67"/>
    <w:rsid w:val="004D1FCE"/>
    <w:rsid w:val="004D4040"/>
    <w:rsid w:val="004E5BFD"/>
    <w:rsid w:val="004F60FD"/>
    <w:rsid w:val="004F6E95"/>
    <w:rsid w:val="005003E8"/>
    <w:rsid w:val="00503FC1"/>
    <w:rsid w:val="00516415"/>
    <w:rsid w:val="00522D50"/>
    <w:rsid w:val="00527BAE"/>
    <w:rsid w:val="005320F4"/>
    <w:rsid w:val="00590186"/>
    <w:rsid w:val="0059561D"/>
    <w:rsid w:val="005B0FF7"/>
    <w:rsid w:val="005B28B6"/>
    <w:rsid w:val="005C332D"/>
    <w:rsid w:val="005C5304"/>
    <w:rsid w:val="005C6FCA"/>
    <w:rsid w:val="005D0670"/>
    <w:rsid w:val="005D0D6E"/>
    <w:rsid w:val="005D444D"/>
    <w:rsid w:val="006252D9"/>
    <w:rsid w:val="00630DA9"/>
    <w:rsid w:val="0063311F"/>
    <w:rsid w:val="00645268"/>
    <w:rsid w:val="00655305"/>
    <w:rsid w:val="00670902"/>
    <w:rsid w:val="00670921"/>
    <w:rsid w:val="00672C39"/>
    <w:rsid w:val="00695A70"/>
    <w:rsid w:val="006A2918"/>
    <w:rsid w:val="006A67AF"/>
    <w:rsid w:val="006B0FEE"/>
    <w:rsid w:val="006E033E"/>
    <w:rsid w:val="006E2B26"/>
    <w:rsid w:val="006E725C"/>
    <w:rsid w:val="006F107A"/>
    <w:rsid w:val="006F56B6"/>
    <w:rsid w:val="00761F45"/>
    <w:rsid w:val="007861EE"/>
    <w:rsid w:val="007B32CB"/>
    <w:rsid w:val="007C455C"/>
    <w:rsid w:val="007E5846"/>
    <w:rsid w:val="007E6C01"/>
    <w:rsid w:val="007E7B40"/>
    <w:rsid w:val="007F6D3A"/>
    <w:rsid w:val="00803D3E"/>
    <w:rsid w:val="00813172"/>
    <w:rsid w:val="00813565"/>
    <w:rsid w:val="00813F29"/>
    <w:rsid w:val="00844EC4"/>
    <w:rsid w:val="008643D0"/>
    <w:rsid w:val="00872ED1"/>
    <w:rsid w:val="0087452E"/>
    <w:rsid w:val="00890DE6"/>
    <w:rsid w:val="00897495"/>
    <w:rsid w:val="008A70EB"/>
    <w:rsid w:val="008B7885"/>
    <w:rsid w:val="008E3A8B"/>
    <w:rsid w:val="008F5DD9"/>
    <w:rsid w:val="0091211B"/>
    <w:rsid w:val="009265AC"/>
    <w:rsid w:val="00936FAF"/>
    <w:rsid w:val="009A52E3"/>
    <w:rsid w:val="009A6767"/>
    <w:rsid w:val="009D3091"/>
    <w:rsid w:val="009E0F45"/>
    <w:rsid w:val="009E5730"/>
    <w:rsid w:val="009E5D81"/>
    <w:rsid w:val="00A20838"/>
    <w:rsid w:val="00A23D28"/>
    <w:rsid w:val="00A270AC"/>
    <w:rsid w:val="00A4607D"/>
    <w:rsid w:val="00A62C71"/>
    <w:rsid w:val="00A6523B"/>
    <w:rsid w:val="00A77EE9"/>
    <w:rsid w:val="00A848B6"/>
    <w:rsid w:val="00A870F6"/>
    <w:rsid w:val="00AA1400"/>
    <w:rsid w:val="00AC2163"/>
    <w:rsid w:val="00AF1735"/>
    <w:rsid w:val="00AF7C3A"/>
    <w:rsid w:val="00B00DDC"/>
    <w:rsid w:val="00B051C1"/>
    <w:rsid w:val="00B2296B"/>
    <w:rsid w:val="00B2428C"/>
    <w:rsid w:val="00B55353"/>
    <w:rsid w:val="00B64196"/>
    <w:rsid w:val="00B6420B"/>
    <w:rsid w:val="00B7252C"/>
    <w:rsid w:val="00B80939"/>
    <w:rsid w:val="00B8348F"/>
    <w:rsid w:val="00B8367A"/>
    <w:rsid w:val="00BA5A88"/>
    <w:rsid w:val="00BB3855"/>
    <w:rsid w:val="00BB3BC5"/>
    <w:rsid w:val="00BD290A"/>
    <w:rsid w:val="00BE49BC"/>
    <w:rsid w:val="00BF0518"/>
    <w:rsid w:val="00BF79E9"/>
    <w:rsid w:val="00C13CD8"/>
    <w:rsid w:val="00C20D38"/>
    <w:rsid w:val="00C237E0"/>
    <w:rsid w:val="00C2409D"/>
    <w:rsid w:val="00C254DB"/>
    <w:rsid w:val="00C40026"/>
    <w:rsid w:val="00C4170D"/>
    <w:rsid w:val="00C4255D"/>
    <w:rsid w:val="00C61798"/>
    <w:rsid w:val="00C74846"/>
    <w:rsid w:val="00CA60E6"/>
    <w:rsid w:val="00CA7BF7"/>
    <w:rsid w:val="00CB2DCA"/>
    <w:rsid w:val="00CC7269"/>
    <w:rsid w:val="00CE332C"/>
    <w:rsid w:val="00CE4241"/>
    <w:rsid w:val="00D07F23"/>
    <w:rsid w:val="00D2259E"/>
    <w:rsid w:val="00D317D3"/>
    <w:rsid w:val="00D348C1"/>
    <w:rsid w:val="00D37600"/>
    <w:rsid w:val="00D42641"/>
    <w:rsid w:val="00D42C66"/>
    <w:rsid w:val="00D43FF1"/>
    <w:rsid w:val="00D718FF"/>
    <w:rsid w:val="00D8205F"/>
    <w:rsid w:val="00DF41FE"/>
    <w:rsid w:val="00E00F6B"/>
    <w:rsid w:val="00E11B50"/>
    <w:rsid w:val="00E131C7"/>
    <w:rsid w:val="00E63054"/>
    <w:rsid w:val="00E926EE"/>
    <w:rsid w:val="00EA18D5"/>
    <w:rsid w:val="00EC14F5"/>
    <w:rsid w:val="00ED7D92"/>
    <w:rsid w:val="00EE0AB1"/>
    <w:rsid w:val="00EE1132"/>
    <w:rsid w:val="00EF20BA"/>
    <w:rsid w:val="00F1128E"/>
    <w:rsid w:val="00F2004F"/>
    <w:rsid w:val="00F353BD"/>
    <w:rsid w:val="00F47378"/>
    <w:rsid w:val="00F5746F"/>
    <w:rsid w:val="00F602F8"/>
    <w:rsid w:val="00F67BB9"/>
    <w:rsid w:val="00F7284E"/>
    <w:rsid w:val="00F944E2"/>
    <w:rsid w:val="00FA5121"/>
    <w:rsid w:val="00FA56B6"/>
    <w:rsid w:val="00FA6B9A"/>
    <w:rsid w:val="00FA7ACA"/>
    <w:rsid w:val="00FC1B38"/>
    <w:rsid w:val="00FC1CF4"/>
    <w:rsid w:val="00FD1ABB"/>
    <w:rsid w:val="00FE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BDA77B4"/>
  <w15:chartTrackingRefBased/>
  <w15:docId w15:val="{9EE5C2DD-9EE8-40A4-ABAD-48CE9781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695A70"/>
    <w:pPr>
      <w:keepNext/>
      <w:tabs>
        <w:tab w:val="center" w:pos="4824"/>
      </w:tab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2">
    <w:name w:val="Body Text Indent 2"/>
    <w:basedOn w:val="Normal"/>
    <w:rsid w:val="00503FC1"/>
    <w:pPr>
      <w:ind w:left="720"/>
    </w:pPr>
    <w:rPr>
      <w:rFonts w:ascii="Arial" w:hAnsi="Arial" w:cs="Arial"/>
    </w:rPr>
  </w:style>
  <w:style w:type="paragraph" w:customStyle="1" w:styleId="Style">
    <w:name w:val="Style"/>
    <w:basedOn w:val="Normal"/>
    <w:rsid w:val="00503FC1"/>
    <w:pPr>
      <w:ind w:left="1440" w:hanging="720"/>
    </w:pPr>
  </w:style>
  <w:style w:type="table" w:styleId="TableGrid">
    <w:name w:val="Table Grid"/>
    <w:basedOn w:val="TableNormal"/>
    <w:rsid w:val="00503F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F107A"/>
    <w:pPr>
      <w:tabs>
        <w:tab w:val="center" w:pos="4320"/>
        <w:tab w:val="right" w:pos="8640"/>
      </w:tabs>
    </w:pPr>
  </w:style>
  <w:style w:type="character" w:styleId="PageNumber">
    <w:name w:val="page number"/>
    <w:basedOn w:val="DefaultParagraphFont"/>
    <w:rsid w:val="006F107A"/>
  </w:style>
  <w:style w:type="character" w:styleId="Hyperlink">
    <w:name w:val="Hyperlink"/>
    <w:rsid w:val="003905B8"/>
    <w:rPr>
      <w:color w:val="0000FF"/>
      <w:u w:val="single"/>
    </w:rPr>
  </w:style>
  <w:style w:type="paragraph" w:styleId="BalloonText">
    <w:name w:val="Balloon Text"/>
    <w:basedOn w:val="Normal"/>
    <w:semiHidden/>
    <w:rsid w:val="001454F8"/>
    <w:rPr>
      <w:rFonts w:ascii="Tahoma" w:hAnsi="Tahoma" w:cs="Tahoma"/>
      <w:sz w:val="16"/>
      <w:szCs w:val="16"/>
    </w:rPr>
  </w:style>
  <w:style w:type="character" w:styleId="CommentReference">
    <w:name w:val="annotation reference"/>
    <w:semiHidden/>
    <w:rsid w:val="001454F8"/>
    <w:rPr>
      <w:sz w:val="16"/>
      <w:szCs w:val="16"/>
    </w:rPr>
  </w:style>
  <w:style w:type="paragraph" w:styleId="CommentText">
    <w:name w:val="annotation text"/>
    <w:basedOn w:val="Normal"/>
    <w:semiHidden/>
    <w:rsid w:val="001454F8"/>
    <w:rPr>
      <w:sz w:val="20"/>
    </w:rPr>
  </w:style>
  <w:style w:type="paragraph" w:styleId="CommentSubject">
    <w:name w:val="annotation subject"/>
    <w:basedOn w:val="CommentText"/>
    <w:next w:val="CommentText"/>
    <w:semiHidden/>
    <w:rsid w:val="001454F8"/>
    <w:rPr>
      <w:b/>
      <w:bCs/>
    </w:rPr>
  </w:style>
  <w:style w:type="paragraph" w:styleId="FootnoteText">
    <w:name w:val="footnote text"/>
    <w:basedOn w:val="Normal"/>
    <w:link w:val="FootnoteTextChar"/>
    <w:unhideWhenUsed/>
    <w:rsid w:val="0047671C"/>
    <w:pPr>
      <w:widowControl/>
    </w:pPr>
    <w:rPr>
      <w:rFonts w:ascii="Calibri" w:eastAsia="Calibri" w:hAnsi="Calibri" w:cs="Calibri"/>
      <w:snapToGrid/>
      <w:sz w:val="20"/>
    </w:rPr>
  </w:style>
  <w:style w:type="character" w:customStyle="1" w:styleId="FootnoteTextChar">
    <w:name w:val="Footnote Text Char"/>
    <w:link w:val="FootnoteText"/>
    <w:rsid w:val="0047671C"/>
    <w:rPr>
      <w:rFonts w:ascii="Calibri" w:eastAsia="Calibri" w:hAnsi="Calibri" w:cs="Calibri"/>
    </w:rPr>
  </w:style>
  <w:style w:type="character" w:styleId="FollowedHyperlink">
    <w:name w:val="FollowedHyperlink"/>
    <w:rsid w:val="00120D4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p.gov/newsroom/publications/forms?title=3229&amp;=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1097</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7441</CharactersWithSpaces>
  <SharedDoc>false</SharedDoc>
  <HLinks>
    <vt:vector size="6" baseType="variant">
      <vt:variant>
        <vt:i4>5046351</vt:i4>
      </vt:variant>
      <vt:variant>
        <vt:i4>0</vt:i4>
      </vt:variant>
      <vt:variant>
        <vt:i4>0</vt:i4>
      </vt:variant>
      <vt:variant>
        <vt:i4>5</vt:i4>
      </vt:variant>
      <vt:variant>
        <vt:lpwstr>https://www.cbp.gov/newsroom/publications/forms?title=3229&amp;=Apply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WILLIAMS, SHADE</cp:lastModifiedBy>
  <cp:revision>9</cp:revision>
  <cp:lastPrinted>2015-07-15T17:46:00Z</cp:lastPrinted>
  <dcterms:created xsi:type="dcterms:W3CDTF">2021-11-15T19:21:00Z</dcterms:created>
  <dcterms:modified xsi:type="dcterms:W3CDTF">2022-02-15T19:33:00Z</dcterms:modified>
</cp:coreProperties>
</file>