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40C5E" w:rsidR="008A6ACC" w:rsidP="008A6ACC" w:rsidRDefault="008A6ACC" w14:paraId="460AC270" w14:textId="77777777">
      <w:pPr>
        <w:jc w:val="center"/>
        <w:rPr>
          <w:rFonts w:ascii="Arial" w:hAnsi="Arial"/>
          <w:b/>
        </w:rPr>
      </w:pPr>
      <w:r w:rsidRPr="00040C5E">
        <w:rPr>
          <w:rFonts w:ascii="Arial" w:hAnsi="Arial"/>
          <w:b/>
        </w:rPr>
        <w:t>Supporting Statement</w:t>
      </w:r>
    </w:p>
    <w:p w:rsidRPr="00040C5E" w:rsidR="002B3300" w:rsidP="008A6ACC" w:rsidRDefault="002B3300" w14:paraId="25D22991" w14:textId="77777777">
      <w:pPr>
        <w:jc w:val="center"/>
        <w:rPr>
          <w:rFonts w:ascii="Arial" w:hAnsi="Arial"/>
          <w:b/>
        </w:rPr>
      </w:pPr>
      <w:r w:rsidRPr="00040C5E">
        <w:rPr>
          <w:rFonts w:ascii="Arial" w:hAnsi="Arial" w:cs="Arial"/>
          <w:b/>
          <w:bCs/>
        </w:rPr>
        <w:t>Transfer of Cargo to a Container Station</w:t>
      </w:r>
    </w:p>
    <w:p w:rsidRPr="00040C5E" w:rsidR="008A6ACC" w:rsidP="008A6ACC" w:rsidRDefault="008A6ACC" w14:paraId="0A916237" w14:textId="77777777">
      <w:pPr>
        <w:jc w:val="center"/>
        <w:rPr>
          <w:rFonts w:ascii="Arial" w:hAnsi="Arial"/>
          <w:b/>
        </w:rPr>
      </w:pPr>
      <w:r w:rsidRPr="00040C5E">
        <w:rPr>
          <w:rFonts w:ascii="Arial" w:hAnsi="Arial"/>
          <w:b/>
        </w:rPr>
        <w:t>1651-009</w:t>
      </w:r>
      <w:r w:rsidRPr="00040C5E" w:rsidR="002B3300">
        <w:rPr>
          <w:rFonts w:ascii="Arial" w:hAnsi="Arial"/>
          <w:b/>
        </w:rPr>
        <w:t>6</w:t>
      </w:r>
    </w:p>
    <w:p w:rsidRPr="00040C5E" w:rsidR="008A6ACC" w:rsidP="008A6ACC" w:rsidRDefault="008A6ACC" w14:paraId="067196D9" w14:textId="77777777">
      <w:pPr>
        <w:tabs>
          <w:tab w:val="center" w:pos="4824"/>
        </w:tabs>
        <w:rPr>
          <w:rFonts w:ascii="Arial" w:hAnsi="Arial"/>
          <w:b/>
        </w:rPr>
      </w:pPr>
      <w:r w:rsidRPr="00040C5E">
        <w:rPr>
          <w:rFonts w:ascii="Arial" w:hAnsi="Arial"/>
          <w:b/>
        </w:rPr>
        <w:t>Justification</w:t>
      </w:r>
    </w:p>
    <w:p w:rsidRPr="00040C5E" w:rsidR="008A6ACC" w:rsidP="008A6ACC" w:rsidRDefault="008A6ACC" w14:paraId="4EB4C585" w14:textId="77777777">
      <w:pPr>
        <w:pStyle w:val="Heading1"/>
        <w:rPr>
          <w:sz w:val="24"/>
        </w:rPr>
      </w:pPr>
    </w:p>
    <w:p w:rsidRPr="006272D3" w:rsidR="008A6ACC" w:rsidP="002D7769" w:rsidRDefault="008A6ACC" w14:paraId="080A4C1F" w14:textId="77777777">
      <w:pPr>
        <w:widowControl w:val="0"/>
        <w:numPr>
          <w:ilvl w:val="0"/>
          <w:numId w:val="7"/>
        </w:numPr>
        <w:ind w:hanging="720"/>
        <w:jc w:val="both"/>
        <w:rPr>
          <w:rFonts w:ascii="Arial" w:hAnsi="Arial" w:cs="Arial"/>
          <w:b/>
          <w:bCs/>
        </w:rPr>
      </w:pPr>
      <w:r w:rsidRPr="006272D3">
        <w:rPr>
          <w:rFonts w:ascii="Arial" w:hAnsi="Arial" w:cs="Arial"/>
          <w:b/>
          <w:bCs/>
        </w:rPr>
        <w:t>Explain the circumstances that make the collection of information necessary.  Identify any legal or administrative requirements that necessitate the collection.  Attach a copy of the appropriate section of each statu</w:t>
      </w:r>
      <w:r w:rsidRPr="006272D3" w:rsidR="00667AE2">
        <w:rPr>
          <w:rFonts w:ascii="Arial" w:hAnsi="Arial" w:cs="Arial"/>
          <w:b/>
          <w:bCs/>
        </w:rPr>
        <w:t>t</w:t>
      </w:r>
      <w:r w:rsidRPr="006272D3">
        <w:rPr>
          <w:rFonts w:ascii="Arial" w:hAnsi="Arial" w:cs="Arial"/>
          <w:b/>
          <w:bCs/>
        </w:rPr>
        <w:t>e and regulation mandating or authorizing the collection of information.</w:t>
      </w:r>
    </w:p>
    <w:p w:rsidR="008A6ACC" w:rsidP="008A6ACC" w:rsidRDefault="008A6ACC" w14:paraId="0E16FBB6" w14:textId="77777777">
      <w:pPr>
        <w:tabs>
          <w:tab w:val="left" w:pos="-1440"/>
        </w:tabs>
        <w:ind w:left="720"/>
        <w:jc w:val="both"/>
        <w:rPr>
          <w:rFonts w:ascii="Arial" w:hAnsi="Arial"/>
        </w:rPr>
      </w:pPr>
    </w:p>
    <w:p w:rsidR="002B3300" w:rsidP="002B3300" w:rsidRDefault="002B3300" w14:paraId="22C31C4F" w14:textId="77777777">
      <w:pPr>
        <w:pStyle w:val="Heading1"/>
        <w:ind w:left="720"/>
        <w:rPr>
          <w:rFonts w:ascii="Arial" w:hAnsi="Arial" w:cs="Arial"/>
          <w:sz w:val="24"/>
        </w:rPr>
      </w:pPr>
      <w:r>
        <w:rPr>
          <w:rFonts w:ascii="Arial" w:hAnsi="Arial" w:cs="Arial"/>
          <w:sz w:val="24"/>
        </w:rPr>
        <w:t>Before the filing of an entry of merchandise for the purpose of breaking bulk and redeliv</w:t>
      </w:r>
      <w:r w:rsidR="00F029F8">
        <w:rPr>
          <w:rFonts w:ascii="Arial" w:hAnsi="Arial" w:cs="Arial"/>
          <w:sz w:val="24"/>
        </w:rPr>
        <w:t>ering</w:t>
      </w:r>
      <w:r>
        <w:rPr>
          <w:rFonts w:ascii="Arial" w:hAnsi="Arial" w:cs="Arial"/>
          <w:sz w:val="24"/>
        </w:rPr>
        <w:t xml:space="preserve"> cargo, containerized cargo may be moved from the place of unlading or may be received directly at the container station from a bonded carrier after transportation</w:t>
      </w:r>
      <w:r w:rsidR="00DC7D4D">
        <w:rPr>
          <w:rFonts w:ascii="Arial" w:hAnsi="Arial" w:cs="Arial"/>
          <w:sz w:val="24"/>
        </w:rPr>
        <w:t xml:space="preserve"> </w:t>
      </w:r>
      <w:r>
        <w:rPr>
          <w:rFonts w:ascii="Arial" w:hAnsi="Arial" w:cs="Arial"/>
          <w:sz w:val="24"/>
        </w:rPr>
        <w:t xml:space="preserve">in-bond.  This also applies to </w:t>
      </w:r>
      <w:proofErr w:type="gramStart"/>
      <w:r>
        <w:rPr>
          <w:rFonts w:ascii="Arial" w:hAnsi="Arial" w:cs="Arial"/>
          <w:sz w:val="24"/>
        </w:rPr>
        <w:t>loose</w:t>
      </w:r>
      <w:proofErr w:type="gramEnd"/>
      <w:r>
        <w:rPr>
          <w:rFonts w:ascii="Arial" w:hAnsi="Arial" w:cs="Arial"/>
          <w:sz w:val="24"/>
        </w:rPr>
        <w:t xml:space="preserve"> cargo as part of containerized cargo.  </w:t>
      </w:r>
      <w:r w:rsidR="00DB5AC2">
        <w:rPr>
          <w:rFonts w:ascii="Arial" w:hAnsi="Arial" w:cs="Arial"/>
          <w:sz w:val="24"/>
        </w:rPr>
        <w:t>In accordance with 19 CFR 19.42, the con</w:t>
      </w:r>
      <w:r>
        <w:rPr>
          <w:rFonts w:ascii="Arial" w:hAnsi="Arial" w:cs="Arial"/>
          <w:sz w:val="24"/>
        </w:rPr>
        <w:t>tainer station operator may make a request for the transfer of a container to the station</w:t>
      </w:r>
      <w:r w:rsidR="00C85A62">
        <w:rPr>
          <w:rFonts w:ascii="Arial" w:hAnsi="Arial" w:cs="Arial"/>
          <w:sz w:val="24"/>
        </w:rPr>
        <w:t xml:space="preserve"> by submitting to CBP </w:t>
      </w:r>
      <w:r w:rsidRPr="00C85A62" w:rsidR="00C85A62">
        <w:rPr>
          <w:rFonts w:ascii="Arial" w:hAnsi="Arial" w:cs="Arial"/>
          <w:sz w:val="24"/>
        </w:rPr>
        <w:t xml:space="preserve">an abstract of the </w:t>
      </w:r>
      <w:r w:rsidR="00BE7F14">
        <w:rPr>
          <w:rFonts w:ascii="Arial" w:hAnsi="Arial" w:cs="Arial"/>
          <w:sz w:val="24"/>
        </w:rPr>
        <w:t xml:space="preserve">manifest for the </w:t>
      </w:r>
      <w:r w:rsidRPr="00C85A62" w:rsidR="00C85A62">
        <w:rPr>
          <w:rFonts w:ascii="Arial" w:hAnsi="Arial" w:cs="Arial"/>
          <w:sz w:val="24"/>
        </w:rPr>
        <w:t xml:space="preserve">transferred </w:t>
      </w:r>
      <w:r w:rsidR="00223792">
        <w:rPr>
          <w:rFonts w:ascii="Arial" w:hAnsi="Arial" w:cs="Arial"/>
          <w:sz w:val="24"/>
        </w:rPr>
        <w:t>containers</w:t>
      </w:r>
      <w:r w:rsidRPr="00C85A62" w:rsidR="00C85A62">
        <w:rPr>
          <w:rFonts w:ascii="Arial" w:hAnsi="Arial" w:cs="Arial"/>
          <w:sz w:val="24"/>
        </w:rPr>
        <w:t xml:space="preserve"> </w:t>
      </w:r>
      <w:r w:rsidR="00BE7F14">
        <w:rPr>
          <w:rFonts w:ascii="Arial" w:hAnsi="Arial" w:cs="Arial"/>
          <w:sz w:val="24"/>
        </w:rPr>
        <w:t xml:space="preserve">including the </w:t>
      </w:r>
      <w:r w:rsidRPr="00C85A62" w:rsidR="00C85A62">
        <w:rPr>
          <w:rFonts w:ascii="Arial" w:hAnsi="Arial" w:cs="Arial"/>
          <w:sz w:val="24"/>
        </w:rPr>
        <w:t xml:space="preserve">bill of lading number, marks, numbers, </w:t>
      </w:r>
      <w:r w:rsidR="00DB5AC2">
        <w:rPr>
          <w:rFonts w:ascii="Arial" w:hAnsi="Arial" w:cs="Arial"/>
          <w:sz w:val="24"/>
        </w:rPr>
        <w:t xml:space="preserve">description of the </w:t>
      </w:r>
      <w:r w:rsidRPr="00C85A62" w:rsidR="00C85A62">
        <w:rPr>
          <w:rFonts w:ascii="Arial" w:hAnsi="Arial" w:cs="Arial"/>
          <w:sz w:val="24"/>
        </w:rPr>
        <w:t>contents</w:t>
      </w:r>
      <w:r w:rsidR="00DC7D4D">
        <w:rPr>
          <w:rFonts w:ascii="Arial" w:hAnsi="Arial" w:cs="Arial"/>
          <w:sz w:val="24"/>
        </w:rPr>
        <w:t>,</w:t>
      </w:r>
      <w:r w:rsidRPr="00C85A62" w:rsidR="00C85A62">
        <w:rPr>
          <w:rFonts w:ascii="Arial" w:hAnsi="Arial" w:cs="Arial"/>
          <w:sz w:val="24"/>
        </w:rPr>
        <w:t xml:space="preserve"> </w:t>
      </w:r>
      <w:r w:rsidR="00C85A62">
        <w:rPr>
          <w:rFonts w:ascii="Arial" w:hAnsi="Arial" w:cs="Arial"/>
          <w:sz w:val="24"/>
        </w:rPr>
        <w:t xml:space="preserve">and </w:t>
      </w:r>
      <w:r w:rsidRPr="00C85A62" w:rsidR="00C85A62">
        <w:rPr>
          <w:rFonts w:ascii="Arial" w:hAnsi="Arial" w:cs="Arial"/>
          <w:sz w:val="24"/>
        </w:rPr>
        <w:t>consignee</w:t>
      </w:r>
      <w:r w:rsidR="00223792">
        <w:rPr>
          <w:rFonts w:ascii="Arial" w:hAnsi="Arial" w:cs="Arial"/>
          <w:sz w:val="24"/>
        </w:rPr>
        <w:t>.</w:t>
      </w:r>
      <w:r>
        <w:rPr>
          <w:rFonts w:ascii="Arial" w:hAnsi="Arial" w:cs="Arial"/>
          <w:sz w:val="24"/>
        </w:rPr>
        <w:t xml:space="preserve">  </w:t>
      </w:r>
    </w:p>
    <w:p w:rsidR="00FE7BCC" w:rsidP="00FE7BCC" w:rsidRDefault="00FE7BCC" w14:paraId="3221B61A" w14:textId="77777777"/>
    <w:p w:rsidRPr="00FE7BCC" w:rsidR="00FE7BCC" w:rsidP="00FE7BCC" w:rsidRDefault="00FE7BCC" w14:paraId="5253CE26" w14:textId="77777777">
      <w:pPr>
        <w:ind w:left="720"/>
        <w:rPr>
          <w:rFonts w:ascii="Arial" w:hAnsi="Arial" w:cs="Arial"/>
        </w:rPr>
      </w:pPr>
      <w:r>
        <w:rPr>
          <w:rFonts w:ascii="Arial" w:hAnsi="Arial" w:cs="Arial"/>
        </w:rPr>
        <w:t>This information is submitted by members of the trade community who are familiar with CBP regulations.</w:t>
      </w:r>
    </w:p>
    <w:p w:rsidRPr="00C47181" w:rsidR="008A6ACC" w:rsidP="008A6ACC" w:rsidRDefault="002B3300" w14:paraId="74186550" w14:textId="77777777">
      <w:pPr>
        <w:tabs>
          <w:tab w:val="left" w:pos="-1440"/>
        </w:tabs>
        <w:ind w:left="720" w:hanging="720"/>
        <w:jc w:val="both"/>
        <w:rPr>
          <w:rFonts w:ascii="Arial" w:hAnsi="Arial"/>
        </w:rPr>
      </w:pPr>
      <w:r>
        <w:rPr>
          <w:rFonts w:ascii="Arial" w:hAnsi="Arial"/>
        </w:rPr>
        <w:tab/>
      </w:r>
      <w:r>
        <w:rPr>
          <w:rFonts w:ascii="Arial" w:hAnsi="Arial"/>
        </w:rPr>
        <w:tab/>
      </w:r>
    </w:p>
    <w:p w:rsidRPr="00C47181" w:rsidR="008A6ACC" w:rsidP="002D7769" w:rsidRDefault="008A6ACC" w14:paraId="66F3A246" w14:textId="77777777">
      <w:pPr>
        <w:ind w:left="720" w:hanging="720"/>
        <w:jc w:val="both"/>
      </w:pPr>
      <w:r w:rsidRPr="00C47181">
        <w:rPr>
          <w:rFonts w:ascii="Arial" w:hAnsi="Arial" w:cs="Arial"/>
          <w:b/>
          <w:bCs/>
        </w:rPr>
        <w:t>2.</w:t>
      </w:r>
      <w:r w:rsidRPr="00C47181">
        <w:tab/>
      </w:r>
      <w:r w:rsidRPr="006272D3">
        <w:rPr>
          <w:rFonts w:ascii="Arial" w:hAnsi="Arial" w:cs="Arial"/>
          <w:b/>
          <w:bCs/>
        </w:rPr>
        <w:t>Indicate how, by whom, and for what purpose the information is to be used.  Except for a new collection, indicate the actual use the agency has made of the information received from the current collection</w:t>
      </w:r>
      <w:r w:rsidRPr="006272D3">
        <w:t>.</w:t>
      </w:r>
    </w:p>
    <w:p w:rsidR="008A6ACC" w:rsidP="008A6ACC" w:rsidRDefault="008A6ACC" w14:paraId="2BA54D25" w14:textId="77777777">
      <w:pPr>
        <w:jc w:val="both"/>
        <w:rPr>
          <w:rFonts w:ascii="Arial" w:hAnsi="Arial"/>
        </w:rPr>
      </w:pPr>
      <w:r>
        <w:rPr>
          <w:rFonts w:ascii="Arial" w:hAnsi="Arial"/>
        </w:rPr>
        <w:tab/>
      </w:r>
    </w:p>
    <w:p w:rsidR="002B3300" w:rsidP="00CC4DE2" w:rsidRDefault="008A6ACC" w14:paraId="7F8D45A0" w14:textId="77777777">
      <w:pPr>
        <w:ind w:left="720" w:hanging="720"/>
        <w:jc w:val="both"/>
        <w:rPr>
          <w:rFonts w:ascii="Arial" w:hAnsi="Arial" w:cs="Arial"/>
        </w:rPr>
      </w:pPr>
      <w:r>
        <w:rPr>
          <w:rFonts w:ascii="Arial" w:hAnsi="Arial"/>
        </w:rPr>
        <w:tab/>
      </w:r>
      <w:r w:rsidR="000E57AB">
        <w:rPr>
          <w:rFonts w:ascii="Arial" w:hAnsi="Arial" w:cs="Arial"/>
        </w:rPr>
        <w:t>If the</w:t>
      </w:r>
      <w:r w:rsidR="002B3300">
        <w:rPr>
          <w:rFonts w:ascii="Arial" w:hAnsi="Arial" w:cs="Arial"/>
        </w:rPr>
        <w:t xml:space="preserve"> request to transfer cargo is not </w:t>
      </w:r>
      <w:r w:rsidR="000E57AB">
        <w:rPr>
          <w:rFonts w:ascii="Arial" w:hAnsi="Arial" w:cs="Arial"/>
        </w:rPr>
        <w:t>submitted to the port director</w:t>
      </w:r>
      <w:r w:rsidR="002B3300">
        <w:rPr>
          <w:rFonts w:ascii="Arial" w:hAnsi="Arial" w:cs="Arial"/>
        </w:rPr>
        <w:t xml:space="preserve">, the container cannot be transferred </w:t>
      </w:r>
      <w:r w:rsidR="000E57AB">
        <w:rPr>
          <w:rFonts w:ascii="Arial" w:hAnsi="Arial" w:cs="Arial"/>
        </w:rPr>
        <w:t xml:space="preserve">from the place of unlading </w:t>
      </w:r>
      <w:r w:rsidR="002B3300">
        <w:rPr>
          <w:rFonts w:ascii="Arial" w:hAnsi="Arial" w:cs="Arial"/>
        </w:rPr>
        <w:t>to an</w:t>
      </w:r>
      <w:r w:rsidR="000E57AB">
        <w:rPr>
          <w:rFonts w:ascii="Arial" w:hAnsi="Arial" w:cs="Arial"/>
        </w:rPr>
        <w:t xml:space="preserve"> authorized container</w:t>
      </w:r>
      <w:r w:rsidR="002B3300">
        <w:rPr>
          <w:rFonts w:ascii="Arial" w:hAnsi="Arial" w:cs="Arial"/>
        </w:rPr>
        <w:t xml:space="preserve"> station for </w:t>
      </w:r>
      <w:r w:rsidR="000E57AB">
        <w:rPr>
          <w:rFonts w:ascii="Arial" w:hAnsi="Arial" w:cs="Arial"/>
        </w:rPr>
        <w:t>devanning</w:t>
      </w:r>
      <w:r w:rsidR="002B3300">
        <w:rPr>
          <w:rFonts w:ascii="Arial" w:hAnsi="Arial" w:cs="Arial"/>
        </w:rPr>
        <w:t>.</w:t>
      </w:r>
      <w:r w:rsidR="0090127D">
        <w:rPr>
          <w:rFonts w:ascii="Arial" w:hAnsi="Arial" w:cs="Arial"/>
        </w:rPr>
        <w:t xml:space="preserve">  CBP </w:t>
      </w:r>
      <w:r w:rsidR="000E57AB">
        <w:rPr>
          <w:rFonts w:ascii="Arial" w:hAnsi="Arial" w:cs="Arial"/>
        </w:rPr>
        <w:t>requires</w:t>
      </w:r>
      <w:r w:rsidR="0090127D">
        <w:rPr>
          <w:rFonts w:ascii="Arial" w:hAnsi="Arial" w:cs="Arial"/>
        </w:rPr>
        <w:t xml:space="preserve"> this information to </w:t>
      </w:r>
      <w:r w:rsidR="000E57AB">
        <w:rPr>
          <w:rFonts w:ascii="Arial" w:hAnsi="Arial" w:cs="Arial"/>
        </w:rPr>
        <w:t>maintain</w:t>
      </w:r>
      <w:r w:rsidR="0090127D">
        <w:rPr>
          <w:rFonts w:ascii="Arial" w:hAnsi="Arial" w:cs="Arial"/>
        </w:rPr>
        <w:t xml:space="preserve"> control over imported merchandise</w:t>
      </w:r>
      <w:r w:rsidR="000E57AB">
        <w:rPr>
          <w:rFonts w:ascii="Arial" w:hAnsi="Arial" w:cs="Arial"/>
        </w:rPr>
        <w:t xml:space="preserve"> </w:t>
      </w:r>
      <w:proofErr w:type="gramStart"/>
      <w:r w:rsidR="000E57AB">
        <w:rPr>
          <w:rFonts w:ascii="Arial" w:hAnsi="Arial" w:cs="Arial"/>
        </w:rPr>
        <w:t>in order to</w:t>
      </w:r>
      <w:proofErr w:type="gramEnd"/>
      <w:r w:rsidR="000E57AB">
        <w:rPr>
          <w:rFonts w:ascii="Arial" w:hAnsi="Arial" w:cs="Arial"/>
        </w:rPr>
        <w:t xml:space="preserve"> protect the revenue</w:t>
      </w:r>
      <w:r w:rsidR="0090127D">
        <w:rPr>
          <w:rFonts w:ascii="Arial" w:hAnsi="Arial" w:cs="Arial"/>
        </w:rPr>
        <w:t>.</w:t>
      </w:r>
    </w:p>
    <w:p w:rsidR="008A6ACC" w:rsidP="008A6ACC" w:rsidRDefault="008A6ACC" w14:paraId="69B50C60" w14:textId="77777777">
      <w:pPr>
        <w:jc w:val="both"/>
        <w:rPr>
          <w:rFonts w:ascii="Arial" w:hAnsi="Arial"/>
        </w:rPr>
      </w:pPr>
    </w:p>
    <w:p w:rsidRPr="00C47181" w:rsidR="008A6ACC" w:rsidP="008A6ACC" w:rsidRDefault="008A6ACC" w14:paraId="61A8A573" w14:textId="77777777">
      <w:pPr>
        <w:tabs>
          <w:tab w:val="left" w:pos="-1440"/>
        </w:tabs>
        <w:ind w:left="720" w:hanging="720"/>
        <w:jc w:val="both"/>
      </w:pPr>
      <w:r w:rsidRPr="00C47181">
        <w:rPr>
          <w:rFonts w:ascii="Arial" w:hAnsi="Arial"/>
          <w:b/>
          <w:bCs/>
        </w:rPr>
        <w:t>3.</w:t>
      </w:r>
      <w:r w:rsidRPr="00C47181">
        <w:rPr>
          <w:rFonts w:ascii="Arial" w:hAnsi="Arial"/>
        </w:rPr>
        <w:tab/>
      </w:r>
      <w:r w:rsidRPr="006272D3">
        <w:rPr>
          <w:rFonts w:ascii="Arial" w:hAnsi="Arial" w:cs="Arial"/>
          <w:b/>
          <w:bCs/>
        </w:rPr>
        <w:t xml:space="preserve">Describe whether, and to what extent, the collection of information involves the use of automated, electronic, mechanical, or other technological collection techniques or other forms of information technology, </w:t>
      </w:r>
      <w:proofErr w:type="gramStart"/>
      <w:r w:rsidRPr="006272D3">
        <w:rPr>
          <w:rFonts w:ascii="Arial" w:hAnsi="Arial" w:cs="Arial"/>
          <w:b/>
          <w:bCs/>
        </w:rPr>
        <w:t>e.g.</w:t>
      </w:r>
      <w:proofErr w:type="gramEnd"/>
      <w:r w:rsidRPr="006272D3">
        <w:rPr>
          <w:rFonts w:ascii="Arial" w:hAnsi="Arial" w:cs="Arial"/>
          <w:b/>
          <w:bCs/>
        </w:rPr>
        <w:t xml:space="preserve"> permitting electronic submission of responses, and the basis for the decision for adopting this means of collection.  Also describe any consideration of using information technology to reduce burden</w:t>
      </w:r>
      <w:r w:rsidRPr="006272D3">
        <w:t>.</w:t>
      </w:r>
      <w:r w:rsidRPr="00C47181">
        <w:t xml:space="preserve">  </w:t>
      </w:r>
    </w:p>
    <w:p w:rsidR="008A6ACC" w:rsidP="008A6ACC" w:rsidRDefault="008A6ACC" w14:paraId="1DE0202B" w14:textId="77777777">
      <w:pPr>
        <w:jc w:val="both"/>
        <w:rPr>
          <w:rFonts w:ascii="Arial" w:hAnsi="Arial"/>
        </w:rPr>
      </w:pPr>
      <w:r>
        <w:rPr>
          <w:rFonts w:ascii="Arial" w:hAnsi="Arial"/>
        </w:rPr>
        <w:tab/>
      </w:r>
    </w:p>
    <w:p w:rsidR="0090127D" w:rsidP="008A6ACC" w:rsidRDefault="0090127D" w14:paraId="3A3EE0F9" w14:textId="77777777">
      <w:pPr>
        <w:jc w:val="both"/>
        <w:rPr>
          <w:rFonts w:ascii="Arial" w:hAnsi="Arial"/>
        </w:rPr>
      </w:pPr>
    </w:p>
    <w:p w:rsidR="0090127D" w:rsidP="008A6ACC" w:rsidRDefault="0090127D" w14:paraId="194971A6" w14:textId="77777777">
      <w:pPr>
        <w:jc w:val="both"/>
        <w:rPr>
          <w:rFonts w:ascii="Arial" w:hAnsi="Arial"/>
        </w:rPr>
      </w:pPr>
    </w:p>
    <w:p w:rsidR="0090127D" w:rsidP="008A6ACC" w:rsidRDefault="0090127D" w14:paraId="3199A1D5" w14:textId="77777777">
      <w:pPr>
        <w:jc w:val="both"/>
        <w:rPr>
          <w:rFonts w:ascii="Arial" w:hAnsi="Arial"/>
        </w:rPr>
      </w:pPr>
    </w:p>
    <w:p w:rsidR="0090127D" w:rsidP="008A6ACC" w:rsidRDefault="0090127D" w14:paraId="6DE22884" w14:textId="77777777">
      <w:pPr>
        <w:jc w:val="both"/>
        <w:rPr>
          <w:rFonts w:ascii="Arial" w:hAnsi="Arial"/>
        </w:rPr>
      </w:pPr>
    </w:p>
    <w:p w:rsidRPr="00A53211" w:rsidR="00A53211" w:rsidP="00A53211" w:rsidRDefault="0031228B" w14:paraId="18393C61" w14:textId="77777777">
      <w:pPr>
        <w:ind w:left="720"/>
        <w:rPr>
          <w:rFonts w:ascii="Arial" w:hAnsi="Arial" w:cs="Arial"/>
        </w:rPr>
      </w:pPr>
      <w:r w:rsidRPr="00E54A79">
        <w:rPr>
          <w:rFonts w:ascii="Arial" w:hAnsi="Arial" w:cs="Arial"/>
        </w:rPr>
        <w:lastRenderedPageBreak/>
        <w:t>Respondents may submit this information using</w:t>
      </w:r>
      <w:r w:rsidRPr="00E54A79" w:rsidR="00A53211">
        <w:rPr>
          <w:rFonts w:ascii="Arial" w:hAnsi="Arial" w:cs="Arial"/>
        </w:rPr>
        <w:t xml:space="preserve"> </w:t>
      </w:r>
      <w:proofErr w:type="spellStart"/>
      <w:r w:rsidRPr="00E54A79" w:rsidR="00A53211">
        <w:rPr>
          <w:rFonts w:ascii="Arial" w:hAnsi="Arial" w:cs="Arial"/>
        </w:rPr>
        <w:t>ePTT</w:t>
      </w:r>
      <w:proofErr w:type="spellEnd"/>
      <w:r w:rsidRPr="00E54A79" w:rsidR="00A53211">
        <w:rPr>
          <w:rFonts w:ascii="Arial" w:hAnsi="Arial" w:cs="Arial"/>
        </w:rPr>
        <w:t xml:space="preserve"> (Electronic Permit to Transfer) through </w:t>
      </w:r>
      <w:r w:rsidRPr="00E54A79">
        <w:rPr>
          <w:rFonts w:ascii="Arial" w:hAnsi="Arial" w:cs="Arial"/>
        </w:rPr>
        <w:t xml:space="preserve">CBP’s </w:t>
      </w:r>
      <w:r w:rsidRPr="00E54A79" w:rsidR="00A53211">
        <w:rPr>
          <w:rFonts w:ascii="Arial" w:hAnsi="Arial" w:cs="Arial"/>
        </w:rPr>
        <w:t xml:space="preserve">Automated Commercial </w:t>
      </w:r>
      <w:r w:rsidR="00E54A79">
        <w:rPr>
          <w:rFonts w:ascii="Arial" w:hAnsi="Arial" w:cs="Arial"/>
        </w:rPr>
        <w:t>Environment (ACE</w:t>
      </w:r>
      <w:r w:rsidRPr="00E54A79" w:rsidR="00A53211">
        <w:rPr>
          <w:rFonts w:ascii="Arial" w:hAnsi="Arial" w:cs="Arial"/>
        </w:rPr>
        <w:t>)</w:t>
      </w:r>
      <w:r w:rsidR="0095727D">
        <w:rPr>
          <w:rFonts w:ascii="Arial" w:hAnsi="Arial" w:cs="Arial"/>
        </w:rPr>
        <w:t>.</w:t>
      </w:r>
    </w:p>
    <w:p w:rsidRPr="0090127D" w:rsidR="0090127D" w:rsidP="008A6ACC" w:rsidRDefault="0090127D" w14:paraId="66CE026B" w14:textId="77777777">
      <w:pPr>
        <w:tabs>
          <w:tab w:val="left" w:pos="-1440"/>
        </w:tabs>
        <w:ind w:left="720" w:hanging="720"/>
        <w:jc w:val="both"/>
        <w:rPr>
          <w:rFonts w:ascii="Arial" w:hAnsi="Arial"/>
        </w:rPr>
      </w:pPr>
    </w:p>
    <w:p w:rsidRPr="00C47181" w:rsidR="008A6ACC" w:rsidP="006A7F9E" w:rsidRDefault="008A6ACC" w14:paraId="083FB105" w14:textId="77777777">
      <w:pPr>
        <w:ind w:left="720" w:hanging="720"/>
        <w:jc w:val="both"/>
        <w:rPr>
          <w:rFonts w:ascii="Arial" w:hAnsi="Arial" w:cs="Arial"/>
          <w:b/>
          <w:bCs/>
        </w:rPr>
      </w:pPr>
      <w:r w:rsidRPr="00C47181">
        <w:rPr>
          <w:rFonts w:ascii="Arial" w:hAnsi="Arial"/>
          <w:b/>
          <w:bCs/>
        </w:rPr>
        <w:t>4.</w:t>
      </w:r>
      <w:r w:rsidRPr="00C47181">
        <w:rPr>
          <w:rFonts w:ascii="Arial" w:hAnsi="Arial"/>
        </w:rPr>
        <w:tab/>
      </w:r>
      <w:r w:rsidRPr="00C47181">
        <w:rPr>
          <w:rFonts w:ascii="Arial" w:hAnsi="Arial" w:cs="Arial"/>
          <w:b/>
          <w:bCs/>
        </w:rPr>
        <w:t xml:space="preserve">Describe efforts to identify duplication.  Show specifically why any similar information already available cannot be used or modified for use for the purposes described in Item 2 above.  </w:t>
      </w:r>
    </w:p>
    <w:p w:rsidRPr="00C47181" w:rsidR="008A6ACC" w:rsidP="008A6ACC" w:rsidRDefault="008A6ACC" w14:paraId="0E76C0BF" w14:textId="77777777">
      <w:pPr>
        <w:tabs>
          <w:tab w:val="left" w:pos="-1440"/>
        </w:tabs>
        <w:ind w:left="720" w:hanging="720"/>
        <w:jc w:val="both"/>
        <w:rPr>
          <w:rFonts w:ascii="Arial" w:hAnsi="Arial"/>
        </w:rPr>
      </w:pPr>
    </w:p>
    <w:p w:rsidRPr="00C47181" w:rsidR="008A6ACC" w:rsidP="008A6ACC" w:rsidRDefault="008A6ACC" w14:paraId="7CCD0E23" w14:textId="77777777">
      <w:pPr>
        <w:tabs>
          <w:tab w:val="left" w:pos="-1440"/>
        </w:tabs>
        <w:ind w:left="720" w:hanging="720"/>
        <w:jc w:val="both"/>
        <w:rPr>
          <w:rFonts w:ascii="Arial" w:hAnsi="Arial"/>
        </w:rPr>
      </w:pPr>
      <w:r w:rsidRPr="00C47181">
        <w:rPr>
          <w:rFonts w:ascii="Arial" w:hAnsi="Arial"/>
        </w:rPr>
        <w:tab/>
        <w:t>This information is not duplicated in any other place or any other form.</w:t>
      </w:r>
    </w:p>
    <w:p w:rsidRPr="00C47181" w:rsidR="008A6ACC" w:rsidP="008A6ACC" w:rsidRDefault="008A6ACC" w14:paraId="61A4621A" w14:textId="77777777">
      <w:pPr>
        <w:jc w:val="both"/>
        <w:rPr>
          <w:rFonts w:ascii="Arial" w:hAnsi="Arial"/>
        </w:rPr>
      </w:pPr>
    </w:p>
    <w:p w:rsidRPr="00C47181" w:rsidR="008A6ACC" w:rsidP="006A7F9E" w:rsidRDefault="008A6ACC" w14:paraId="7A54765A" w14:textId="77777777">
      <w:pPr>
        <w:ind w:left="720" w:hanging="720"/>
        <w:jc w:val="both"/>
        <w:rPr>
          <w:rFonts w:ascii="Arial" w:hAnsi="Arial" w:cs="Arial"/>
          <w:b/>
          <w:bCs/>
        </w:rPr>
      </w:pPr>
      <w:r w:rsidRPr="00C47181">
        <w:rPr>
          <w:rFonts w:ascii="Arial" w:hAnsi="Arial"/>
          <w:b/>
          <w:bCs/>
        </w:rPr>
        <w:t>5.</w:t>
      </w:r>
      <w:r w:rsidRPr="00C47181">
        <w:rPr>
          <w:rFonts w:ascii="Arial" w:hAnsi="Arial"/>
        </w:rPr>
        <w:tab/>
      </w:r>
      <w:r w:rsidRPr="00C47181">
        <w:rPr>
          <w:rFonts w:ascii="Arial" w:hAnsi="Arial" w:cs="Arial"/>
          <w:b/>
          <w:bCs/>
        </w:rPr>
        <w:t xml:space="preserve">If the collection of information impacts small businesses or other small entities, describe any methods used to minimize burden.  </w:t>
      </w:r>
    </w:p>
    <w:p w:rsidRPr="00C47181" w:rsidR="008A6ACC" w:rsidP="008A6ACC" w:rsidRDefault="008A6ACC" w14:paraId="154D6504" w14:textId="77777777">
      <w:pPr>
        <w:tabs>
          <w:tab w:val="left" w:pos="-1440"/>
        </w:tabs>
        <w:ind w:left="720" w:hanging="720"/>
        <w:jc w:val="both"/>
        <w:rPr>
          <w:rFonts w:ascii="Arial" w:hAnsi="Arial"/>
        </w:rPr>
      </w:pPr>
    </w:p>
    <w:p w:rsidR="008A6ACC" w:rsidP="008A6ACC" w:rsidRDefault="008A6ACC" w14:paraId="552909EB" w14:textId="77777777">
      <w:pPr>
        <w:pStyle w:val="BodyTextIndent"/>
        <w:rPr>
          <w:szCs w:val="24"/>
        </w:rPr>
      </w:pPr>
      <w:r w:rsidRPr="00C47181">
        <w:rPr>
          <w:szCs w:val="24"/>
        </w:rPr>
        <w:tab/>
      </w:r>
      <w:r w:rsidRPr="007F20CA">
        <w:rPr>
          <w:rFonts w:cs="Arial"/>
        </w:rPr>
        <w:t>This information collection does not have an impact on small businesses or other small entities.</w:t>
      </w:r>
    </w:p>
    <w:p w:rsidRPr="00C47181" w:rsidR="008A6ACC" w:rsidP="008A6ACC" w:rsidRDefault="008A6ACC" w14:paraId="226E5071" w14:textId="77777777">
      <w:pPr>
        <w:pStyle w:val="BodyTextIndent"/>
      </w:pPr>
      <w:r>
        <w:tab/>
      </w:r>
      <w:r>
        <w:tab/>
      </w:r>
      <w:r>
        <w:tab/>
      </w:r>
      <w:r>
        <w:tab/>
      </w:r>
      <w:r>
        <w:tab/>
      </w:r>
      <w:r>
        <w:tab/>
      </w:r>
    </w:p>
    <w:p w:rsidRPr="006272D3" w:rsidR="008A6ACC" w:rsidP="006A7F9E" w:rsidRDefault="008A6ACC" w14:paraId="7D10D13E" w14:textId="77777777">
      <w:pPr>
        <w:numPr>
          <w:ilvl w:val="0"/>
          <w:numId w:val="13"/>
        </w:numPr>
        <w:ind w:hanging="720"/>
        <w:jc w:val="both"/>
        <w:rPr>
          <w:rFonts w:ascii="Arial" w:hAnsi="Arial"/>
        </w:rPr>
      </w:pPr>
      <w:r w:rsidRPr="006272D3">
        <w:rPr>
          <w:rFonts w:ascii="Arial" w:hAnsi="Arial" w:cs="Arial"/>
          <w:b/>
          <w:bCs/>
        </w:rPr>
        <w:t>Describe consequences to Federal program or policy activities if</w:t>
      </w:r>
      <w:r w:rsidRPr="006272D3" w:rsidR="00F2412E">
        <w:rPr>
          <w:rFonts w:ascii="Arial" w:hAnsi="Arial" w:cs="Arial"/>
          <w:b/>
          <w:bCs/>
        </w:rPr>
        <w:t xml:space="preserve"> t</w:t>
      </w:r>
      <w:r w:rsidRPr="006272D3">
        <w:rPr>
          <w:rFonts w:ascii="Arial" w:hAnsi="Arial" w:cs="Arial"/>
          <w:b/>
          <w:bCs/>
        </w:rPr>
        <w:t xml:space="preserve">he                         </w:t>
      </w:r>
      <w:r w:rsidRPr="006272D3" w:rsidR="00F2412E">
        <w:rPr>
          <w:rFonts w:ascii="Arial" w:hAnsi="Arial" w:cs="Arial"/>
          <w:b/>
          <w:bCs/>
        </w:rPr>
        <w:t xml:space="preserve">                                                                                          </w:t>
      </w:r>
      <w:r w:rsidRPr="006272D3">
        <w:rPr>
          <w:rFonts w:ascii="Arial" w:hAnsi="Arial" w:cs="Arial"/>
          <w:b/>
          <w:bCs/>
        </w:rPr>
        <w:t>collection is not conducted or is conducted less frequently.</w:t>
      </w:r>
    </w:p>
    <w:p w:rsidR="008A6ACC" w:rsidP="008A6ACC" w:rsidRDefault="008A6ACC" w14:paraId="093841B2" w14:textId="77777777">
      <w:pPr>
        <w:tabs>
          <w:tab w:val="left" w:pos="-1440"/>
        </w:tabs>
        <w:ind w:left="720"/>
        <w:rPr>
          <w:rFonts w:ascii="Arial" w:hAnsi="Arial" w:cs="Arial"/>
          <w:b/>
          <w:bCs/>
        </w:rPr>
      </w:pPr>
    </w:p>
    <w:p w:rsidR="0094402D" w:rsidP="0094402D" w:rsidRDefault="006C7167" w14:paraId="4E3CFB0B" w14:textId="77777777">
      <w:pPr>
        <w:ind w:left="720"/>
        <w:rPr>
          <w:rFonts w:ascii="Arial" w:hAnsi="Arial" w:cs="Arial"/>
        </w:rPr>
      </w:pPr>
      <w:r>
        <w:rPr>
          <w:rFonts w:ascii="Arial" w:hAnsi="Arial" w:cs="Arial"/>
        </w:rPr>
        <w:t>The consequence to</w:t>
      </w:r>
      <w:r w:rsidR="0094402D">
        <w:rPr>
          <w:rFonts w:ascii="Arial" w:hAnsi="Arial" w:cs="Arial"/>
        </w:rPr>
        <w:t xml:space="preserve"> Federal</w:t>
      </w:r>
      <w:r>
        <w:rPr>
          <w:rFonts w:ascii="Arial" w:hAnsi="Arial" w:cs="Arial"/>
        </w:rPr>
        <w:t xml:space="preserve"> revenue and related enforcement</w:t>
      </w:r>
      <w:r w:rsidR="0094402D">
        <w:rPr>
          <w:rFonts w:ascii="Arial" w:hAnsi="Arial" w:cs="Arial"/>
        </w:rPr>
        <w:t xml:space="preserve"> policy if this information collection </w:t>
      </w:r>
      <w:proofErr w:type="gramStart"/>
      <w:r w:rsidR="0094402D">
        <w:rPr>
          <w:rFonts w:ascii="Arial" w:hAnsi="Arial" w:cs="Arial"/>
        </w:rPr>
        <w:t>was</w:t>
      </w:r>
      <w:proofErr w:type="gramEnd"/>
      <w:r w:rsidR="0094402D">
        <w:rPr>
          <w:rFonts w:ascii="Arial" w:hAnsi="Arial" w:cs="Arial"/>
        </w:rPr>
        <w:t xml:space="preserve"> not conducted would be a loss of control of imported merchandise </w:t>
      </w:r>
      <w:r>
        <w:rPr>
          <w:rFonts w:ascii="Arial" w:hAnsi="Arial" w:cs="Arial"/>
        </w:rPr>
        <w:t>and adverse</w:t>
      </w:r>
      <w:r w:rsidR="0094402D">
        <w:rPr>
          <w:rFonts w:ascii="Arial" w:hAnsi="Arial" w:cs="Arial"/>
        </w:rPr>
        <w:t xml:space="preserve"> revenue</w:t>
      </w:r>
      <w:r>
        <w:rPr>
          <w:rFonts w:ascii="Arial" w:hAnsi="Arial" w:cs="Arial"/>
        </w:rPr>
        <w:t xml:space="preserve"> implications</w:t>
      </w:r>
      <w:r w:rsidR="0094402D">
        <w:rPr>
          <w:rFonts w:ascii="Arial" w:hAnsi="Arial" w:cs="Arial"/>
        </w:rPr>
        <w:t>.</w:t>
      </w:r>
    </w:p>
    <w:p w:rsidR="008A6ACC" w:rsidP="008A6ACC" w:rsidRDefault="008A6ACC" w14:paraId="1477A360" w14:textId="77777777">
      <w:pPr>
        <w:ind w:left="180"/>
        <w:jc w:val="both"/>
        <w:rPr>
          <w:rFonts w:ascii="Arial" w:hAnsi="Arial"/>
        </w:rPr>
      </w:pPr>
      <w:r>
        <w:rPr>
          <w:rFonts w:ascii="Arial" w:hAnsi="Arial" w:cs="Arial"/>
          <w:b/>
          <w:bCs/>
        </w:rPr>
        <w:t xml:space="preserve">    </w:t>
      </w:r>
      <w:r>
        <w:rPr>
          <w:rFonts w:ascii="Arial" w:hAnsi="Arial"/>
        </w:rPr>
        <w:tab/>
      </w:r>
    </w:p>
    <w:p w:rsidRPr="00C47181" w:rsidR="008A6ACC" w:rsidP="006A7F9E" w:rsidRDefault="008A6ACC" w14:paraId="4CC34D33" w14:textId="77777777">
      <w:pPr>
        <w:ind w:left="720" w:hanging="720"/>
        <w:jc w:val="both"/>
        <w:rPr>
          <w:rFonts w:ascii="Arial" w:hAnsi="Arial" w:cs="Arial"/>
          <w:b/>
          <w:bCs/>
        </w:rPr>
      </w:pPr>
      <w:r w:rsidRPr="00C47181">
        <w:rPr>
          <w:rFonts w:ascii="Arial" w:hAnsi="Arial"/>
          <w:b/>
          <w:bCs/>
        </w:rPr>
        <w:t>7.</w:t>
      </w:r>
      <w:r w:rsidRPr="00C47181">
        <w:rPr>
          <w:rFonts w:ascii="Arial" w:hAnsi="Arial"/>
        </w:rPr>
        <w:tab/>
      </w:r>
      <w:r w:rsidRPr="00C47181">
        <w:rPr>
          <w:rFonts w:ascii="Arial" w:hAnsi="Arial" w:cs="Arial"/>
          <w:b/>
          <w:bCs/>
        </w:rPr>
        <w:t>Explain any special circumstances that would cause an information collection to be conducted in a manner:</w:t>
      </w:r>
    </w:p>
    <w:p w:rsidRPr="00C47181" w:rsidR="008A6ACC" w:rsidP="008A6ACC" w:rsidRDefault="008A6ACC" w14:paraId="7B75879F" w14:textId="77777777">
      <w:pPr>
        <w:tabs>
          <w:tab w:val="left" w:pos="-1440"/>
        </w:tabs>
        <w:ind w:left="720" w:hanging="720"/>
        <w:jc w:val="both"/>
        <w:rPr>
          <w:rFonts w:ascii="Arial" w:hAnsi="Arial"/>
        </w:rPr>
      </w:pPr>
    </w:p>
    <w:p w:rsidRPr="00C47181" w:rsidR="008A6ACC" w:rsidP="008A6ACC" w:rsidRDefault="008A6ACC" w14:paraId="66E0E6C1" w14:textId="77777777">
      <w:pPr>
        <w:tabs>
          <w:tab w:val="left" w:pos="-1440"/>
        </w:tabs>
        <w:ind w:left="720" w:hanging="720"/>
        <w:jc w:val="both"/>
        <w:rPr>
          <w:rFonts w:ascii="Arial" w:hAnsi="Arial"/>
        </w:rPr>
      </w:pPr>
      <w:r w:rsidRPr="00C47181">
        <w:rPr>
          <w:rFonts w:ascii="Arial" w:hAnsi="Arial"/>
        </w:rPr>
        <w:tab/>
        <w:t>This information is collected in a manner consistent with the guidelines of 5 CFR 1320.</w:t>
      </w:r>
      <w:r>
        <w:rPr>
          <w:rFonts w:ascii="Arial" w:hAnsi="Arial"/>
        </w:rPr>
        <w:t>5(d)(2).</w:t>
      </w:r>
    </w:p>
    <w:p w:rsidR="00795B12" w:rsidP="008A6ACC" w:rsidRDefault="00795B12" w14:paraId="5D016E07" w14:textId="77777777">
      <w:pPr>
        <w:ind w:left="360"/>
        <w:jc w:val="both"/>
        <w:rPr>
          <w:rFonts w:ascii="Arial" w:hAnsi="Arial" w:cs="Arial"/>
          <w:b/>
          <w:bCs/>
        </w:rPr>
      </w:pPr>
    </w:p>
    <w:p w:rsidR="008A6ACC" w:rsidP="006A7F9E" w:rsidRDefault="008A6ACC" w14:paraId="1AE6DC4F" w14:textId="77777777">
      <w:pPr>
        <w:widowControl w:val="0"/>
        <w:numPr>
          <w:ilvl w:val="0"/>
          <w:numId w:val="10"/>
        </w:numPr>
        <w:ind w:hanging="720"/>
        <w:jc w:val="both"/>
        <w:rPr>
          <w:rFonts w:ascii="Arial" w:hAnsi="Arial" w:cs="Arial"/>
          <w:b/>
          <w:bCs/>
        </w:rPr>
      </w:pPr>
      <w:r w:rsidRPr="00C47181">
        <w:rPr>
          <w:rFonts w:ascii="Arial" w:hAnsi="Arial" w:cs="Arial"/>
          <w:b/>
          <w:bCs/>
        </w:rPr>
        <w:t xml:space="preserve">If applicable, provide a copy and identify the date and page number of </w:t>
      </w:r>
      <w:proofErr w:type="gramStart"/>
      <w:r w:rsidRPr="00C47181">
        <w:rPr>
          <w:rFonts w:ascii="Arial" w:hAnsi="Arial" w:cs="Arial"/>
          <w:b/>
          <w:bCs/>
        </w:rPr>
        <w:t>publication</w:t>
      </w:r>
      <w:proofErr w:type="gramEnd"/>
      <w:r w:rsidRPr="00C47181">
        <w:rPr>
          <w:rFonts w:ascii="Arial" w:hAnsi="Arial" w:cs="Arial"/>
          <w:b/>
          <w:b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A6ACC" w:rsidP="008A6ACC" w:rsidRDefault="008A6ACC" w14:paraId="259E8D68" w14:textId="77777777">
      <w:pPr>
        <w:tabs>
          <w:tab w:val="left" w:pos="-1440"/>
        </w:tabs>
        <w:ind w:left="720" w:hanging="360"/>
        <w:jc w:val="both"/>
        <w:rPr>
          <w:rFonts w:ascii="Arial" w:hAnsi="Arial"/>
        </w:rPr>
      </w:pPr>
      <w:r>
        <w:rPr>
          <w:rFonts w:ascii="Arial" w:hAnsi="Arial"/>
        </w:rPr>
        <w:tab/>
      </w:r>
    </w:p>
    <w:p w:rsidR="008A6ACC" w:rsidP="008A6ACC" w:rsidRDefault="008A6ACC" w14:paraId="4EA385EE" w14:textId="6EB5F6A6">
      <w:pPr>
        <w:tabs>
          <w:tab w:val="left" w:pos="-1440"/>
        </w:tabs>
        <w:ind w:left="720" w:hanging="360"/>
        <w:jc w:val="both"/>
        <w:rPr>
          <w:rFonts w:ascii="Arial" w:hAnsi="Arial"/>
        </w:rPr>
      </w:pPr>
      <w:r>
        <w:rPr>
          <w:rFonts w:ascii="Arial" w:hAnsi="Arial"/>
        </w:rPr>
        <w:tab/>
      </w:r>
      <w:r w:rsidRPr="00485307">
        <w:rPr>
          <w:rFonts w:ascii="Arial" w:hAnsi="Arial"/>
        </w:rPr>
        <w:t xml:space="preserve">Public comments were solicited through two Federal Register notices published on </w:t>
      </w:r>
      <w:r w:rsidRPr="00BF0F4E" w:rsidR="002A42BD">
        <w:rPr>
          <w:rFonts w:ascii="Arial" w:hAnsi="Arial"/>
        </w:rPr>
        <w:t>March</w:t>
      </w:r>
      <w:r w:rsidRPr="00BF0F4E" w:rsidR="00485307">
        <w:rPr>
          <w:rFonts w:ascii="Arial" w:hAnsi="Arial"/>
        </w:rPr>
        <w:t xml:space="preserve"> </w:t>
      </w:r>
      <w:r w:rsidRPr="00BF0F4E" w:rsidR="002A42BD">
        <w:rPr>
          <w:rFonts w:ascii="Arial" w:hAnsi="Arial"/>
        </w:rPr>
        <w:t>25</w:t>
      </w:r>
      <w:r w:rsidRPr="00BF0F4E" w:rsidR="00485307">
        <w:rPr>
          <w:rFonts w:ascii="Arial" w:hAnsi="Arial"/>
        </w:rPr>
        <w:t>, 20</w:t>
      </w:r>
      <w:r w:rsidRPr="00BF0F4E" w:rsidR="002A42BD">
        <w:rPr>
          <w:rFonts w:ascii="Arial" w:hAnsi="Arial"/>
        </w:rPr>
        <w:t>22</w:t>
      </w:r>
      <w:r w:rsidRPr="00BF0F4E">
        <w:rPr>
          <w:rFonts w:ascii="Arial" w:hAnsi="Arial"/>
        </w:rPr>
        <w:t xml:space="preserve"> (Volume </w:t>
      </w:r>
      <w:r w:rsidRPr="00BF0F4E" w:rsidR="004B5E69">
        <w:rPr>
          <w:rFonts w:ascii="Arial" w:hAnsi="Arial"/>
        </w:rPr>
        <w:t>8</w:t>
      </w:r>
      <w:r w:rsidRPr="00BF0F4E" w:rsidR="002A42BD">
        <w:rPr>
          <w:rFonts w:ascii="Arial" w:hAnsi="Arial"/>
        </w:rPr>
        <w:t>7</w:t>
      </w:r>
      <w:r w:rsidRPr="00BF0F4E">
        <w:rPr>
          <w:rFonts w:ascii="Arial" w:hAnsi="Arial"/>
        </w:rPr>
        <w:t>, Page</w:t>
      </w:r>
      <w:r w:rsidRPr="00BF0F4E" w:rsidR="002453A6">
        <w:rPr>
          <w:rFonts w:ascii="Arial" w:hAnsi="Arial"/>
        </w:rPr>
        <w:t xml:space="preserve"> </w:t>
      </w:r>
      <w:r w:rsidRPr="00BF0F4E" w:rsidR="002A42BD">
        <w:rPr>
          <w:rFonts w:ascii="Arial" w:hAnsi="Arial"/>
        </w:rPr>
        <w:t>17098</w:t>
      </w:r>
      <w:r w:rsidRPr="00BF0F4E">
        <w:rPr>
          <w:rFonts w:ascii="Arial" w:hAnsi="Arial"/>
        </w:rPr>
        <w:t>)</w:t>
      </w:r>
      <w:r w:rsidRPr="00BF0F4E" w:rsidR="008A4F97">
        <w:rPr>
          <w:rFonts w:ascii="Arial" w:hAnsi="Arial"/>
        </w:rPr>
        <w:t xml:space="preserve"> on which no comments were received,</w:t>
      </w:r>
      <w:r w:rsidRPr="00BF0F4E">
        <w:rPr>
          <w:rFonts w:ascii="Arial" w:hAnsi="Arial"/>
        </w:rPr>
        <w:t xml:space="preserve"> and on </w:t>
      </w:r>
      <w:r w:rsidRPr="00E55D23" w:rsidR="00E55D23">
        <w:rPr>
          <w:rFonts w:ascii="Arial" w:hAnsi="Arial"/>
        </w:rPr>
        <w:t>August 22</w:t>
      </w:r>
      <w:r w:rsidRPr="00E55D23" w:rsidR="00BF0F4E">
        <w:rPr>
          <w:rFonts w:ascii="Arial" w:hAnsi="Arial"/>
        </w:rPr>
        <w:t xml:space="preserve">, </w:t>
      </w:r>
      <w:r w:rsidRPr="00E55D23" w:rsidR="00485307">
        <w:rPr>
          <w:rFonts w:ascii="Arial" w:hAnsi="Arial"/>
        </w:rPr>
        <w:t>20</w:t>
      </w:r>
      <w:r w:rsidRPr="00E55D23" w:rsidR="00BF0F4E">
        <w:rPr>
          <w:rFonts w:ascii="Arial" w:hAnsi="Arial"/>
        </w:rPr>
        <w:t>22</w:t>
      </w:r>
      <w:r w:rsidRPr="00E55D23" w:rsidR="00DD4F8C">
        <w:rPr>
          <w:rFonts w:ascii="Arial" w:hAnsi="Arial"/>
        </w:rPr>
        <w:t xml:space="preserve"> </w:t>
      </w:r>
      <w:r w:rsidRPr="00E55D23">
        <w:rPr>
          <w:rFonts w:ascii="Arial" w:hAnsi="Arial"/>
        </w:rPr>
        <w:t>(Volume</w:t>
      </w:r>
      <w:r w:rsidRPr="00E55D23" w:rsidR="00BF0F4E">
        <w:rPr>
          <w:rFonts w:ascii="Arial" w:hAnsi="Arial"/>
        </w:rPr>
        <w:t xml:space="preserve"> 87</w:t>
      </w:r>
      <w:r w:rsidRPr="00E55D23">
        <w:rPr>
          <w:rFonts w:ascii="Arial" w:hAnsi="Arial"/>
        </w:rPr>
        <w:t xml:space="preserve">, Page </w:t>
      </w:r>
      <w:r w:rsidRPr="00E55D23" w:rsidR="00E55D23">
        <w:rPr>
          <w:rFonts w:ascii="Arial" w:hAnsi="Arial"/>
        </w:rPr>
        <w:t>51439</w:t>
      </w:r>
      <w:r w:rsidRPr="00E55D23" w:rsidR="00DD4F8C">
        <w:rPr>
          <w:rFonts w:ascii="Arial" w:hAnsi="Arial"/>
        </w:rPr>
        <w:t>)</w:t>
      </w:r>
      <w:r w:rsidRPr="00485307" w:rsidR="008A4F97">
        <w:rPr>
          <w:rFonts w:ascii="Arial" w:hAnsi="Arial"/>
        </w:rPr>
        <w:t xml:space="preserve"> on which no comments have been received.</w:t>
      </w:r>
      <w:r>
        <w:rPr>
          <w:rFonts w:ascii="Arial" w:hAnsi="Arial"/>
        </w:rPr>
        <w:t xml:space="preserve">  </w:t>
      </w:r>
    </w:p>
    <w:p w:rsidR="008A6ACC" w:rsidP="008A6ACC" w:rsidRDefault="008A6ACC" w14:paraId="7255C94F" w14:textId="77777777">
      <w:pPr>
        <w:ind w:left="720" w:hanging="600"/>
        <w:jc w:val="both"/>
        <w:rPr>
          <w:rFonts w:ascii="Arial" w:hAnsi="Arial"/>
          <w:b/>
          <w:bCs/>
        </w:rPr>
      </w:pPr>
    </w:p>
    <w:p w:rsidRPr="00C47181" w:rsidR="008A6ACC" w:rsidP="006A7F9E" w:rsidRDefault="008A6ACC" w14:paraId="6018D156" w14:textId="77777777">
      <w:pPr>
        <w:ind w:left="720" w:hanging="720"/>
        <w:jc w:val="both"/>
        <w:rPr>
          <w:rFonts w:ascii="Arial" w:hAnsi="Arial" w:cs="Arial"/>
          <w:b/>
          <w:bCs/>
        </w:rPr>
      </w:pPr>
      <w:r w:rsidRPr="00C47181">
        <w:rPr>
          <w:rFonts w:ascii="Arial" w:hAnsi="Arial"/>
          <w:b/>
          <w:bCs/>
        </w:rPr>
        <w:t>9.</w:t>
      </w:r>
      <w:r w:rsidRPr="00C47181">
        <w:rPr>
          <w:rFonts w:ascii="Arial" w:hAnsi="Arial"/>
        </w:rPr>
        <w:tab/>
      </w:r>
      <w:r w:rsidRPr="00C47181">
        <w:rPr>
          <w:rFonts w:ascii="Arial" w:hAnsi="Arial" w:cs="Arial"/>
          <w:b/>
          <w:bCs/>
        </w:rPr>
        <w:t>Explain any decision to provide any payment or gift to respondents, other than remuneration of contractors or grantees.</w:t>
      </w:r>
    </w:p>
    <w:p w:rsidRPr="00C47181" w:rsidR="008A6ACC" w:rsidP="008A6ACC" w:rsidRDefault="008A6ACC" w14:paraId="3323B0FA" w14:textId="77777777">
      <w:pPr>
        <w:tabs>
          <w:tab w:val="left" w:pos="-1440"/>
        </w:tabs>
        <w:ind w:left="720" w:hanging="720"/>
        <w:jc w:val="both"/>
        <w:rPr>
          <w:rFonts w:ascii="Arial" w:hAnsi="Arial"/>
        </w:rPr>
      </w:pPr>
    </w:p>
    <w:p w:rsidRPr="00C47181" w:rsidR="008A6ACC" w:rsidP="008A6ACC" w:rsidRDefault="008A6ACC" w14:paraId="7B492D66" w14:textId="77777777">
      <w:pPr>
        <w:tabs>
          <w:tab w:val="left" w:pos="-1440"/>
        </w:tabs>
        <w:ind w:left="720" w:hanging="720"/>
        <w:jc w:val="both"/>
        <w:rPr>
          <w:rFonts w:ascii="Arial" w:hAnsi="Arial"/>
        </w:rPr>
      </w:pPr>
      <w:r w:rsidRPr="00C47181">
        <w:rPr>
          <w:rFonts w:ascii="Arial" w:hAnsi="Arial"/>
        </w:rPr>
        <w:tab/>
        <w:t>There is no offer of a monetary or material value for this information collection.</w:t>
      </w:r>
    </w:p>
    <w:p w:rsidR="008A6ACC" w:rsidP="008A6ACC" w:rsidRDefault="008A6ACC" w14:paraId="415FA64E" w14:textId="77777777">
      <w:pPr>
        <w:ind w:left="720" w:hanging="720"/>
        <w:jc w:val="both"/>
        <w:rPr>
          <w:rFonts w:ascii="Arial" w:hAnsi="Arial"/>
          <w:b/>
          <w:bCs/>
        </w:rPr>
      </w:pPr>
    </w:p>
    <w:p w:rsidRPr="00C47181" w:rsidR="008A6ACC" w:rsidP="008A6ACC" w:rsidRDefault="008A6ACC" w14:paraId="0D7BC8BE" w14:textId="77777777">
      <w:pPr>
        <w:ind w:left="720" w:hanging="720"/>
        <w:jc w:val="both"/>
        <w:rPr>
          <w:rFonts w:ascii="Arial" w:hAnsi="Arial" w:cs="Arial"/>
          <w:b/>
          <w:bCs/>
        </w:rPr>
      </w:pPr>
      <w:r w:rsidRPr="00C47181">
        <w:rPr>
          <w:rFonts w:ascii="Arial" w:hAnsi="Arial"/>
          <w:b/>
          <w:bCs/>
        </w:rPr>
        <w:t>10.</w:t>
      </w:r>
      <w:r w:rsidRPr="00C47181">
        <w:rPr>
          <w:rFonts w:ascii="Arial" w:hAnsi="Arial"/>
        </w:rPr>
        <w:tab/>
      </w:r>
      <w:r w:rsidRPr="006272D3">
        <w:rPr>
          <w:rFonts w:ascii="Arial" w:hAnsi="Arial" w:cs="Arial"/>
          <w:b/>
          <w:bCs/>
        </w:rPr>
        <w:t>Describe any assurance of confidentiality provided to respondents and the basis for the assurance in statute, regulation, or agency policy.</w:t>
      </w:r>
    </w:p>
    <w:p w:rsidRPr="00C47181" w:rsidR="008A6ACC" w:rsidP="008A6ACC" w:rsidRDefault="008A6ACC" w14:paraId="60D0E2A9" w14:textId="77777777">
      <w:pPr>
        <w:tabs>
          <w:tab w:val="left" w:pos="-1440"/>
        </w:tabs>
        <w:ind w:left="720" w:hanging="720"/>
        <w:jc w:val="both"/>
        <w:rPr>
          <w:rFonts w:ascii="Arial" w:hAnsi="Arial"/>
        </w:rPr>
      </w:pPr>
      <w:r w:rsidRPr="00C47181">
        <w:rPr>
          <w:rFonts w:ascii="Arial" w:hAnsi="Arial"/>
        </w:rPr>
        <w:tab/>
      </w:r>
    </w:p>
    <w:p w:rsidRPr="00FE3EA3" w:rsidR="00FE3EA3" w:rsidP="00FE3EA3" w:rsidRDefault="00FE3EA3" w14:paraId="48944BBB" w14:textId="77777777">
      <w:pPr>
        <w:ind w:left="720"/>
        <w:rPr>
          <w:rFonts w:ascii="Arial" w:hAnsi="Arial" w:cs="Arial"/>
          <w:iCs/>
        </w:rPr>
      </w:pPr>
      <w:r w:rsidRPr="002C7C5B">
        <w:rPr>
          <w:rFonts w:ascii="Arial" w:hAnsi="Arial" w:cs="Arial"/>
          <w:iCs/>
        </w:rPr>
        <w:t xml:space="preserve">All data submitted and </w:t>
      </w:r>
      <w:proofErr w:type="gramStart"/>
      <w:r w:rsidRPr="002C7C5B">
        <w:rPr>
          <w:rFonts w:ascii="Arial" w:hAnsi="Arial" w:cs="Arial"/>
          <w:iCs/>
        </w:rPr>
        <w:t>entered into</w:t>
      </w:r>
      <w:proofErr w:type="gramEnd"/>
      <w:r w:rsidRPr="002C7C5B">
        <w:rPr>
          <w:rFonts w:ascii="Arial" w:hAnsi="Arial" w:cs="Arial"/>
          <w:iCs/>
        </w:rPr>
        <w:t xml:space="preserve"> ACE is subject to and protected by the Trade Secrets Act (18 U.S.C. 1905) and is considered confidential, except to the extent as otherwise provided by law.</w:t>
      </w:r>
      <w:r w:rsidR="002C7C5B">
        <w:rPr>
          <w:rFonts w:ascii="Arial" w:hAnsi="Arial" w:cs="Arial"/>
          <w:iCs/>
        </w:rPr>
        <w:t xml:space="preserve"> </w:t>
      </w:r>
      <w:r w:rsidRPr="002C7C5B">
        <w:rPr>
          <w:rFonts w:ascii="Arial" w:hAnsi="Arial" w:cs="Arial"/>
          <w:iCs/>
        </w:rPr>
        <w:t> </w:t>
      </w:r>
      <w:r w:rsidRPr="002C7C5B" w:rsidR="002C7C5B">
        <w:rPr>
          <w:rFonts w:ascii="Arial" w:hAnsi="Arial" w:cs="Arial"/>
          <w:bCs/>
        </w:rPr>
        <w:t>A PIA for the Automated Commercial Environment (ACE), dated July 31, 2015, and a SORN for IIS, dated July 26, 2016 (Vol. 81, Page 48826) will be included in this ICR. </w:t>
      </w:r>
    </w:p>
    <w:p w:rsidR="008A6ACC" w:rsidP="008A6ACC" w:rsidRDefault="008A6ACC" w14:paraId="7C2A12B5" w14:textId="77777777">
      <w:pPr>
        <w:ind w:left="720" w:hanging="720"/>
        <w:jc w:val="both"/>
        <w:rPr>
          <w:rFonts w:ascii="Arial" w:hAnsi="Arial"/>
          <w:b/>
          <w:bCs/>
        </w:rPr>
      </w:pPr>
      <w:r>
        <w:rPr>
          <w:rFonts w:ascii="Arial" w:hAnsi="Arial"/>
          <w:b/>
          <w:bCs/>
        </w:rPr>
        <w:tab/>
      </w:r>
      <w:r>
        <w:rPr>
          <w:rFonts w:ascii="Arial" w:hAnsi="Arial"/>
          <w:b/>
          <w:bCs/>
        </w:rPr>
        <w:tab/>
      </w:r>
      <w:r>
        <w:rPr>
          <w:rFonts w:ascii="Arial" w:hAnsi="Arial"/>
          <w:b/>
          <w:bCs/>
        </w:rPr>
        <w:tab/>
      </w:r>
      <w:r>
        <w:rPr>
          <w:rFonts w:ascii="Arial" w:hAnsi="Arial"/>
          <w:b/>
          <w:bCs/>
        </w:rPr>
        <w:tab/>
      </w:r>
    </w:p>
    <w:p w:rsidRPr="00C47181" w:rsidR="008A6ACC" w:rsidP="008A6ACC" w:rsidRDefault="008A6ACC" w14:paraId="751C986C" w14:textId="77777777">
      <w:pPr>
        <w:ind w:left="720" w:hanging="720"/>
        <w:jc w:val="both"/>
        <w:rPr>
          <w:rFonts w:ascii="Arial" w:hAnsi="Arial" w:cs="Arial"/>
          <w:b/>
          <w:bCs/>
        </w:rPr>
      </w:pPr>
      <w:r w:rsidRPr="00C47181">
        <w:rPr>
          <w:rFonts w:ascii="Arial" w:hAnsi="Arial"/>
          <w:b/>
          <w:bCs/>
        </w:rPr>
        <w:t>11.</w:t>
      </w:r>
      <w:r w:rsidRPr="00C47181">
        <w:rPr>
          <w:rFonts w:ascii="Arial" w:hAnsi="Arial"/>
        </w:rPr>
        <w:tab/>
      </w:r>
      <w:r w:rsidRPr="00C47181">
        <w:rPr>
          <w:rFonts w:ascii="Arial" w:hAnsi="Arial" w:cs="Arial"/>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C47181" w:rsidR="008A6ACC" w:rsidP="008A6ACC" w:rsidRDefault="008A6ACC" w14:paraId="65104C03" w14:textId="77777777">
      <w:pPr>
        <w:tabs>
          <w:tab w:val="left" w:pos="-1440"/>
        </w:tabs>
        <w:ind w:left="720" w:hanging="720"/>
        <w:jc w:val="both"/>
        <w:rPr>
          <w:rFonts w:ascii="Arial" w:hAnsi="Arial"/>
        </w:rPr>
      </w:pPr>
      <w:r w:rsidRPr="00C47181">
        <w:rPr>
          <w:rFonts w:ascii="Arial" w:hAnsi="Arial"/>
        </w:rPr>
        <w:tab/>
      </w:r>
    </w:p>
    <w:p w:rsidRPr="00C47181" w:rsidR="008A6ACC" w:rsidP="008A6ACC" w:rsidRDefault="008A6ACC" w14:paraId="3D40F4C5" w14:textId="77777777">
      <w:pPr>
        <w:tabs>
          <w:tab w:val="left" w:pos="-1440"/>
        </w:tabs>
        <w:ind w:left="720" w:hanging="720"/>
        <w:jc w:val="both"/>
        <w:rPr>
          <w:rFonts w:ascii="Arial" w:hAnsi="Arial"/>
        </w:rPr>
      </w:pPr>
      <w:r w:rsidRPr="00C47181">
        <w:rPr>
          <w:rFonts w:ascii="Arial" w:hAnsi="Arial"/>
        </w:rPr>
        <w:tab/>
        <w:t>There are no questions of a sensitive nature</w:t>
      </w:r>
      <w:r>
        <w:rPr>
          <w:rFonts w:ascii="Arial" w:hAnsi="Arial"/>
        </w:rPr>
        <w:t>.</w:t>
      </w:r>
    </w:p>
    <w:p w:rsidRPr="00C47181" w:rsidR="00180A52" w:rsidP="008A6ACC" w:rsidRDefault="00180A52" w14:paraId="7FFAEFB2" w14:textId="77777777">
      <w:pPr>
        <w:jc w:val="both"/>
        <w:rPr>
          <w:rFonts w:ascii="Arial" w:hAnsi="Arial"/>
        </w:rPr>
      </w:pPr>
    </w:p>
    <w:p w:rsidRPr="006272D3" w:rsidR="008A6ACC" w:rsidP="00B0561F" w:rsidRDefault="008A6ACC" w14:paraId="58CA8077" w14:textId="77777777">
      <w:pPr>
        <w:widowControl w:val="0"/>
        <w:numPr>
          <w:ilvl w:val="0"/>
          <w:numId w:val="8"/>
        </w:numPr>
        <w:tabs>
          <w:tab w:val="clear" w:pos="1080"/>
          <w:tab w:val="left" w:pos="-1440"/>
          <w:tab w:val="num" w:pos="720"/>
        </w:tabs>
        <w:ind w:hanging="1080"/>
        <w:jc w:val="both"/>
        <w:rPr>
          <w:rFonts w:ascii="Arial" w:hAnsi="Arial"/>
        </w:rPr>
      </w:pPr>
      <w:r w:rsidRPr="006272D3">
        <w:rPr>
          <w:rFonts w:ascii="Arial" w:hAnsi="Arial" w:cs="Arial"/>
          <w:b/>
          <w:bCs/>
        </w:rPr>
        <w:t>Provide estimates of the hour burden of the collection of information.</w:t>
      </w:r>
      <w:r w:rsidRPr="006272D3">
        <w:rPr>
          <w:rFonts w:ascii="Arial" w:hAnsi="Arial"/>
        </w:rPr>
        <w:tab/>
      </w:r>
    </w:p>
    <w:p w:rsidR="008A6ACC" w:rsidP="008A6ACC" w:rsidRDefault="008A6ACC" w14:paraId="6BAF385C" w14:textId="77777777">
      <w:pPr>
        <w:jc w:val="both"/>
        <w:rPr>
          <w:rFonts w:ascii="Arial" w:hAnsi="Arial"/>
        </w:rPr>
      </w:pPr>
    </w:p>
    <w:tbl>
      <w:tblPr>
        <w:tblW w:w="957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10"/>
        <w:gridCol w:w="1260"/>
        <w:gridCol w:w="1890"/>
        <w:gridCol w:w="1710"/>
        <w:gridCol w:w="1530"/>
        <w:gridCol w:w="1476"/>
      </w:tblGrid>
      <w:tr w:rsidRPr="001C3E8A" w:rsidR="008A6ACC" w:rsidTr="001C3E8A" w14:paraId="0F40A1CE" w14:textId="77777777">
        <w:tc>
          <w:tcPr>
            <w:tcW w:w="1710" w:type="dxa"/>
            <w:shd w:val="clear" w:color="auto" w:fill="auto"/>
          </w:tcPr>
          <w:p w:rsidRPr="001C3E8A" w:rsidR="008A6ACC" w:rsidP="001C3E8A" w:rsidRDefault="008A6ACC" w14:paraId="3C12072D" w14:textId="77777777">
            <w:pPr>
              <w:pStyle w:val="Style"/>
              <w:tabs>
                <w:tab w:val="left" w:pos="-1440"/>
              </w:tabs>
              <w:ind w:left="0" w:firstLine="0"/>
              <w:jc w:val="both"/>
              <w:rPr>
                <w:rFonts w:ascii="Arial" w:hAnsi="Arial"/>
              </w:rPr>
            </w:pPr>
          </w:p>
          <w:p w:rsidRPr="001C3E8A" w:rsidR="008A6ACC" w:rsidP="001C3E8A" w:rsidRDefault="008A6ACC" w14:paraId="1AAA169A" w14:textId="77777777">
            <w:pPr>
              <w:pStyle w:val="Style"/>
              <w:tabs>
                <w:tab w:val="left" w:pos="-1440"/>
              </w:tabs>
              <w:ind w:left="0" w:firstLine="0"/>
              <w:jc w:val="both"/>
              <w:rPr>
                <w:rFonts w:ascii="Arial" w:hAnsi="Arial"/>
                <w:sz w:val="20"/>
              </w:rPr>
            </w:pPr>
            <w:r w:rsidRPr="001C3E8A">
              <w:rPr>
                <w:rFonts w:ascii="Arial" w:hAnsi="Arial"/>
                <w:b/>
                <w:sz w:val="20"/>
              </w:rPr>
              <w:t xml:space="preserve">INFORMATION COLLECTION </w:t>
            </w:r>
          </w:p>
        </w:tc>
        <w:tc>
          <w:tcPr>
            <w:tcW w:w="1260" w:type="dxa"/>
            <w:shd w:val="clear" w:color="auto" w:fill="auto"/>
          </w:tcPr>
          <w:p w:rsidRPr="001C3E8A" w:rsidR="008A6ACC" w:rsidP="001C3E8A" w:rsidRDefault="008A6ACC" w14:paraId="0A31CFD7" w14:textId="77777777">
            <w:pPr>
              <w:pStyle w:val="Style"/>
              <w:tabs>
                <w:tab w:val="left" w:pos="-1440"/>
              </w:tabs>
              <w:ind w:left="0" w:firstLine="0"/>
              <w:jc w:val="both"/>
              <w:rPr>
                <w:rFonts w:ascii="Arial" w:hAnsi="Arial"/>
                <w:b/>
                <w:sz w:val="20"/>
              </w:rPr>
            </w:pPr>
            <w:r w:rsidRPr="001C3E8A">
              <w:rPr>
                <w:rFonts w:ascii="Arial" w:hAnsi="Arial"/>
                <w:b/>
                <w:sz w:val="20"/>
              </w:rPr>
              <w:t>TOTAL ANNUAL BURDEN HOURS</w:t>
            </w:r>
          </w:p>
        </w:tc>
        <w:tc>
          <w:tcPr>
            <w:tcW w:w="1890" w:type="dxa"/>
            <w:shd w:val="clear" w:color="auto" w:fill="auto"/>
          </w:tcPr>
          <w:p w:rsidRPr="001C3E8A" w:rsidR="008A6ACC" w:rsidP="001C3E8A" w:rsidRDefault="008A6ACC" w14:paraId="33FF1FEE" w14:textId="77777777">
            <w:pPr>
              <w:pStyle w:val="Style"/>
              <w:tabs>
                <w:tab w:val="left" w:pos="-1440"/>
              </w:tabs>
              <w:ind w:left="0" w:firstLine="0"/>
              <w:jc w:val="both"/>
              <w:rPr>
                <w:rFonts w:ascii="Arial" w:hAnsi="Arial"/>
                <w:b/>
                <w:sz w:val="20"/>
              </w:rPr>
            </w:pPr>
            <w:r w:rsidRPr="001C3E8A">
              <w:rPr>
                <w:rFonts w:ascii="Arial" w:hAnsi="Arial"/>
                <w:b/>
                <w:sz w:val="20"/>
              </w:rPr>
              <w:t>NO. OF</w:t>
            </w:r>
          </w:p>
          <w:p w:rsidRPr="001C3E8A" w:rsidR="008A6ACC" w:rsidP="001C3E8A" w:rsidRDefault="008A6ACC" w14:paraId="5D78C979" w14:textId="77777777">
            <w:pPr>
              <w:pStyle w:val="Style"/>
              <w:tabs>
                <w:tab w:val="left" w:pos="-1440"/>
              </w:tabs>
              <w:ind w:left="0" w:firstLine="0"/>
              <w:jc w:val="both"/>
              <w:rPr>
                <w:rFonts w:ascii="Arial" w:hAnsi="Arial"/>
                <w:b/>
                <w:sz w:val="22"/>
                <w:szCs w:val="22"/>
              </w:rPr>
            </w:pPr>
            <w:r w:rsidRPr="001C3E8A">
              <w:rPr>
                <w:rFonts w:ascii="Arial" w:hAnsi="Arial"/>
                <w:b/>
                <w:sz w:val="20"/>
              </w:rPr>
              <w:t>RESPONDENTS</w:t>
            </w:r>
          </w:p>
        </w:tc>
        <w:tc>
          <w:tcPr>
            <w:tcW w:w="1710" w:type="dxa"/>
            <w:shd w:val="clear" w:color="auto" w:fill="auto"/>
          </w:tcPr>
          <w:p w:rsidRPr="001C3E8A" w:rsidR="008A6ACC" w:rsidP="001C3E8A" w:rsidRDefault="008A6ACC" w14:paraId="7DD602E4" w14:textId="77777777">
            <w:pPr>
              <w:pStyle w:val="Style"/>
              <w:tabs>
                <w:tab w:val="left" w:pos="-1440"/>
              </w:tabs>
              <w:ind w:left="0" w:firstLine="0"/>
              <w:rPr>
                <w:rFonts w:ascii="Arial" w:hAnsi="Arial"/>
                <w:b/>
                <w:sz w:val="20"/>
              </w:rPr>
            </w:pPr>
            <w:r w:rsidRPr="001C3E8A">
              <w:rPr>
                <w:rFonts w:ascii="Arial" w:hAnsi="Arial"/>
                <w:b/>
                <w:sz w:val="20"/>
              </w:rPr>
              <w:t>NO. OF RESPONSES PER RESPONDENT</w:t>
            </w:r>
          </w:p>
        </w:tc>
        <w:tc>
          <w:tcPr>
            <w:tcW w:w="1530" w:type="dxa"/>
            <w:shd w:val="clear" w:color="auto" w:fill="auto"/>
          </w:tcPr>
          <w:p w:rsidRPr="001C3E8A" w:rsidR="008A6ACC" w:rsidP="001C3E8A" w:rsidRDefault="008A6ACC" w14:paraId="1639E02A" w14:textId="77777777">
            <w:pPr>
              <w:pStyle w:val="Style"/>
              <w:tabs>
                <w:tab w:val="left" w:pos="-1440"/>
              </w:tabs>
              <w:ind w:left="0" w:firstLine="0"/>
              <w:jc w:val="both"/>
              <w:rPr>
                <w:rFonts w:ascii="Arial" w:hAnsi="Arial"/>
              </w:rPr>
            </w:pPr>
          </w:p>
          <w:p w:rsidRPr="001C3E8A" w:rsidR="008A6ACC" w:rsidP="001C3E8A" w:rsidRDefault="008A6ACC" w14:paraId="45595E22" w14:textId="77777777">
            <w:pPr>
              <w:pStyle w:val="Style"/>
              <w:tabs>
                <w:tab w:val="left" w:pos="-1440"/>
              </w:tabs>
              <w:ind w:left="0" w:firstLine="0"/>
              <w:jc w:val="both"/>
              <w:rPr>
                <w:rFonts w:ascii="Arial" w:hAnsi="Arial"/>
                <w:b/>
                <w:sz w:val="20"/>
              </w:rPr>
            </w:pPr>
            <w:r w:rsidRPr="001C3E8A">
              <w:rPr>
                <w:rFonts w:ascii="Arial" w:hAnsi="Arial"/>
                <w:b/>
                <w:sz w:val="20"/>
              </w:rPr>
              <w:t>TOTAL</w:t>
            </w:r>
          </w:p>
          <w:p w:rsidRPr="001C3E8A" w:rsidR="008A6ACC" w:rsidP="001C3E8A" w:rsidRDefault="008A6ACC" w14:paraId="107D2502" w14:textId="77777777">
            <w:pPr>
              <w:pStyle w:val="Style"/>
              <w:tabs>
                <w:tab w:val="left" w:pos="-1440"/>
              </w:tabs>
              <w:ind w:left="0" w:firstLine="0"/>
              <w:jc w:val="both"/>
              <w:rPr>
                <w:rFonts w:ascii="Arial" w:hAnsi="Arial"/>
              </w:rPr>
            </w:pPr>
            <w:r w:rsidRPr="001C3E8A">
              <w:rPr>
                <w:rFonts w:ascii="Arial" w:hAnsi="Arial"/>
                <w:b/>
                <w:sz w:val="20"/>
              </w:rPr>
              <w:t>RESPONSES</w:t>
            </w:r>
          </w:p>
        </w:tc>
        <w:tc>
          <w:tcPr>
            <w:tcW w:w="1476" w:type="dxa"/>
            <w:shd w:val="clear" w:color="auto" w:fill="auto"/>
          </w:tcPr>
          <w:p w:rsidRPr="001C3E8A" w:rsidR="008A6ACC" w:rsidP="001C3E8A" w:rsidRDefault="008A6ACC" w14:paraId="2C016B5C" w14:textId="77777777">
            <w:pPr>
              <w:pStyle w:val="Style"/>
              <w:tabs>
                <w:tab w:val="left" w:pos="-1440"/>
              </w:tabs>
              <w:ind w:left="0" w:firstLine="0"/>
              <w:jc w:val="both"/>
              <w:rPr>
                <w:rFonts w:ascii="Arial" w:hAnsi="Arial"/>
              </w:rPr>
            </w:pPr>
          </w:p>
          <w:p w:rsidRPr="001C3E8A" w:rsidR="008A6ACC" w:rsidP="001C3E8A" w:rsidRDefault="008A6ACC" w14:paraId="4D8073A6" w14:textId="77777777">
            <w:pPr>
              <w:pStyle w:val="Style"/>
              <w:tabs>
                <w:tab w:val="left" w:pos="-1440"/>
              </w:tabs>
              <w:ind w:left="0" w:firstLine="0"/>
              <w:jc w:val="both"/>
              <w:rPr>
                <w:rFonts w:ascii="Arial" w:hAnsi="Arial"/>
                <w:b/>
                <w:sz w:val="20"/>
              </w:rPr>
            </w:pPr>
            <w:r w:rsidRPr="001C3E8A">
              <w:rPr>
                <w:rFonts w:ascii="Arial" w:hAnsi="Arial"/>
                <w:b/>
                <w:sz w:val="20"/>
              </w:rPr>
              <w:t>TIME PER</w:t>
            </w:r>
          </w:p>
          <w:p w:rsidRPr="001C3E8A" w:rsidR="008A6ACC" w:rsidP="001C3E8A" w:rsidRDefault="008A6ACC" w14:paraId="53E18F3B" w14:textId="77777777">
            <w:pPr>
              <w:pStyle w:val="Style"/>
              <w:tabs>
                <w:tab w:val="left" w:pos="-1440"/>
              </w:tabs>
              <w:ind w:left="0" w:firstLine="0"/>
              <w:jc w:val="both"/>
              <w:rPr>
                <w:rFonts w:ascii="Arial" w:hAnsi="Arial"/>
              </w:rPr>
            </w:pPr>
            <w:r w:rsidRPr="001C3E8A">
              <w:rPr>
                <w:rFonts w:ascii="Arial" w:hAnsi="Arial"/>
                <w:b/>
                <w:sz w:val="20"/>
              </w:rPr>
              <w:t>RESPONSE</w:t>
            </w:r>
          </w:p>
        </w:tc>
      </w:tr>
      <w:tr w:rsidRPr="001C3E8A" w:rsidR="008A6ACC" w:rsidTr="001C3E8A" w14:paraId="7646D5DB" w14:textId="77777777">
        <w:tc>
          <w:tcPr>
            <w:tcW w:w="1710" w:type="dxa"/>
            <w:shd w:val="clear" w:color="auto" w:fill="auto"/>
          </w:tcPr>
          <w:p w:rsidRPr="001C3E8A" w:rsidR="008A6ACC" w:rsidP="001C3E8A" w:rsidRDefault="000978EC" w14:paraId="3D8C075F" w14:textId="77777777">
            <w:pPr>
              <w:pStyle w:val="Style"/>
              <w:tabs>
                <w:tab w:val="left" w:pos="-1440"/>
              </w:tabs>
              <w:ind w:left="0" w:firstLine="0"/>
              <w:rPr>
                <w:rFonts w:ascii="Arial" w:hAnsi="Arial"/>
                <w:sz w:val="22"/>
                <w:szCs w:val="22"/>
              </w:rPr>
            </w:pPr>
            <w:r w:rsidRPr="001C3E8A">
              <w:rPr>
                <w:rFonts w:ascii="Arial" w:hAnsi="Arial"/>
                <w:sz w:val="22"/>
                <w:szCs w:val="22"/>
              </w:rPr>
              <w:t>Transfer of Cargo to Container Station</w:t>
            </w:r>
          </w:p>
        </w:tc>
        <w:tc>
          <w:tcPr>
            <w:tcW w:w="1260" w:type="dxa"/>
            <w:shd w:val="clear" w:color="auto" w:fill="auto"/>
          </w:tcPr>
          <w:p w:rsidRPr="001C3E8A" w:rsidR="008A6ACC" w:rsidP="001C3E8A" w:rsidRDefault="008A6ACC" w14:paraId="40038F71" w14:textId="77777777">
            <w:pPr>
              <w:pStyle w:val="Style"/>
              <w:tabs>
                <w:tab w:val="left" w:pos="-1440"/>
              </w:tabs>
              <w:ind w:left="0" w:firstLine="0"/>
              <w:jc w:val="both"/>
              <w:rPr>
                <w:rFonts w:ascii="Arial" w:hAnsi="Arial"/>
              </w:rPr>
            </w:pPr>
          </w:p>
          <w:p w:rsidRPr="001C3E8A" w:rsidR="008A6ACC" w:rsidP="001C3E8A" w:rsidRDefault="008A6ACC" w14:paraId="63A2CA46" w14:textId="77777777">
            <w:pPr>
              <w:pStyle w:val="Style"/>
              <w:tabs>
                <w:tab w:val="left" w:pos="-1440"/>
              </w:tabs>
              <w:ind w:left="0" w:firstLine="0"/>
              <w:jc w:val="both"/>
              <w:rPr>
                <w:rFonts w:ascii="Arial" w:hAnsi="Arial"/>
              </w:rPr>
            </w:pPr>
            <w:r w:rsidRPr="001C3E8A">
              <w:rPr>
                <w:rFonts w:ascii="Arial" w:hAnsi="Arial"/>
              </w:rPr>
              <w:t xml:space="preserve">   </w:t>
            </w:r>
            <w:r w:rsidRPr="001C3E8A" w:rsidR="00197885">
              <w:rPr>
                <w:rFonts w:ascii="Arial" w:hAnsi="Arial"/>
              </w:rPr>
              <w:t>41</w:t>
            </w:r>
            <w:r w:rsidRPr="001C3E8A" w:rsidR="000978EC">
              <w:rPr>
                <w:rFonts w:ascii="Arial" w:hAnsi="Arial"/>
              </w:rPr>
              <w:t>,5</w:t>
            </w:r>
            <w:r w:rsidRPr="001C3E8A" w:rsidR="00197885">
              <w:rPr>
                <w:rFonts w:ascii="Arial" w:hAnsi="Arial"/>
              </w:rPr>
              <w:t>48</w:t>
            </w:r>
          </w:p>
        </w:tc>
        <w:tc>
          <w:tcPr>
            <w:tcW w:w="1890" w:type="dxa"/>
            <w:shd w:val="clear" w:color="auto" w:fill="auto"/>
          </w:tcPr>
          <w:p w:rsidRPr="001C3E8A" w:rsidR="008A6ACC" w:rsidP="001C3E8A" w:rsidRDefault="008A6ACC" w14:paraId="7736D2AB" w14:textId="77777777">
            <w:pPr>
              <w:pStyle w:val="Style"/>
              <w:tabs>
                <w:tab w:val="left" w:pos="-1440"/>
              </w:tabs>
              <w:ind w:left="0" w:firstLine="0"/>
              <w:jc w:val="both"/>
              <w:rPr>
                <w:rFonts w:ascii="Arial" w:hAnsi="Arial"/>
              </w:rPr>
            </w:pPr>
          </w:p>
          <w:p w:rsidRPr="001C3E8A" w:rsidR="008A6ACC" w:rsidP="001C3E8A" w:rsidRDefault="008A6ACC" w14:paraId="0D3CD1E6" w14:textId="77777777">
            <w:pPr>
              <w:pStyle w:val="Style"/>
              <w:tabs>
                <w:tab w:val="left" w:pos="-1440"/>
              </w:tabs>
              <w:ind w:left="0" w:firstLine="0"/>
              <w:jc w:val="both"/>
              <w:rPr>
                <w:rFonts w:ascii="Arial" w:hAnsi="Arial"/>
              </w:rPr>
            </w:pPr>
            <w:r w:rsidRPr="001C3E8A">
              <w:rPr>
                <w:rFonts w:ascii="Arial" w:hAnsi="Arial"/>
              </w:rPr>
              <w:t xml:space="preserve">        </w:t>
            </w:r>
            <w:r w:rsidRPr="001C3E8A" w:rsidR="00197885">
              <w:rPr>
                <w:rFonts w:ascii="Arial" w:hAnsi="Arial"/>
              </w:rPr>
              <w:t>14,327</w:t>
            </w:r>
          </w:p>
        </w:tc>
        <w:tc>
          <w:tcPr>
            <w:tcW w:w="1710" w:type="dxa"/>
            <w:shd w:val="clear" w:color="auto" w:fill="auto"/>
          </w:tcPr>
          <w:p w:rsidRPr="001C3E8A" w:rsidR="008A6ACC" w:rsidP="001C3E8A" w:rsidRDefault="008A6ACC" w14:paraId="714D2E0F" w14:textId="77777777">
            <w:pPr>
              <w:pStyle w:val="Style"/>
              <w:tabs>
                <w:tab w:val="left" w:pos="-1440"/>
              </w:tabs>
              <w:ind w:left="0" w:firstLine="0"/>
              <w:jc w:val="both"/>
              <w:rPr>
                <w:rFonts w:ascii="Arial" w:hAnsi="Arial"/>
              </w:rPr>
            </w:pPr>
          </w:p>
          <w:p w:rsidRPr="001C3E8A" w:rsidR="008A6ACC" w:rsidP="001C3E8A" w:rsidRDefault="008A6ACC" w14:paraId="38ECD68F" w14:textId="77777777">
            <w:pPr>
              <w:pStyle w:val="Style"/>
              <w:tabs>
                <w:tab w:val="left" w:pos="-1440"/>
              </w:tabs>
              <w:ind w:left="0" w:firstLine="0"/>
              <w:jc w:val="both"/>
              <w:rPr>
                <w:rFonts w:ascii="Arial" w:hAnsi="Arial"/>
              </w:rPr>
            </w:pPr>
            <w:r w:rsidRPr="001C3E8A">
              <w:rPr>
                <w:rFonts w:ascii="Arial" w:hAnsi="Arial"/>
              </w:rPr>
              <w:t xml:space="preserve">      </w:t>
            </w:r>
            <w:r w:rsidRPr="001C3E8A" w:rsidR="00197885">
              <w:rPr>
                <w:rFonts w:ascii="Arial" w:hAnsi="Arial"/>
              </w:rPr>
              <w:t>2</w:t>
            </w:r>
            <w:r w:rsidRPr="001C3E8A" w:rsidR="000978EC">
              <w:rPr>
                <w:rFonts w:ascii="Arial" w:hAnsi="Arial"/>
              </w:rPr>
              <w:t>5</w:t>
            </w:r>
          </w:p>
        </w:tc>
        <w:tc>
          <w:tcPr>
            <w:tcW w:w="1530" w:type="dxa"/>
            <w:shd w:val="clear" w:color="auto" w:fill="auto"/>
          </w:tcPr>
          <w:p w:rsidRPr="001C3E8A" w:rsidR="008A6ACC" w:rsidP="001C3E8A" w:rsidRDefault="008A6ACC" w14:paraId="70EFEF02" w14:textId="77777777">
            <w:pPr>
              <w:pStyle w:val="Style"/>
              <w:tabs>
                <w:tab w:val="left" w:pos="-1440"/>
              </w:tabs>
              <w:ind w:left="0" w:firstLine="0"/>
              <w:jc w:val="both"/>
              <w:rPr>
                <w:rFonts w:ascii="Arial" w:hAnsi="Arial"/>
              </w:rPr>
            </w:pPr>
          </w:p>
          <w:p w:rsidRPr="001C3E8A" w:rsidR="008A6ACC" w:rsidP="001C3E8A" w:rsidRDefault="008A6ACC" w14:paraId="3FB10F5F" w14:textId="77777777">
            <w:pPr>
              <w:pStyle w:val="Style"/>
              <w:tabs>
                <w:tab w:val="left" w:pos="-1440"/>
              </w:tabs>
              <w:ind w:left="0" w:firstLine="0"/>
              <w:jc w:val="both"/>
              <w:rPr>
                <w:rFonts w:ascii="Arial" w:hAnsi="Arial"/>
              </w:rPr>
            </w:pPr>
            <w:r w:rsidRPr="001C3E8A">
              <w:rPr>
                <w:rFonts w:ascii="Arial" w:hAnsi="Arial"/>
              </w:rPr>
              <w:t xml:space="preserve">   </w:t>
            </w:r>
            <w:r w:rsidRPr="001C3E8A" w:rsidR="00197885">
              <w:rPr>
                <w:rFonts w:ascii="Arial" w:hAnsi="Arial"/>
              </w:rPr>
              <w:t>358</w:t>
            </w:r>
            <w:r w:rsidRPr="001C3E8A" w:rsidR="000978EC">
              <w:rPr>
                <w:rFonts w:ascii="Arial" w:hAnsi="Arial"/>
              </w:rPr>
              <w:t>,</w:t>
            </w:r>
            <w:r w:rsidRPr="001C3E8A" w:rsidR="00197885">
              <w:rPr>
                <w:rFonts w:ascii="Arial" w:hAnsi="Arial"/>
              </w:rPr>
              <w:t>175</w:t>
            </w:r>
          </w:p>
        </w:tc>
        <w:tc>
          <w:tcPr>
            <w:tcW w:w="1476" w:type="dxa"/>
            <w:shd w:val="clear" w:color="auto" w:fill="auto"/>
          </w:tcPr>
          <w:p w:rsidRPr="001C3E8A" w:rsidR="008A6ACC" w:rsidP="001C3E8A" w:rsidRDefault="008A6ACC" w14:paraId="06A77BDE" w14:textId="77777777">
            <w:pPr>
              <w:pStyle w:val="Style"/>
              <w:tabs>
                <w:tab w:val="left" w:pos="-1440"/>
              </w:tabs>
              <w:ind w:left="0" w:firstLine="0"/>
              <w:jc w:val="both"/>
              <w:rPr>
                <w:rFonts w:ascii="Arial" w:hAnsi="Arial"/>
                <w:sz w:val="22"/>
                <w:szCs w:val="22"/>
              </w:rPr>
            </w:pPr>
          </w:p>
          <w:p w:rsidRPr="001C3E8A" w:rsidR="008A6ACC" w:rsidP="001C3E8A" w:rsidRDefault="000978EC" w14:paraId="6247AAA5" w14:textId="77777777">
            <w:pPr>
              <w:pStyle w:val="Style"/>
              <w:tabs>
                <w:tab w:val="left" w:pos="-1440"/>
              </w:tabs>
              <w:ind w:left="0" w:firstLine="0"/>
              <w:jc w:val="both"/>
              <w:rPr>
                <w:rFonts w:ascii="Arial" w:hAnsi="Arial"/>
                <w:sz w:val="22"/>
                <w:szCs w:val="22"/>
              </w:rPr>
            </w:pPr>
            <w:r w:rsidRPr="001C3E8A">
              <w:rPr>
                <w:rFonts w:ascii="Arial" w:hAnsi="Arial"/>
                <w:sz w:val="22"/>
                <w:szCs w:val="22"/>
              </w:rPr>
              <w:t>7</w:t>
            </w:r>
            <w:r w:rsidRPr="001C3E8A" w:rsidR="008A6ACC">
              <w:rPr>
                <w:rFonts w:ascii="Arial" w:hAnsi="Arial"/>
                <w:sz w:val="22"/>
                <w:szCs w:val="22"/>
              </w:rPr>
              <w:t xml:space="preserve"> minutes</w:t>
            </w:r>
          </w:p>
          <w:p w:rsidRPr="001C3E8A" w:rsidR="008A6ACC" w:rsidP="001C3E8A" w:rsidRDefault="008A6ACC" w14:paraId="726A6237" w14:textId="77777777">
            <w:pPr>
              <w:pStyle w:val="Style"/>
              <w:tabs>
                <w:tab w:val="left" w:pos="-1440"/>
              </w:tabs>
              <w:ind w:left="0" w:firstLine="0"/>
              <w:jc w:val="both"/>
              <w:rPr>
                <w:rFonts w:ascii="Arial" w:hAnsi="Arial"/>
                <w:sz w:val="22"/>
                <w:szCs w:val="22"/>
              </w:rPr>
            </w:pPr>
            <w:r w:rsidRPr="001C3E8A">
              <w:rPr>
                <w:rFonts w:ascii="Arial" w:hAnsi="Arial"/>
                <w:sz w:val="22"/>
                <w:szCs w:val="22"/>
              </w:rPr>
              <w:t>(.</w:t>
            </w:r>
            <w:r w:rsidRPr="001C3E8A" w:rsidR="000978EC">
              <w:rPr>
                <w:rFonts w:ascii="Arial" w:hAnsi="Arial"/>
                <w:sz w:val="22"/>
                <w:szCs w:val="22"/>
              </w:rPr>
              <w:t>116</w:t>
            </w:r>
            <w:r w:rsidRPr="001C3E8A">
              <w:rPr>
                <w:rFonts w:ascii="Arial" w:hAnsi="Arial"/>
                <w:sz w:val="22"/>
                <w:szCs w:val="22"/>
              </w:rPr>
              <w:t xml:space="preserve"> hours)</w:t>
            </w:r>
          </w:p>
        </w:tc>
      </w:tr>
    </w:tbl>
    <w:p w:rsidRPr="006D738B" w:rsidR="006D738B" w:rsidP="003327DA" w:rsidRDefault="008A6ACC" w14:paraId="168738C2" w14:textId="77777777">
      <w:pPr>
        <w:ind w:left="720" w:hanging="720"/>
        <w:rPr>
          <w:rFonts w:ascii="Arial" w:hAnsi="Arial"/>
          <w:bCs/>
        </w:rPr>
      </w:pPr>
      <w:r>
        <w:rPr>
          <w:rFonts w:ascii="Arial" w:hAnsi="Arial"/>
          <w:b/>
          <w:bCs/>
        </w:rPr>
        <w:tab/>
      </w:r>
    </w:p>
    <w:p w:rsidR="008A6ACC" w:rsidP="00257588" w:rsidRDefault="008A6ACC" w14:paraId="5C992A3D" w14:textId="77777777">
      <w:pPr>
        <w:tabs>
          <w:tab w:val="left" w:pos="-1440"/>
        </w:tabs>
        <w:ind w:left="1440" w:hanging="720"/>
        <w:jc w:val="both"/>
        <w:rPr>
          <w:rFonts w:ascii="Arial" w:hAnsi="Arial"/>
          <w:b/>
          <w:bCs/>
        </w:rPr>
      </w:pPr>
      <w:r>
        <w:rPr>
          <w:rFonts w:ascii="Arial" w:hAnsi="Arial"/>
          <w:b/>
          <w:bCs/>
        </w:rPr>
        <w:t>Public Cost</w:t>
      </w:r>
    </w:p>
    <w:p w:rsidR="008A6ACC" w:rsidP="008A6ACC" w:rsidRDefault="008A6ACC" w14:paraId="7AF6561A" w14:textId="77777777">
      <w:pPr>
        <w:tabs>
          <w:tab w:val="left" w:pos="-1440"/>
        </w:tabs>
        <w:ind w:left="720" w:hanging="720"/>
        <w:jc w:val="both"/>
        <w:rPr>
          <w:rFonts w:ascii="Arial" w:hAnsi="Arial"/>
          <w:b/>
          <w:bCs/>
        </w:rPr>
      </w:pPr>
      <w:r>
        <w:rPr>
          <w:rFonts w:ascii="Arial" w:hAnsi="Arial"/>
          <w:b/>
          <w:bCs/>
        </w:rPr>
        <w:tab/>
      </w:r>
    </w:p>
    <w:p w:rsidRPr="00506889" w:rsidR="00506889" w:rsidP="00506889" w:rsidRDefault="00506889" w14:paraId="010D811F" w14:textId="68D87DBF">
      <w:pPr>
        <w:tabs>
          <w:tab w:val="left" w:pos="-1440"/>
        </w:tabs>
        <w:ind w:left="720"/>
        <w:jc w:val="both"/>
        <w:rPr>
          <w:rFonts w:ascii="Arial" w:hAnsi="Arial"/>
        </w:rPr>
      </w:pPr>
      <w:r w:rsidRPr="00506889">
        <w:rPr>
          <w:rFonts w:ascii="Arial" w:hAnsi="Arial"/>
        </w:rPr>
        <w:t>The estimated cost to the respondents is $</w:t>
      </w:r>
      <w:r>
        <w:rPr>
          <w:rFonts w:ascii="Arial" w:hAnsi="Arial"/>
        </w:rPr>
        <w:t>1,446,286</w:t>
      </w:r>
      <w:r w:rsidRPr="00506889">
        <w:rPr>
          <w:rFonts w:ascii="Arial" w:hAnsi="Arial"/>
        </w:rPr>
        <w:t>.  This is based on the estimated burden hours (</w:t>
      </w:r>
      <w:r>
        <w:rPr>
          <w:rFonts w:ascii="Arial" w:hAnsi="Arial"/>
        </w:rPr>
        <w:t>41,548</w:t>
      </w:r>
      <w:r w:rsidRPr="00506889">
        <w:rPr>
          <w:rFonts w:ascii="Arial" w:hAnsi="Arial"/>
        </w:rPr>
        <w:t>) multiplied by the average loaded hourly wage rate for importers ($34.81).  CBP calculated this loaded wage rate by first multiplying the Bureau of Labor Statistics’ (BLS) 2021 median hourly wage rate for Cargo and Freight Agents ($22.55), which CBP assumes best represents the wage for importers, by the ratio of BLS’ average 2021 total compensation to wages and salaries for Office and Administrative Support occupations (1.4819), the assumed occupational group for brokers, to account for non-salary employee benefits.</w:t>
      </w:r>
      <w:r w:rsidRPr="00506889">
        <w:rPr>
          <w:rFonts w:ascii="Arial" w:hAnsi="Arial"/>
          <w:vertAlign w:val="superscript"/>
        </w:rPr>
        <w:footnoteReference w:id="1"/>
      </w:r>
      <w:r w:rsidRPr="00506889">
        <w:rPr>
          <w:rFonts w:ascii="Arial" w:hAnsi="Arial"/>
        </w:rPr>
        <w:t xml:space="preserve">  CBP assumes an annual </w:t>
      </w:r>
      <w:r w:rsidRPr="00506889">
        <w:rPr>
          <w:rFonts w:ascii="Arial" w:hAnsi="Arial"/>
        </w:rPr>
        <w:lastRenderedPageBreak/>
        <w:t>growth rate of 4.15% based on the prior year’s change in the implicit price deflator, published by the Bureau of Economic Analysis.</w:t>
      </w:r>
    </w:p>
    <w:p w:rsidR="008A6ACC" w:rsidP="008A6ACC" w:rsidRDefault="008A6ACC" w14:paraId="0190D2B3" w14:textId="77777777">
      <w:pPr>
        <w:tabs>
          <w:tab w:val="left" w:pos="-1440"/>
        </w:tabs>
        <w:ind w:left="720" w:hanging="720"/>
        <w:jc w:val="both"/>
        <w:rPr>
          <w:rFonts w:ascii="Arial" w:hAnsi="Arial"/>
          <w:b/>
          <w:bCs/>
        </w:rPr>
      </w:pPr>
      <w:r>
        <w:rPr>
          <w:rFonts w:ascii="Arial" w:hAnsi="Arial"/>
          <w:b/>
          <w:bCs/>
        </w:rPr>
        <w:tab/>
      </w:r>
      <w:r>
        <w:rPr>
          <w:rFonts w:ascii="Arial" w:hAnsi="Arial"/>
          <w:b/>
          <w:bCs/>
        </w:rPr>
        <w:tab/>
      </w:r>
      <w:r>
        <w:rPr>
          <w:rFonts w:ascii="Arial" w:hAnsi="Arial"/>
          <w:b/>
          <w:bCs/>
        </w:rPr>
        <w:tab/>
      </w:r>
      <w:r>
        <w:rPr>
          <w:rFonts w:ascii="Arial" w:hAnsi="Arial"/>
          <w:b/>
          <w:bCs/>
        </w:rPr>
        <w:tab/>
      </w:r>
    </w:p>
    <w:p w:rsidRPr="00C47181" w:rsidR="008A6ACC" w:rsidP="008A6ACC" w:rsidRDefault="008A6ACC" w14:paraId="2BEFC74A" w14:textId="77777777">
      <w:pPr>
        <w:tabs>
          <w:tab w:val="left" w:pos="-1440"/>
        </w:tabs>
        <w:ind w:left="720" w:hanging="720"/>
        <w:jc w:val="both"/>
        <w:rPr>
          <w:rFonts w:ascii="Arial" w:hAnsi="Arial"/>
        </w:rPr>
      </w:pPr>
      <w:r w:rsidRPr="00C47181">
        <w:rPr>
          <w:rFonts w:ascii="Arial" w:hAnsi="Arial"/>
          <w:b/>
          <w:bCs/>
        </w:rPr>
        <w:t>13.</w:t>
      </w:r>
      <w:r w:rsidRPr="00C47181">
        <w:rPr>
          <w:rFonts w:ascii="Arial" w:hAnsi="Arial"/>
        </w:rPr>
        <w:tab/>
      </w:r>
      <w:r w:rsidRPr="00C47181">
        <w:rPr>
          <w:rFonts w:ascii="Arial" w:hAnsi="Arial" w:cs="Arial"/>
          <w:b/>
          <w:bCs/>
        </w:rPr>
        <w:t>Provide an estimate of the total annual cost burden to respondents or recordkeepers resulting from the collection of information.</w:t>
      </w:r>
      <w:r w:rsidRPr="00C47181">
        <w:rPr>
          <w:rFonts w:ascii="Arial" w:hAnsi="Arial"/>
        </w:rPr>
        <w:tab/>
      </w:r>
    </w:p>
    <w:p w:rsidRPr="00C47181" w:rsidR="008A6ACC" w:rsidP="008A6ACC" w:rsidRDefault="008A6ACC" w14:paraId="28BD2672" w14:textId="77777777">
      <w:pPr>
        <w:tabs>
          <w:tab w:val="left" w:pos="-1440"/>
        </w:tabs>
        <w:ind w:left="720" w:hanging="720"/>
        <w:jc w:val="both"/>
        <w:rPr>
          <w:rFonts w:ascii="Arial" w:hAnsi="Arial"/>
        </w:rPr>
      </w:pPr>
    </w:p>
    <w:p w:rsidR="008A6ACC" w:rsidP="008A6ACC" w:rsidRDefault="008A6ACC" w14:paraId="7B78AA1B" w14:textId="77777777">
      <w:pPr>
        <w:ind w:left="660"/>
        <w:jc w:val="both"/>
        <w:rPr>
          <w:rFonts w:ascii="Arial" w:hAnsi="Arial" w:cs="Arial"/>
        </w:rPr>
      </w:pPr>
      <w:r>
        <w:rPr>
          <w:rFonts w:ascii="Arial" w:hAnsi="Arial" w:cs="Arial"/>
        </w:rPr>
        <w:t xml:space="preserve">There are no record keeping, capital, start-up or maintenance costs associated with this information collection.      </w:t>
      </w:r>
    </w:p>
    <w:p w:rsidR="008A6ACC" w:rsidP="008A6ACC" w:rsidRDefault="008A6ACC" w14:paraId="5F22C954" w14:textId="77777777">
      <w:pPr>
        <w:ind w:left="660"/>
        <w:jc w:val="both"/>
        <w:rPr>
          <w:rFonts w:ascii="Arial" w:hAnsi="Arial" w:cs="Arial"/>
        </w:rPr>
      </w:pPr>
      <w:r>
        <w:rPr>
          <w:rFonts w:ascii="Arial" w:hAnsi="Arial" w:cs="Arial"/>
        </w:rPr>
        <w:t xml:space="preserve">                                                                                        </w:t>
      </w:r>
    </w:p>
    <w:p w:rsidR="008A6ACC" w:rsidP="006A7F9E" w:rsidRDefault="008A6ACC" w14:paraId="549272F5" w14:textId="77777777">
      <w:pPr>
        <w:widowControl w:val="0"/>
        <w:numPr>
          <w:ilvl w:val="0"/>
          <w:numId w:val="11"/>
        </w:numPr>
        <w:ind w:hanging="720"/>
        <w:jc w:val="both"/>
        <w:rPr>
          <w:rFonts w:ascii="Arial" w:hAnsi="Arial" w:cs="Arial"/>
          <w:b/>
          <w:bCs/>
        </w:rPr>
      </w:pPr>
      <w:r>
        <w:rPr>
          <w:rFonts w:ascii="Arial" w:hAnsi="Arial" w:cs="Arial"/>
          <w:b/>
          <w:bCs/>
        </w:rPr>
        <w:t xml:space="preserve"> P</w:t>
      </w:r>
      <w:r w:rsidRPr="00C47181">
        <w:rPr>
          <w:rFonts w:ascii="Arial" w:hAnsi="Arial" w:cs="Arial"/>
          <w:b/>
          <w:bCs/>
        </w:rPr>
        <w:t>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Pr>
          <w:rFonts w:ascii="Arial" w:hAnsi="Arial" w:cs="Arial"/>
          <w:b/>
          <w:bCs/>
        </w:rPr>
        <w:t xml:space="preserve"> information.</w:t>
      </w:r>
    </w:p>
    <w:p w:rsidR="001B2EA1" w:rsidP="009F3D7C" w:rsidRDefault="001B2EA1" w14:paraId="1150F9DF" w14:textId="77777777">
      <w:pPr>
        <w:ind w:left="720"/>
        <w:rPr>
          <w:rFonts w:ascii="Arial" w:hAnsi="Arial" w:cs="Arial"/>
        </w:rPr>
      </w:pPr>
    </w:p>
    <w:p w:rsidRPr="00506889" w:rsidR="00506889" w:rsidP="00506889" w:rsidRDefault="00506889" w14:paraId="7338BC54" w14:textId="56D5D11E">
      <w:pPr>
        <w:ind w:left="720"/>
        <w:jc w:val="both"/>
        <w:rPr>
          <w:rFonts w:ascii="Arial" w:hAnsi="Arial" w:cs="Arial"/>
        </w:rPr>
      </w:pPr>
      <w:r w:rsidRPr="00506889">
        <w:rPr>
          <w:rFonts w:ascii="Arial" w:hAnsi="Arial" w:cs="Arial"/>
        </w:rPr>
        <w:t xml:space="preserve">The estimated annual cost to the Federal Government associated with the review of these </w:t>
      </w:r>
      <w:r>
        <w:rPr>
          <w:rFonts w:ascii="Arial" w:hAnsi="Arial" w:cs="Arial"/>
        </w:rPr>
        <w:t>records</w:t>
      </w:r>
      <w:r w:rsidRPr="00506889">
        <w:rPr>
          <w:rFonts w:ascii="Arial" w:hAnsi="Arial" w:cs="Arial"/>
        </w:rPr>
        <w:t xml:space="preserve"> is $2,019,194. This is based on the number of responses that must be reviewed (</w:t>
      </w:r>
      <w:r>
        <w:rPr>
          <w:rFonts w:ascii="Arial" w:hAnsi="Arial" w:cs="Arial"/>
        </w:rPr>
        <w:t>358,175</w:t>
      </w:r>
      <w:r w:rsidRPr="00506889">
        <w:rPr>
          <w:rFonts w:ascii="Arial" w:hAnsi="Arial" w:cs="Arial"/>
        </w:rPr>
        <w:t>) multiplied by the time burden to review and process each response (</w:t>
      </w:r>
      <w:r>
        <w:rPr>
          <w:rFonts w:ascii="Arial" w:hAnsi="Arial" w:cs="Arial"/>
        </w:rPr>
        <w:t>0.083 hours</w:t>
      </w:r>
      <w:r w:rsidRPr="00506889">
        <w:rPr>
          <w:rFonts w:ascii="Arial" w:hAnsi="Arial" w:cs="Arial"/>
        </w:rPr>
        <w:t xml:space="preserve">) = </w:t>
      </w:r>
      <w:r>
        <w:rPr>
          <w:rFonts w:ascii="Arial" w:hAnsi="Arial" w:cs="Arial"/>
        </w:rPr>
        <w:t>29,729</w:t>
      </w:r>
      <w:r w:rsidRPr="00506889">
        <w:rPr>
          <w:rFonts w:ascii="Arial" w:hAnsi="Arial" w:cs="Arial"/>
        </w:rPr>
        <w:t xml:space="preserve"> hours multiplied by the average hourly loaded rate for a CBP Officer ($67.92)</w:t>
      </w:r>
      <w:r w:rsidRPr="00506889">
        <w:rPr>
          <w:rFonts w:ascii="Arial" w:hAnsi="Arial" w:cs="Arial"/>
          <w:vertAlign w:val="superscript"/>
        </w:rPr>
        <w:footnoteReference w:id="2"/>
      </w:r>
      <w:r w:rsidRPr="00506889">
        <w:rPr>
          <w:rFonts w:ascii="Arial" w:hAnsi="Arial" w:cs="Arial"/>
        </w:rPr>
        <w:t xml:space="preserve"> = $</w:t>
      </w:r>
      <w:r>
        <w:rPr>
          <w:rFonts w:ascii="Arial" w:hAnsi="Arial" w:cs="Arial"/>
        </w:rPr>
        <w:t>2,019,194</w:t>
      </w:r>
      <w:r w:rsidRPr="00506889">
        <w:rPr>
          <w:rFonts w:ascii="Arial" w:hAnsi="Arial" w:cs="Arial"/>
        </w:rPr>
        <w:t>.</w:t>
      </w:r>
    </w:p>
    <w:p w:rsidR="001B2EA1" w:rsidP="009F3D7C" w:rsidRDefault="001B2EA1" w14:paraId="7D2F97E3" w14:textId="77777777">
      <w:pPr>
        <w:jc w:val="both"/>
        <w:rPr>
          <w:rFonts w:ascii="Arial" w:hAnsi="Arial"/>
          <w:b/>
          <w:bCs/>
        </w:rPr>
      </w:pPr>
    </w:p>
    <w:p w:rsidRPr="00C47181" w:rsidR="008A6ACC" w:rsidP="005454A2" w:rsidRDefault="008A6ACC" w14:paraId="25E2CF2F" w14:textId="77777777">
      <w:pPr>
        <w:ind w:left="720" w:hanging="720"/>
        <w:rPr>
          <w:rFonts w:ascii="Arial" w:hAnsi="Arial" w:cs="Arial"/>
          <w:b/>
          <w:bCs/>
        </w:rPr>
      </w:pPr>
      <w:r w:rsidRPr="00C47181">
        <w:rPr>
          <w:rFonts w:ascii="Arial" w:hAnsi="Arial"/>
          <w:b/>
          <w:bCs/>
        </w:rPr>
        <w:t>15.</w:t>
      </w:r>
      <w:r w:rsidRPr="00C47181">
        <w:rPr>
          <w:rFonts w:ascii="Arial" w:hAnsi="Arial"/>
        </w:rPr>
        <w:tab/>
      </w:r>
      <w:r w:rsidRPr="006272D3">
        <w:rPr>
          <w:rFonts w:ascii="Arial" w:hAnsi="Arial" w:cs="Arial"/>
          <w:b/>
          <w:bCs/>
        </w:rPr>
        <w:t>Explain the reasons for any program changes or adjustments reported in Items 13 or 14</w:t>
      </w:r>
      <w:r w:rsidRPr="006272D3" w:rsidR="007375FD">
        <w:rPr>
          <w:rFonts w:ascii="Arial" w:hAnsi="Arial" w:cs="Arial"/>
          <w:b/>
          <w:bCs/>
        </w:rPr>
        <w:t>.</w:t>
      </w:r>
      <w:r w:rsidRPr="00C47181">
        <w:rPr>
          <w:rFonts w:ascii="Arial" w:hAnsi="Arial" w:cs="Arial"/>
          <w:b/>
          <w:bCs/>
        </w:rPr>
        <w:t xml:space="preserve">  </w:t>
      </w:r>
    </w:p>
    <w:p w:rsidRPr="00C47181" w:rsidR="008A6ACC" w:rsidP="008A6ACC" w:rsidRDefault="008A6ACC" w14:paraId="09331153" w14:textId="77777777">
      <w:pPr>
        <w:tabs>
          <w:tab w:val="left" w:pos="-1440"/>
        </w:tabs>
        <w:ind w:left="720" w:hanging="720"/>
        <w:jc w:val="both"/>
        <w:rPr>
          <w:rFonts w:ascii="Arial" w:hAnsi="Arial"/>
        </w:rPr>
      </w:pPr>
    </w:p>
    <w:p w:rsidRPr="007C1458" w:rsidR="00C93E3C" w:rsidP="00C93E3C" w:rsidRDefault="00C93E3C" w14:paraId="072C4910" w14:textId="77777777">
      <w:pPr>
        <w:ind w:left="720"/>
        <w:jc w:val="both"/>
        <w:rPr>
          <w:rFonts w:ascii="Arial" w:hAnsi="Arial" w:cs="Arial"/>
          <w:b/>
          <w:bCs/>
        </w:rPr>
      </w:pPr>
      <w:r w:rsidRPr="007C1458">
        <w:rPr>
          <w:rFonts w:ascii="Arial" w:hAnsi="Arial" w:cs="Arial"/>
        </w:rPr>
        <w:t>There has been no increase or decrease in the estimated annual burden hours previously reported for this information collection</w:t>
      </w:r>
      <w:r w:rsidR="00EA07A8">
        <w:rPr>
          <w:rFonts w:ascii="Arial" w:hAnsi="Arial" w:cs="Arial"/>
        </w:rPr>
        <w:t xml:space="preserve"> and there are no changes to the information collected.</w:t>
      </w:r>
    </w:p>
    <w:p w:rsidRPr="00C47181" w:rsidR="00C93E3C" w:rsidP="008A6ACC" w:rsidRDefault="00C93E3C" w14:paraId="48FBAF39" w14:textId="77777777">
      <w:pPr>
        <w:ind w:left="720" w:hanging="720"/>
        <w:jc w:val="both"/>
        <w:rPr>
          <w:rFonts w:ascii="Arial" w:hAnsi="Arial"/>
          <w:b/>
          <w:bCs/>
        </w:rPr>
      </w:pPr>
      <w:r>
        <w:rPr>
          <w:rFonts w:ascii="Arial" w:hAnsi="Arial"/>
          <w:b/>
          <w:bCs/>
        </w:rPr>
        <w:tab/>
      </w:r>
    </w:p>
    <w:p w:rsidRPr="00C47181" w:rsidR="008A6ACC" w:rsidP="008A6ACC" w:rsidRDefault="008A6ACC" w14:paraId="7A7DF153" w14:textId="77777777">
      <w:pPr>
        <w:ind w:left="720" w:hanging="720"/>
        <w:jc w:val="both"/>
        <w:rPr>
          <w:rFonts w:ascii="Arial" w:hAnsi="Arial"/>
        </w:rPr>
      </w:pPr>
      <w:r w:rsidRPr="00C47181">
        <w:rPr>
          <w:rFonts w:ascii="Arial" w:hAnsi="Arial"/>
          <w:b/>
          <w:bCs/>
        </w:rPr>
        <w:t>16.</w:t>
      </w:r>
      <w:r w:rsidRPr="00C47181">
        <w:rPr>
          <w:rFonts w:ascii="Arial" w:hAnsi="Arial"/>
        </w:rPr>
        <w:tab/>
      </w:r>
      <w:r w:rsidRPr="00C47181">
        <w:rPr>
          <w:rFonts w:ascii="Arial" w:hAnsi="Arial" w:cs="Arial"/>
          <w:b/>
          <w:bCs/>
        </w:rPr>
        <w:t>For collection of information whose results will be published, outline plans for tabulation, and publication.</w:t>
      </w:r>
      <w:r w:rsidRPr="00C47181">
        <w:rPr>
          <w:rFonts w:ascii="Arial" w:hAnsi="Arial"/>
        </w:rPr>
        <w:tab/>
      </w:r>
    </w:p>
    <w:p w:rsidRPr="00C47181" w:rsidR="008A6ACC" w:rsidP="008A6ACC" w:rsidRDefault="008A6ACC" w14:paraId="4C9FF244" w14:textId="77777777">
      <w:pPr>
        <w:jc w:val="both"/>
        <w:rPr>
          <w:rFonts w:ascii="Arial" w:hAnsi="Arial"/>
        </w:rPr>
      </w:pPr>
    </w:p>
    <w:p w:rsidRPr="00C47181" w:rsidR="008A6ACC" w:rsidP="008A6ACC" w:rsidRDefault="008A6ACC" w14:paraId="2F1DF0F2" w14:textId="77777777">
      <w:pPr>
        <w:ind w:firstLine="720"/>
        <w:jc w:val="both"/>
        <w:rPr>
          <w:rFonts w:ascii="Arial" w:hAnsi="Arial"/>
        </w:rPr>
      </w:pPr>
      <w:r w:rsidRPr="00C47181">
        <w:rPr>
          <w:rFonts w:ascii="Arial" w:hAnsi="Arial"/>
        </w:rPr>
        <w:t>This information c</w:t>
      </w:r>
      <w:r>
        <w:rPr>
          <w:rFonts w:ascii="Arial" w:hAnsi="Arial"/>
        </w:rPr>
        <w:t>ollection will not be published for statistical purposes.</w:t>
      </w:r>
    </w:p>
    <w:p w:rsidRPr="00C47181" w:rsidR="008A6ACC" w:rsidP="008A6ACC" w:rsidRDefault="008A6ACC" w14:paraId="2AB15061" w14:textId="77777777">
      <w:pPr>
        <w:jc w:val="both"/>
        <w:rPr>
          <w:rFonts w:ascii="Arial" w:hAnsi="Arial"/>
        </w:rPr>
      </w:pPr>
    </w:p>
    <w:p w:rsidRPr="001207D8" w:rsidR="008A6ACC" w:rsidP="001A1A8B" w:rsidRDefault="008A6ACC" w14:paraId="6F655242" w14:textId="77777777">
      <w:pPr>
        <w:ind w:left="720" w:hanging="720"/>
        <w:jc w:val="both"/>
        <w:rPr>
          <w:rFonts w:ascii="Arial" w:hAnsi="Arial" w:cs="Arial"/>
          <w:b/>
          <w:bCs/>
        </w:rPr>
      </w:pPr>
      <w:r>
        <w:rPr>
          <w:rFonts w:ascii="Arial" w:hAnsi="Arial" w:cs="Arial"/>
          <w:b/>
          <w:bCs/>
        </w:rPr>
        <w:lastRenderedPageBreak/>
        <w:t xml:space="preserve">17. </w:t>
      </w:r>
      <w:r w:rsidR="007E509B">
        <w:rPr>
          <w:rFonts w:ascii="Arial" w:hAnsi="Arial" w:cs="Arial"/>
          <w:b/>
          <w:bCs/>
        </w:rPr>
        <w:tab/>
      </w:r>
      <w:r>
        <w:rPr>
          <w:rFonts w:ascii="Arial" w:hAnsi="Arial" w:cs="Arial"/>
          <w:b/>
          <w:bCs/>
        </w:rPr>
        <w:t>If seeking approval to not display the expiration date, explain the</w:t>
      </w:r>
      <w:r w:rsidR="007E509B">
        <w:rPr>
          <w:rFonts w:ascii="Arial" w:hAnsi="Arial" w:cs="Arial"/>
          <w:b/>
          <w:bCs/>
        </w:rPr>
        <w:t xml:space="preserve">                                                   </w:t>
      </w:r>
      <w:r w:rsidR="00F2412E">
        <w:rPr>
          <w:rFonts w:ascii="Arial" w:hAnsi="Arial" w:cs="Arial"/>
          <w:b/>
          <w:bCs/>
        </w:rPr>
        <w:t xml:space="preserve">                      </w:t>
      </w:r>
      <w:r w:rsidR="0070297B">
        <w:rPr>
          <w:rFonts w:ascii="Arial" w:hAnsi="Arial" w:cs="Arial"/>
          <w:b/>
          <w:bCs/>
        </w:rPr>
        <w:t xml:space="preserve">                                             </w:t>
      </w:r>
      <w:r w:rsidR="0080781D">
        <w:rPr>
          <w:rFonts w:ascii="Arial" w:hAnsi="Arial" w:cs="Arial"/>
          <w:b/>
          <w:bCs/>
        </w:rPr>
        <w:t xml:space="preserve">                                                               </w:t>
      </w:r>
      <w:r w:rsidR="007E509B">
        <w:rPr>
          <w:rFonts w:ascii="Arial" w:hAnsi="Arial" w:cs="Arial"/>
          <w:b/>
          <w:bCs/>
        </w:rPr>
        <w:t>r</w:t>
      </w:r>
      <w:r>
        <w:rPr>
          <w:rFonts w:ascii="Arial" w:hAnsi="Arial" w:cs="Arial"/>
          <w:b/>
          <w:bCs/>
        </w:rPr>
        <w:t>easons that</w:t>
      </w:r>
      <w:r w:rsidR="007E509B">
        <w:rPr>
          <w:rFonts w:ascii="Arial" w:hAnsi="Arial" w:cs="Arial"/>
          <w:b/>
          <w:bCs/>
        </w:rPr>
        <w:t xml:space="preserve"> </w:t>
      </w:r>
      <w:r>
        <w:rPr>
          <w:rFonts w:ascii="Arial" w:hAnsi="Arial" w:cs="Arial"/>
          <w:b/>
          <w:bCs/>
        </w:rPr>
        <w:t>displaying the expiration date would be inappropriate.</w:t>
      </w:r>
    </w:p>
    <w:p w:rsidR="008A6ACC" w:rsidP="008A6ACC" w:rsidRDefault="008A6ACC" w14:paraId="1D119096" w14:textId="77777777">
      <w:pPr>
        <w:jc w:val="both"/>
        <w:rPr>
          <w:rFonts w:ascii="Arial" w:hAnsi="Arial" w:cs="Arial"/>
          <w:b/>
          <w:bCs/>
        </w:rPr>
      </w:pPr>
      <w:r>
        <w:rPr>
          <w:rFonts w:ascii="Arial" w:hAnsi="Arial" w:cs="Arial"/>
          <w:b/>
          <w:bCs/>
        </w:rPr>
        <w:tab/>
      </w:r>
    </w:p>
    <w:p w:rsidRPr="002C65B6" w:rsidR="00820043" w:rsidP="00820043" w:rsidRDefault="00820043" w14:paraId="45E47F77" w14:textId="77777777">
      <w:pPr>
        <w:ind w:left="720"/>
        <w:jc w:val="both"/>
        <w:rPr>
          <w:rFonts w:ascii="Arial" w:hAnsi="Arial" w:cs="Arial"/>
          <w:b/>
          <w:bCs/>
        </w:rPr>
      </w:pPr>
      <w:r>
        <w:rPr>
          <w:rFonts w:ascii="Arial" w:hAnsi="Arial" w:cs="Arial"/>
          <w:bCs/>
        </w:rPr>
        <w:t>There is no form associated with this information so it would not be appropriate to display the expiration date.</w:t>
      </w:r>
      <w:r w:rsidRPr="002C65B6">
        <w:rPr>
          <w:rFonts w:ascii="Arial" w:hAnsi="Arial" w:cs="Arial"/>
        </w:rPr>
        <w:t xml:space="preserve"> </w:t>
      </w:r>
    </w:p>
    <w:p w:rsidR="008A6ACC" w:rsidP="008A6ACC" w:rsidRDefault="008A6ACC" w14:paraId="69FAE22D" w14:textId="77777777">
      <w:pPr>
        <w:jc w:val="both"/>
        <w:rPr>
          <w:rFonts w:ascii="Arial" w:hAnsi="Arial" w:cs="Arial"/>
          <w:b/>
          <w:bCs/>
        </w:rPr>
      </w:pPr>
    </w:p>
    <w:p w:rsidR="008A6ACC" w:rsidP="008A6ACC" w:rsidRDefault="008A6ACC" w14:paraId="58C3D268" w14:textId="77777777">
      <w:pPr>
        <w:jc w:val="both"/>
        <w:rPr>
          <w:rFonts w:ascii="Arial" w:hAnsi="Arial" w:cs="Arial"/>
          <w:b/>
          <w:bCs/>
        </w:rPr>
      </w:pPr>
      <w:r>
        <w:rPr>
          <w:rFonts w:ascii="Arial" w:hAnsi="Arial" w:cs="Arial"/>
          <w:b/>
          <w:bCs/>
        </w:rPr>
        <w:t>18.</w:t>
      </w:r>
      <w:proofErr w:type="gramStart"/>
      <w:r>
        <w:rPr>
          <w:rFonts w:ascii="Arial" w:hAnsi="Arial" w:cs="Arial"/>
          <w:b/>
          <w:bCs/>
        </w:rPr>
        <w:t xml:space="preserve">   </w:t>
      </w:r>
      <w:r w:rsidRPr="001207D8">
        <w:rPr>
          <w:rFonts w:ascii="Arial" w:hAnsi="Arial" w:cs="Arial"/>
          <w:b/>
          <w:bCs/>
        </w:rPr>
        <w:t>“</w:t>
      </w:r>
      <w:proofErr w:type="gramEnd"/>
      <w:r w:rsidRPr="001207D8">
        <w:rPr>
          <w:rFonts w:ascii="Arial" w:hAnsi="Arial" w:cs="Arial"/>
          <w:b/>
          <w:bCs/>
        </w:rPr>
        <w:t>Certification for Paperwork Reduction Act Submissions</w:t>
      </w:r>
      <w:r>
        <w:rPr>
          <w:rFonts w:ascii="Arial" w:hAnsi="Arial" w:cs="Arial"/>
          <w:b/>
          <w:bCs/>
        </w:rPr>
        <w:t>.</w:t>
      </w:r>
      <w:r w:rsidRPr="001207D8">
        <w:rPr>
          <w:rFonts w:ascii="Arial" w:hAnsi="Arial" w:cs="Arial"/>
          <w:b/>
          <w:bCs/>
        </w:rPr>
        <w:t xml:space="preserve">” </w:t>
      </w:r>
    </w:p>
    <w:p w:rsidRPr="001207D8" w:rsidR="008A6ACC" w:rsidP="008A6ACC" w:rsidRDefault="008A6ACC" w14:paraId="6B6BB57F" w14:textId="77777777">
      <w:pPr>
        <w:ind w:left="120"/>
        <w:jc w:val="both"/>
        <w:rPr>
          <w:rFonts w:ascii="Arial" w:hAnsi="Arial" w:cs="Arial"/>
        </w:rPr>
      </w:pPr>
      <w:r w:rsidRPr="001207D8">
        <w:rPr>
          <w:rFonts w:ascii="Arial" w:hAnsi="Arial" w:cs="Arial"/>
          <w:b/>
          <w:bCs/>
        </w:rPr>
        <w:t xml:space="preserve"> </w:t>
      </w:r>
      <w:r>
        <w:rPr>
          <w:rFonts w:ascii="Arial" w:hAnsi="Arial" w:cs="Arial"/>
          <w:b/>
          <w:bCs/>
        </w:rPr>
        <w:t xml:space="preserve">                                                             </w:t>
      </w:r>
    </w:p>
    <w:p w:rsidRPr="001207D8" w:rsidR="008A6ACC" w:rsidP="008A6ACC" w:rsidRDefault="008A6ACC" w14:paraId="1E1EC18D" w14:textId="77777777">
      <w:pPr>
        <w:ind w:left="720"/>
        <w:jc w:val="both"/>
        <w:rPr>
          <w:rFonts w:ascii="Arial" w:hAnsi="Arial" w:cs="Arial"/>
        </w:rPr>
      </w:pPr>
      <w:r>
        <w:rPr>
          <w:rFonts w:ascii="Arial" w:hAnsi="Arial" w:cs="Arial"/>
        </w:rPr>
        <w:t>CBP does not request and exception to the certification of this information collection.</w:t>
      </w:r>
    </w:p>
    <w:p w:rsidR="008A6ACC" w:rsidP="008A6ACC" w:rsidRDefault="008A6ACC" w14:paraId="1CF3EDCE" w14:textId="77777777">
      <w:pPr>
        <w:jc w:val="both"/>
        <w:rPr>
          <w:rFonts w:ascii="Arial" w:hAnsi="Arial" w:cs="Arial"/>
        </w:rPr>
      </w:pPr>
    </w:p>
    <w:p w:rsidRPr="00F2412E" w:rsidR="008A6ACC" w:rsidP="008A6ACC" w:rsidRDefault="008A6ACC" w14:paraId="54F6B86C" w14:textId="77777777">
      <w:pPr>
        <w:pStyle w:val="Heading1"/>
        <w:widowControl w:val="0"/>
        <w:numPr>
          <w:ilvl w:val="0"/>
          <w:numId w:val="9"/>
        </w:numPr>
        <w:jc w:val="both"/>
        <w:rPr>
          <w:rFonts w:ascii="Arial" w:hAnsi="Arial" w:cs="Arial"/>
          <w:b/>
          <w:sz w:val="24"/>
        </w:rPr>
      </w:pPr>
      <w:r w:rsidRPr="00F2412E">
        <w:rPr>
          <w:rFonts w:ascii="Arial" w:hAnsi="Arial" w:cs="Arial"/>
          <w:b/>
          <w:sz w:val="24"/>
        </w:rPr>
        <w:t>Collection of Information Employing Statistical Methods</w:t>
      </w:r>
    </w:p>
    <w:p w:rsidRPr="001207D8" w:rsidR="008A6ACC" w:rsidP="008A6ACC" w:rsidRDefault="008A6ACC" w14:paraId="180DF71B" w14:textId="77777777">
      <w:pPr>
        <w:jc w:val="both"/>
        <w:rPr>
          <w:rFonts w:ascii="Arial" w:hAnsi="Arial" w:cs="Arial"/>
        </w:rPr>
      </w:pPr>
    </w:p>
    <w:p w:rsidRPr="000B286B" w:rsidR="008A6ACC" w:rsidP="008A6ACC" w:rsidRDefault="008A6ACC" w14:paraId="6ACD818D" w14:textId="77777777">
      <w:pPr>
        <w:pStyle w:val="BodyTextIndent2"/>
        <w:jc w:val="both"/>
        <w:rPr>
          <w:rFonts w:ascii="Arial" w:hAnsi="Arial" w:cs="Arial"/>
          <w:szCs w:val="24"/>
        </w:rPr>
      </w:pPr>
      <w:r>
        <w:rPr>
          <w:rFonts w:ascii="Arial" w:hAnsi="Arial" w:cs="Arial"/>
          <w:szCs w:val="24"/>
        </w:rPr>
        <w:t xml:space="preserve">       </w:t>
      </w:r>
      <w:r w:rsidRPr="000B286B">
        <w:rPr>
          <w:rFonts w:ascii="Arial" w:hAnsi="Arial" w:cs="Arial"/>
          <w:szCs w:val="24"/>
        </w:rPr>
        <w:t>No statistical methods were employed.</w:t>
      </w:r>
    </w:p>
    <w:p w:rsidR="008A6ACC" w:rsidRDefault="008E36B1" w14:paraId="68EFE7A5" w14:textId="77777777">
      <w:pPr>
        <w:pStyle w:val="Heading1"/>
      </w:pPr>
      <w:r>
        <w:tab/>
      </w:r>
    </w:p>
    <w:p w:rsidR="008E36B1" w:rsidP="00F2412E" w:rsidRDefault="008E36B1" w14:paraId="569694A9" w14:textId="77777777">
      <w:pPr>
        <w:pStyle w:val="Heading1"/>
        <w:rPr>
          <w:rFonts w:ascii="Arial" w:hAnsi="Arial" w:cs="Arial"/>
        </w:rPr>
      </w:pPr>
      <w:r>
        <w:tab/>
      </w:r>
      <w:r>
        <w:tab/>
      </w:r>
      <w:r>
        <w:rPr>
          <w:rFonts w:ascii="Arial" w:hAnsi="Arial" w:cs="Arial"/>
        </w:rPr>
        <w:t xml:space="preserve"> </w:t>
      </w:r>
    </w:p>
    <w:sectPr w:rsidR="008E36B1">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E84D8" w14:textId="77777777" w:rsidR="006475E2" w:rsidRDefault="006475E2">
      <w:r>
        <w:separator/>
      </w:r>
    </w:p>
  </w:endnote>
  <w:endnote w:type="continuationSeparator" w:id="0">
    <w:p w14:paraId="6F49895B" w14:textId="77777777" w:rsidR="006475E2" w:rsidRDefault="00647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E373A" w14:textId="77777777" w:rsidR="0080781D" w:rsidRDefault="0080781D" w:rsidP="00FA7C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09889C" w14:textId="77777777" w:rsidR="0080781D" w:rsidRDefault="008078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999E2" w14:textId="77777777" w:rsidR="0080781D" w:rsidRDefault="0080781D" w:rsidP="00FA7C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1236">
      <w:rPr>
        <w:rStyle w:val="PageNumber"/>
        <w:noProof/>
      </w:rPr>
      <w:t>1</w:t>
    </w:r>
    <w:r>
      <w:rPr>
        <w:rStyle w:val="PageNumber"/>
      </w:rPr>
      <w:fldChar w:fldCharType="end"/>
    </w:r>
  </w:p>
  <w:p w14:paraId="78C12886" w14:textId="77777777" w:rsidR="0080781D" w:rsidRDefault="008078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1EA90" w14:textId="77777777" w:rsidR="006475E2" w:rsidRDefault="006475E2">
      <w:r>
        <w:separator/>
      </w:r>
    </w:p>
  </w:footnote>
  <w:footnote w:type="continuationSeparator" w:id="0">
    <w:p w14:paraId="3C0D70B7" w14:textId="77777777" w:rsidR="006475E2" w:rsidRDefault="006475E2">
      <w:r>
        <w:continuationSeparator/>
      </w:r>
    </w:p>
  </w:footnote>
  <w:footnote w:id="1">
    <w:p w14:paraId="7E1F3609" w14:textId="77777777" w:rsidR="00506889" w:rsidRPr="00BE463E" w:rsidRDefault="00506889" w:rsidP="00506889">
      <w:pPr>
        <w:rPr>
          <w:color w:val="1F497D"/>
          <w:sz w:val="20"/>
          <w:szCs w:val="20"/>
          <w:lang w:val="en"/>
        </w:rPr>
      </w:pPr>
      <w:r w:rsidRPr="00D41379">
        <w:rPr>
          <w:rStyle w:val="FootnoteReference"/>
          <w:sz w:val="20"/>
          <w:szCs w:val="20"/>
        </w:rPr>
        <w:footnoteRef/>
      </w:r>
      <w:r w:rsidRPr="00D41379">
        <w:rPr>
          <w:sz w:val="20"/>
          <w:szCs w:val="20"/>
        </w:rPr>
        <w:t xml:space="preserve"> </w:t>
      </w:r>
      <w:r w:rsidRPr="008242C4">
        <w:rPr>
          <w:sz w:val="20"/>
          <w:szCs w:val="20"/>
        </w:rPr>
        <w:t>Source of median wage rate: U.S. Bureau of Labor Statistics.  Occupational Employment Statistics, “May 2021 National Occupational Employment and Wage Estimates United States.”  Updated March 31, 2022.  Available at https://www.bls.gov/oes/current/oes_nat.htm.  Accessed May 25, 2022.  The total compensation to wages and salaries ratio is equal to the calculated average of the 2021 quarterly estimates (shown under Q01, Q02, Q03, Q04) of the total compensation cost per hour worked for Office and Administrative Support occupations ($29.6125) divided by the calculated average of the 2021 quarterly estimates (shown under Q01, Q02, Q03, Q04) of wages and salaries cost per hour worked for the same occupation category ($19.9825).  Source of total compensation to wages and salaries ratio data: U.S. Bureau of Labor Statistics.  Employer Costs for Employee Compensation.  “ECEC Civilian Workers - 2004 to Present.”  March 2022.  Available at https://www.bls.gov/web/ecec.supp.toc.htm.  Accessed May 25, 2022.</w:t>
      </w:r>
    </w:p>
  </w:footnote>
  <w:footnote w:id="2">
    <w:p w14:paraId="629DEAE2" w14:textId="77777777" w:rsidR="00506889" w:rsidRPr="00D41379" w:rsidRDefault="00506889" w:rsidP="00506889">
      <w:pPr>
        <w:pStyle w:val="FootnoteText"/>
      </w:pPr>
      <w:r w:rsidRPr="00D41379">
        <w:rPr>
          <w:rStyle w:val="FootnoteReference"/>
        </w:rPr>
        <w:footnoteRef/>
      </w:r>
      <w:r w:rsidRPr="00D41379">
        <w:t xml:space="preserve"> CBP bases this wage on the </w:t>
      </w:r>
      <w:r>
        <w:t xml:space="preserve">FY 2022 </w:t>
      </w:r>
      <w:r w:rsidRPr="00D41379">
        <w:t xml:space="preserve">salary and benefits of the national average of CBP Officer Positions, which is equal </w:t>
      </w:r>
      <w:r>
        <w:t>to a GS-11, Step 10</w:t>
      </w:r>
      <w:r w:rsidRPr="00D41379">
        <w:t xml:space="preserve">.  Source: </w:t>
      </w:r>
      <w:r>
        <w:rPr>
          <w:lang w:val="en"/>
        </w:rPr>
        <w:t xml:space="preserve">Email correspondence with CBP’s </w:t>
      </w:r>
      <w:r w:rsidRPr="00F810AA">
        <w:rPr>
          <w:lang w:val="en"/>
        </w:rPr>
        <w:t xml:space="preserve">Office of </w:t>
      </w:r>
      <w:r>
        <w:rPr>
          <w:lang w:val="en"/>
        </w:rPr>
        <w:t>Finance</w:t>
      </w:r>
      <w:r w:rsidRPr="00F810AA">
        <w:rPr>
          <w:lang w:val="en"/>
        </w:rPr>
        <w:t xml:space="preserve"> on </w:t>
      </w:r>
      <w:r>
        <w:rPr>
          <w:lang w:val="en"/>
        </w:rPr>
        <w:t>June 27, 2022</w:t>
      </w:r>
      <w:r w:rsidRPr="00D41379">
        <w:t>.</w:t>
      </w:r>
      <w:r>
        <w:t xml:space="preserve"> </w:t>
      </w:r>
      <w:r w:rsidRPr="00D41379">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07447A"/>
    <w:multiLevelType w:val="hybridMultilevel"/>
    <w:tmpl w:val="29C00D9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09297E"/>
    <w:multiLevelType w:val="hybridMultilevel"/>
    <w:tmpl w:val="79D2DCD8"/>
    <w:lvl w:ilvl="0" w:tplc="D9DC5104">
      <w:start w:val="6"/>
      <w:numFmt w:val="decimal"/>
      <w:lvlText w:val="%1."/>
      <w:lvlJc w:val="left"/>
      <w:pPr>
        <w:tabs>
          <w:tab w:val="num" w:pos="1080"/>
        </w:tabs>
        <w:ind w:left="1080" w:hanging="360"/>
      </w:pPr>
      <w:rPr>
        <w:rFonts w:cs="Arial"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DD04505"/>
    <w:multiLevelType w:val="hybridMultilevel"/>
    <w:tmpl w:val="75247B7A"/>
    <w:lvl w:ilvl="0" w:tplc="25942A6A">
      <w:start w:val="12"/>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754AE4"/>
    <w:multiLevelType w:val="hybridMultilevel"/>
    <w:tmpl w:val="5756CFD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F0552A6"/>
    <w:multiLevelType w:val="hybridMultilevel"/>
    <w:tmpl w:val="0ED2F35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0C340AC"/>
    <w:multiLevelType w:val="hybridMultilevel"/>
    <w:tmpl w:val="1E96A14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98753CE"/>
    <w:multiLevelType w:val="hybridMultilevel"/>
    <w:tmpl w:val="ED929B6E"/>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BD40A9F"/>
    <w:multiLevelType w:val="hybridMultilevel"/>
    <w:tmpl w:val="707EFBE0"/>
    <w:lvl w:ilvl="0" w:tplc="304E7936">
      <w:start w:val="6"/>
      <w:numFmt w:val="decimal"/>
      <w:lvlText w:val="%1."/>
      <w:lvlJc w:val="left"/>
      <w:pPr>
        <w:tabs>
          <w:tab w:val="num" w:pos="720"/>
        </w:tabs>
        <w:ind w:left="720" w:hanging="360"/>
      </w:pPr>
      <w:rPr>
        <w:rFonts w:cs="Arial"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F100141"/>
    <w:multiLevelType w:val="hybridMultilevel"/>
    <w:tmpl w:val="CF6875A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3F54D61"/>
    <w:multiLevelType w:val="hybridMultilevel"/>
    <w:tmpl w:val="3A40288C"/>
    <w:lvl w:ilvl="0" w:tplc="8EC45786">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9EF1638"/>
    <w:multiLevelType w:val="hybridMultilevel"/>
    <w:tmpl w:val="48FA10D6"/>
    <w:lvl w:ilvl="0" w:tplc="34EEF2CE">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98864983">
    <w:abstractNumId w:val="11"/>
  </w:num>
  <w:num w:numId="2" w16cid:durableId="1639604262">
    <w:abstractNumId w:val="1"/>
  </w:num>
  <w:num w:numId="3" w16cid:durableId="672803432">
    <w:abstractNumId w:val="9"/>
  </w:num>
  <w:num w:numId="4" w16cid:durableId="1440835791">
    <w:abstractNumId w:val="4"/>
  </w:num>
  <w:num w:numId="5" w16cid:durableId="1031342850">
    <w:abstractNumId w:val="5"/>
  </w:num>
  <w:num w:numId="6" w16cid:durableId="786512691">
    <w:abstractNumId w:val="0"/>
    <w:lvlOverride w:ilvl="0">
      <w:startOverride w:val="13"/>
      <w:lvl w:ilvl="0">
        <w:start w:val="1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987854723">
    <w:abstractNumId w:val="10"/>
  </w:num>
  <w:num w:numId="8" w16cid:durableId="2128892817">
    <w:abstractNumId w:val="3"/>
  </w:num>
  <w:num w:numId="9" w16cid:durableId="2034259704">
    <w:abstractNumId w:val="6"/>
  </w:num>
  <w:num w:numId="10" w16cid:durableId="21325251">
    <w:abstractNumId w:val="12"/>
  </w:num>
  <w:num w:numId="11" w16cid:durableId="202375223">
    <w:abstractNumId w:val="7"/>
  </w:num>
  <w:num w:numId="12" w16cid:durableId="2512647">
    <w:abstractNumId w:val="2"/>
  </w:num>
  <w:num w:numId="13" w16cid:durableId="5021646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3E8"/>
    <w:rsid w:val="00010E90"/>
    <w:rsid w:val="00040C5E"/>
    <w:rsid w:val="000978EC"/>
    <w:rsid w:val="000E40D8"/>
    <w:rsid w:val="000E4697"/>
    <w:rsid w:val="000E57AB"/>
    <w:rsid w:val="001000E3"/>
    <w:rsid w:val="0011461C"/>
    <w:rsid w:val="0013449D"/>
    <w:rsid w:val="001565CD"/>
    <w:rsid w:val="00160486"/>
    <w:rsid w:val="00180A52"/>
    <w:rsid w:val="00197885"/>
    <w:rsid w:val="001A1A8B"/>
    <w:rsid w:val="001B2EA1"/>
    <w:rsid w:val="001C3E8A"/>
    <w:rsid w:val="001E4B72"/>
    <w:rsid w:val="001F2B19"/>
    <w:rsid w:val="00222698"/>
    <w:rsid w:val="00223792"/>
    <w:rsid w:val="00232C40"/>
    <w:rsid w:val="002453A6"/>
    <w:rsid w:val="00257588"/>
    <w:rsid w:val="002A3E73"/>
    <w:rsid w:val="002A42BD"/>
    <w:rsid w:val="002B207E"/>
    <w:rsid w:val="002B3300"/>
    <w:rsid w:val="002C739F"/>
    <w:rsid w:val="002C7C5B"/>
    <w:rsid w:val="002D7769"/>
    <w:rsid w:val="002F4684"/>
    <w:rsid w:val="0031228B"/>
    <w:rsid w:val="00321CF9"/>
    <w:rsid w:val="003327DA"/>
    <w:rsid w:val="00336657"/>
    <w:rsid w:val="00345C1F"/>
    <w:rsid w:val="003571A1"/>
    <w:rsid w:val="003B687F"/>
    <w:rsid w:val="003E59AC"/>
    <w:rsid w:val="0043592E"/>
    <w:rsid w:val="00437D74"/>
    <w:rsid w:val="00446F0A"/>
    <w:rsid w:val="00447473"/>
    <w:rsid w:val="00485307"/>
    <w:rsid w:val="0049547A"/>
    <w:rsid w:val="00496040"/>
    <w:rsid w:val="004B5E69"/>
    <w:rsid w:val="00506889"/>
    <w:rsid w:val="00531435"/>
    <w:rsid w:val="005454A2"/>
    <w:rsid w:val="005611EE"/>
    <w:rsid w:val="005C4C92"/>
    <w:rsid w:val="005C5B8E"/>
    <w:rsid w:val="005C6840"/>
    <w:rsid w:val="005E4E70"/>
    <w:rsid w:val="00605BF3"/>
    <w:rsid w:val="00613CDE"/>
    <w:rsid w:val="006272D3"/>
    <w:rsid w:val="006475E2"/>
    <w:rsid w:val="00655B56"/>
    <w:rsid w:val="006633A9"/>
    <w:rsid w:val="006659DC"/>
    <w:rsid w:val="00667AE2"/>
    <w:rsid w:val="00674BBD"/>
    <w:rsid w:val="00677560"/>
    <w:rsid w:val="006966F2"/>
    <w:rsid w:val="006A7F9E"/>
    <w:rsid w:val="006C7167"/>
    <w:rsid w:val="006D738B"/>
    <w:rsid w:val="0070297B"/>
    <w:rsid w:val="007039F8"/>
    <w:rsid w:val="007254F2"/>
    <w:rsid w:val="007375FD"/>
    <w:rsid w:val="00737BA4"/>
    <w:rsid w:val="007445C7"/>
    <w:rsid w:val="00772AD8"/>
    <w:rsid w:val="00794F20"/>
    <w:rsid w:val="00795B12"/>
    <w:rsid w:val="007D2B86"/>
    <w:rsid w:val="007E08BE"/>
    <w:rsid w:val="007E509B"/>
    <w:rsid w:val="0080781D"/>
    <w:rsid w:val="00820043"/>
    <w:rsid w:val="00821BE1"/>
    <w:rsid w:val="00843D76"/>
    <w:rsid w:val="008A4F97"/>
    <w:rsid w:val="008A6ACC"/>
    <w:rsid w:val="008A78FD"/>
    <w:rsid w:val="008C3CB1"/>
    <w:rsid w:val="008D3A20"/>
    <w:rsid w:val="008E36B1"/>
    <w:rsid w:val="0090127D"/>
    <w:rsid w:val="0094402D"/>
    <w:rsid w:val="00953C14"/>
    <w:rsid w:val="0095727D"/>
    <w:rsid w:val="00970D10"/>
    <w:rsid w:val="0098718A"/>
    <w:rsid w:val="00992E9C"/>
    <w:rsid w:val="009A3B10"/>
    <w:rsid w:val="009D31C6"/>
    <w:rsid w:val="009F3D7C"/>
    <w:rsid w:val="00A072D0"/>
    <w:rsid w:val="00A53211"/>
    <w:rsid w:val="00A77809"/>
    <w:rsid w:val="00AB175D"/>
    <w:rsid w:val="00B0561F"/>
    <w:rsid w:val="00B5579A"/>
    <w:rsid w:val="00BB3239"/>
    <w:rsid w:val="00BD1032"/>
    <w:rsid w:val="00BE7F14"/>
    <w:rsid w:val="00BF0F4E"/>
    <w:rsid w:val="00C049C0"/>
    <w:rsid w:val="00C2348C"/>
    <w:rsid w:val="00C6768A"/>
    <w:rsid w:val="00C75E02"/>
    <w:rsid w:val="00C85A62"/>
    <w:rsid w:val="00C93E3C"/>
    <w:rsid w:val="00CC4DE2"/>
    <w:rsid w:val="00CD7087"/>
    <w:rsid w:val="00D15E1F"/>
    <w:rsid w:val="00D31AC0"/>
    <w:rsid w:val="00D409A2"/>
    <w:rsid w:val="00D42751"/>
    <w:rsid w:val="00D43E75"/>
    <w:rsid w:val="00D4418D"/>
    <w:rsid w:val="00D6744F"/>
    <w:rsid w:val="00D67DEE"/>
    <w:rsid w:val="00D75393"/>
    <w:rsid w:val="00D8456C"/>
    <w:rsid w:val="00D873E8"/>
    <w:rsid w:val="00D93260"/>
    <w:rsid w:val="00DB5AC2"/>
    <w:rsid w:val="00DC7D4D"/>
    <w:rsid w:val="00DD4F8C"/>
    <w:rsid w:val="00DE68FD"/>
    <w:rsid w:val="00E302D0"/>
    <w:rsid w:val="00E54A79"/>
    <w:rsid w:val="00E55D23"/>
    <w:rsid w:val="00E61236"/>
    <w:rsid w:val="00E65E0E"/>
    <w:rsid w:val="00E77CC5"/>
    <w:rsid w:val="00EA07A8"/>
    <w:rsid w:val="00EB0647"/>
    <w:rsid w:val="00EC1D6C"/>
    <w:rsid w:val="00EE6A7F"/>
    <w:rsid w:val="00F029F8"/>
    <w:rsid w:val="00F2412E"/>
    <w:rsid w:val="00F35413"/>
    <w:rsid w:val="00F67910"/>
    <w:rsid w:val="00F82F44"/>
    <w:rsid w:val="00FA0B4F"/>
    <w:rsid w:val="00FA7C35"/>
    <w:rsid w:val="00FB383E"/>
    <w:rsid w:val="00FD0B8C"/>
    <w:rsid w:val="00FE3EA3"/>
    <w:rsid w:val="00FE4D0D"/>
    <w:rsid w:val="00FE7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43E3F"/>
  <w15:chartTrackingRefBased/>
  <w15:docId w15:val="{EA463200-A163-4416-B299-457533E9A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8A6ACC"/>
    <w:pPr>
      <w:widowControl w:val="0"/>
      <w:numPr>
        <w:numId w:val="6"/>
      </w:numPr>
      <w:ind w:left="720" w:hanging="720"/>
      <w:outlineLvl w:val="0"/>
    </w:pPr>
    <w:rPr>
      <w:rFonts w:ascii="Times" w:hAnsi="Times"/>
      <w:snapToGrid w:val="0"/>
      <w:szCs w:val="20"/>
    </w:rPr>
  </w:style>
  <w:style w:type="paragraph" w:styleId="BodyTextIndent">
    <w:name w:val="Body Text Indent"/>
    <w:basedOn w:val="Normal"/>
    <w:rsid w:val="008A6ACC"/>
    <w:pPr>
      <w:widowControl w:val="0"/>
      <w:ind w:left="720" w:hanging="720"/>
      <w:jc w:val="both"/>
    </w:pPr>
    <w:rPr>
      <w:rFonts w:ascii="Arial" w:hAnsi="Arial"/>
      <w:snapToGrid w:val="0"/>
      <w:szCs w:val="20"/>
    </w:rPr>
  </w:style>
  <w:style w:type="paragraph" w:customStyle="1" w:styleId="Style">
    <w:name w:val="Style"/>
    <w:basedOn w:val="Normal"/>
    <w:rsid w:val="008A6ACC"/>
    <w:pPr>
      <w:widowControl w:val="0"/>
      <w:ind w:left="1440" w:hanging="720"/>
    </w:pPr>
    <w:rPr>
      <w:snapToGrid w:val="0"/>
      <w:szCs w:val="20"/>
    </w:rPr>
  </w:style>
  <w:style w:type="table" w:styleId="TableGrid">
    <w:name w:val="Table Grid"/>
    <w:basedOn w:val="TableNormal"/>
    <w:rsid w:val="008A6AC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8A6ACC"/>
    <w:pPr>
      <w:widowControl w:val="0"/>
      <w:spacing w:after="120" w:line="480" w:lineRule="auto"/>
      <w:ind w:left="360"/>
    </w:pPr>
    <w:rPr>
      <w:snapToGrid w:val="0"/>
      <w:szCs w:val="20"/>
    </w:rPr>
  </w:style>
  <w:style w:type="paragraph" w:styleId="Footer">
    <w:name w:val="footer"/>
    <w:basedOn w:val="Normal"/>
    <w:rsid w:val="00040C5E"/>
    <w:pPr>
      <w:tabs>
        <w:tab w:val="center" w:pos="4320"/>
        <w:tab w:val="right" w:pos="8640"/>
      </w:tabs>
    </w:pPr>
  </w:style>
  <w:style w:type="character" w:styleId="PageNumber">
    <w:name w:val="page number"/>
    <w:basedOn w:val="DefaultParagraphFont"/>
    <w:rsid w:val="00040C5E"/>
  </w:style>
  <w:style w:type="paragraph" w:styleId="BalloonText">
    <w:name w:val="Balloon Text"/>
    <w:basedOn w:val="Normal"/>
    <w:link w:val="BalloonTextChar"/>
    <w:rsid w:val="00DC7D4D"/>
    <w:rPr>
      <w:rFonts w:ascii="Tahoma" w:hAnsi="Tahoma" w:cs="Tahoma"/>
      <w:sz w:val="16"/>
      <w:szCs w:val="16"/>
    </w:rPr>
  </w:style>
  <w:style w:type="character" w:customStyle="1" w:styleId="BalloonTextChar">
    <w:name w:val="Balloon Text Char"/>
    <w:link w:val="BalloonText"/>
    <w:rsid w:val="00DC7D4D"/>
    <w:rPr>
      <w:rFonts w:ascii="Tahoma" w:hAnsi="Tahoma" w:cs="Tahoma"/>
      <w:sz w:val="16"/>
      <w:szCs w:val="16"/>
    </w:rPr>
  </w:style>
  <w:style w:type="character" w:styleId="CommentReference">
    <w:name w:val="annotation reference"/>
    <w:rsid w:val="000E4697"/>
    <w:rPr>
      <w:sz w:val="16"/>
      <w:szCs w:val="16"/>
    </w:rPr>
  </w:style>
  <w:style w:type="paragraph" w:styleId="CommentText">
    <w:name w:val="annotation text"/>
    <w:basedOn w:val="Normal"/>
    <w:link w:val="CommentTextChar"/>
    <w:rsid w:val="000E4697"/>
    <w:rPr>
      <w:sz w:val="20"/>
      <w:szCs w:val="20"/>
    </w:rPr>
  </w:style>
  <w:style w:type="character" w:customStyle="1" w:styleId="CommentTextChar">
    <w:name w:val="Comment Text Char"/>
    <w:basedOn w:val="DefaultParagraphFont"/>
    <w:link w:val="CommentText"/>
    <w:rsid w:val="000E4697"/>
  </w:style>
  <w:style w:type="paragraph" w:styleId="CommentSubject">
    <w:name w:val="annotation subject"/>
    <w:basedOn w:val="CommentText"/>
    <w:next w:val="CommentText"/>
    <w:link w:val="CommentSubjectChar"/>
    <w:rsid w:val="000E4697"/>
    <w:rPr>
      <w:b/>
      <w:bCs/>
    </w:rPr>
  </w:style>
  <w:style w:type="character" w:customStyle="1" w:styleId="CommentSubjectChar">
    <w:name w:val="Comment Subject Char"/>
    <w:link w:val="CommentSubject"/>
    <w:rsid w:val="000E4697"/>
    <w:rPr>
      <w:b/>
      <w:bCs/>
    </w:rPr>
  </w:style>
  <w:style w:type="paragraph" w:styleId="FootnoteText">
    <w:name w:val="footnote text"/>
    <w:basedOn w:val="Normal"/>
    <w:link w:val="FootnoteTextChar"/>
    <w:rsid w:val="002B207E"/>
    <w:rPr>
      <w:sz w:val="20"/>
      <w:szCs w:val="20"/>
    </w:rPr>
  </w:style>
  <w:style w:type="character" w:customStyle="1" w:styleId="FootnoteTextChar">
    <w:name w:val="Footnote Text Char"/>
    <w:basedOn w:val="DefaultParagraphFont"/>
    <w:link w:val="FootnoteText"/>
    <w:rsid w:val="002B207E"/>
  </w:style>
  <w:style w:type="character" w:styleId="FootnoteReference">
    <w:name w:val="footnote reference"/>
    <w:uiPriority w:val="99"/>
    <w:rsid w:val="002B20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8769873">
      <w:bodyDiv w:val="1"/>
      <w:marLeft w:val="0"/>
      <w:marRight w:val="0"/>
      <w:marTop w:val="0"/>
      <w:marBottom w:val="0"/>
      <w:divBdr>
        <w:top w:val="none" w:sz="0" w:space="0" w:color="auto"/>
        <w:left w:val="none" w:sz="0" w:space="0" w:color="auto"/>
        <w:bottom w:val="none" w:sz="0" w:space="0" w:color="auto"/>
        <w:right w:val="none" w:sz="0" w:space="0" w:color="auto"/>
      </w:divBdr>
    </w:div>
    <w:div w:id="209833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67D38-92B6-49DD-87AD-B7E4A020C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1250</Words>
  <Characters>7472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vt:lpstr>
    </vt:vector>
  </TitlesOfParts>
  <Company>U.S. Customs Service</Company>
  <LinksUpToDate>false</LinksUpToDate>
  <CharactersWithSpaces>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Authorized User</dc:creator>
  <cp:keywords/>
  <cp:lastModifiedBy>WILLIAMS, SHADE</cp:lastModifiedBy>
  <cp:revision>5</cp:revision>
  <cp:lastPrinted>2006-01-30T16:39:00Z</cp:lastPrinted>
  <dcterms:created xsi:type="dcterms:W3CDTF">2022-02-15T22:05:00Z</dcterms:created>
  <dcterms:modified xsi:type="dcterms:W3CDTF">2022-08-22T20:53:00Z</dcterms:modified>
</cp:coreProperties>
</file>