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44DBCCA7" w14:textId="77777777">
      <w:pPr>
        <w:pStyle w:val="P1-StandPara"/>
        <w:ind w:firstLine="0"/>
        <w:jc w:val="left"/>
        <w:rPr>
          <w:b/>
          <w:sz w:val="24"/>
          <w:szCs w:val="24"/>
        </w:rPr>
      </w:pPr>
      <w:r w:rsidRPr="00BB0DD9">
        <w:rPr>
          <w:b/>
          <w:noProof/>
          <w:sz w:val="24"/>
          <w:szCs w:val="24"/>
        </w:rPr>
        <w:drawing>
          <wp:inline distT="0" distB="0" distL="0" distR="0" wp14:anchorId="3A9F5F20" wp14:editId="0F11314F">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Pr="00BB0DD9" w:rsidR="004D7CDD" w:rsidP="004D7CDD" w:rsidRDefault="0011405C" w14:paraId="61F00762" w14:textId="2EAF7356">
      <w:pPr>
        <w:jc w:val="center"/>
        <w:rPr>
          <w:b/>
          <w:sz w:val="48"/>
          <w:szCs w:val="48"/>
        </w:rPr>
      </w:pPr>
      <w:r w:rsidRPr="00BB0DD9">
        <w:rPr>
          <w:b/>
          <w:sz w:val="48"/>
          <w:szCs w:val="48"/>
        </w:rPr>
        <w:t xml:space="preserve">2022 </w:t>
      </w:r>
      <w:r w:rsidRPr="00BB0DD9" w:rsidR="004D7CDD">
        <w:rPr>
          <w:b/>
          <w:sz w:val="48"/>
          <w:szCs w:val="48"/>
        </w:rPr>
        <w:t>School Survey on Crime and Safety (SSOCS</w:t>
      </w:r>
      <w:r w:rsidRPr="00BB0DD9">
        <w:rPr>
          <w:b/>
          <w:sz w:val="48"/>
          <w:szCs w:val="48"/>
        </w:rPr>
        <w:t>:2022</w:t>
      </w:r>
      <w:r w:rsidRPr="00BB0DD9" w:rsidR="004D7CDD">
        <w:rPr>
          <w:b/>
          <w:sz w:val="48"/>
          <w:szCs w:val="48"/>
        </w:rPr>
        <w:t>)</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BB0DD9" w:rsidR="004D7CDD" w:rsidP="004D7CDD" w:rsidRDefault="004D7CDD" w14:paraId="3B7A7E60" w14:textId="107BBA24">
      <w:pPr>
        <w:spacing w:line="360" w:lineRule="auto"/>
        <w:jc w:val="center"/>
        <w:rPr>
          <w:b/>
          <w:sz w:val="36"/>
          <w:szCs w:val="36"/>
        </w:rPr>
      </w:pPr>
      <w:r w:rsidRPr="00BB0DD9">
        <w:rPr>
          <w:b/>
          <w:sz w:val="36"/>
          <w:szCs w:val="36"/>
        </w:rPr>
        <w:t>OMB# 1850-0761 v.</w:t>
      </w:r>
      <w:r w:rsidRPr="00672874" w:rsidR="00672874">
        <w:rPr>
          <w:b/>
          <w:sz w:val="36"/>
          <w:szCs w:val="36"/>
        </w:rPr>
        <w:t>21</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BB0DD9" w:rsidR="004D7CDD" w:rsidP="004D7CDD" w:rsidRDefault="004D7CDD" w14:paraId="6BEBC6FC" w14:textId="77777777">
      <w:pPr>
        <w:jc w:val="center"/>
      </w:pPr>
      <w:r w:rsidRPr="00BB0DD9">
        <w:t>National Center for Education Statistics</w:t>
      </w:r>
    </w:p>
    <w:p w:rsidRPr="00BB0DD9" w:rsidR="004D7CDD" w:rsidP="004D7CDD" w:rsidRDefault="004D7CDD" w14:paraId="4F3DAC21" w14:textId="77777777">
      <w:pPr>
        <w:jc w:val="center"/>
      </w:pPr>
      <w:r w:rsidRPr="00BB0DD9">
        <w:t>Institute of Education Sciences</w:t>
      </w:r>
    </w:p>
    <w:p w:rsidRPr="00BB0DD9" w:rsidR="004D7CDD" w:rsidP="004D7CDD" w:rsidRDefault="004D7CDD" w14:paraId="0C014E20" w14:textId="77777777">
      <w:pPr>
        <w:jc w:val="center"/>
      </w:pPr>
      <w:r w:rsidRPr="00BB0DD9">
        <w:t>U.S. Department of Education</w:t>
      </w:r>
    </w:p>
    <w:p w:rsidRPr="00BB0DD9" w:rsidR="004D7CDD" w:rsidP="004D7CDD" w:rsidRDefault="004D7CDD" w14:paraId="291ED6D3" w14:textId="77777777">
      <w:pPr>
        <w:spacing w:line="360" w:lineRule="auto"/>
        <w:jc w:val="center"/>
      </w:pPr>
    </w:p>
    <w:p w:rsidRPr="00BB0DD9" w:rsidR="004D7CDD" w:rsidP="004D7CDD" w:rsidRDefault="004D7CDD" w14:paraId="1F243525" w14:textId="77777777">
      <w:pPr>
        <w:spacing w:line="360" w:lineRule="auto"/>
        <w:jc w:val="center"/>
      </w:pPr>
    </w:p>
    <w:p w:rsidRPr="00BB0DD9" w:rsidR="004D7CDD" w:rsidP="004D7CDD" w:rsidRDefault="004D7CDD" w14:paraId="4B1793C6" w14:textId="77777777">
      <w:pPr>
        <w:jc w:val="center"/>
      </w:pPr>
    </w:p>
    <w:p w:rsidRPr="00BB0DD9" w:rsidR="004D7CDD" w:rsidP="004D7CDD" w:rsidRDefault="004D7CDD" w14:paraId="628CE9C5" w14:textId="77777777">
      <w:pPr>
        <w:jc w:val="center"/>
      </w:pPr>
    </w:p>
    <w:p w:rsidR="004D7CDD" w:rsidP="004D7CDD" w:rsidRDefault="0011405C" w14:paraId="52F11869" w14:textId="10271C55">
      <w:pPr>
        <w:jc w:val="center"/>
      </w:pPr>
      <w:r w:rsidRPr="00BB0DD9">
        <w:t>January 2021</w:t>
      </w:r>
    </w:p>
    <w:p w:rsidRPr="00BB0DD9" w:rsidR="00F70AEE" w:rsidP="004D7CDD" w:rsidRDefault="00F70AEE" w14:paraId="4776B455" w14:textId="7629A5D1">
      <w:pPr>
        <w:jc w:val="center"/>
      </w:pPr>
      <w:r>
        <w:t>revised July 2021</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9"/>
          <w:footerReference w:type="default" r:id="rId10"/>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Pr="00BB0DD9" w:rsidR="0028485A" w:rsidP="00AF0E3F" w:rsidRDefault="00282F0A" w14:paraId="1C32F417" w14:textId="37796F81">
      <w:pPr>
        <w:pStyle w:val="TOC2"/>
        <w:spacing w:after="240"/>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3478472">
        <w:r w:rsidRPr="00BB0DD9" w:rsidR="0028485A">
          <w:rPr>
            <w:rStyle w:val="Hyperlink"/>
          </w:rPr>
          <w:t>Section B. Methodology</w:t>
        </w:r>
        <w:r w:rsidRPr="00BB0DD9" w:rsidR="0028485A">
          <w:rPr>
            <w:webHidden/>
          </w:rPr>
          <w:tab/>
        </w:r>
        <w:r w:rsidRPr="00BB0DD9" w:rsidR="0028485A">
          <w:rPr>
            <w:webHidden/>
          </w:rPr>
          <w:fldChar w:fldCharType="begin"/>
        </w:r>
        <w:r w:rsidRPr="00BB0DD9" w:rsidR="0028485A">
          <w:rPr>
            <w:webHidden/>
          </w:rPr>
          <w:instrText xml:space="preserve"> PAGEREF _Toc3478472 \h </w:instrText>
        </w:r>
        <w:r w:rsidRPr="00BB0DD9" w:rsidR="0028485A">
          <w:rPr>
            <w:webHidden/>
          </w:rPr>
        </w:r>
        <w:r w:rsidRPr="00BB0DD9" w:rsidR="0028485A">
          <w:rPr>
            <w:webHidden/>
          </w:rPr>
          <w:fldChar w:fldCharType="separate"/>
        </w:r>
        <w:r w:rsidRPr="00BB0DD9" w:rsidR="00CD2661">
          <w:rPr>
            <w:webHidden/>
          </w:rPr>
          <w:t>1</w:t>
        </w:r>
        <w:r w:rsidRPr="00BB0DD9" w:rsidR="0028485A">
          <w:rPr>
            <w:webHidden/>
          </w:rPr>
          <w:fldChar w:fldCharType="end"/>
        </w:r>
      </w:hyperlink>
    </w:p>
    <w:p w:rsidRPr="00BB0DD9" w:rsidR="0028485A" w:rsidP="00AF0E3F" w:rsidRDefault="000C349F" w14:paraId="69CAE0D5" w14:textId="387EFEE2">
      <w:pPr>
        <w:pStyle w:val="TOC2"/>
        <w:spacing w:after="240"/>
        <w:rPr>
          <w:rFonts w:asciiTheme="minorHAnsi" w:hAnsiTheme="minorHAnsi" w:eastAsiaTheme="minorEastAsia" w:cstheme="minorBidi"/>
          <w:smallCaps w:val="0"/>
          <w:sz w:val="22"/>
          <w:szCs w:val="22"/>
        </w:rPr>
      </w:pPr>
      <w:hyperlink w:history="1" w:anchor="_Toc3478473">
        <w:r w:rsidRPr="00BB0DD9" w:rsidR="0028485A">
          <w:rPr>
            <w:rStyle w:val="Hyperlink"/>
          </w:rPr>
          <w:t>B1. Respondent Universe and Sample Design and Estimation</w:t>
        </w:r>
        <w:r w:rsidRPr="00BB0DD9" w:rsidR="0028485A">
          <w:rPr>
            <w:webHidden/>
          </w:rPr>
          <w:tab/>
        </w:r>
        <w:r w:rsidRPr="00BB0DD9" w:rsidR="0028485A">
          <w:rPr>
            <w:webHidden/>
          </w:rPr>
          <w:fldChar w:fldCharType="begin"/>
        </w:r>
        <w:r w:rsidRPr="00BB0DD9" w:rsidR="0028485A">
          <w:rPr>
            <w:webHidden/>
          </w:rPr>
          <w:instrText xml:space="preserve"> PAGEREF _Toc3478473 \h </w:instrText>
        </w:r>
        <w:r w:rsidRPr="00BB0DD9" w:rsidR="0028485A">
          <w:rPr>
            <w:webHidden/>
          </w:rPr>
        </w:r>
        <w:r w:rsidRPr="00BB0DD9" w:rsidR="0028485A">
          <w:rPr>
            <w:webHidden/>
          </w:rPr>
          <w:fldChar w:fldCharType="separate"/>
        </w:r>
        <w:r w:rsidRPr="00BB0DD9" w:rsidR="00CD2661">
          <w:rPr>
            <w:webHidden/>
          </w:rPr>
          <w:t>1</w:t>
        </w:r>
        <w:r w:rsidRPr="00BB0DD9" w:rsidR="0028485A">
          <w:rPr>
            <w:webHidden/>
          </w:rPr>
          <w:fldChar w:fldCharType="end"/>
        </w:r>
      </w:hyperlink>
    </w:p>
    <w:p w:rsidRPr="00BB0DD9" w:rsidR="0028485A" w:rsidP="00AF0E3F" w:rsidRDefault="000C349F" w14:paraId="27203A59" w14:textId="47685E92">
      <w:pPr>
        <w:pStyle w:val="TOC2"/>
        <w:spacing w:after="240"/>
        <w:rPr>
          <w:rFonts w:asciiTheme="minorHAnsi" w:hAnsiTheme="minorHAnsi" w:eastAsiaTheme="minorEastAsia" w:cstheme="minorBidi"/>
          <w:smallCaps w:val="0"/>
          <w:sz w:val="22"/>
          <w:szCs w:val="22"/>
        </w:rPr>
      </w:pPr>
      <w:hyperlink w:history="1" w:anchor="_Toc3478474">
        <w:r w:rsidRPr="00BB0DD9" w:rsidR="0028485A">
          <w:rPr>
            <w:rStyle w:val="Hyperlink"/>
          </w:rPr>
          <w:t>B2. Procedures for the Collection of Information</w:t>
        </w:r>
        <w:r w:rsidRPr="00BB0DD9" w:rsidR="0028485A">
          <w:rPr>
            <w:webHidden/>
          </w:rPr>
          <w:tab/>
        </w:r>
        <w:r w:rsidRPr="00BB0DD9" w:rsidR="0028485A">
          <w:rPr>
            <w:webHidden/>
          </w:rPr>
          <w:fldChar w:fldCharType="begin"/>
        </w:r>
        <w:r w:rsidRPr="00BB0DD9" w:rsidR="0028485A">
          <w:rPr>
            <w:webHidden/>
          </w:rPr>
          <w:instrText xml:space="preserve"> PAGEREF _Toc3478474 \h </w:instrText>
        </w:r>
        <w:r w:rsidRPr="00BB0DD9" w:rsidR="0028485A">
          <w:rPr>
            <w:webHidden/>
          </w:rPr>
        </w:r>
        <w:r w:rsidRPr="00BB0DD9" w:rsidR="0028485A">
          <w:rPr>
            <w:webHidden/>
          </w:rPr>
          <w:fldChar w:fldCharType="separate"/>
        </w:r>
        <w:r w:rsidRPr="00BB0DD9" w:rsidR="00CD2661">
          <w:rPr>
            <w:webHidden/>
          </w:rPr>
          <w:t>6</w:t>
        </w:r>
        <w:r w:rsidRPr="00BB0DD9" w:rsidR="0028485A">
          <w:rPr>
            <w:webHidden/>
          </w:rPr>
          <w:fldChar w:fldCharType="end"/>
        </w:r>
      </w:hyperlink>
    </w:p>
    <w:p w:rsidRPr="00BB0DD9" w:rsidR="0028485A" w:rsidP="00AF0E3F" w:rsidRDefault="000C349F" w14:paraId="1A6B428C" w14:textId="4B78CFBE">
      <w:pPr>
        <w:pStyle w:val="TOC2"/>
        <w:spacing w:after="240"/>
        <w:rPr>
          <w:rFonts w:asciiTheme="minorHAnsi" w:hAnsiTheme="minorHAnsi" w:eastAsiaTheme="minorEastAsia" w:cstheme="minorBidi"/>
          <w:smallCaps w:val="0"/>
          <w:sz w:val="22"/>
          <w:szCs w:val="22"/>
        </w:rPr>
      </w:pPr>
      <w:hyperlink w:history="1" w:anchor="_Toc3478475">
        <w:r w:rsidRPr="00BB0DD9" w:rsidR="0028485A">
          <w:rPr>
            <w:rStyle w:val="Hyperlink"/>
          </w:rPr>
          <w:t>B3. Methods to Maximize Response Rates</w:t>
        </w:r>
        <w:r w:rsidRPr="00BB0DD9" w:rsidR="0028485A">
          <w:rPr>
            <w:webHidden/>
          </w:rPr>
          <w:tab/>
        </w:r>
        <w:r w:rsidRPr="00BB0DD9" w:rsidR="0028485A">
          <w:rPr>
            <w:webHidden/>
          </w:rPr>
          <w:fldChar w:fldCharType="begin"/>
        </w:r>
        <w:r w:rsidRPr="00BB0DD9" w:rsidR="0028485A">
          <w:rPr>
            <w:webHidden/>
          </w:rPr>
          <w:instrText xml:space="preserve"> PAGEREF _Toc3478475 \h </w:instrText>
        </w:r>
        <w:r w:rsidRPr="00BB0DD9" w:rsidR="0028485A">
          <w:rPr>
            <w:webHidden/>
          </w:rPr>
        </w:r>
        <w:r w:rsidRPr="00BB0DD9" w:rsidR="0028485A">
          <w:rPr>
            <w:webHidden/>
          </w:rPr>
          <w:fldChar w:fldCharType="separate"/>
        </w:r>
        <w:r w:rsidRPr="00BB0DD9" w:rsidR="00CD2661">
          <w:rPr>
            <w:webHidden/>
          </w:rPr>
          <w:t>11</w:t>
        </w:r>
        <w:r w:rsidRPr="00BB0DD9" w:rsidR="0028485A">
          <w:rPr>
            <w:webHidden/>
          </w:rPr>
          <w:fldChar w:fldCharType="end"/>
        </w:r>
      </w:hyperlink>
    </w:p>
    <w:p w:rsidRPr="00BB0DD9" w:rsidR="0028485A" w:rsidP="00AF0E3F" w:rsidRDefault="000C349F" w14:paraId="1FE4C303" w14:textId="5FF4BC0A">
      <w:pPr>
        <w:pStyle w:val="TOC2"/>
        <w:spacing w:after="240"/>
        <w:rPr>
          <w:rFonts w:asciiTheme="minorHAnsi" w:hAnsiTheme="minorHAnsi" w:eastAsiaTheme="minorEastAsia" w:cstheme="minorBidi"/>
          <w:smallCaps w:val="0"/>
          <w:sz w:val="22"/>
          <w:szCs w:val="22"/>
        </w:rPr>
      </w:pPr>
      <w:hyperlink w:history="1" w:anchor="_Toc3478476">
        <w:r w:rsidRPr="00BB0DD9" w:rsidR="0028485A">
          <w:rPr>
            <w:rStyle w:val="Hyperlink"/>
          </w:rPr>
          <w:t>B4. Tests of Procedures</w:t>
        </w:r>
        <w:r w:rsidRPr="00BB0DD9" w:rsidR="0028485A">
          <w:rPr>
            <w:webHidden/>
          </w:rPr>
          <w:tab/>
        </w:r>
        <w:r w:rsidRPr="00BB0DD9" w:rsidR="0028485A">
          <w:rPr>
            <w:webHidden/>
          </w:rPr>
          <w:fldChar w:fldCharType="begin"/>
        </w:r>
        <w:r w:rsidRPr="00BB0DD9" w:rsidR="0028485A">
          <w:rPr>
            <w:webHidden/>
          </w:rPr>
          <w:instrText xml:space="preserve"> PAGEREF _Toc3478476 \h </w:instrText>
        </w:r>
        <w:r w:rsidRPr="00BB0DD9" w:rsidR="0028485A">
          <w:rPr>
            <w:webHidden/>
          </w:rPr>
        </w:r>
        <w:r w:rsidRPr="00BB0DD9" w:rsidR="0028485A">
          <w:rPr>
            <w:webHidden/>
          </w:rPr>
          <w:fldChar w:fldCharType="separate"/>
        </w:r>
        <w:r w:rsidRPr="00BB0DD9" w:rsidR="00CD2661">
          <w:rPr>
            <w:webHidden/>
          </w:rPr>
          <w:t>12</w:t>
        </w:r>
        <w:r w:rsidRPr="00BB0DD9" w:rsidR="0028485A">
          <w:rPr>
            <w:webHidden/>
          </w:rPr>
          <w:fldChar w:fldCharType="end"/>
        </w:r>
      </w:hyperlink>
    </w:p>
    <w:p w:rsidRPr="00BB0DD9" w:rsidR="0028485A" w:rsidP="00AF0E3F" w:rsidRDefault="000C349F" w14:paraId="261A0EE0" w14:textId="6F0CC5B3">
      <w:pPr>
        <w:pStyle w:val="TOC2"/>
        <w:spacing w:after="240"/>
        <w:rPr>
          <w:rFonts w:asciiTheme="minorHAnsi" w:hAnsiTheme="minorHAnsi" w:eastAsiaTheme="minorEastAsia" w:cstheme="minorBidi"/>
          <w:smallCaps w:val="0"/>
          <w:sz w:val="22"/>
          <w:szCs w:val="22"/>
        </w:rPr>
      </w:pPr>
      <w:hyperlink w:history="1" w:anchor="_Toc3478477">
        <w:r w:rsidRPr="00BB0DD9" w:rsidR="0028485A">
          <w:rPr>
            <w:rStyle w:val="Hyperlink"/>
          </w:rPr>
          <w:t>B5. Individuals Responsible for Study Design and Performance</w:t>
        </w:r>
        <w:r w:rsidRPr="00BB0DD9" w:rsidR="0028485A">
          <w:rPr>
            <w:webHidden/>
          </w:rPr>
          <w:tab/>
        </w:r>
        <w:r w:rsidRPr="00BB0DD9" w:rsidR="0028485A">
          <w:rPr>
            <w:webHidden/>
          </w:rPr>
          <w:fldChar w:fldCharType="begin"/>
        </w:r>
        <w:r w:rsidRPr="00BB0DD9" w:rsidR="0028485A">
          <w:rPr>
            <w:webHidden/>
          </w:rPr>
          <w:instrText xml:space="preserve"> PAGEREF _Toc3478477 \h </w:instrText>
        </w:r>
        <w:r w:rsidRPr="00BB0DD9" w:rsidR="0028485A">
          <w:rPr>
            <w:webHidden/>
          </w:rPr>
        </w:r>
        <w:r w:rsidRPr="00BB0DD9" w:rsidR="0028485A">
          <w:rPr>
            <w:webHidden/>
          </w:rPr>
          <w:fldChar w:fldCharType="separate"/>
        </w:r>
        <w:r w:rsidRPr="00BB0DD9" w:rsidR="00CD2661">
          <w:rPr>
            <w:webHidden/>
          </w:rPr>
          <w:t>16</w:t>
        </w:r>
        <w:r w:rsidRPr="00BB0DD9" w:rsidR="0028485A">
          <w:rPr>
            <w:webHidden/>
          </w:rPr>
          <w:fldChar w:fldCharType="end"/>
        </w:r>
      </w:hyperlink>
    </w:p>
    <w:p w:rsidRPr="00BB0DD9" w:rsidR="007C6F40" w:rsidP="00AF0E3F" w:rsidRDefault="00282F0A" w14:paraId="2F734617" w14:textId="20A605A3">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1"/>
          <w:footerReference w:type="even" r:id="rId12"/>
          <w:footerReference w:type="default" r:id="rId13"/>
          <w:headerReference w:type="first" r:id="rId14"/>
          <w:footerReference w:type="first" r:id="rId15"/>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3478472" w:id="4"/>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Pr="00BB0DD9" w:rsidR="00EA283E" w:rsidP="00D1317C" w:rsidRDefault="00EA283E" w14:paraId="5CACB067" w14:textId="72BEC415">
      <w:pPr>
        <w:pStyle w:val="SL-FlLftSgl"/>
        <w:spacing w:after="120" w:line="240" w:lineRule="auto"/>
        <w:jc w:val="left"/>
        <w:rPr>
          <w:sz w:val="24"/>
          <w:szCs w:val="24"/>
        </w:rPr>
      </w:pPr>
    </w:p>
    <w:p w:rsidRPr="00BB0DD9" w:rsidR="00DA49BB" w:rsidP="00DA49BB" w:rsidRDefault="00D1317C" w14:paraId="358A8BBA" w14:textId="7D7CE994">
      <w:pPr>
        <w:pStyle w:val="SL-FlLftSgl"/>
        <w:spacing w:after="120" w:line="240" w:lineRule="auto"/>
        <w:jc w:val="left"/>
        <w:rPr>
          <w:sz w:val="24"/>
          <w:szCs w:val="24"/>
        </w:rPr>
      </w:pPr>
      <w:r w:rsidRPr="00BB0DD9">
        <w:rPr>
          <w:sz w:val="24"/>
          <w:szCs w:val="24"/>
        </w:rPr>
        <w:t xml:space="preserve">When compared to the SSOCS:2020 questionnaire, the SSOCS:2022 questionnaire </w:t>
      </w:r>
      <w:r w:rsidR="004F07BE">
        <w:rPr>
          <w:sz w:val="24"/>
          <w:szCs w:val="24"/>
        </w:rPr>
        <w:t xml:space="preserve">has </w:t>
      </w:r>
      <w:r w:rsidR="0001470A">
        <w:rPr>
          <w:sz w:val="24"/>
          <w:szCs w:val="24"/>
        </w:rPr>
        <w:t>only</w:t>
      </w:r>
      <w:r w:rsidR="004F07BE">
        <w:rPr>
          <w:sz w:val="24"/>
          <w:szCs w:val="24"/>
        </w:rPr>
        <w:t xml:space="preserve"> added</w:t>
      </w:r>
      <w:r w:rsidR="0001470A">
        <w:rPr>
          <w:sz w:val="24"/>
          <w:szCs w:val="24"/>
        </w:rPr>
        <w:t xml:space="preserve"> </w:t>
      </w:r>
      <w:r w:rsidRPr="00BB0DD9" w:rsidR="0011405C">
        <w:rPr>
          <w:sz w:val="24"/>
          <w:szCs w:val="24"/>
        </w:rPr>
        <w:t>a few new items concerning the COVID-19 pandemic</w:t>
      </w:r>
      <w:r w:rsidRPr="00BB0DD9">
        <w:rPr>
          <w:sz w:val="24"/>
          <w:szCs w:val="24"/>
        </w:rPr>
        <w:t>.</w:t>
      </w:r>
      <w:bookmarkStart w:name="_Hlk3449664" w:id="5"/>
      <w:bookmarkStart w:name="_Toc411895530" w:id="6"/>
      <w:r w:rsidRPr="00BB0DD9">
        <w:rPr>
          <w:sz w:val="24"/>
          <w:szCs w:val="24"/>
        </w:rPr>
        <w:t xml:space="preserve"> </w:t>
      </w:r>
      <w:r w:rsidRPr="00BB0DD9" w:rsidR="00696649">
        <w:rPr>
          <w:sz w:val="24"/>
          <w:szCs w:val="24"/>
        </w:rPr>
        <w:t>SSOCS:</w:t>
      </w:r>
      <w:r w:rsidRPr="00BB0DD9" w:rsidR="00DA49BB">
        <w:rPr>
          <w:sz w:val="24"/>
          <w:szCs w:val="24"/>
        </w:rPr>
        <w:t>202</w:t>
      </w:r>
      <w:r w:rsidRPr="00BB0DD9">
        <w:rPr>
          <w:sz w:val="24"/>
          <w:szCs w:val="24"/>
        </w:rPr>
        <w:t>2</w:t>
      </w:r>
      <w:r w:rsidRPr="00BB0DD9" w:rsidR="00DA49BB">
        <w:rPr>
          <w:sz w:val="24"/>
          <w:szCs w:val="24"/>
        </w:rPr>
        <w:t xml:space="preserve"> </w:t>
      </w:r>
      <w:r w:rsidRPr="00BB0DD9">
        <w:rPr>
          <w:sz w:val="24"/>
          <w:szCs w:val="24"/>
        </w:rPr>
        <w:t xml:space="preserve">will be collected primarily by </w:t>
      </w:r>
      <w:r w:rsidR="004F07BE">
        <w:rPr>
          <w:sz w:val="24"/>
          <w:szCs w:val="24"/>
        </w:rPr>
        <w:t>a web-based survey</w:t>
      </w:r>
      <w:r w:rsidRPr="00BB0DD9">
        <w:rPr>
          <w:sz w:val="24"/>
          <w:szCs w:val="24"/>
        </w:rPr>
        <w:t xml:space="preserve">, with paper questionnaires offered in follow-up mailings rather than at the onset of collection. </w:t>
      </w:r>
      <w:r w:rsidRPr="00BB0DD9" w:rsidR="00EA283E">
        <w:rPr>
          <w:sz w:val="24"/>
          <w:szCs w:val="24"/>
        </w:rPr>
        <w:t xml:space="preserve">In addition, monetary incentives will be </w:t>
      </w:r>
      <w:r w:rsidR="00FB6522">
        <w:rPr>
          <w:sz w:val="24"/>
          <w:szCs w:val="24"/>
        </w:rPr>
        <w:t xml:space="preserve">offered to all sampled schools </w:t>
      </w:r>
      <w:r w:rsidRPr="00BB0DD9" w:rsidR="00EA283E">
        <w:rPr>
          <w:sz w:val="24"/>
          <w:szCs w:val="24"/>
        </w:rPr>
        <w:t xml:space="preserve">in the 2022 collection. Both of these were planned for the SSOCS:2020 data collection; however, </w:t>
      </w:r>
      <w:r w:rsidRPr="00BB0DD9" w:rsidR="00EA283E">
        <w:rPr>
          <w:sz w:val="24"/>
        </w:rPr>
        <w:t>changes were made to the collection strategy during data collection due to the emergent situation related to the COVID-19 pandemic, which resulted in the closure of many school buildings across the nation along with the closure of the Census Bureau National Processing Center</w:t>
      </w:r>
      <w:r w:rsidR="00BC5537">
        <w:rPr>
          <w:sz w:val="24"/>
        </w:rPr>
        <w:t xml:space="preserve"> (NPC)</w:t>
      </w:r>
      <w:r w:rsidRPr="00BB0DD9" w:rsidR="00EA283E">
        <w:rPr>
          <w:sz w:val="24"/>
        </w:rPr>
        <w:t xml:space="preserve">. </w:t>
      </w:r>
      <w:bookmarkEnd w:id="5"/>
    </w:p>
    <w:p w:rsidRPr="00BB0DD9" w:rsidR="0064551D" w:rsidP="00E103F7" w:rsidRDefault="0064551D" w14:paraId="03BF836A" w14:textId="77777777">
      <w:pPr>
        <w:pStyle w:val="Heading2"/>
        <w:keepLines/>
        <w:spacing w:after="120"/>
        <w:jc w:val="left"/>
      </w:pPr>
      <w:bookmarkStart w:name="_Toc3478473" w:id="7"/>
      <w:r w:rsidRPr="00BB0DD9">
        <w:t>B1. Respondent Universe and Sample Design and Estimation</w:t>
      </w:r>
      <w:bookmarkEnd w:id="7"/>
    </w:p>
    <w:p w:rsidRPr="00BB0DD9" w:rsidR="00DA49BB" w:rsidP="00DA49BB" w:rsidRDefault="00DA49BB" w14:paraId="507A0BDD" w14:textId="65DA70F9">
      <w:pPr>
        <w:spacing w:after="120"/>
      </w:pPr>
      <w:bookmarkStart w:name="_Hlk3455724" w:id="8"/>
      <w:r w:rsidRPr="00BB0DD9">
        <w:t xml:space="preserve">The SSOCS sampling frame </w:t>
      </w:r>
      <w:r w:rsidRPr="00BB0DD9" w:rsidR="0053112A">
        <w:t xml:space="preserve">is constructed from the Common Core of Data (CCD) public school universe file, but it excludes schools in the U.S. outlying areas and Puerto Rico, overseas Department of Defense schools, </w:t>
      </w:r>
      <w:r w:rsidR="000620B1">
        <w:t xml:space="preserve">schools run by the Bureau of Indian Education, school specializing in special education or alternative education, vocational schools, virtual schools, ungraded schools, </w:t>
      </w:r>
      <w:r w:rsidRPr="00BB0DD9" w:rsidR="0053112A">
        <w:t xml:space="preserve">newly closed schools, home schools, and schools </w:t>
      </w:r>
      <w:r w:rsidRPr="00BB0DD9" w:rsidR="00BB0DD9">
        <w:t xml:space="preserve">that have no students above the grade of </w:t>
      </w:r>
      <w:r w:rsidRPr="00BB0DD9" w:rsidR="0053112A">
        <w:t>kindergarten</w:t>
      </w:r>
      <w:r w:rsidRPr="00BB0DD9" w:rsidR="00BB0DD9">
        <w:t>.</w:t>
      </w:r>
      <w:r w:rsidRPr="00BB0DD9" w:rsidR="0053112A">
        <w:t xml:space="preserve"> Regular public schools, charter schools, and schools that have partial or total magnet programs with students in any of grades prekindergarten through 12 are included in the sampling frame.</w:t>
      </w:r>
    </w:p>
    <w:bookmarkEnd w:id="8"/>
    <w:p w:rsidRPr="00BB0DD9" w:rsidR="00855725" w:rsidP="004C4A93" w:rsidRDefault="004C4A93" w14:paraId="7F58D6CB" w14:textId="6CFBD303">
      <w:pPr>
        <w:spacing w:after="120"/>
      </w:pPr>
      <w:r w:rsidRPr="00BB0DD9">
        <w:t>The SSOCS:202</w:t>
      </w:r>
      <w:r w:rsidRPr="00BB0DD9" w:rsidR="0053112A">
        <w:t>2</w:t>
      </w:r>
      <w:r w:rsidRPr="00BB0DD9">
        <w:t xml:space="preserve"> </w:t>
      </w:r>
      <w:r w:rsidRPr="00BB0DD9" w:rsidR="0053112A">
        <w:t xml:space="preserve">frame </w:t>
      </w:r>
      <w:r w:rsidRPr="00BB0DD9" w:rsidR="000F69C5">
        <w:t>will be</w:t>
      </w:r>
      <w:r w:rsidRPr="00BB0DD9" w:rsidR="0060049F">
        <w:t xml:space="preserve"> </w:t>
      </w:r>
      <w:r w:rsidRPr="00BB0DD9">
        <w:t>constructed from the Public Elementary/Secondary School Universe data file of the 2017–18 CCD</w:t>
      </w:r>
      <w:r w:rsidR="000620B1">
        <w:t xml:space="preserve"> with</w:t>
      </w:r>
      <w:r w:rsidRPr="00BB0DD9" w:rsidR="0053112A">
        <w:t xml:space="preserve"> </w:t>
      </w:r>
      <w:r w:rsidR="000620B1">
        <w:t>n</w:t>
      </w:r>
      <w:r w:rsidRPr="00BB0DD9" w:rsidR="00A60AE1">
        <w:t xml:space="preserve">ew schools </w:t>
      </w:r>
      <w:r w:rsidR="000620B1">
        <w:t xml:space="preserve">being added and variables being updated with </w:t>
      </w:r>
      <w:r w:rsidRPr="00BB0DD9" w:rsidR="00A60AE1">
        <w:t>2019–20</w:t>
      </w:r>
      <w:r w:rsidRPr="00BB0DD9" w:rsidR="0053112A">
        <w:t xml:space="preserve"> CCD </w:t>
      </w:r>
      <w:r w:rsidR="000620B1">
        <w:t xml:space="preserve">data when it becomes available </w:t>
      </w:r>
      <w:r w:rsidRPr="00BB0DD9" w:rsidR="000F69C5">
        <w:t xml:space="preserve">(scheduled to be released in </w:t>
      </w:r>
      <w:r w:rsidRPr="00BB0DD9" w:rsidR="008549A6">
        <w:t>April/May</w:t>
      </w:r>
      <w:r w:rsidRPr="00BB0DD9" w:rsidR="000F69C5">
        <w:t xml:space="preserve"> </w:t>
      </w:r>
      <w:r w:rsidRPr="00BB0DD9" w:rsidR="00D34240">
        <w:t xml:space="preserve">of </w:t>
      </w:r>
      <w:r w:rsidRPr="00BB0DD9" w:rsidR="000F69C5">
        <w:t>20</w:t>
      </w:r>
      <w:r w:rsidRPr="00BB0DD9" w:rsidR="00A60AE1">
        <w:t>21</w:t>
      </w:r>
      <w:r w:rsidR="000620B1">
        <w:t>)</w:t>
      </w:r>
      <w:r w:rsidRPr="00BB0DD9">
        <w:t>. The size of the SSOCS:20</w:t>
      </w:r>
      <w:r w:rsidRPr="00BB0DD9" w:rsidR="0053112A">
        <w:t>22</w:t>
      </w:r>
      <w:r w:rsidRPr="00BB0DD9">
        <w:t xml:space="preserve"> population is estimated to be approximately </w:t>
      </w:r>
      <w:r w:rsidRPr="00BB0DD9" w:rsidR="00BD7C3E">
        <w:t>83,900</w:t>
      </w:r>
      <w:r w:rsidRPr="00BB0DD9">
        <w:t xml:space="preserve"> schools.</w:t>
      </w:r>
    </w:p>
    <w:p w:rsidRPr="00BB0DD9" w:rsidR="00100A67" w:rsidP="004C4A93" w:rsidRDefault="00AD65C3" w14:paraId="6AE2CE30" w14:textId="07E9BFF0">
      <w:pPr>
        <w:spacing w:after="120"/>
      </w:pPr>
      <w:r w:rsidRPr="00BB0DD9">
        <w:t xml:space="preserve">Tables </w:t>
      </w:r>
      <w:r w:rsidRPr="00BB0DD9" w:rsidR="00A60AE1">
        <w:t>1</w:t>
      </w:r>
      <w:r w:rsidRPr="00BB0DD9">
        <w:t xml:space="preserve"> and </w:t>
      </w:r>
      <w:r w:rsidRPr="00BB0DD9" w:rsidR="00A60AE1">
        <w:t>2</w:t>
      </w:r>
      <w:r w:rsidRPr="00BB0DD9">
        <w:t xml:space="preserve"> show the </w:t>
      </w:r>
      <w:r w:rsidRPr="00BB0DD9" w:rsidR="00100A67">
        <w:t xml:space="preserve">estimated </w:t>
      </w:r>
      <w:r w:rsidRPr="00BB0DD9">
        <w:t xml:space="preserve">expected </w:t>
      </w:r>
      <w:r w:rsidRPr="00BB0DD9" w:rsidR="00612663">
        <w:t xml:space="preserve">distribution of the </w:t>
      </w:r>
      <w:proofErr w:type="gramStart"/>
      <w:r w:rsidRPr="00BB0DD9" w:rsidR="00612663">
        <w:t>public school</w:t>
      </w:r>
      <w:proofErr w:type="gramEnd"/>
      <w:r w:rsidRPr="00BB0DD9" w:rsidR="00612663">
        <w:t xml:space="preserve"> sampling universe for SSOCS:</w:t>
      </w:r>
      <w:r w:rsidRPr="00BB0DD9" w:rsidR="00A60AE1">
        <w:t>2022</w:t>
      </w:r>
      <w:r w:rsidRPr="00BB0DD9">
        <w:t xml:space="preserve">, </w:t>
      </w:r>
      <w:r w:rsidRPr="00BB0DD9" w:rsidR="005A34AF">
        <w:t xml:space="preserve">by school level and </w:t>
      </w:r>
      <w:r w:rsidRPr="00BB0DD9" w:rsidR="00B94B01">
        <w:t xml:space="preserve">urbanicity </w:t>
      </w:r>
      <w:r w:rsidRPr="00BB0DD9" w:rsidR="005A34AF">
        <w:t xml:space="preserve">and by school level and </w:t>
      </w:r>
      <w:r w:rsidRPr="00BB0DD9" w:rsidR="00B94B01">
        <w:t xml:space="preserve">enrollment size, respectively. Tables </w:t>
      </w:r>
      <w:r w:rsidRPr="00BB0DD9" w:rsidR="00A60AE1">
        <w:t xml:space="preserve">1 </w:t>
      </w:r>
      <w:r w:rsidRPr="00BB0DD9" w:rsidR="00B94B01">
        <w:t xml:space="preserve">and </w:t>
      </w:r>
      <w:r w:rsidRPr="00BB0DD9" w:rsidR="00A60AE1">
        <w:t>2</w:t>
      </w:r>
      <w:r w:rsidRPr="00BB0DD9" w:rsidR="00B94B01">
        <w:t xml:space="preserve"> </w:t>
      </w:r>
      <w:r w:rsidRPr="00BB0DD9" w:rsidR="00100A67">
        <w:t xml:space="preserve">reflect the expected numbers </w:t>
      </w:r>
      <w:r w:rsidRPr="00BB0DD9" w:rsidR="00452E39">
        <w:t>as</w:t>
      </w:r>
      <w:r w:rsidRPr="00BB0DD9" w:rsidR="00100A67">
        <w:t xml:space="preserve"> estimated using the 201</w:t>
      </w:r>
      <w:r w:rsidRPr="00BB0DD9" w:rsidR="00A60AE1">
        <w:t>7</w:t>
      </w:r>
      <w:r w:rsidR="00BC5537">
        <w:t>–</w:t>
      </w:r>
      <w:r w:rsidRPr="00BB0DD9" w:rsidR="00100A67">
        <w:t>1</w:t>
      </w:r>
      <w:r w:rsidRPr="00BB0DD9" w:rsidR="00A60AE1">
        <w:t>8</w:t>
      </w:r>
      <w:r w:rsidRPr="00BB0DD9" w:rsidR="00100A67">
        <w:t xml:space="preserve"> </w:t>
      </w:r>
      <w:r w:rsidRPr="00BB0DD9" w:rsidR="00452E39">
        <w:t xml:space="preserve">CCD </w:t>
      </w:r>
      <w:r w:rsidRPr="00BB0DD9" w:rsidR="00100A67">
        <w:t>universe</w:t>
      </w:r>
      <w:r w:rsidR="000620B1">
        <w:t xml:space="preserve"> file</w:t>
      </w:r>
      <w:r w:rsidRPr="00BB0DD9" w:rsidR="00452E39">
        <w:t>.</w:t>
      </w:r>
    </w:p>
    <w:p w:rsidRPr="00BB0DD9" w:rsidR="004C4A93" w:rsidP="00FF63B5" w:rsidRDefault="004C4A93" w14:paraId="0D500574" w14:textId="1B6F5300">
      <w:pPr>
        <w:pStyle w:val="Heading3"/>
      </w:pPr>
      <w:r w:rsidRPr="00BB0DD9">
        <w:t xml:space="preserve">Table </w:t>
      </w:r>
      <w:r w:rsidRPr="00BB0DD9" w:rsidR="00A60AE1">
        <w:t>1</w:t>
      </w:r>
      <w:r w:rsidRPr="00BB0DD9">
        <w:t>. Expected respondent universe for the SSOCS:</w:t>
      </w:r>
      <w:r w:rsidRPr="00BB0DD9" w:rsidR="00A60AE1">
        <w:t xml:space="preserve">2022 </w:t>
      </w:r>
      <w:r w:rsidRPr="00BB0DD9">
        <w:t xml:space="preserve">public school sample, by school level and urbanicity, based on the </w:t>
      </w:r>
      <w:r w:rsidRPr="00BB0DD9" w:rsidR="00A60AE1">
        <w:t>2017-18</w:t>
      </w:r>
      <w:r w:rsidRPr="00BB0DD9">
        <w:t xml:space="preserve"> CCD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2"/>
        <w:gridCol w:w="1505"/>
        <w:gridCol w:w="1504"/>
        <w:gridCol w:w="2044"/>
        <w:gridCol w:w="1963"/>
        <w:gridCol w:w="1504"/>
      </w:tblGrid>
      <w:tr w:rsidRPr="00BB0DD9" w:rsidR="004C4A93" w:rsidTr="00D26632" w14:paraId="615A8439" w14:textId="77777777">
        <w:tc>
          <w:tcPr>
            <w:tcW w:w="995" w:type="pct"/>
          </w:tcPr>
          <w:p w:rsidRPr="00BB0DD9" w:rsidR="004C4A93" w:rsidP="00981595" w:rsidRDefault="004C4A93" w14:paraId="51EDF18E" w14:textId="77777777">
            <w:pPr>
              <w:jc w:val="center"/>
              <w:rPr>
                <w:b/>
                <w:bCs/>
              </w:rPr>
            </w:pPr>
            <w:r w:rsidRPr="00BB0DD9">
              <w:rPr>
                <w:b/>
                <w:bCs/>
              </w:rPr>
              <w:t>Urbanicity</w:t>
            </w:r>
          </w:p>
        </w:tc>
        <w:tc>
          <w:tcPr>
            <w:tcW w:w="768" w:type="pct"/>
          </w:tcPr>
          <w:p w:rsidRPr="00BB0DD9" w:rsidR="004C4A93" w:rsidP="00981595" w:rsidRDefault="00C8227C" w14:paraId="3058BA31" w14:textId="18CFD60F">
            <w:pPr>
              <w:jc w:val="center"/>
              <w:rPr>
                <w:b/>
                <w:bCs/>
              </w:rPr>
            </w:pPr>
            <w:r w:rsidRPr="00BB0DD9">
              <w:rPr>
                <w:b/>
                <w:bCs/>
              </w:rPr>
              <w:t>Element</w:t>
            </w:r>
            <w:r w:rsidRPr="00BB0DD9" w:rsidR="004C4A93">
              <w:rPr>
                <w:b/>
                <w:bCs/>
              </w:rPr>
              <w:t>ary</w:t>
            </w:r>
          </w:p>
        </w:tc>
        <w:tc>
          <w:tcPr>
            <w:tcW w:w="767" w:type="pct"/>
          </w:tcPr>
          <w:p w:rsidRPr="00BB0DD9" w:rsidR="004C4A93" w:rsidP="00981595" w:rsidRDefault="004C4A93" w14:paraId="56EBA8F7" w14:textId="77777777">
            <w:pPr>
              <w:jc w:val="center"/>
              <w:rPr>
                <w:b/>
                <w:bCs/>
              </w:rPr>
            </w:pPr>
            <w:r w:rsidRPr="00BB0DD9">
              <w:rPr>
                <w:b/>
                <w:bCs/>
              </w:rPr>
              <w:t>Middle</w:t>
            </w:r>
          </w:p>
        </w:tc>
        <w:tc>
          <w:tcPr>
            <w:tcW w:w="1024" w:type="pct"/>
          </w:tcPr>
          <w:p w:rsidRPr="00BB0DD9" w:rsidR="004C4A93" w:rsidP="00981595" w:rsidRDefault="004C4A93" w14:paraId="29BDEA4B" w14:textId="701FA426">
            <w:pPr>
              <w:jc w:val="center"/>
              <w:rPr>
                <w:b/>
                <w:bCs/>
              </w:rPr>
            </w:pPr>
            <w:r w:rsidRPr="00BB0DD9">
              <w:rPr>
                <w:b/>
                <w:bCs/>
              </w:rPr>
              <w:t>High</w:t>
            </w:r>
            <w:r w:rsidRPr="00BB0DD9" w:rsidR="00C8227C">
              <w:rPr>
                <w:b/>
                <w:bCs/>
              </w:rPr>
              <w:t>/Grade 9-11</w:t>
            </w:r>
          </w:p>
        </w:tc>
        <w:tc>
          <w:tcPr>
            <w:tcW w:w="679" w:type="pct"/>
            <w:shd w:val="clear" w:color="auto" w:fill="auto"/>
          </w:tcPr>
          <w:p w:rsidRPr="00BB0DD9" w:rsidR="004C4A93" w:rsidP="00981595" w:rsidRDefault="004C4A93" w14:paraId="75D1FB8F" w14:textId="4718883F">
            <w:pPr>
              <w:jc w:val="center"/>
              <w:rPr>
                <w:b/>
                <w:bCs/>
              </w:rPr>
            </w:pPr>
            <w:r w:rsidRPr="00BB0DD9">
              <w:rPr>
                <w:b/>
                <w:bCs/>
              </w:rPr>
              <w:t>Combined</w:t>
            </w:r>
            <w:r w:rsidRPr="00BB0DD9" w:rsidR="00C8227C">
              <w:rPr>
                <w:b/>
                <w:bCs/>
              </w:rPr>
              <w:t>/Other</w:t>
            </w:r>
          </w:p>
        </w:tc>
        <w:tc>
          <w:tcPr>
            <w:tcW w:w="767" w:type="pct"/>
            <w:shd w:val="pct5" w:color="auto" w:fill="FFFFFF"/>
          </w:tcPr>
          <w:p w:rsidRPr="00BB0DD9" w:rsidR="004C4A93" w:rsidP="00981595" w:rsidRDefault="004C4A93" w14:paraId="13ACA59F" w14:textId="77777777">
            <w:pPr>
              <w:jc w:val="center"/>
              <w:rPr>
                <w:b/>
                <w:bCs/>
              </w:rPr>
            </w:pPr>
            <w:r w:rsidRPr="00BB0DD9">
              <w:rPr>
                <w:b/>
                <w:bCs/>
              </w:rPr>
              <w:t>Total</w:t>
            </w:r>
          </w:p>
        </w:tc>
      </w:tr>
      <w:tr w:rsidRPr="00BB0DD9" w:rsidR="004C4A93" w:rsidTr="00D26632" w14:paraId="7D095AFE" w14:textId="77777777">
        <w:tc>
          <w:tcPr>
            <w:tcW w:w="995" w:type="pct"/>
          </w:tcPr>
          <w:p w:rsidRPr="00BB0DD9" w:rsidR="004C4A93" w:rsidP="009F74CA" w:rsidRDefault="004C4A93" w14:paraId="688F7923" w14:textId="77777777">
            <w:r w:rsidRPr="00BB0DD9">
              <w:t>City</w:t>
            </w:r>
          </w:p>
        </w:tc>
        <w:tc>
          <w:tcPr>
            <w:tcW w:w="768" w:type="pct"/>
          </w:tcPr>
          <w:p w:rsidRPr="00BB0DD9" w:rsidR="004C4A93" w:rsidP="00BB0DD9" w:rsidRDefault="00C8227C" w14:paraId="63272C46" w14:textId="7820DF44">
            <w:pPr>
              <w:pStyle w:val="Footer"/>
              <w:jc w:val="right"/>
              <w:rPr>
                <w:rFonts w:ascii="Times New Roman" w:hAnsi="Times New Roman"/>
                <w:b w:val="0"/>
                <w:snapToGrid w:val="0"/>
                <w:sz w:val="24"/>
                <w:szCs w:val="24"/>
              </w:rPr>
            </w:pPr>
            <w:r w:rsidRPr="00BB0DD9">
              <w:rPr>
                <w:rFonts w:ascii="Times New Roman" w:hAnsi="Times New Roman"/>
                <w:b w:val="0"/>
                <w:snapToGrid w:val="0"/>
                <w:sz w:val="24"/>
                <w:szCs w:val="24"/>
              </w:rPr>
              <w:t>14,925</w:t>
            </w:r>
          </w:p>
        </w:tc>
        <w:tc>
          <w:tcPr>
            <w:tcW w:w="767" w:type="pct"/>
          </w:tcPr>
          <w:p w:rsidRPr="00BB0DD9" w:rsidR="004C4A93" w:rsidP="00BB0DD9" w:rsidRDefault="00C8227C" w14:paraId="70DA5D3B" w14:textId="20223841">
            <w:pPr>
              <w:jc w:val="right"/>
              <w:rPr>
                <w:snapToGrid w:val="0"/>
              </w:rPr>
            </w:pPr>
            <w:r w:rsidRPr="00BB0DD9">
              <w:rPr>
                <w:snapToGrid w:val="0"/>
              </w:rPr>
              <w:t>3,694</w:t>
            </w:r>
          </w:p>
        </w:tc>
        <w:tc>
          <w:tcPr>
            <w:tcW w:w="1024" w:type="pct"/>
          </w:tcPr>
          <w:p w:rsidRPr="00BB0DD9" w:rsidR="004C4A93" w:rsidP="00BB0DD9" w:rsidRDefault="00C8227C" w14:paraId="04379E8B" w14:textId="5BD4D587">
            <w:pPr>
              <w:jc w:val="right"/>
              <w:rPr>
                <w:snapToGrid w:val="0"/>
              </w:rPr>
            </w:pPr>
            <w:r w:rsidRPr="00BB0DD9">
              <w:rPr>
                <w:snapToGrid w:val="0"/>
              </w:rPr>
              <w:t>4,098</w:t>
            </w:r>
          </w:p>
        </w:tc>
        <w:tc>
          <w:tcPr>
            <w:tcW w:w="679" w:type="pct"/>
            <w:shd w:val="clear" w:color="auto" w:fill="auto"/>
          </w:tcPr>
          <w:p w:rsidRPr="00BB0DD9" w:rsidR="004C4A93" w:rsidP="00BB0DD9" w:rsidRDefault="00C8227C" w14:paraId="64C9E295" w14:textId="0F107390">
            <w:pPr>
              <w:jc w:val="right"/>
              <w:rPr>
                <w:snapToGrid w:val="0"/>
              </w:rPr>
            </w:pPr>
            <w:r w:rsidRPr="00BB0DD9">
              <w:rPr>
                <w:snapToGrid w:val="0"/>
              </w:rPr>
              <w:t>429</w:t>
            </w:r>
          </w:p>
        </w:tc>
        <w:tc>
          <w:tcPr>
            <w:tcW w:w="767" w:type="pct"/>
            <w:shd w:val="pct5" w:color="auto" w:fill="FFFFFF"/>
          </w:tcPr>
          <w:p w:rsidRPr="00BB0DD9" w:rsidR="004C4A93" w:rsidP="00BB0DD9" w:rsidRDefault="00C8227C" w14:paraId="30064ECA" w14:textId="052E14C9">
            <w:pPr>
              <w:jc w:val="right"/>
              <w:rPr>
                <w:snapToGrid w:val="0"/>
              </w:rPr>
            </w:pPr>
            <w:r w:rsidRPr="00BB0DD9">
              <w:rPr>
                <w:snapToGrid w:val="0"/>
              </w:rPr>
              <w:t>23,146</w:t>
            </w:r>
          </w:p>
        </w:tc>
      </w:tr>
      <w:tr w:rsidRPr="00BB0DD9" w:rsidR="004C4A93" w:rsidTr="00D26632" w14:paraId="0822A226" w14:textId="77777777">
        <w:tc>
          <w:tcPr>
            <w:tcW w:w="995" w:type="pct"/>
          </w:tcPr>
          <w:p w:rsidRPr="00BB0DD9" w:rsidR="004C4A93" w:rsidP="009F74CA" w:rsidRDefault="004C4A93" w14:paraId="6AF4CAA4" w14:textId="77777777">
            <w:r w:rsidRPr="00BB0DD9">
              <w:t>Suburb</w:t>
            </w:r>
          </w:p>
        </w:tc>
        <w:tc>
          <w:tcPr>
            <w:tcW w:w="768" w:type="pct"/>
          </w:tcPr>
          <w:p w:rsidRPr="00BB0DD9" w:rsidR="004C4A93" w:rsidP="00BB0DD9" w:rsidRDefault="00C8227C" w14:paraId="4C0EE5E5" w14:textId="53E022B5">
            <w:pPr>
              <w:jc w:val="right"/>
              <w:rPr>
                <w:snapToGrid w:val="0"/>
              </w:rPr>
            </w:pPr>
            <w:r w:rsidRPr="00BB0DD9">
              <w:rPr>
                <w:snapToGrid w:val="0"/>
              </w:rPr>
              <w:t>17,478</w:t>
            </w:r>
          </w:p>
        </w:tc>
        <w:tc>
          <w:tcPr>
            <w:tcW w:w="767" w:type="pct"/>
          </w:tcPr>
          <w:p w:rsidRPr="00BB0DD9" w:rsidR="004C4A93" w:rsidP="00BB0DD9" w:rsidRDefault="00C8227C" w14:paraId="729666D1" w14:textId="58A062BA">
            <w:pPr>
              <w:jc w:val="right"/>
              <w:rPr>
                <w:snapToGrid w:val="0"/>
              </w:rPr>
            </w:pPr>
            <w:r w:rsidRPr="00BB0DD9">
              <w:rPr>
                <w:snapToGrid w:val="0"/>
              </w:rPr>
              <w:t>5,366</w:t>
            </w:r>
          </w:p>
        </w:tc>
        <w:tc>
          <w:tcPr>
            <w:tcW w:w="1024" w:type="pct"/>
          </w:tcPr>
          <w:p w:rsidRPr="00BB0DD9" w:rsidR="004C4A93" w:rsidP="00BB0DD9" w:rsidRDefault="00C8227C" w14:paraId="0EF35DF5" w14:textId="1BF865C5">
            <w:pPr>
              <w:jc w:val="right"/>
              <w:rPr>
                <w:snapToGrid w:val="0"/>
              </w:rPr>
            </w:pPr>
            <w:r w:rsidRPr="00BB0DD9">
              <w:rPr>
                <w:snapToGrid w:val="0"/>
              </w:rPr>
              <w:t>4,359</w:t>
            </w:r>
          </w:p>
        </w:tc>
        <w:tc>
          <w:tcPr>
            <w:tcW w:w="679" w:type="pct"/>
            <w:shd w:val="clear" w:color="auto" w:fill="auto"/>
          </w:tcPr>
          <w:p w:rsidRPr="00BB0DD9" w:rsidR="004C4A93" w:rsidP="00BB0DD9" w:rsidRDefault="00C8227C" w14:paraId="29684790" w14:textId="2364F522">
            <w:pPr>
              <w:jc w:val="right"/>
              <w:rPr>
                <w:snapToGrid w:val="0"/>
              </w:rPr>
            </w:pPr>
            <w:r w:rsidRPr="00BB0DD9">
              <w:rPr>
                <w:snapToGrid w:val="0"/>
              </w:rPr>
              <w:t>286</w:t>
            </w:r>
          </w:p>
        </w:tc>
        <w:tc>
          <w:tcPr>
            <w:tcW w:w="767" w:type="pct"/>
            <w:shd w:val="pct5" w:color="auto" w:fill="FFFFFF"/>
          </w:tcPr>
          <w:p w:rsidRPr="00BB0DD9" w:rsidR="004C4A93" w:rsidP="00BB0DD9" w:rsidRDefault="00C8227C" w14:paraId="208E24B3" w14:textId="731CE686">
            <w:pPr>
              <w:jc w:val="right"/>
              <w:rPr>
                <w:snapToGrid w:val="0"/>
              </w:rPr>
            </w:pPr>
            <w:r w:rsidRPr="00BB0DD9">
              <w:rPr>
                <w:snapToGrid w:val="0"/>
              </w:rPr>
              <w:t>27,489</w:t>
            </w:r>
          </w:p>
        </w:tc>
      </w:tr>
      <w:tr w:rsidRPr="00BB0DD9" w:rsidR="004C4A93" w:rsidTr="00D26632" w14:paraId="3902FA3A" w14:textId="77777777">
        <w:tc>
          <w:tcPr>
            <w:tcW w:w="995" w:type="pct"/>
            <w:tcBorders>
              <w:bottom w:val="nil"/>
            </w:tcBorders>
          </w:tcPr>
          <w:p w:rsidRPr="00BB0DD9" w:rsidR="004C4A93" w:rsidP="009F74CA" w:rsidRDefault="004C4A93" w14:paraId="33B34B58" w14:textId="77777777">
            <w:r w:rsidRPr="00BB0DD9">
              <w:t>Town</w:t>
            </w:r>
          </w:p>
        </w:tc>
        <w:tc>
          <w:tcPr>
            <w:tcW w:w="768" w:type="pct"/>
            <w:tcBorders>
              <w:bottom w:val="nil"/>
            </w:tcBorders>
          </w:tcPr>
          <w:p w:rsidRPr="00BB0DD9" w:rsidR="004C4A93" w:rsidP="00BB0DD9" w:rsidRDefault="00C8227C" w14:paraId="005E4A03" w14:textId="36C4A654">
            <w:pPr>
              <w:jc w:val="right"/>
              <w:rPr>
                <w:snapToGrid w:val="0"/>
              </w:rPr>
            </w:pPr>
            <w:r w:rsidRPr="00BB0DD9">
              <w:rPr>
                <w:snapToGrid w:val="0"/>
              </w:rPr>
              <w:t>5,623</w:t>
            </w:r>
          </w:p>
        </w:tc>
        <w:tc>
          <w:tcPr>
            <w:tcW w:w="767" w:type="pct"/>
            <w:tcBorders>
              <w:bottom w:val="nil"/>
            </w:tcBorders>
          </w:tcPr>
          <w:p w:rsidRPr="00BB0DD9" w:rsidR="004C4A93" w:rsidP="00BB0DD9" w:rsidRDefault="00C8227C" w14:paraId="3C49FCCD" w14:textId="312DC3E7">
            <w:pPr>
              <w:jc w:val="right"/>
              <w:rPr>
                <w:snapToGrid w:val="0"/>
              </w:rPr>
            </w:pPr>
            <w:r w:rsidRPr="00BB0DD9">
              <w:rPr>
                <w:snapToGrid w:val="0"/>
              </w:rPr>
              <w:t>2,310</w:t>
            </w:r>
          </w:p>
        </w:tc>
        <w:tc>
          <w:tcPr>
            <w:tcW w:w="1024" w:type="pct"/>
            <w:tcBorders>
              <w:bottom w:val="nil"/>
            </w:tcBorders>
          </w:tcPr>
          <w:p w:rsidRPr="00BB0DD9" w:rsidR="004C4A93" w:rsidP="00BB0DD9" w:rsidRDefault="00C8227C" w14:paraId="7D7428A6" w14:textId="43C13129">
            <w:pPr>
              <w:jc w:val="right"/>
              <w:rPr>
                <w:snapToGrid w:val="0"/>
              </w:rPr>
            </w:pPr>
            <w:r w:rsidRPr="00BB0DD9">
              <w:rPr>
                <w:snapToGrid w:val="0"/>
              </w:rPr>
              <w:t>2,464</w:t>
            </w:r>
          </w:p>
        </w:tc>
        <w:tc>
          <w:tcPr>
            <w:tcW w:w="679" w:type="pct"/>
            <w:shd w:val="clear" w:color="auto" w:fill="auto"/>
          </w:tcPr>
          <w:p w:rsidRPr="00BB0DD9" w:rsidR="004C4A93" w:rsidP="00BB0DD9" w:rsidRDefault="00C8227C" w14:paraId="6C487145" w14:textId="6587CD3B">
            <w:pPr>
              <w:jc w:val="right"/>
              <w:rPr>
                <w:snapToGrid w:val="0"/>
              </w:rPr>
            </w:pPr>
            <w:r w:rsidRPr="00BB0DD9">
              <w:rPr>
                <w:snapToGrid w:val="0"/>
              </w:rPr>
              <w:t>200</w:t>
            </w:r>
          </w:p>
        </w:tc>
        <w:tc>
          <w:tcPr>
            <w:tcW w:w="767" w:type="pct"/>
            <w:shd w:val="pct5" w:color="auto" w:fill="FFFFFF"/>
          </w:tcPr>
          <w:p w:rsidRPr="00BB0DD9" w:rsidR="004C4A93" w:rsidP="00BB0DD9" w:rsidRDefault="00C8227C" w14:paraId="322E65C5" w14:textId="25D93A62">
            <w:pPr>
              <w:jc w:val="right"/>
              <w:rPr>
                <w:snapToGrid w:val="0"/>
              </w:rPr>
            </w:pPr>
            <w:r w:rsidRPr="00BB0DD9">
              <w:rPr>
                <w:snapToGrid w:val="0"/>
              </w:rPr>
              <w:t>10,597</w:t>
            </w:r>
          </w:p>
        </w:tc>
      </w:tr>
      <w:tr w:rsidRPr="00BB0DD9" w:rsidR="004C4A93" w:rsidTr="00D26632" w14:paraId="79671696" w14:textId="77777777">
        <w:tc>
          <w:tcPr>
            <w:tcW w:w="995" w:type="pct"/>
            <w:shd w:val="clear" w:color="auto" w:fill="auto"/>
          </w:tcPr>
          <w:p w:rsidRPr="00BB0DD9" w:rsidR="004C4A93" w:rsidP="009F74CA" w:rsidRDefault="004C4A93" w14:paraId="42465DBC" w14:textId="77777777">
            <w:r w:rsidRPr="00BB0DD9">
              <w:t>Rural</w:t>
            </w:r>
          </w:p>
        </w:tc>
        <w:tc>
          <w:tcPr>
            <w:tcW w:w="768" w:type="pct"/>
            <w:shd w:val="clear" w:color="auto" w:fill="auto"/>
          </w:tcPr>
          <w:p w:rsidRPr="00BB0DD9" w:rsidR="004C4A93" w:rsidP="00BB0DD9" w:rsidRDefault="00C8227C" w14:paraId="2086C6E5" w14:textId="19A1954D">
            <w:pPr>
              <w:jc w:val="right"/>
              <w:rPr>
                <w:snapToGrid w:val="0"/>
              </w:rPr>
            </w:pPr>
            <w:r w:rsidRPr="00BB0DD9">
              <w:rPr>
                <w:snapToGrid w:val="0"/>
              </w:rPr>
              <w:t>11,563</w:t>
            </w:r>
          </w:p>
        </w:tc>
        <w:tc>
          <w:tcPr>
            <w:tcW w:w="767" w:type="pct"/>
            <w:shd w:val="clear" w:color="auto" w:fill="auto"/>
          </w:tcPr>
          <w:p w:rsidRPr="00BB0DD9" w:rsidR="004C4A93" w:rsidP="00BB0DD9" w:rsidRDefault="00C8227C" w14:paraId="6D89119C" w14:textId="66E95A53">
            <w:pPr>
              <w:jc w:val="right"/>
              <w:rPr>
                <w:snapToGrid w:val="0"/>
              </w:rPr>
            </w:pPr>
            <w:r w:rsidRPr="00BB0DD9">
              <w:rPr>
                <w:snapToGrid w:val="0"/>
              </w:rPr>
              <w:t>3,389</w:t>
            </w:r>
          </w:p>
        </w:tc>
        <w:tc>
          <w:tcPr>
            <w:tcW w:w="1024" w:type="pct"/>
            <w:shd w:val="clear" w:color="auto" w:fill="auto"/>
          </w:tcPr>
          <w:p w:rsidRPr="00BB0DD9" w:rsidR="004C4A93" w:rsidP="00BB0DD9" w:rsidRDefault="00C8227C" w14:paraId="3E758662" w14:textId="213B1A90">
            <w:pPr>
              <w:jc w:val="right"/>
              <w:rPr>
                <w:snapToGrid w:val="0"/>
              </w:rPr>
            </w:pPr>
            <w:r w:rsidRPr="00BB0DD9">
              <w:rPr>
                <w:snapToGrid w:val="0"/>
              </w:rPr>
              <w:t>5,239</w:t>
            </w:r>
          </w:p>
        </w:tc>
        <w:tc>
          <w:tcPr>
            <w:tcW w:w="679" w:type="pct"/>
            <w:shd w:val="clear" w:color="auto" w:fill="auto"/>
          </w:tcPr>
          <w:p w:rsidRPr="00BB0DD9" w:rsidR="004C4A93" w:rsidP="00BB0DD9" w:rsidRDefault="00C8227C" w14:paraId="3DB1290E" w14:textId="7376DC2D">
            <w:pPr>
              <w:jc w:val="right"/>
              <w:rPr>
                <w:snapToGrid w:val="0"/>
              </w:rPr>
            </w:pPr>
            <w:r w:rsidRPr="00BB0DD9">
              <w:rPr>
                <w:snapToGrid w:val="0"/>
              </w:rPr>
              <w:t>2,429</w:t>
            </w:r>
          </w:p>
        </w:tc>
        <w:tc>
          <w:tcPr>
            <w:tcW w:w="767" w:type="pct"/>
            <w:shd w:val="pct5" w:color="auto" w:fill="FFFFFF"/>
          </w:tcPr>
          <w:p w:rsidRPr="00BB0DD9" w:rsidR="004C4A93" w:rsidP="00BB0DD9" w:rsidRDefault="00C8227C" w14:paraId="5080D48D" w14:textId="31E9B0B2">
            <w:pPr>
              <w:jc w:val="right"/>
              <w:rPr>
                <w:snapToGrid w:val="0"/>
              </w:rPr>
            </w:pPr>
            <w:r w:rsidRPr="00BB0DD9">
              <w:rPr>
                <w:snapToGrid w:val="0"/>
              </w:rPr>
              <w:t>22,620</w:t>
            </w:r>
          </w:p>
        </w:tc>
      </w:tr>
      <w:tr w:rsidRPr="00BB0DD9" w:rsidR="004C4A93" w:rsidTr="00D26632" w14:paraId="35D751D3" w14:textId="77777777">
        <w:tc>
          <w:tcPr>
            <w:tcW w:w="995" w:type="pct"/>
            <w:shd w:val="pct5" w:color="auto" w:fill="FFFFFF"/>
          </w:tcPr>
          <w:p w:rsidRPr="00BB0DD9" w:rsidR="004C4A93" w:rsidP="009F74CA" w:rsidRDefault="004C4A93" w14:paraId="02DA71E1" w14:textId="77777777">
            <w:r w:rsidRPr="00BB0DD9">
              <w:t xml:space="preserve"> Total</w:t>
            </w:r>
          </w:p>
        </w:tc>
        <w:tc>
          <w:tcPr>
            <w:tcW w:w="768" w:type="pct"/>
            <w:shd w:val="pct5" w:color="auto" w:fill="FFFFFF"/>
          </w:tcPr>
          <w:p w:rsidRPr="00BB0DD9" w:rsidR="004C4A93" w:rsidP="00BB0DD9" w:rsidRDefault="00C8227C" w14:paraId="114F821C" w14:textId="1C26AB3D">
            <w:pPr>
              <w:jc w:val="right"/>
              <w:rPr>
                <w:snapToGrid w:val="0"/>
              </w:rPr>
            </w:pPr>
            <w:r w:rsidRPr="00BB0DD9">
              <w:rPr>
                <w:snapToGrid w:val="0"/>
              </w:rPr>
              <w:t>49,589</w:t>
            </w:r>
          </w:p>
        </w:tc>
        <w:tc>
          <w:tcPr>
            <w:tcW w:w="767" w:type="pct"/>
            <w:shd w:val="pct5" w:color="auto" w:fill="FFFFFF"/>
          </w:tcPr>
          <w:p w:rsidRPr="00BB0DD9" w:rsidR="004C4A93" w:rsidP="00BB0DD9" w:rsidRDefault="00C8227C" w14:paraId="323F1696" w14:textId="020DB875">
            <w:pPr>
              <w:jc w:val="right"/>
              <w:rPr>
                <w:snapToGrid w:val="0"/>
              </w:rPr>
            </w:pPr>
            <w:r w:rsidRPr="00BB0DD9">
              <w:rPr>
                <w:snapToGrid w:val="0"/>
              </w:rPr>
              <w:t>14,759</w:t>
            </w:r>
          </w:p>
        </w:tc>
        <w:tc>
          <w:tcPr>
            <w:tcW w:w="1024" w:type="pct"/>
            <w:shd w:val="pct5" w:color="auto" w:fill="FFFFFF"/>
          </w:tcPr>
          <w:p w:rsidRPr="00BB0DD9" w:rsidR="004C4A93" w:rsidP="00BB0DD9" w:rsidRDefault="00C8227C" w14:paraId="39523BA1" w14:textId="3BC41C69">
            <w:pPr>
              <w:jc w:val="right"/>
              <w:rPr>
                <w:snapToGrid w:val="0"/>
              </w:rPr>
            </w:pPr>
            <w:r w:rsidRPr="00BB0DD9">
              <w:rPr>
                <w:snapToGrid w:val="0"/>
              </w:rPr>
              <w:t>16,160</w:t>
            </w:r>
          </w:p>
        </w:tc>
        <w:tc>
          <w:tcPr>
            <w:tcW w:w="679" w:type="pct"/>
            <w:shd w:val="pct5" w:color="auto" w:fill="FFFFFF"/>
          </w:tcPr>
          <w:p w:rsidRPr="00BB0DD9" w:rsidR="004C4A93" w:rsidP="00BB0DD9" w:rsidRDefault="00C8227C" w14:paraId="22C65FBD" w14:textId="426BFD3A">
            <w:pPr>
              <w:jc w:val="right"/>
              <w:rPr>
                <w:snapToGrid w:val="0"/>
              </w:rPr>
            </w:pPr>
            <w:r w:rsidRPr="00BB0DD9">
              <w:rPr>
                <w:snapToGrid w:val="0"/>
              </w:rPr>
              <w:t>3,344</w:t>
            </w:r>
          </w:p>
        </w:tc>
        <w:tc>
          <w:tcPr>
            <w:tcW w:w="767" w:type="pct"/>
            <w:shd w:val="pct5" w:color="auto" w:fill="FFFFFF"/>
          </w:tcPr>
          <w:p w:rsidRPr="00BB0DD9" w:rsidR="004C4A93" w:rsidP="00BB0DD9" w:rsidRDefault="00C8227C" w14:paraId="2F539DBE" w14:textId="47CC866C">
            <w:pPr>
              <w:jc w:val="right"/>
              <w:rPr>
                <w:snapToGrid w:val="0"/>
              </w:rPr>
            </w:pPr>
            <w:r w:rsidRPr="00BB0DD9">
              <w:rPr>
                <w:snapToGrid w:val="0"/>
              </w:rPr>
              <w:t>83,852</w:t>
            </w:r>
          </w:p>
        </w:tc>
      </w:tr>
    </w:tbl>
    <w:p w:rsidRPr="00BB0DD9" w:rsidR="004C4A93" w:rsidP="004C4A93" w:rsidRDefault="004C4A93" w14:paraId="206AD04A" w14:textId="77777777"/>
    <w:p w:rsidRPr="00BB0DD9" w:rsidR="004C4A93" w:rsidP="00FF63B5" w:rsidRDefault="004C4A93" w14:paraId="3CC5690C" w14:textId="55BAA702">
      <w:pPr>
        <w:pStyle w:val="Heading3"/>
      </w:pPr>
      <w:r w:rsidRPr="00BB0DD9">
        <w:t xml:space="preserve">Table </w:t>
      </w:r>
      <w:r w:rsidRPr="00BB0DD9" w:rsidR="00A60AE1">
        <w:t>2</w:t>
      </w:r>
      <w:r w:rsidRPr="00BB0DD9">
        <w:t>. Expected respondent universe for the SSOCS:</w:t>
      </w:r>
      <w:r w:rsidRPr="00BB0DD9" w:rsidR="00A60AE1">
        <w:t xml:space="preserve">2022 </w:t>
      </w:r>
      <w:r w:rsidRPr="00BB0DD9">
        <w:t xml:space="preserve">public school sample, by school level and enrollment size, based on the </w:t>
      </w:r>
      <w:r w:rsidRPr="00BB0DD9" w:rsidR="00A60AE1">
        <w:t>2017-18</w:t>
      </w:r>
      <w:r w:rsidRPr="00BB0DD9">
        <w:t xml:space="preserve"> CCD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2"/>
        <w:gridCol w:w="1499"/>
        <w:gridCol w:w="1505"/>
        <w:gridCol w:w="2047"/>
        <w:gridCol w:w="1963"/>
        <w:gridCol w:w="1506"/>
      </w:tblGrid>
      <w:tr w:rsidRPr="00BB0DD9" w:rsidR="004C4A93" w:rsidTr="00D26632" w14:paraId="25A43740" w14:textId="77777777">
        <w:tc>
          <w:tcPr>
            <w:tcW w:w="995" w:type="pct"/>
            <w:vAlign w:val="bottom"/>
          </w:tcPr>
          <w:p w:rsidRPr="00BB0DD9" w:rsidR="004C4A93" w:rsidP="00981595" w:rsidRDefault="004C4A93" w14:paraId="7C5BB3BE" w14:textId="77777777">
            <w:pPr>
              <w:jc w:val="center"/>
              <w:rPr>
                <w:b/>
                <w:bCs/>
              </w:rPr>
            </w:pPr>
            <w:r w:rsidRPr="00BB0DD9">
              <w:rPr>
                <w:b/>
                <w:bCs/>
              </w:rPr>
              <w:t>Enrollment size</w:t>
            </w:r>
          </w:p>
        </w:tc>
        <w:tc>
          <w:tcPr>
            <w:tcW w:w="765" w:type="pct"/>
            <w:vAlign w:val="bottom"/>
          </w:tcPr>
          <w:p w:rsidRPr="00BB0DD9" w:rsidR="004C4A93" w:rsidP="00981595" w:rsidRDefault="00C8227C" w14:paraId="650B7DAD" w14:textId="373419F5">
            <w:pPr>
              <w:jc w:val="center"/>
              <w:rPr>
                <w:b/>
                <w:bCs/>
              </w:rPr>
            </w:pPr>
            <w:r w:rsidRPr="00BB0DD9">
              <w:rPr>
                <w:b/>
                <w:bCs/>
              </w:rPr>
              <w:t>Element</w:t>
            </w:r>
            <w:r w:rsidRPr="00BB0DD9" w:rsidR="004C4A93">
              <w:rPr>
                <w:b/>
                <w:bCs/>
              </w:rPr>
              <w:t>ary</w:t>
            </w:r>
          </w:p>
        </w:tc>
        <w:tc>
          <w:tcPr>
            <w:tcW w:w="768" w:type="pct"/>
            <w:vAlign w:val="bottom"/>
          </w:tcPr>
          <w:p w:rsidRPr="00BB0DD9" w:rsidR="004C4A93" w:rsidP="00981595" w:rsidRDefault="004C4A93" w14:paraId="04E14738" w14:textId="77777777">
            <w:pPr>
              <w:jc w:val="center"/>
              <w:rPr>
                <w:b/>
                <w:bCs/>
              </w:rPr>
            </w:pPr>
            <w:r w:rsidRPr="00BB0DD9">
              <w:rPr>
                <w:b/>
                <w:bCs/>
              </w:rPr>
              <w:t>Middle</w:t>
            </w:r>
          </w:p>
        </w:tc>
        <w:tc>
          <w:tcPr>
            <w:tcW w:w="1026" w:type="pct"/>
            <w:vAlign w:val="bottom"/>
          </w:tcPr>
          <w:p w:rsidRPr="00BB0DD9" w:rsidR="004C4A93" w:rsidP="00981595" w:rsidRDefault="004C4A93" w14:paraId="5175DC00" w14:textId="18516A15">
            <w:pPr>
              <w:jc w:val="center"/>
              <w:rPr>
                <w:b/>
                <w:bCs/>
              </w:rPr>
            </w:pPr>
            <w:r w:rsidRPr="00BB0DD9">
              <w:rPr>
                <w:b/>
                <w:bCs/>
              </w:rPr>
              <w:t>High</w:t>
            </w:r>
            <w:r w:rsidRPr="00BB0DD9" w:rsidR="00C8227C">
              <w:rPr>
                <w:b/>
                <w:bCs/>
              </w:rPr>
              <w:t>/Grade 9-11</w:t>
            </w:r>
          </w:p>
        </w:tc>
        <w:tc>
          <w:tcPr>
            <w:tcW w:w="677" w:type="pct"/>
            <w:shd w:val="clear" w:color="auto" w:fill="auto"/>
            <w:vAlign w:val="bottom"/>
          </w:tcPr>
          <w:p w:rsidRPr="00BB0DD9" w:rsidR="004C4A93" w:rsidP="00981595" w:rsidRDefault="004C4A93" w14:paraId="3185CFBB" w14:textId="0A4AA983">
            <w:pPr>
              <w:jc w:val="center"/>
              <w:rPr>
                <w:b/>
                <w:bCs/>
              </w:rPr>
            </w:pPr>
            <w:r w:rsidRPr="00BB0DD9">
              <w:rPr>
                <w:b/>
                <w:bCs/>
              </w:rPr>
              <w:t>Combined</w:t>
            </w:r>
            <w:r w:rsidRPr="00BB0DD9" w:rsidR="00C8227C">
              <w:rPr>
                <w:b/>
                <w:bCs/>
              </w:rPr>
              <w:t>/Other</w:t>
            </w:r>
          </w:p>
        </w:tc>
        <w:tc>
          <w:tcPr>
            <w:tcW w:w="768" w:type="pct"/>
            <w:shd w:val="pct5" w:color="auto" w:fill="FFFFFF"/>
            <w:vAlign w:val="bottom"/>
          </w:tcPr>
          <w:p w:rsidRPr="00BB0DD9" w:rsidR="004C4A93" w:rsidP="00981595" w:rsidRDefault="004C4A93" w14:paraId="757F09B4" w14:textId="77777777">
            <w:pPr>
              <w:jc w:val="center"/>
              <w:rPr>
                <w:b/>
                <w:bCs/>
              </w:rPr>
            </w:pPr>
            <w:r w:rsidRPr="00BB0DD9">
              <w:rPr>
                <w:b/>
                <w:bCs/>
              </w:rPr>
              <w:t>Total</w:t>
            </w:r>
          </w:p>
        </w:tc>
      </w:tr>
      <w:tr w:rsidRPr="00BB0DD9" w:rsidR="004C4A93" w:rsidTr="00D26632" w14:paraId="02CEC592" w14:textId="77777777">
        <w:tc>
          <w:tcPr>
            <w:tcW w:w="995" w:type="pct"/>
          </w:tcPr>
          <w:p w:rsidRPr="00BB0DD9" w:rsidR="004C4A93" w:rsidP="009F74CA" w:rsidRDefault="004C4A93" w14:paraId="27E86BA4" w14:textId="77777777">
            <w:r w:rsidRPr="00BB0DD9">
              <w:t>Less than 300</w:t>
            </w:r>
          </w:p>
        </w:tc>
        <w:tc>
          <w:tcPr>
            <w:tcW w:w="765" w:type="pct"/>
          </w:tcPr>
          <w:p w:rsidRPr="00BB0DD9" w:rsidR="004C4A93" w:rsidP="00BB0DD9" w:rsidRDefault="00C8227C" w14:paraId="1A7640CE" w14:textId="54B71A09">
            <w:pPr>
              <w:pStyle w:val="Footer"/>
              <w:jc w:val="right"/>
              <w:rPr>
                <w:rFonts w:ascii="Times New Roman" w:hAnsi="Times New Roman"/>
                <w:b w:val="0"/>
                <w:snapToGrid w:val="0"/>
                <w:sz w:val="24"/>
                <w:szCs w:val="24"/>
              </w:rPr>
            </w:pPr>
            <w:r w:rsidRPr="00BB0DD9">
              <w:rPr>
                <w:rFonts w:ascii="Times New Roman" w:hAnsi="Times New Roman"/>
                <w:b w:val="0"/>
                <w:snapToGrid w:val="0"/>
                <w:sz w:val="24"/>
                <w:szCs w:val="24"/>
              </w:rPr>
              <w:t>10,461</w:t>
            </w:r>
          </w:p>
        </w:tc>
        <w:tc>
          <w:tcPr>
            <w:tcW w:w="768" w:type="pct"/>
          </w:tcPr>
          <w:p w:rsidRPr="00BB0DD9" w:rsidR="004C4A93" w:rsidP="00BB0DD9" w:rsidRDefault="00290549" w14:paraId="45A0EA97" w14:textId="0F6EA842">
            <w:pPr>
              <w:jc w:val="right"/>
              <w:rPr>
                <w:snapToGrid w:val="0"/>
              </w:rPr>
            </w:pPr>
            <w:r w:rsidRPr="00BB0DD9">
              <w:rPr>
                <w:snapToGrid w:val="0"/>
              </w:rPr>
              <w:t>2,392</w:t>
            </w:r>
          </w:p>
        </w:tc>
        <w:tc>
          <w:tcPr>
            <w:tcW w:w="1026" w:type="pct"/>
          </w:tcPr>
          <w:p w:rsidRPr="00BB0DD9" w:rsidR="004C4A93" w:rsidP="00BB0DD9" w:rsidRDefault="00290549" w14:paraId="49546ED5" w14:textId="2339AF6A">
            <w:pPr>
              <w:jc w:val="right"/>
              <w:rPr>
                <w:snapToGrid w:val="0"/>
              </w:rPr>
            </w:pPr>
            <w:r w:rsidRPr="00BB0DD9">
              <w:rPr>
                <w:snapToGrid w:val="0"/>
              </w:rPr>
              <w:t>3,619</w:t>
            </w:r>
          </w:p>
        </w:tc>
        <w:tc>
          <w:tcPr>
            <w:tcW w:w="677" w:type="pct"/>
            <w:shd w:val="clear" w:color="auto" w:fill="auto"/>
          </w:tcPr>
          <w:p w:rsidRPr="00BB0DD9" w:rsidR="004C4A93" w:rsidP="00BB0DD9" w:rsidRDefault="00290549" w14:paraId="472CC243" w14:textId="770B3B43">
            <w:pPr>
              <w:jc w:val="right"/>
              <w:rPr>
                <w:snapToGrid w:val="0"/>
              </w:rPr>
            </w:pPr>
            <w:r w:rsidRPr="00BB0DD9">
              <w:rPr>
                <w:snapToGrid w:val="0"/>
              </w:rPr>
              <w:t>1,458</w:t>
            </w:r>
          </w:p>
        </w:tc>
        <w:tc>
          <w:tcPr>
            <w:tcW w:w="768" w:type="pct"/>
            <w:shd w:val="pct5" w:color="auto" w:fill="FFFFFF"/>
          </w:tcPr>
          <w:p w:rsidRPr="00BB0DD9" w:rsidR="004C4A93" w:rsidP="00BB0DD9" w:rsidRDefault="00290549" w14:paraId="1B2558DD" w14:textId="04ED7DAB">
            <w:pPr>
              <w:jc w:val="right"/>
              <w:rPr>
                <w:snapToGrid w:val="0"/>
              </w:rPr>
            </w:pPr>
            <w:r w:rsidRPr="00BB0DD9">
              <w:rPr>
                <w:snapToGrid w:val="0"/>
              </w:rPr>
              <w:t>17,930</w:t>
            </w:r>
          </w:p>
        </w:tc>
      </w:tr>
      <w:tr w:rsidRPr="00BB0DD9" w:rsidR="004C4A93" w:rsidTr="00D26632" w14:paraId="0C6AAA32" w14:textId="77777777">
        <w:tc>
          <w:tcPr>
            <w:tcW w:w="995" w:type="pct"/>
          </w:tcPr>
          <w:p w:rsidRPr="00BB0DD9" w:rsidR="004C4A93" w:rsidP="009F74CA" w:rsidRDefault="004C4A93" w14:paraId="517E16C1" w14:textId="77777777">
            <w:r w:rsidRPr="00BB0DD9">
              <w:t>300–499</w:t>
            </w:r>
          </w:p>
        </w:tc>
        <w:tc>
          <w:tcPr>
            <w:tcW w:w="765" w:type="pct"/>
          </w:tcPr>
          <w:p w:rsidRPr="00BB0DD9" w:rsidR="004C4A93" w:rsidP="00BB0DD9" w:rsidRDefault="00C8227C" w14:paraId="6D3BC41A" w14:textId="25FAB435">
            <w:pPr>
              <w:jc w:val="right"/>
              <w:rPr>
                <w:snapToGrid w:val="0"/>
              </w:rPr>
            </w:pPr>
            <w:r w:rsidRPr="00BB0DD9">
              <w:rPr>
                <w:snapToGrid w:val="0"/>
              </w:rPr>
              <w:t>18,643</w:t>
            </w:r>
          </w:p>
        </w:tc>
        <w:tc>
          <w:tcPr>
            <w:tcW w:w="768" w:type="pct"/>
          </w:tcPr>
          <w:p w:rsidRPr="00BB0DD9" w:rsidR="004C4A93" w:rsidP="00BB0DD9" w:rsidRDefault="00290549" w14:paraId="28DF100F" w14:textId="1DE019BE">
            <w:pPr>
              <w:jc w:val="right"/>
              <w:rPr>
                <w:snapToGrid w:val="0"/>
              </w:rPr>
            </w:pPr>
            <w:r w:rsidRPr="00BB0DD9">
              <w:rPr>
                <w:snapToGrid w:val="0"/>
              </w:rPr>
              <w:t>3,405</w:t>
            </w:r>
          </w:p>
        </w:tc>
        <w:tc>
          <w:tcPr>
            <w:tcW w:w="1026" w:type="pct"/>
          </w:tcPr>
          <w:p w:rsidRPr="00BB0DD9" w:rsidR="004C4A93" w:rsidP="00BB0DD9" w:rsidRDefault="00290549" w14:paraId="1077D79C" w14:textId="39484240">
            <w:pPr>
              <w:jc w:val="right"/>
              <w:rPr>
                <w:snapToGrid w:val="0"/>
              </w:rPr>
            </w:pPr>
            <w:r w:rsidRPr="00BB0DD9">
              <w:rPr>
                <w:snapToGrid w:val="0"/>
              </w:rPr>
              <w:t>2,976</w:t>
            </w:r>
          </w:p>
        </w:tc>
        <w:tc>
          <w:tcPr>
            <w:tcW w:w="677" w:type="pct"/>
            <w:shd w:val="clear" w:color="auto" w:fill="auto"/>
          </w:tcPr>
          <w:p w:rsidRPr="00BB0DD9" w:rsidR="004C4A93" w:rsidP="00BB0DD9" w:rsidRDefault="00290549" w14:paraId="60972C13" w14:textId="24225BE1">
            <w:pPr>
              <w:jc w:val="right"/>
              <w:rPr>
                <w:snapToGrid w:val="0"/>
              </w:rPr>
            </w:pPr>
            <w:r w:rsidRPr="00BB0DD9">
              <w:rPr>
                <w:snapToGrid w:val="0"/>
              </w:rPr>
              <w:t>699</w:t>
            </w:r>
          </w:p>
        </w:tc>
        <w:tc>
          <w:tcPr>
            <w:tcW w:w="768" w:type="pct"/>
            <w:shd w:val="pct5" w:color="auto" w:fill="FFFFFF"/>
          </w:tcPr>
          <w:p w:rsidRPr="00BB0DD9" w:rsidR="004C4A93" w:rsidP="00BB0DD9" w:rsidRDefault="00290549" w14:paraId="2282BBC8" w14:textId="552B9D48">
            <w:pPr>
              <w:jc w:val="right"/>
              <w:rPr>
                <w:snapToGrid w:val="0"/>
              </w:rPr>
            </w:pPr>
            <w:r w:rsidRPr="00BB0DD9">
              <w:rPr>
                <w:snapToGrid w:val="0"/>
              </w:rPr>
              <w:t>25,723</w:t>
            </w:r>
          </w:p>
        </w:tc>
      </w:tr>
      <w:tr w:rsidRPr="00BB0DD9" w:rsidR="004C4A93" w:rsidTr="00D26632" w14:paraId="441EE504" w14:textId="77777777">
        <w:tc>
          <w:tcPr>
            <w:tcW w:w="995" w:type="pct"/>
            <w:tcBorders>
              <w:bottom w:val="nil"/>
            </w:tcBorders>
          </w:tcPr>
          <w:p w:rsidRPr="00BB0DD9" w:rsidR="004C4A93" w:rsidP="009F74CA" w:rsidRDefault="004C4A93" w14:paraId="730FFF07" w14:textId="77777777">
            <w:r w:rsidRPr="00BB0DD9">
              <w:t>500–999</w:t>
            </w:r>
          </w:p>
        </w:tc>
        <w:tc>
          <w:tcPr>
            <w:tcW w:w="765" w:type="pct"/>
            <w:tcBorders>
              <w:bottom w:val="nil"/>
            </w:tcBorders>
          </w:tcPr>
          <w:p w:rsidRPr="00BB0DD9" w:rsidR="004C4A93" w:rsidP="00BB0DD9" w:rsidRDefault="00C8227C" w14:paraId="47B79898" w14:textId="053DA522">
            <w:pPr>
              <w:jc w:val="right"/>
              <w:rPr>
                <w:snapToGrid w:val="0"/>
              </w:rPr>
            </w:pPr>
            <w:r w:rsidRPr="00BB0DD9">
              <w:rPr>
                <w:snapToGrid w:val="0"/>
              </w:rPr>
              <w:t>19,459</w:t>
            </w:r>
          </w:p>
        </w:tc>
        <w:tc>
          <w:tcPr>
            <w:tcW w:w="768" w:type="pct"/>
            <w:tcBorders>
              <w:bottom w:val="nil"/>
            </w:tcBorders>
          </w:tcPr>
          <w:p w:rsidRPr="00BB0DD9" w:rsidR="004C4A93" w:rsidP="00BB0DD9" w:rsidRDefault="00290549" w14:paraId="6965CC2B" w14:textId="28F4B1E4">
            <w:pPr>
              <w:jc w:val="right"/>
              <w:rPr>
                <w:snapToGrid w:val="0"/>
              </w:rPr>
            </w:pPr>
            <w:r w:rsidRPr="00BB0DD9">
              <w:rPr>
                <w:snapToGrid w:val="0"/>
              </w:rPr>
              <w:t>7,038</w:t>
            </w:r>
          </w:p>
        </w:tc>
        <w:tc>
          <w:tcPr>
            <w:tcW w:w="1026" w:type="pct"/>
            <w:tcBorders>
              <w:bottom w:val="nil"/>
            </w:tcBorders>
          </w:tcPr>
          <w:p w:rsidRPr="00BB0DD9" w:rsidR="004C4A93" w:rsidP="00BB0DD9" w:rsidRDefault="00290549" w14:paraId="01567C5F" w14:textId="4E593592">
            <w:pPr>
              <w:jc w:val="right"/>
              <w:rPr>
                <w:snapToGrid w:val="0"/>
              </w:rPr>
            </w:pPr>
            <w:r w:rsidRPr="00BB0DD9">
              <w:rPr>
                <w:snapToGrid w:val="0"/>
              </w:rPr>
              <w:t>3,941</w:t>
            </w:r>
          </w:p>
        </w:tc>
        <w:tc>
          <w:tcPr>
            <w:tcW w:w="677" w:type="pct"/>
            <w:shd w:val="clear" w:color="auto" w:fill="auto"/>
          </w:tcPr>
          <w:p w:rsidRPr="00BB0DD9" w:rsidR="004C4A93" w:rsidP="00BB0DD9" w:rsidRDefault="00290549" w14:paraId="6DEDE774" w14:textId="4F68EF4A">
            <w:pPr>
              <w:jc w:val="right"/>
              <w:rPr>
                <w:snapToGrid w:val="0"/>
              </w:rPr>
            </w:pPr>
            <w:r w:rsidRPr="00BB0DD9">
              <w:rPr>
                <w:snapToGrid w:val="0"/>
              </w:rPr>
              <w:t>820</w:t>
            </w:r>
          </w:p>
        </w:tc>
        <w:tc>
          <w:tcPr>
            <w:tcW w:w="768" w:type="pct"/>
            <w:shd w:val="pct5" w:color="auto" w:fill="FFFFFF"/>
          </w:tcPr>
          <w:p w:rsidRPr="00BB0DD9" w:rsidR="004C4A93" w:rsidP="00BB0DD9" w:rsidRDefault="00290549" w14:paraId="5AD54E04" w14:textId="07B0CE24">
            <w:pPr>
              <w:jc w:val="right"/>
              <w:rPr>
                <w:snapToGrid w:val="0"/>
              </w:rPr>
            </w:pPr>
            <w:r w:rsidRPr="00BB0DD9">
              <w:rPr>
                <w:snapToGrid w:val="0"/>
              </w:rPr>
              <w:t>31,258</w:t>
            </w:r>
          </w:p>
        </w:tc>
      </w:tr>
      <w:tr w:rsidRPr="00BB0DD9" w:rsidR="004C4A93" w:rsidTr="00D26632" w14:paraId="1C5D9A7A" w14:textId="77777777">
        <w:tc>
          <w:tcPr>
            <w:tcW w:w="995" w:type="pct"/>
            <w:shd w:val="clear" w:color="auto" w:fill="auto"/>
          </w:tcPr>
          <w:p w:rsidRPr="00BB0DD9" w:rsidR="004C4A93" w:rsidP="009F74CA" w:rsidRDefault="004C4A93" w14:paraId="7044A411" w14:textId="77777777">
            <w:r w:rsidRPr="00BB0DD9">
              <w:t>1,000+</w:t>
            </w:r>
          </w:p>
        </w:tc>
        <w:tc>
          <w:tcPr>
            <w:tcW w:w="765" w:type="pct"/>
            <w:shd w:val="clear" w:color="auto" w:fill="auto"/>
          </w:tcPr>
          <w:p w:rsidRPr="00BB0DD9" w:rsidR="004C4A93" w:rsidP="00BB0DD9" w:rsidRDefault="00290549" w14:paraId="1457034F" w14:textId="24E0EFE8">
            <w:pPr>
              <w:jc w:val="right"/>
              <w:rPr>
                <w:snapToGrid w:val="0"/>
              </w:rPr>
            </w:pPr>
            <w:r w:rsidRPr="00BB0DD9">
              <w:rPr>
                <w:snapToGrid w:val="0"/>
              </w:rPr>
              <w:t>1,026</w:t>
            </w:r>
          </w:p>
        </w:tc>
        <w:tc>
          <w:tcPr>
            <w:tcW w:w="768" w:type="pct"/>
            <w:shd w:val="clear" w:color="auto" w:fill="auto"/>
          </w:tcPr>
          <w:p w:rsidRPr="00BB0DD9" w:rsidR="004C4A93" w:rsidP="00BB0DD9" w:rsidRDefault="00290549" w14:paraId="6926AD29" w14:textId="64604CEE">
            <w:pPr>
              <w:jc w:val="right"/>
              <w:rPr>
                <w:snapToGrid w:val="0"/>
              </w:rPr>
            </w:pPr>
            <w:r w:rsidRPr="00BB0DD9">
              <w:rPr>
                <w:snapToGrid w:val="0"/>
              </w:rPr>
              <w:t>1,924</w:t>
            </w:r>
          </w:p>
        </w:tc>
        <w:tc>
          <w:tcPr>
            <w:tcW w:w="1026" w:type="pct"/>
            <w:shd w:val="clear" w:color="auto" w:fill="auto"/>
          </w:tcPr>
          <w:p w:rsidRPr="00BB0DD9" w:rsidR="004C4A93" w:rsidP="00BB0DD9" w:rsidRDefault="00290549" w14:paraId="0BCDF855" w14:textId="5D742265">
            <w:pPr>
              <w:jc w:val="right"/>
              <w:rPr>
                <w:snapToGrid w:val="0"/>
              </w:rPr>
            </w:pPr>
            <w:r w:rsidRPr="00BB0DD9">
              <w:rPr>
                <w:snapToGrid w:val="0"/>
              </w:rPr>
              <w:t>5,624</w:t>
            </w:r>
          </w:p>
        </w:tc>
        <w:tc>
          <w:tcPr>
            <w:tcW w:w="677" w:type="pct"/>
            <w:shd w:val="clear" w:color="auto" w:fill="auto"/>
          </w:tcPr>
          <w:p w:rsidRPr="00BB0DD9" w:rsidR="004C4A93" w:rsidP="00BB0DD9" w:rsidRDefault="00290549" w14:paraId="77BC80B5" w14:textId="4B587806">
            <w:pPr>
              <w:jc w:val="right"/>
              <w:rPr>
                <w:snapToGrid w:val="0"/>
              </w:rPr>
            </w:pPr>
            <w:r w:rsidRPr="00BB0DD9">
              <w:rPr>
                <w:snapToGrid w:val="0"/>
              </w:rPr>
              <w:t>367</w:t>
            </w:r>
          </w:p>
        </w:tc>
        <w:tc>
          <w:tcPr>
            <w:tcW w:w="768" w:type="pct"/>
            <w:shd w:val="pct5" w:color="auto" w:fill="FFFFFF"/>
          </w:tcPr>
          <w:p w:rsidRPr="00BB0DD9" w:rsidR="004C4A93" w:rsidP="00BB0DD9" w:rsidRDefault="00290549" w14:paraId="15A2A9ED" w14:textId="1C015746">
            <w:pPr>
              <w:jc w:val="right"/>
              <w:rPr>
                <w:snapToGrid w:val="0"/>
              </w:rPr>
            </w:pPr>
            <w:r w:rsidRPr="00BB0DD9">
              <w:rPr>
                <w:snapToGrid w:val="0"/>
              </w:rPr>
              <w:t>8,941</w:t>
            </w:r>
          </w:p>
        </w:tc>
      </w:tr>
      <w:tr w:rsidRPr="00BB0DD9" w:rsidR="004C4A93" w:rsidTr="00D26632" w14:paraId="2FB8789E" w14:textId="77777777">
        <w:tc>
          <w:tcPr>
            <w:tcW w:w="995" w:type="pct"/>
            <w:shd w:val="pct5" w:color="auto" w:fill="FFFFFF"/>
          </w:tcPr>
          <w:p w:rsidRPr="00BB0DD9" w:rsidR="004C4A93" w:rsidP="009F74CA" w:rsidRDefault="004C4A93" w14:paraId="4DFC08B2" w14:textId="77777777">
            <w:r w:rsidRPr="00BB0DD9">
              <w:t xml:space="preserve"> Total</w:t>
            </w:r>
          </w:p>
        </w:tc>
        <w:tc>
          <w:tcPr>
            <w:tcW w:w="765" w:type="pct"/>
            <w:shd w:val="pct5" w:color="auto" w:fill="FFFFFF"/>
          </w:tcPr>
          <w:p w:rsidRPr="00BB0DD9" w:rsidR="004C4A93" w:rsidP="00BB0DD9" w:rsidRDefault="00290549" w14:paraId="58E66E5A" w14:textId="79EBEA75">
            <w:pPr>
              <w:jc w:val="right"/>
              <w:rPr>
                <w:snapToGrid w:val="0"/>
              </w:rPr>
            </w:pPr>
            <w:r w:rsidRPr="00BB0DD9">
              <w:rPr>
                <w:snapToGrid w:val="0"/>
              </w:rPr>
              <w:t>49,589</w:t>
            </w:r>
          </w:p>
        </w:tc>
        <w:tc>
          <w:tcPr>
            <w:tcW w:w="768" w:type="pct"/>
            <w:shd w:val="pct5" w:color="auto" w:fill="FFFFFF"/>
          </w:tcPr>
          <w:p w:rsidRPr="00BB0DD9" w:rsidR="004C4A93" w:rsidP="00BB0DD9" w:rsidRDefault="00290549" w14:paraId="1B245CCC" w14:textId="247F0AAB">
            <w:pPr>
              <w:jc w:val="right"/>
              <w:rPr>
                <w:snapToGrid w:val="0"/>
              </w:rPr>
            </w:pPr>
            <w:r w:rsidRPr="00BB0DD9">
              <w:rPr>
                <w:snapToGrid w:val="0"/>
              </w:rPr>
              <w:t>14,759</w:t>
            </w:r>
          </w:p>
        </w:tc>
        <w:tc>
          <w:tcPr>
            <w:tcW w:w="1026" w:type="pct"/>
            <w:shd w:val="pct5" w:color="auto" w:fill="FFFFFF"/>
          </w:tcPr>
          <w:p w:rsidRPr="00BB0DD9" w:rsidR="004C4A93" w:rsidP="00BB0DD9" w:rsidRDefault="00290549" w14:paraId="5D08B960" w14:textId="32F2189B">
            <w:pPr>
              <w:jc w:val="right"/>
              <w:rPr>
                <w:snapToGrid w:val="0"/>
              </w:rPr>
            </w:pPr>
            <w:r w:rsidRPr="00BB0DD9">
              <w:rPr>
                <w:snapToGrid w:val="0"/>
              </w:rPr>
              <w:t>16,160</w:t>
            </w:r>
          </w:p>
        </w:tc>
        <w:tc>
          <w:tcPr>
            <w:tcW w:w="677" w:type="pct"/>
            <w:shd w:val="pct5" w:color="auto" w:fill="FFFFFF"/>
          </w:tcPr>
          <w:p w:rsidRPr="00BB0DD9" w:rsidR="004C4A93" w:rsidP="00BB0DD9" w:rsidRDefault="00290549" w14:paraId="32BC8BB7" w14:textId="0B981334">
            <w:pPr>
              <w:jc w:val="right"/>
              <w:rPr>
                <w:snapToGrid w:val="0"/>
              </w:rPr>
            </w:pPr>
            <w:r w:rsidRPr="00BB0DD9">
              <w:rPr>
                <w:snapToGrid w:val="0"/>
              </w:rPr>
              <w:t>3,344</w:t>
            </w:r>
          </w:p>
        </w:tc>
        <w:tc>
          <w:tcPr>
            <w:tcW w:w="768" w:type="pct"/>
            <w:shd w:val="pct5" w:color="auto" w:fill="FFFFFF"/>
          </w:tcPr>
          <w:p w:rsidRPr="00BB0DD9" w:rsidR="004C4A93" w:rsidP="00BB0DD9" w:rsidRDefault="00290549" w14:paraId="0648BE48" w14:textId="094FBD17">
            <w:pPr>
              <w:jc w:val="right"/>
              <w:rPr>
                <w:snapToGrid w:val="0"/>
              </w:rPr>
            </w:pPr>
            <w:r w:rsidRPr="00BB0DD9">
              <w:rPr>
                <w:snapToGrid w:val="0"/>
              </w:rPr>
              <w:t>83,852</w:t>
            </w:r>
          </w:p>
        </w:tc>
      </w:tr>
    </w:tbl>
    <w:p w:rsidRPr="00BB0DD9" w:rsidR="0042048B" w:rsidP="0042048B" w:rsidRDefault="0042048B" w14:paraId="2531509D" w14:textId="5683642C">
      <w:pPr>
        <w:spacing w:after="120"/>
      </w:pPr>
    </w:p>
    <w:p w:rsidRPr="00BB0DD9" w:rsidR="0064551D" w:rsidP="00FF63B5" w:rsidRDefault="0064551D" w14:paraId="3BBED037" w14:textId="6F0AA39C">
      <w:pPr>
        <w:pStyle w:val="Heading3"/>
      </w:pPr>
      <w:r w:rsidRPr="00BB0DD9">
        <w:t>Sample Selection and Response Rates</w:t>
      </w:r>
    </w:p>
    <w:p w:rsidRPr="00BB0DD9" w:rsidR="00BC5537" w:rsidP="00BC5537" w:rsidRDefault="00BC5537" w14:paraId="05551D9F" w14:textId="77777777">
      <w:pPr>
        <w:widowControl w:val="0"/>
        <w:spacing w:after="120"/>
      </w:pPr>
      <w:r w:rsidRPr="00BB0DD9">
        <w:t xml:space="preserve">A </w:t>
      </w:r>
      <w:r w:rsidRPr="007B2841">
        <w:t>stratified sample design will be used to select approxi</w:t>
      </w:r>
      <w:r w:rsidRPr="00176E6A">
        <w:t xml:space="preserve">mately 4,800 public schools for SSOCS:2022 in order to obtain the 2,550 completed interviews needed to ensure precision in the estimates. </w:t>
      </w:r>
      <w:r w:rsidRPr="004F07BE">
        <w:t xml:space="preserve">For sample </w:t>
      </w:r>
      <w:r w:rsidRPr="004F07BE">
        <w:lastRenderedPageBreak/>
        <w:t>allocation purposes, strata will be defined by instructional level, locale, and enrollment size. Minority enrollment, region, and state will be used as sorting variables in the sample selection process to induce implicit stratification.</w:t>
      </w:r>
    </w:p>
    <w:p w:rsidRPr="00BB0DD9" w:rsidR="002E78A1" w:rsidP="000E2CD9" w:rsidRDefault="00EF2F18" w14:paraId="2CABD045" w14:textId="0C6B6CD4">
      <w:pPr>
        <w:spacing w:after="120"/>
      </w:pPr>
      <w:r w:rsidRPr="00BB0DD9">
        <w:t xml:space="preserve">SSOCS:2018 yielded an unweighted response rate of approximately 58 percent. When the responding schools were weighted to account for their original sampling probabilities, the response rate increased to approximately 62 percent. </w:t>
      </w:r>
      <w:r w:rsidRPr="00BB0DD9" w:rsidR="000135F4">
        <w:t>SSOCS:2020 yielded an unweighted response rate of approximately 51 percent. However, given the strain that the COVID-19 pandemic</w:t>
      </w:r>
      <w:r w:rsidRPr="00BB0DD9" w:rsidR="005A0E3B">
        <w:t xml:space="preserve"> put on the SSOCS:2020 data collection</w:t>
      </w:r>
      <w:r w:rsidRPr="00BB0DD9" w:rsidR="000135F4">
        <w:t xml:space="preserve">, </w:t>
      </w:r>
      <w:r w:rsidRPr="00BB0DD9" w:rsidR="00BC5537">
        <w:t>particularly the</w:t>
      </w:r>
      <w:r w:rsidRPr="00BB0DD9" w:rsidR="000135F4">
        <w:t xml:space="preserve"> closure of many schools across the nation and the closure of the Census Bureau’s </w:t>
      </w:r>
      <w:r w:rsidR="00BC5537">
        <w:t>NPC</w:t>
      </w:r>
      <w:r w:rsidRPr="00BB0DD9" w:rsidR="000135F4">
        <w:t xml:space="preserve">, the SSOCS:2018 is </w:t>
      </w:r>
      <w:r w:rsidRPr="00BB0DD9" w:rsidR="00F53019">
        <w:t xml:space="preserve">likely the </w:t>
      </w:r>
      <w:r w:rsidRPr="00BB0DD9" w:rsidR="000135F4">
        <w:t xml:space="preserve">more accurate predictor for SSOCS:2022 response. </w:t>
      </w:r>
      <w:r w:rsidRPr="00BB0DD9">
        <w:t>Given the</w:t>
      </w:r>
      <w:r w:rsidR="006170E0">
        <w:t xml:space="preserve"> </w:t>
      </w:r>
      <w:r w:rsidR="00B31547">
        <w:t xml:space="preserve">monetary </w:t>
      </w:r>
      <w:r w:rsidR="000620B1">
        <w:t>incentive</w:t>
      </w:r>
      <w:r w:rsidR="0095427F">
        <w:t>s for all sampled schools</w:t>
      </w:r>
      <w:r w:rsidR="0095427F">
        <w:rPr>
          <w:rStyle w:val="FootnoteReference"/>
        </w:rPr>
        <w:footnoteReference w:id="2"/>
      </w:r>
      <w:r w:rsidR="0095427F">
        <w:t xml:space="preserve">, </w:t>
      </w:r>
      <w:r w:rsidRPr="00BB0DD9">
        <w:t xml:space="preserve"> we anticipate at least maintaining the SSOCS:2018 response rates </w:t>
      </w:r>
      <w:r w:rsidRPr="00BB0DD9" w:rsidR="008A6C0F">
        <w:t>in</w:t>
      </w:r>
      <w:r w:rsidRPr="00BB0DD9">
        <w:t xml:space="preserve"> SSOCS:</w:t>
      </w:r>
      <w:r w:rsidRPr="00BB0DD9" w:rsidR="000135F4">
        <w:t>2022</w:t>
      </w:r>
      <w:r w:rsidRPr="00BB0DD9">
        <w:t xml:space="preserve">, which will yield more completed surveys than needed to meet the </w:t>
      </w:r>
      <w:r w:rsidRPr="00BB0DD9" w:rsidR="00365FBF">
        <w:t xml:space="preserve">study’s </w:t>
      </w:r>
      <w:r w:rsidRPr="00BB0DD9">
        <w:t>objective.</w:t>
      </w:r>
    </w:p>
    <w:p w:rsidRPr="00BB0DD9" w:rsidR="0064551D" w:rsidP="00FF63B5" w:rsidRDefault="0064551D" w14:paraId="70D504DB" w14:textId="491259CE">
      <w:pPr>
        <w:pStyle w:val="Heading3"/>
      </w:pPr>
      <w:r w:rsidRPr="00BB0DD9">
        <w:t>Sample Design for SSOCS:201</w:t>
      </w:r>
      <w:r w:rsidRPr="00BB0DD9" w:rsidR="000E2CD9">
        <w:t>8 and SSOCS:2020</w:t>
      </w:r>
    </w:p>
    <w:p w:rsidRPr="00BB0DD9" w:rsidR="000E2CD9" w:rsidP="00E103F7" w:rsidRDefault="0064551D" w14:paraId="6D57C610" w14:textId="49E9131B">
      <w:pPr>
        <w:spacing w:after="120"/>
      </w:pPr>
      <w:r w:rsidRPr="00BB0DD9">
        <w:t>A stratified sampl</w:t>
      </w:r>
      <w:r w:rsidRPr="00BB0DD9" w:rsidR="00E40422">
        <w:t>e</w:t>
      </w:r>
      <w:r w:rsidRPr="00BB0DD9">
        <w:t xml:space="preserve"> design was used to select schools for SSOCS:201</w:t>
      </w:r>
      <w:r w:rsidRPr="00BB0DD9" w:rsidR="000E2CD9">
        <w:t>8 and SSOCS:2020</w:t>
      </w:r>
      <w:r w:rsidRPr="00BB0DD9">
        <w:t xml:space="preserve">. </w:t>
      </w:r>
    </w:p>
    <w:p w:rsidRPr="00BB0DD9" w:rsidR="0064551D" w:rsidP="00E103F7" w:rsidRDefault="000E2CD9" w14:paraId="1CE9D41B" w14:textId="012E838E">
      <w:pPr>
        <w:spacing w:after="120"/>
      </w:pPr>
      <w:r w:rsidRPr="00BB0DD9">
        <w:t xml:space="preserve">The two main objectives of the SSOCS:2018 and SSOCS:2020 sampling design were:(1) to obtain overall cross-sectional and subgroup estimates of important indicators of school crime and safety; and (2) to maintain precise estimates of change in various characteristics relating to crime between the earliest and most recent SSOCS administrations. Adopting the same general design increases the precision of the estimate of change. </w:t>
      </w:r>
      <w:r w:rsidRPr="00D85846">
        <w:t>For sample allocation and sample selection purposes, strata were defined in prior administrations of SSOCS by crossing instructional level, locale, and enrollment size. In addition, percent minority, region, and state were used as implicit stratification variables by sorting schools by these variables within each stratum before sample selection.</w:t>
      </w:r>
      <w:r w:rsidRPr="007B2841">
        <w:t xml:space="preserve"> </w:t>
      </w:r>
      <w:r w:rsidRPr="00D85846">
        <w:t>The three explicit and three implicit stratification variables have been shown to be related to school crime and thus create meaningful strata for this survey.</w:t>
      </w:r>
      <w:r w:rsidRPr="00D85846" w:rsidR="0064551D">
        <w:t xml:space="preserve"> </w:t>
      </w:r>
      <w:r w:rsidRPr="00BB0DD9" w:rsidR="0064551D">
        <w:t xml:space="preserve">Within each of four instructional level categories, the sample was allocated to each of 16 subgroups formed by the cross-classification of locale (four levels) and enrollment size (four levels) in proportion to an aggregate measure of size derived for each subgroup. The aggregate measure of size for a specific locale by </w:t>
      </w:r>
      <w:r w:rsidRPr="00BB0DD9" w:rsidR="00537558">
        <w:t>enrollment</w:t>
      </w:r>
      <w:r w:rsidRPr="00BB0DD9" w:rsidR="0064551D">
        <w:t xml:space="preserve"> cell within an instructional level is equal to the sum of the square root of school enrollment.</w:t>
      </w:r>
    </w:p>
    <w:p w:rsidRPr="00BB0DD9" w:rsidR="0064551D" w:rsidP="00E103F7" w:rsidRDefault="0064551D" w14:paraId="71658DDD" w14:textId="7D849026">
      <w:pPr>
        <w:spacing w:after="120"/>
      </w:pPr>
      <w:r w:rsidRPr="00BB0DD9">
        <w:t>The initial goal of SSOCS:20</w:t>
      </w:r>
      <w:r w:rsidRPr="00BB0DD9" w:rsidR="00786D99">
        <w:t>18 and SSOCS:2020</w:t>
      </w:r>
      <w:r w:rsidRPr="00BB0DD9" w:rsidR="00BB0DD9">
        <w:t xml:space="preserve"> </w:t>
      </w:r>
      <w:r w:rsidRPr="00BB0DD9">
        <w:t xml:space="preserve">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w:t>
      </w:r>
      <w:r w:rsidRPr="00BB0DD9" w:rsidR="008E4DB1">
        <w:t xml:space="preserve">elementary </w:t>
      </w:r>
      <w:r w:rsidRPr="00BB0DD9">
        <w:t xml:space="preserve">schools, the majority of school violence is reported in middle and high schools. Proportional allocation would, therefore, have yielded an inefficient sample design because the sample composition would have included more </w:t>
      </w:r>
      <w:r w:rsidRPr="00BB0DD9" w:rsidR="00BA6A6C">
        <w:t xml:space="preserve">elementary </w:t>
      </w:r>
      <w:r w:rsidRPr="00BB0DD9">
        <w:t>schools (where crime is an infrequent event) than middle or high schools (where crime is a relatively more frequent event). As a result, a larger proportion of the target sample of 2,550 schools was allocated to middle and high schools</w:t>
      </w:r>
      <w:r w:rsidRPr="00BB0DD9" w:rsidR="00786D99">
        <w:t>.</w:t>
      </w:r>
    </w:p>
    <w:p w:rsidRPr="00BB0DD9" w:rsidR="0064551D" w:rsidP="00E103F7" w:rsidRDefault="0064551D" w14:paraId="082C07F5" w14:textId="2EE7418F">
      <w:pPr>
        <w:spacing w:after="120"/>
      </w:pPr>
      <w:r w:rsidRPr="00BB0DD9">
        <w:t>The formula used to calculate measure of size is given as</w:t>
      </w:r>
    </w:p>
    <w:p w:rsidRPr="00BB0DD9" w:rsidR="0064551D" w:rsidP="00E103F7" w:rsidRDefault="0064551D" w14:paraId="75DBE93E" w14:textId="77777777">
      <w:pPr>
        <w:spacing w:after="120"/>
        <w:ind w:left="720"/>
      </w:pPr>
      <w:r w:rsidRPr="00BB0DD9">
        <w:rPr>
          <w:i/>
        </w:rPr>
        <w:t>MOS(h)</w:t>
      </w:r>
      <w:r w:rsidRPr="00BB0DD9">
        <w:t xml:space="preserve"> = </w:t>
      </w:r>
      <w:r w:rsidRPr="00BB0DD9">
        <w:fldChar w:fldCharType="begin"/>
      </w:r>
      <w:r w:rsidRPr="00BB0DD9">
        <w:instrText xml:space="preserve"> EQ \i\su(i=1,N</w:instrText>
      </w:r>
      <w:r w:rsidRPr="00BB0DD9">
        <w:rPr>
          <w:position w:val="-6"/>
        </w:rPr>
        <w:instrText>h</w:instrText>
      </w:r>
      <w:r w:rsidRPr="00BB0DD9">
        <w:instrText>, )\r(,E</w:instrText>
      </w:r>
      <w:r w:rsidRPr="00BB0DD9">
        <w:rPr>
          <w:position w:val="-6"/>
        </w:rPr>
        <w:instrText>hi</w:instrText>
      </w:r>
      <w:r w:rsidRPr="00BB0DD9">
        <w:instrText xml:space="preserve">) </w:instrText>
      </w:r>
      <w:r w:rsidRPr="00BB0DD9">
        <w:fldChar w:fldCharType="end"/>
      </w:r>
    </w:p>
    <w:p w:rsidRPr="00BB0DD9" w:rsidR="0064551D" w:rsidP="00E103F7" w:rsidRDefault="0064551D" w14:paraId="7A4902A1" w14:textId="77777777">
      <w:pPr>
        <w:spacing w:after="120"/>
        <w:ind w:right="-126"/>
      </w:pPr>
      <w:r w:rsidRPr="00BB0DD9">
        <w:t xml:space="preserve">where </w:t>
      </w:r>
      <w:r w:rsidRPr="00BB0DD9">
        <w:rPr>
          <w:i/>
        </w:rPr>
        <w:t>E</w:t>
      </w:r>
      <w:r w:rsidRPr="00BB0DD9">
        <w:rPr>
          <w:i/>
          <w:position w:val="-6"/>
        </w:rPr>
        <w:t>hi</w:t>
      </w:r>
      <w:r w:rsidRPr="00BB0DD9">
        <w:t xml:space="preserve"> = the enrollment of the </w:t>
      </w:r>
      <w:proofErr w:type="spellStart"/>
      <w:r w:rsidRPr="00BB0DD9">
        <w:rPr>
          <w:i/>
        </w:rPr>
        <w:t>i</w:t>
      </w:r>
      <w:proofErr w:type="spellEnd"/>
      <w:r w:rsidRPr="00BB0DD9">
        <w:rPr>
          <w:vertAlign w:val="superscript"/>
        </w:rPr>
        <w:t xml:space="preserve"> </w:t>
      </w:r>
      <w:proofErr w:type="spellStart"/>
      <w:r w:rsidRPr="00BB0DD9">
        <w:rPr>
          <w:vertAlign w:val="superscript"/>
        </w:rPr>
        <w:t>th</w:t>
      </w:r>
      <w:proofErr w:type="spellEnd"/>
      <w:r w:rsidRPr="00BB0DD9">
        <w:t xml:space="preserve"> school in stratum </w:t>
      </w:r>
      <w:r w:rsidRPr="00BB0DD9">
        <w:rPr>
          <w:i/>
        </w:rPr>
        <w:t>h</w:t>
      </w:r>
      <w:r w:rsidRPr="00BB0DD9">
        <w:t xml:space="preserve"> and </w:t>
      </w:r>
      <w:r w:rsidRPr="00BB0DD9">
        <w:rPr>
          <w:i/>
        </w:rPr>
        <w:t>N</w:t>
      </w:r>
      <w:r w:rsidRPr="00BB0DD9">
        <w:rPr>
          <w:i/>
          <w:position w:val="-6"/>
        </w:rPr>
        <w:t>h</w:t>
      </w:r>
      <w:r w:rsidRPr="00BB0DD9">
        <w:t xml:space="preserve"> = the total number of schools in stratum </w:t>
      </w:r>
      <w:r w:rsidRPr="00BB0DD9">
        <w:rPr>
          <w:i/>
        </w:rPr>
        <w:t>h</w:t>
      </w:r>
      <w:r w:rsidRPr="00BB0DD9">
        <w:t>.</w:t>
      </w:r>
    </w:p>
    <w:p w:rsidRPr="00BB0DD9" w:rsidR="0064551D" w:rsidP="00E103F7" w:rsidRDefault="0064551D" w14:paraId="63869ABB" w14:textId="2FACA279">
      <w:pPr>
        <w:spacing w:after="120"/>
      </w:pPr>
      <w:r w:rsidRPr="00BB0DD9">
        <w:t xml:space="preserve">The measure of size for the instructional level, </w:t>
      </w:r>
      <w:r w:rsidRPr="00BB0DD9">
        <w:rPr>
          <w:i/>
        </w:rPr>
        <w:t>MOS(l)</w:t>
      </w:r>
      <w:r w:rsidRPr="00BB0DD9">
        <w:t xml:space="preserve">, is found by summing across the 16 measure-of-size values, </w:t>
      </w:r>
      <w:r w:rsidRPr="00BB0DD9">
        <w:rPr>
          <w:i/>
        </w:rPr>
        <w:t>MOS(h)</w:t>
      </w:r>
      <w:r w:rsidRPr="00BB0DD9">
        <w:t xml:space="preserve">, that comprise the instructional level. The ratio of the stratum’s measure of size to the overall measure of size for the instructional level determines the number of cases to be allocated to that stratum. This is found by dividing the stratum measure of size, </w:t>
      </w:r>
      <w:r w:rsidRPr="00BB0DD9">
        <w:rPr>
          <w:i/>
        </w:rPr>
        <w:t>MOS(h),</w:t>
      </w:r>
      <w:r w:rsidRPr="00BB0DD9">
        <w:t xml:space="preserve"> by the total measure of size for the instructional level, </w:t>
      </w:r>
      <w:r w:rsidRPr="00BB0DD9">
        <w:rPr>
          <w:i/>
        </w:rPr>
        <w:t>MOS(l)</w:t>
      </w:r>
      <w:r w:rsidRPr="00BB0DD9">
        <w:t>. The result provides the proportion of the sample that should be allocated to this stratum.</w:t>
      </w:r>
    </w:p>
    <w:p w:rsidRPr="00BB0DD9" w:rsidR="00CD06C2" w:rsidP="00E103F7" w:rsidRDefault="00447BDF" w14:paraId="33B45116" w14:textId="3DD19219">
      <w:pPr>
        <w:spacing w:after="120"/>
      </w:pPr>
      <w:r>
        <w:lastRenderedPageBreak/>
        <w:t>T</w:t>
      </w:r>
      <w:r w:rsidRPr="00BB0DD9" w:rsidR="00CD06C2">
        <w:t xml:space="preserve">he general sampling design for SSOCS:2020 remained the same as in prior collections, </w:t>
      </w:r>
      <w:r>
        <w:t>however,</w:t>
      </w:r>
      <w:r w:rsidRPr="00BB0DD9" w:rsidR="00CD06C2">
        <w:t xml:space="preserve"> an incentive experiment was included where approximately 2,340 schools were assigned to the “early incentive” treatment, 1,230 schools were assigned to the “delayed incentive” treatment, and 1,230 schools were be assigned to the “no incentive” (control) treatment. These experimental groups were selected in a manner that reflects the overall sampling design, providing the ability to use responses from this group when calculating estimates. Lastly, a split-panel experiment was conducted during the SSOCS:2020 to test a navigation menu within the web instrument. Approximately half of the entire sample was randomly selected to receive a different version of the web instrument that include</w:t>
      </w:r>
      <w:r w:rsidR="00176E6A">
        <w:t>d</w:t>
      </w:r>
      <w:r w:rsidRPr="00BB0DD9" w:rsidR="00CD06C2">
        <w:t xml:space="preserve"> a navigation menu. </w:t>
      </w:r>
    </w:p>
    <w:p w:rsidRPr="00BB0DD9" w:rsidR="00EF2F18" w:rsidP="001B301E" w:rsidRDefault="00CD06C2" w14:paraId="111AF9E3" w14:textId="69CCC16D">
      <w:pPr>
        <w:pStyle w:val="Heading3"/>
        <w:rPr>
          <w:u w:val="single"/>
        </w:rPr>
      </w:pPr>
      <w:r w:rsidRPr="00BB0DD9">
        <w:t>Sample Design for SSOCS:2022</w:t>
      </w:r>
    </w:p>
    <w:p w:rsidRPr="00BB0DD9" w:rsidR="00A4532F" w:rsidP="002D358A" w:rsidRDefault="00EF2F18" w14:paraId="404125F0" w14:textId="6BFC06CE">
      <w:pPr>
        <w:spacing w:after="120"/>
      </w:pPr>
      <w:bookmarkStart w:name="_Hlk3450096" w:id="9"/>
      <w:r w:rsidRPr="00BB0DD9">
        <w:t>While the general sampling design for SSOCS:202</w:t>
      </w:r>
      <w:r w:rsidRPr="00BB0DD9" w:rsidR="000E2CD9">
        <w:t>2</w:t>
      </w:r>
      <w:r w:rsidRPr="00BB0DD9">
        <w:t xml:space="preserve"> remains the same as in prior collections, there </w:t>
      </w:r>
      <w:r w:rsidR="0095427F">
        <w:t>are two</w:t>
      </w:r>
      <w:r w:rsidRPr="00BB0DD9" w:rsidR="000E2CD9">
        <w:t xml:space="preserve"> </w:t>
      </w:r>
      <w:r w:rsidRPr="00BB0DD9">
        <w:t>notable difference</w:t>
      </w:r>
      <w:r w:rsidR="0095427F">
        <w:t>s</w:t>
      </w:r>
      <w:r w:rsidRPr="00BB0DD9">
        <w:t xml:space="preserve"> from SSOCS:</w:t>
      </w:r>
      <w:r w:rsidRPr="00BB0DD9" w:rsidR="000E2CD9">
        <w:t>2020</w:t>
      </w:r>
      <w:r w:rsidRPr="00BB0DD9" w:rsidR="00786D99">
        <w:t xml:space="preserve">. The </w:t>
      </w:r>
      <w:r w:rsidRPr="00BB0DD9">
        <w:t xml:space="preserve">split-panel experiment </w:t>
      </w:r>
      <w:r w:rsidRPr="00BB0DD9" w:rsidR="00786D99">
        <w:t xml:space="preserve">within the </w:t>
      </w:r>
      <w:r w:rsidRPr="00BB0DD9">
        <w:t>web instrument</w:t>
      </w:r>
      <w:r w:rsidRPr="00BB0DD9" w:rsidR="00F843B0">
        <w:t>,</w:t>
      </w:r>
      <w:r w:rsidRPr="00BB0DD9">
        <w:t xml:space="preserve"> </w:t>
      </w:r>
      <w:r w:rsidRPr="00BB0DD9" w:rsidR="002A4A1F">
        <w:t>designed to test a navigation menu</w:t>
      </w:r>
      <w:r w:rsidRPr="00BB0DD9" w:rsidR="00371012">
        <w:t>,</w:t>
      </w:r>
      <w:r w:rsidRPr="00BB0DD9" w:rsidR="00786D99">
        <w:t xml:space="preserve"> will not be conducted for SSOCS:2022, and therefore, there is no need to </w:t>
      </w:r>
      <w:r w:rsidRPr="00BB0DD9">
        <w:t>randomly select</w:t>
      </w:r>
      <w:r w:rsidRPr="00BB0DD9" w:rsidR="00786D99">
        <w:t xml:space="preserve"> any proportion of the sample to </w:t>
      </w:r>
      <w:r w:rsidRPr="00BB0DD9">
        <w:t xml:space="preserve">receive a different </w:t>
      </w:r>
      <w:r w:rsidRPr="00BB0DD9" w:rsidR="00371012">
        <w:t>version of the web instrument</w:t>
      </w:r>
      <w:r w:rsidRPr="00BB0DD9">
        <w:t>.</w:t>
      </w:r>
      <w:r w:rsidRPr="00BB0DD9" w:rsidR="00CD06C2">
        <w:t xml:space="preserve"> </w:t>
      </w:r>
      <w:r w:rsidR="0095427F">
        <w:t xml:space="preserve">Additionally, the </w:t>
      </w:r>
      <w:r w:rsidRPr="00BB0DD9" w:rsidR="00CD06C2">
        <w:t xml:space="preserve">incentive experiment described above for SSOCS:2020 will </w:t>
      </w:r>
      <w:r w:rsidR="0095427F">
        <w:t xml:space="preserve">not </w:t>
      </w:r>
      <w:r w:rsidRPr="00BB0DD9" w:rsidR="00CD06C2">
        <w:t>be conducted in SSOCS:2022</w:t>
      </w:r>
      <w:r w:rsidR="0095427F">
        <w:t xml:space="preserve">, and therefore, there is no need to randomly select any proportion of the sample to receive an early versus delayed incentive. </w:t>
      </w:r>
    </w:p>
    <w:bookmarkEnd w:id="9"/>
    <w:p w:rsidRPr="00BB0DD9" w:rsidR="00A4532F" w:rsidP="00811EFA" w:rsidRDefault="00EF2F18" w14:paraId="61581770" w14:textId="14CCE40D">
      <w:pPr>
        <w:spacing w:after="120"/>
      </w:pPr>
      <w:r w:rsidRPr="00BB0DD9">
        <w:t>SSOCS:</w:t>
      </w:r>
      <w:r w:rsidRPr="00BB0DD9" w:rsidR="000E2CD9">
        <w:t xml:space="preserve">2022 </w:t>
      </w:r>
      <w:r w:rsidRPr="00BB0DD9">
        <w:t xml:space="preserve">will take advantage of the lessons learned from </w:t>
      </w:r>
      <w:r w:rsidRPr="00BB0DD9" w:rsidR="00811EFA">
        <w:t>SSOCS:</w:t>
      </w:r>
      <w:r w:rsidRPr="00BB0DD9">
        <w:t>2018</w:t>
      </w:r>
      <w:r w:rsidRPr="00BB0DD9" w:rsidR="000E2CD9">
        <w:t xml:space="preserve">, rather than SSOCS:2020, due to the </w:t>
      </w:r>
      <w:r w:rsidRPr="00BB0DD9" w:rsidR="005A0E3B">
        <w:t>unique challenge the pandemic presented to the SSOCS:2020 cycle</w:t>
      </w:r>
      <w:r w:rsidRPr="00BB0DD9">
        <w:t xml:space="preserve">. The response rates achieved for </w:t>
      </w:r>
      <w:r w:rsidRPr="00BB0DD9" w:rsidR="009C25B9">
        <w:t xml:space="preserve">the </w:t>
      </w:r>
      <w:r w:rsidRPr="00BB0DD9">
        <w:t xml:space="preserve">various strata and substrata in SSOCS:2018 have been examined in order to determine the proper size of the initial sample </w:t>
      </w:r>
      <w:r w:rsidRPr="00BB0DD9" w:rsidR="009C25B9">
        <w:t>selected</w:t>
      </w:r>
      <w:r w:rsidRPr="00BB0DD9">
        <w:t xml:space="preserve"> for 2020</w:t>
      </w:r>
      <w:r w:rsidRPr="00BB0DD9" w:rsidR="00485B3F">
        <w:t xml:space="preserve"> to ensure a sufficient number of completed cases for analysis</w:t>
      </w:r>
      <w:r w:rsidRPr="00BB0DD9">
        <w:t xml:space="preserve">. Table </w:t>
      </w:r>
      <w:r w:rsidR="00447BDF">
        <w:t>3</w:t>
      </w:r>
      <w:r w:rsidRPr="00BB0DD9">
        <w:t xml:space="preserve"> displays the SSOCS:2018 response rates by school level, enrollment size, urbanicity, percent White enrollment, and region.</w:t>
      </w:r>
    </w:p>
    <w:p w:rsidRPr="00FF63B5" w:rsidR="0064551D" w:rsidP="001B301E" w:rsidRDefault="0064551D" w14:paraId="78922699" w14:textId="1E59427A">
      <w:pPr>
        <w:pStyle w:val="Heading3"/>
      </w:pPr>
      <w:r w:rsidRPr="00FF63B5">
        <w:t>Calculation of Weights</w:t>
      </w:r>
    </w:p>
    <w:p w:rsidRPr="00BB0DD9" w:rsidR="0064551D" w:rsidP="00E103F7" w:rsidRDefault="0064551D" w14:paraId="19DFBEDC" w14:textId="39158800">
      <w:pPr>
        <w:pStyle w:val="P1-StandPara"/>
        <w:widowControl w:val="0"/>
        <w:spacing w:after="120" w:line="240" w:lineRule="auto"/>
        <w:ind w:firstLine="0"/>
        <w:jc w:val="left"/>
        <w:rPr>
          <w:sz w:val="24"/>
          <w:szCs w:val="24"/>
        </w:rPr>
      </w:pPr>
      <w:r w:rsidRPr="00BB0DD9">
        <w:rPr>
          <w:sz w:val="24"/>
          <w:szCs w:val="24"/>
        </w:rPr>
        <w:t xml:space="preserve">Weights will be attached to each surveyed school so that the weighted data will represent population levels. The final weight for completed cases will be composed of a sampling base weight and an adjustment for nonresponse. As with SSOCS:2018 </w:t>
      </w:r>
      <w:r w:rsidRPr="00BB0DD9" w:rsidR="00EF2F18">
        <w:rPr>
          <w:sz w:val="24"/>
          <w:szCs w:val="24"/>
        </w:rPr>
        <w:t>and SSOCS:2020</w:t>
      </w:r>
      <w:r w:rsidRPr="00BB0DD9" w:rsidR="009F426C">
        <w:rPr>
          <w:sz w:val="24"/>
          <w:szCs w:val="24"/>
        </w:rPr>
        <w:t>,</w:t>
      </w:r>
      <w:r w:rsidRPr="00BB0DD9" w:rsidR="00EF2F18">
        <w:rPr>
          <w:sz w:val="24"/>
          <w:szCs w:val="24"/>
        </w:rPr>
        <w:t xml:space="preserve"> </w:t>
      </w:r>
      <w:r w:rsidRPr="00BB0DD9" w:rsidR="009F426C">
        <w:rPr>
          <w:sz w:val="24"/>
          <w:szCs w:val="24"/>
        </w:rPr>
        <w:t xml:space="preserve">nonresponse weighting adjustment cells for the SSOCS:2022 </w:t>
      </w:r>
      <w:r w:rsidRPr="00BB0DD9">
        <w:rPr>
          <w:sz w:val="24"/>
          <w:szCs w:val="24"/>
        </w:rPr>
        <w:t xml:space="preserve">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SSOCS, will be available through the CCD sampling frame. Weighting adjustment cells for </w:t>
      </w:r>
      <w:r w:rsidRPr="00BB0DD9" w:rsidR="00EF2F18">
        <w:rPr>
          <w:sz w:val="24"/>
          <w:szCs w:val="24"/>
        </w:rPr>
        <w:t>SSOCS:</w:t>
      </w:r>
      <w:r w:rsidRPr="00BB0DD9" w:rsidR="009F426C">
        <w:rPr>
          <w:sz w:val="24"/>
          <w:szCs w:val="24"/>
        </w:rPr>
        <w:t xml:space="preserve">2022 </w:t>
      </w:r>
      <w:r w:rsidRPr="00BB0DD9">
        <w:rPr>
          <w:sz w:val="24"/>
          <w:szCs w:val="24"/>
        </w:rPr>
        <w:t xml:space="preserve">will be determined based on bias analysis results from </w:t>
      </w:r>
      <w:r w:rsidRPr="00BB0DD9" w:rsidR="00513C9A">
        <w:rPr>
          <w:sz w:val="24"/>
          <w:szCs w:val="24"/>
        </w:rPr>
        <w:t>the</w:t>
      </w:r>
      <w:r w:rsidRPr="00BB0DD9">
        <w:rPr>
          <w:sz w:val="24"/>
          <w:szCs w:val="24"/>
        </w:rPr>
        <w:t xml:space="preserve"> </w:t>
      </w:r>
      <w:r w:rsidRPr="00BB0DD9" w:rsidR="00EF2F18">
        <w:rPr>
          <w:sz w:val="24"/>
          <w:szCs w:val="24"/>
        </w:rPr>
        <w:t>SSOCS:2018</w:t>
      </w:r>
      <w:r w:rsidRPr="00BB0DD9" w:rsidR="009F426C">
        <w:rPr>
          <w:sz w:val="24"/>
          <w:szCs w:val="24"/>
        </w:rPr>
        <w:t xml:space="preserve"> and SSOCS:2020</w:t>
      </w:r>
      <w:r w:rsidR="00D53526">
        <w:rPr>
          <w:sz w:val="24"/>
          <w:szCs w:val="24"/>
        </w:rPr>
        <w:t xml:space="preserve"> </w:t>
      </w:r>
      <w:r w:rsidRPr="00BB0DD9">
        <w:rPr>
          <w:sz w:val="24"/>
          <w:szCs w:val="24"/>
        </w:rPr>
        <w:t>in order to create the adjustment for nonresponse. The final, adjusted weights will be raked so that the sum of the weights matches the number of schools derived from the latest CCD public school universe file.</w:t>
      </w:r>
    </w:p>
    <w:p w:rsidRPr="00BB0DD9" w:rsidR="00D671F8" w:rsidP="001B301E" w:rsidRDefault="00D671F8" w14:paraId="3753CD6C" w14:textId="77777777">
      <w:pPr>
        <w:pStyle w:val="Heading3"/>
      </w:pPr>
      <w:r w:rsidRPr="00BB0DD9">
        <w:t>Methods for Variance Estimation</w:t>
      </w:r>
    </w:p>
    <w:p w:rsidRPr="00BB0DD9" w:rsidR="00D671F8" w:rsidP="00D671F8" w:rsidRDefault="00D671F8" w14:paraId="609E6349" w14:textId="5B562E92">
      <w:pPr>
        <w:pStyle w:val="P1-StandPara"/>
        <w:spacing w:after="120" w:line="240" w:lineRule="auto"/>
        <w:ind w:firstLine="0"/>
        <w:jc w:val="left"/>
        <w:rPr>
          <w:sz w:val="24"/>
          <w:szCs w:val="24"/>
        </w:rPr>
      </w:pPr>
      <w:r w:rsidRPr="00BB0DD9">
        <w:rPr>
          <w:sz w:val="24"/>
          <w:szCs w:val="24"/>
        </w:rPr>
        <w:t>Standard errors of the estimates will be estimated using jackknife repeated replication (JRR). Replicate codes that indicate the computing strata and the half-sample to which each sample unit belongs will be provided, as will the weights for all replicates that were formed in order to calculate variances.</w:t>
      </w:r>
    </w:p>
    <w:p w:rsidRPr="00BB0DD9" w:rsidR="00603F6B" w:rsidP="00614D39" w:rsidRDefault="00603F6B" w14:paraId="364BE2A5" w14:textId="3F850C70"/>
    <w:p w:rsidRPr="00BB0DD9" w:rsidR="00EF2F18" w:rsidP="001D4FD9" w:rsidRDefault="00EF2F18" w14:paraId="560DC31E" w14:textId="2E7A4F7A">
      <w:pPr>
        <w:pStyle w:val="Heading3"/>
        <w:spacing w:after="0"/>
        <w:rPr>
          <w:rFonts w:eastAsia="Arial"/>
          <w:spacing w:val="-6"/>
        </w:rPr>
      </w:pPr>
      <w:r w:rsidRPr="00BB0DD9">
        <w:rPr>
          <w:rFonts w:eastAsia="Arial"/>
          <w:spacing w:val="-1"/>
        </w:rPr>
        <w:lastRenderedPageBreak/>
        <w:t>Table</w:t>
      </w:r>
      <w:r w:rsidRPr="00BB0DD9">
        <w:rPr>
          <w:rFonts w:eastAsia="Arial"/>
          <w:spacing w:val="-10"/>
        </w:rPr>
        <w:t xml:space="preserve"> </w:t>
      </w:r>
      <w:r w:rsidRPr="00BB0DD9" w:rsidR="00997034">
        <w:rPr>
          <w:rFonts w:eastAsia="Arial"/>
          <w:spacing w:val="-1"/>
        </w:rPr>
        <w:t>3</w:t>
      </w:r>
      <w:r w:rsidRPr="00BB0DD9">
        <w:rPr>
          <w:rFonts w:eastAsia="Arial"/>
          <w:spacing w:val="-1"/>
        </w:rPr>
        <w:t xml:space="preserve">. </w:t>
      </w:r>
      <w:r w:rsidRPr="00BB0DD9">
        <w:rPr>
          <w:rFonts w:eastAsia="Arial"/>
        </w:rPr>
        <w:t>Unweighted</w:t>
      </w:r>
      <w:r w:rsidRPr="00BB0DD9">
        <w:rPr>
          <w:rFonts w:eastAsia="Arial"/>
          <w:spacing w:val="-8"/>
        </w:rPr>
        <w:t xml:space="preserve"> </w:t>
      </w:r>
      <w:r w:rsidRPr="00BB0DD9">
        <w:rPr>
          <w:rFonts w:eastAsia="Arial"/>
        </w:rPr>
        <w:t>and</w:t>
      </w:r>
      <w:r w:rsidRPr="00BB0DD9">
        <w:rPr>
          <w:rFonts w:eastAsia="Arial"/>
          <w:spacing w:val="-8"/>
        </w:rPr>
        <w:t xml:space="preserve"> </w:t>
      </w:r>
      <w:r w:rsidRPr="00BB0DD9">
        <w:rPr>
          <w:rFonts w:eastAsia="Arial"/>
        </w:rPr>
        <w:t>weighted</w:t>
      </w:r>
      <w:r w:rsidRPr="00BB0DD9">
        <w:rPr>
          <w:rFonts w:eastAsia="Arial"/>
          <w:spacing w:val="-9"/>
        </w:rPr>
        <w:t xml:space="preserve"> SSOCS </w:t>
      </w:r>
      <w:r w:rsidRPr="00BB0DD9">
        <w:rPr>
          <w:rFonts w:eastAsia="Arial"/>
          <w:spacing w:val="-1"/>
        </w:rPr>
        <w:t>unit</w:t>
      </w:r>
      <w:r w:rsidRPr="00BB0DD9">
        <w:rPr>
          <w:rFonts w:eastAsia="Arial"/>
          <w:spacing w:val="-7"/>
        </w:rPr>
        <w:t xml:space="preserve"> </w:t>
      </w:r>
      <w:r w:rsidRPr="00BB0DD9">
        <w:rPr>
          <w:rFonts w:eastAsia="Arial"/>
        </w:rPr>
        <w:t>response</w:t>
      </w:r>
      <w:r w:rsidRPr="00BB0DD9">
        <w:rPr>
          <w:rFonts w:eastAsia="Arial"/>
          <w:spacing w:val="-6"/>
        </w:rPr>
        <w:t xml:space="preserve"> </w:t>
      </w:r>
      <w:r w:rsidRPr="00BB0DD9">
        <w:rPr>
          <w:rFonts w:eastAsia="Arial"/>
        </w:rPr>
        <w:t>rates,</w:t>
      </w:r>
      <w:r w:rsidRPr="00BB0DD9">
        <w:rPr>
          <w:rFonts w:eastAsia="Arial"/>
          <w:spacing w:val="-7"/>
        </w:rPr>
        <w:t xml:space="preserve"> </w:t>
      </w:r>
      <w:r w:rsidRPr="00BB0DD9">
        <w:rPr>
          <w:rFonts w:eastAsia="Arial"/>
          <w:spacing w:val="-1"/>
        </w:rPr>
        <w:t>by</w:t>
      </w:r>
      <w:r w:rsidRPr="00BB0DD9">
        <w:rPr>
          <w:rFonts w:eastAsia="Arial"/>
          <w:spacing w:val="-10"/>
        </w:rPr>
        <w:t xml:space="preserve"> </w:t>
      </w:r>
      <w:r w:rsidRPr="00BB0DD9">
        <w:rPr>
          <w:rFonts w:eastAsia="Arial"/>
        </w:rPr>
        <w:t>selected</w:t>
      </w:r>
      <w:r w:rsidRPr="00BB0DD9">
        <w:rPr>
          <w:rFonts w:eastAsia="Arial"/>
          <w:spacing w:val="-9"/>
        </w:rPr>
        <w:t xml:space="preserve"> </w:t>
      </w:r>
      <w:r w:rsidRPr="00BB0DD9">
        <w:rPr>
          <w:rFonts w:eastAsia="Arial"/>
        </w:rPr>
        <w:t>school</w:t>
      </w:r>
      <w:r w:rsidRPr="00BB0DD9">
        <w:rPr>
          <w:rFonts w:eastAsia="Arial"/>
          <w:spacing w:val="-6"/>
        </w:rPr>
        <w:t xml:space="preserve"> </w:t>
      </w:r>
      <w:r w:rsidRPr="00BB0DD9">
        <w:rPr>
          <w:rFonts w:eastAsia="Arial"/>
        </w:rPr>
        <w:t>characteristics:</w:t>
      </w:r>
    </w:p>
    <w:p w:rsidRPr="00BB0DD9" w:rsidR="00EF2F18" w:rsidP="001B301E" w:rsidRDefault="00EF2F18" w14:paraId="6903356E" w14:textId="77777777">
      <w:pPr>
        <w:pStyle w:val="Heading3"/>
      </w:pPr>
      <w:r w:rsidRPr="00BB0DD9">
        <w:rPr>
          <w:rFonts w:eastAsia="Arial"/>
        </w:rPr>
        <w:t>School</w:t>
      </w:r>
      <w:r w:rsidRPr="00BB0DD9">
        <w:rPr>
          <w:rFonts w:eastAsia="Arial"/>
          <w:spacing w:val="-6"/>
        </w:rPr>
        <w:t xml:space="preserve"> </w:t>
      </w:r>
      <w:r w:rsidRPr="00BB0DD9">
        <w:rPr>
          <w:rFonts w:eastAsia="Arial"/>
          <w:spacing w:val="-3"/>
        </w:rPr>
        <w:t>year</w:t>
      </w:r>
      <w:r w:rsidRPr="00BB0DD9">
        <w:rPr>
          <w:rFonts w:eastAsia="Arial"/>
          <w:spacing w:val="-7"/>
        </w:rPr>
        <w:t xml:space="preserve"> </w:t>
      </w:r>
      <w:r w:rsidRPr="00BB0DD9">
        <w:rPr>
          <w:rFonts w:eastAsia="Arial"/>
        </w:rPr>
        <w:t>2017–18</w:t>
      </w:r>
    </w:p>
    <w:tbl>
      <w:tblPr>
        <w:tblW w:w="5000" w:type="pct"/>
        <w:tblCellMar>
          <w:left w:w="0" w:type="dxa"/>
          <w:right w:w="0" w:type="dxa"/>
        </w:tblCellMar>
        <w:tblLook w:val="01E0" w:firstRow="1" w:lastRow="1" w:firstColumn="1" w:lastColumn="1" w:noHBand="0" w:noVBand="0"/>
      </w:tblPr>
      <w:tblGrid>
        <w:gridCol w:w="2402"/>
        <w:gridCol w:w="1373"/>
        <w:gridCol w:w="1142"/>
        <w:gridCol w:w="1392"/>
        <w:gridCol w:w="1062"/>
        <w:gridCol w:w="1629"/>
        <w:gridCol w:w="1512"/>
      </w:tblGrid>
      <w:tr w:rsidRPr="00BB0DD9" w:rsidR="00EF2F18" w:rsidTr="00B96EC8" w14:paraId="7B98CB1A" w14:textId="77777777">
        <w:trPr>
          <w:trHeight w:val="144"/>
        </w:trPr>
        <w:tc>
          <w:tcPr>
            <w:tcW w:w="1143" w:type="pct"/>
            <w:tcBorders>
              <w:top w:val="single" w:color="000000" w:sz="8" w:space="0"/>
              <w:left w:val="nil"/>
              <w:bottom w:val="single" w:color="000000" w:sz="8" w:space="0"/>
              <w:right w:val="nil"/>
            </w:tcBorders>
            <w:vAlign w:val="bottom"/>
          </w:tcPr>
          <w:p w:rsidRPr="00BB0DD9" w:rsidR="00EF2F18" w:rsidP="002A6865" w:rsidRDefault="00EF2F18" w14:paraId="0FF7A1B4" w14:textId="77777777">
            <w:pPr>
              <w:pStyle w:val="TableParagraph"/>
              <w:keepNext/>
              <w:ind w:left="31"/>
              <w:jc w:val="right"/>
              <w:rPr>
                <w:rFonts w:ascii="Times New Roman" w:hAnsi="Times New Roman" w:cs="Times New Roman"/>
                <w:spacing w:val="-2"/>
                <w:sz w:val="16"/>
                <w:szCs w:val="16"/>
              </w:rPr>
            </w:pPr>
            <w:r w:rsidRPr="00BB0DD9">
              <w:rPr>
                <w:rFonts w:ascii="Times New Roman" w:hAnsi="Times New Roman" w:cs="Times New Roman"/>
                <w:spacing w:val="-2"/>
                <w:sz w:val="16"/>
                <w:szCs w:val="16"/>
              </w:rPr>
              <w:t>School characteristic</w:t>
            </w:r>
          </w:p>
        </w:tc>
        <w:tc>
          <w:tcPr>
            <w:tcW w:w="653" w:type="pct"/>
            <w:tcBorders>
              <w:top w:val="single" w:color="000000" w:sz="8" w:space="0"/>
              <w:left w:val="nil"/>
              <w:bottom w:val="single" w:color="000000" w:sz="8" w:space="0"/>
              <w:right w:val="nil"/>
            </w:tcBorders>
            <w:vAlign w:val="bottom"/>
          </w:tcPr>
          <w:p w:rsidRPr="00BB0DD9" w:rsidR="00EF2F18" w:rsidP="009C0892" w:rsidRDefault="00EF2F18" w14:paraId="2A03430B" w14:textId="77777777">
            <w:pPr>
              <w:pStyle w:val="TableParagraph"/>
              <w:keepNext/>
              <w:ind w:left="31"/>
              <w:jc w:val="right"/>
              <w:rPr>
                <w:rFonts w:ascii="Times New Roman" w:hAnsi="Times New Roman" w:cs="Times New Roman"/>
                <w:spacing w:val="-2"/>
                <w:sz w:val="16"/>
                <w:szCs w:val="16"/>
              </w:rPr>
            </w:pPr>
          </w:p>
          <w:p w:rsidRPr="00BB0DD9" w:rsidR="00EF2F18" w:rsidP="009C0892" w:rsidRDefault="00EF2F18" w14:paraId="5A2FCFDE" w14:textId="77777777">
            <w:pPr>
              <w:pStyle w:val="TableParagraph"/>
              <w:keepNext/>
              <w:ind w:left="31"/>
              <w:jc w:val="right"/>
              <w:rPr>
                <w:rFonts w:ascii="Times New Roman" w:hAnsi="Times New Roman" w:cs="Times New Roman"/>
                <w:spacing w:val="-2"/>
                <w:sz w:val="16"/>
                <w:szCs w:val="16"/>
              </w:rPr>
            </w:pPr>
            <w:r w:rsidRPr="00BB0DD9">
              <w:rPr>
                <w:rFonts w:ascii="Times New Roman" w:hAnsi="Times New Roman" w:cs="Times New Roman"/>
                <w:spacing w:val="-2"/>
                <w:sz w:val="16"/>
                <w:szCs w:val="16"/>
              </w:rPr>
              <w:t>Initial sample</w:t>
            </w:r>
          </w:p>
        </w:tc>
        <w:tc>
          <w:tcPr>
            <w:tcW w:w="543" w:type="pct"/>
            <w:tcBorders>
              <w:top w:val="single" w:color="000000" w:sz="8" w:space="0"/>
              <w:left w:val="nil"/>
              <w:bottom w:val="single" w:color="000000" w:sz="8" w:space="0"/>
              <w:right w:val="nil"/>
            </w:tcBorders>
            <w:vAlign w:val="bottom"/>
          </w:tcPr>
          <w:p w:rsidRPr="00BB0DD9" w:rsidR="00EF2F18" w:rsidP="009C0892" w:rsidRDefault="00EF2F18" w14:paraId="609C7AEC" w14:textId="110234A8">
            <w:pPr>
              <w:pStyle w:val="TableParagraph"/>
              <w:keepNext/>
              <w:ind w:left="31"/>
              <w:jc w:val="right"/>
              <w:rPr>
                <w:rFonts w:ascii="Times New Roman" w:hAnsi="Times New Roman" w:cs="Times New Roman"/>
                <w:spacing w:val="-2"/>
                <w:sz w:val="16"/>
                <w:szCs w:val="16"/>
              </w:rPr>
            </w:pPr>
            <w:r w:rsidRPr="00BB0DD9">
              <w:rPr>
                <w:rFonts w:ascii="Times New Roman" w:hAnsi="Times New Roman" w:cs="Times New Roman"/>
                <w:spacing w:val="-2"/>
                <w:sz w:val="16"/>
                <w:szCs w:val="16"/>
              </w:rPr>
              <w:t>Completed</w:t>
            </w:r>
            <w:r w:rsidRPr="00BB0DD9" w:rsidR="00D461F9">
              <w:rPr>
                <w:rFonts w:ascii="Times New Roman" w:hAnsi="Times New Roman" w:cs="Times New Roman"/>
                <w:spacing w:val="-2"/>
                <w:sz w:val="16"/>
                <w:szCs w:val="16"/>
              </w:rPr>
              <w:t xml:space="preserve"> </w:t>
            </w:r>
            <w:r w:rsidRPr="00BB0DD9">
              <w:rPr>
                <w:rFonts w:ascii="Times New Roman" w:hAnsi="Times New Roman" w:cs="Times New Roman"/>
                <w:spacing w:val="-2"/>
                <w:sz w:val="16"/>
                <w:szCs w:val="16"/>
              </w:rPr>
              <w:t>Survey</w:t>
            </w:r>
            <w:r w:rsidRPr="00BB0DD9">
              <w:rPr>
                <w:rFonts w:ascii="Times New Roman" w:hAnsi="Times New Roman" w:cs="Times New Roman"/>
                <w:spacing w:val="-2"/>
                <w:sz w:val="16"/>
                <w:szCs w:val="16"/>
                <w:vertAlign w:val="superscript"/>
              </w:rPr>
              <w:t>1</w:t>
            </w:r>
          </w:p>
        </w:tc>
        <w:tc>
          <w:tcPr>
            <w:tcW w:w="662" w:type="pct"/>
            <w:tcBorders>
              <w:top w:val="single" w:color="000000" w:sz="8" w:space="0"/>
              <w:left w:val="nil"/>
              <w:bottom w:val="single" w:color="000000" w:sz="8" w:space="0"/>
              <w:right w:val="nil"/>
            </w:tcBorders>
            <w:vAlign w:val="bottom"/>
          </w:tcPr>
          <w:p w:rsidRPr="00BB0DD9" w:rsidR="00EF2F18" w:rsidP="009C0892" w:rsidRDefault="00EF2F18" w14:paraId="6E249017" w14:textId="77777777">
            <w:pPr>
              <w:pStyle w:val="TableParagraph"/>
              <w:keepNext/>
              <w:ind w:left="31"/>
              <w:jc w:val="right"/>
              <w:rPr>
                <w:rFonts w:ascii="Times New Roman" w:hAnsi="Times New Roman" w:cs="Times New Roman"/>
                <w:spacing w:val="-2"/>
                <w:sz w:val="16"/>
                <w:szCs w:val="16"/>
              </w:rPr>
            </w:pPr>
          </w:p>
          <w:p w:rsidRPr="00BB0DD9" w:rsidR="00EF2F18" w:rsidP="009C0892" w:rsidRDefault="00EF2F18" w14:paraId="0BB8B2D4" w14:textId="77777777">
            <w:pPr>
              <w:pStyle w:val="TableParagraph"/>
              <w:keepNext/>
              <w:ind w:left="31"/>
              <w:jc w:val="right"/>
              <w:rPr>
                <w:rFonts w:ascii="Times New Roman" w:hAnsi="Times New Roman" w:cs="Times New Roman"/>
                <w:spacing w:val="-2"/>
                <w:sz w:val="16"/>
                <w:szCs w:val="16"/>
              </w:rPr>
            </w:pPr>
            <w:r w:rsidRPr="00BB0DD9">
              <w:rPr>
                <w:rFonts w:ascii="Times New Roman" w:hAnsi="Times New Roman" w:cs="Times New Roman"/>
                <w:spacing w:val="-2"/>
                <w:sz w:val="16"/>
                <w:szCs w:val="16"/>
              </w:rPr>
              <w:t>Non- respondents</w:t>
            </w:r>
            <w:r w:rsidRPr="00BB0DD9">
              <w:rPr>
                <w:rFonts w:ascii="Times New Roman" w:hAnsi="Times New Roman" w:cs="Times New Roman"/>
                <w:spacing w:val="-2"/>
                <w:sz w:val="16"/>
                <w:szCs w:val="16"/>
                <w:vertAlign w:val="superscript"/>
              </w:rPr>
              <w:t>2</w:t>
            </w:r>
          </w:p>
        </w:tc>
        <w:tc>
          <w:tcPr>
            <w:tcW w:w="505" w:type="pct"/>
            <w:tcBorders>
              <w:top w:val="single" w:color="000000" w:sz="8" w:space="0"/>
              <w:left w:val="nil"/>
              <w:bottom w:val="single" w:color="000000" w:sz="8" w:space="0"/>
              <w:right w:val="nil"/>
            </w:tcBorders>
            <w:vAlign w:val="bottom"/>
          </w:tcPr>
          <w:p w:rsidRPr="00BB0DD9" w:rsidR="00EF2F18" w:rsidP="00987D34" w:rsidRDefault="00EF2F18" w14:paraId="47B114DB" w14:textId="77777777">
            <w:pPr>
              <w:pStyle w:val="TableParagraph"/>
              <w:keepNext/>
              <w:ind w:left="158"/>
              <w:jc w:val="right"/>
              <w:rPr>
                <w:rFonts w:ascii="Times New Roman" w:hAnsi="Times New Roman" w:cs="Times New Roman"/>
                <w:spacing w:val="-1"/>
                <w:sz w:val="16"/>
                <w:szCs w:val="16"/>
              </w:rPr>
            </w:pPr>
          </w:p>
          <w:p w:rsidRPr="00BB0DD9" w:rsidR="00EF2F18" w:rsidP="00987D34" w:rsidRDefault="00EF2F18" w14:paraId="6F79E4FB" w14:textId="77777777">
            <w:pPr>
              <w:pStyle w:val="TableParagraph"/>
              <w:keepNext/>
              <w:ind w:left="158"/>
              <w:jc w:val="right"/>
              <w:rPr>
                <w:rFonts w:ascii="Times New Roman" w:hAnsi="Times New Roman" w:cs="Times New Roman"/>
                <w:spacing w:val="-1"/>
                <w:sz w:val="16"/>
                <w:szCs w:val="16"/>
              </w:rPr>
            </w:pPr>
          </w:p>
          <w:p w:rsidRPr="00BB0DD9" w:rsidR="00EF2F18" w:rsidP="00987D34" w:rsidRDefault="00EF2F18" w14:paraId="32525FB4" w14:textId="77777777">
            <w:pPr>
              <w:pStyle w:val="TableParagraph"/>
              <w:keepNext/>
              <w:ind w:left="158"/>
              <w:jc w:val="right"/>
              <w:rPr>
                <w:rFonts w:ascii="Times New Roman" w:hAnsi="Times New Roman" w:cs="Times New Roman"/>
                <w:spacing w:val="-1"/>
                <w:sz w:val="16"/>
                <w:szCs w:val="16"/>
              </w:rPr>
            </w:pPr>
            <w:r w:rsidRPr="00BB0DD9">
              <w:rPr>
                <w:rFonts w:ascii="Times New Roman" w:hAnsi="Times New Roman" w:cs="Times New Roman"/>
                <w:spacing w:val="-1"/>
                <w:sz w:val="16"/>
                <w:szCs w:val="16"/>
              </w:rPr>
              <w:t>Ineligible</w:t>
            </w:r>
            <w:r w:rsidRPr="00BB0DD9">
              <w:rPr>
                <w:rFonts w:ascii="Times New Roman" w:hAnsi="Times New Roman" w:cs="Times New Roman"/>
                <w:spacing w:val="-1"/>
                <w:sz w:val="16"/>
                <w:szCs w:val="16"/>
                <w:vertAlign w:val="superscript"/>
              </w:rPr>
              <w:t>3</w:t>
            </w:r>
          </w:p>
        </w:tc>
        <w:tc>
          <w:tcPr>
            <w:tcW w:w="775" w:type="pct"/>
            <w:tcBorders>
              <w:top w:val="single" w:color="000000" w:sz="8" w:space="0"/>
              <w:left w:val="nil"/>
              <w:bottom w:val="single" w:color="000000" w:sz="8" w:space="0"/>
              <w:right w:val="nil"/>
            </w:tcBorders>
            <w:vAlign w:val="bottom"/>
          </w:tcPr>
          <w:p w:rsidRPr="00BB0DD9" w:rsidR="00EF2F18" w:rsidP="009C0892" w:rsidRDefault="00EF2F18" w14:paraId="153BEC48" w14:textId="3FBBF04E">
            <w:pPr>
              <w:pStyle w:val="TableParagraph"/>
              <w:keepNext/>
              <w:ind w:left="31"/>
              <w:jc w:val="right"/>
              <w:rPr>
                <w:rFonts w:ascii="Times New Roman" w:hAnsi="Times New Roman" w:cs="Times New Roman"/>
                <w:spacing w:val="-2"/>
                <w:sz w:val="16"/>
                <w:szCs w:val="16"/>
              </w:rPr>
            </w:pPr>
            <w:r w:rsidRPr="00BB0DD9">
              <w:rPr>
                <w:rFonts w:ascii="Times New Roman" w:hAnsi="Times New Roman" w:cs="Times New Roman"/>
                <w:spacing w:val="-2"/>
                <w:sz w:val="16"/>
                <w:szCs w:val="16"/>
              </w:rPr>
              <w:t>Unweighted response</w:t>
            </w:r>
            <w:r w:rsidRPr="00BB0DD9" w:rsidR="00D461F9">
              <w:rPr>
                <w:rFonts w:ascii="Times New Roman" w:hAnsi="Times New Roman" w:cs="Times New Roman"/>
                <w:spacing w:val="-2"/>
                <w:sz w:val="16"/>
                <w:szCs w:val="16"/>
              </w:rPr>
              <w:t xml:space="preserve"> </w:t>
            </w:r>
            <w:r w:rsidRPr="00BB0DD9">
              <w:rPr>
                <w:rFonts w:ascii="Times New Roman" w:hAnsi="Times New Roman" w:cs="Times New Roman"/>
                <w:spacing w:val="-2"/>
                <w:sz w:val="16"/>
                <w:szCs w:val="16"/>
              </w:rPr>
              <w:t>rate (percent)</w:t>
            </w:r>
            <w:r w:rsidRPr="00BB0DD9">
              <w:rPr>
                <w:rFonts w:ascii="Times New Roman" w:hAnsi="Times New Roman" w:cs="Times New Roman"/>
                <w:spacing w:val="-2"/>
                <w:sz w:val="16"/>
                <w:szCs w:val="16"/>
                <w:vertAlign w:val="superscript"/>
              </w:rPr>
              <w:t>4</w:t>
            </w:r>
          </w:p>
        </w:tc>
        <w:tc>
          <w:tcPr>
            <w:tcW w:w="719" w:type="pct"/>
            <w:tcBorders>
              <w:top w:val="single" w:color="000000" w:sz="8" w:space="0"/>
              <w:left w:val="nil"/>
              <w:bottom w:val="single" w:color="000000" w:sz="8" w:space="0"/>
              <w:right w:val="nil"/>
            </w:tcBorders>
            <w:vAlign w:val="bottom"/>
          </w:tcPr>
          <w:p w:rsidRPr="00BB0DD9" w:rsidR="00EF2F18" w:rsidP="009C0892" w:rsidRDefault="00EF2F18" w14:paraId="6E277AA4" w14:textId="721F432E">
            <w:pPr>
              <w:pStyle w:val="TableParagraph"/>
              <w:keepNext/>
              <w:ind w:left="31"/>
              <w:jc w:val="right"/>
              <w:rPr>
                <w:rFonts w:ascii="Times New Roman" w:hAnsi="Times New Roman" w:cs="Times New Roman"/>
                <w:spacing w:val="-2"/>
                <w:sz w:val="16"/>
                <w:szCs w:val="16"/>
              </w:rPr>
            </w:pPr>
            <w:r w:rsidRPr="00BB0DD9">
              <w:rPr>
                <w:rFonts w:ascii="Times New Roman" w:hAnsi="Times New Roman" w:cs="Times New Roman"/>
                <w:spacing w:val="-2"/>
                <w:sz w:val="16"/>
                <w:szCs w:val="16"/>
              </w:rPr>
              <w:t>Weighted response</w:t>
            </w:r>
            <w:r w:rsidRPr="00BB0DD9" w:rsidR="00D461F9">
              <w:rPr>
                <w:rFonts w:ascii="Times New Roman" w:hAnsi="Times New Roman" w:cs="Times New Roman"/>
                <w:spacing w:val="-2"/>
                <w:sz w:val="16"/>
                <w:szCs w:val="16"/>
              </w:rPr>
              <w:t xml:space="preserve"> </w:t>
            </w:r>
            <w:r w:rsidRPr="00BB0DD9">
              <w:rPr>
                <w:rFonts w:ascii="Times New Roman" w:hAnsi="Times New Roman" w:cs="Times New Roman"/>
                <w:spacing w:val="-2"/>
                <w:sz w:val="16"/>
                <w:szCs w:val="16"/>
              </w:rPr>
              <w:t>rate (percent)</w:t>
            </w:r>
            <w:r w:rsidRPr="00BB0DD9">
              <w:rPr>
                <w:rFonts w:ascii="Times New Roman" w:hAnsi="Times New Roman" w:cs="Times New Roman"/>
                <w:spacing w:val="-2"/>
                <w:sz w:val="16"/>
                <w:szCs w:val="16"/>
                <w:vertAlign w:val="superscript"/>
              </w:rPr>
              <w:t>5</w:t>
            </w:r>
          </w:p>
        </w:tc>
      </w:tr>
      <w:tr w:rsidRPr="00BB0DD9" w:rsidR="00EF2F18" w:rsidTr="00D461F9" w14:paraId="2A90E442" w14:textId="77777777">
        <w:trPr>
          <w:trHeight w:val="229" w:hRule="exact"/>
        </w:trPr>
        <w:tc>
          <w:tcPr>
            <w:tcW w:w="1143" w:type="pct"/>
            <w:tcBorders>
              <w:top w:val="single" w:color="000000" w:sz="8" w:space="0"/>
              <w:left w:val="nil"/>
              <w:bottom w:val="nil"/>
              <w:right w:val="nil"/>
            </w:tcBorders>
          </w:tcPr>
          <w:p w:rsidRPr="00BB0DD9" w:rsidR="00EF2F18" w:rsidP="009F74CA" w:rsidRDefault="00EF2F18" w14:paraId="2FB4A972" w14:textId="77777777">
            <w:pPr>
              <w:pStyle w:val="TableParagraph"/>
              <w:keepNext/>
              <w:spacing w:before="7"/>
              <w:ind w:left="275"/>
              <w:rPr>
                <w:rFonts w:ascii="Times New Roman" w:hAnsi="Times New Roman" w:eastAsia="Arial" w:cs="Times New Roman"/>
                <w:sz w:val="16"/>
                <w:szCs w:val="16"/>
              </w:rPr>
            </w:pPr>
            <w:r w:rsidRPr="00BB0DD9">
              <w:rPr>
                <w:rFonts w:ascii="Times New Roman" w:hAnsi="Times New Roman" w:cs="Times New Roman"/>
                <w:spacing w:val="-2"/>
                <w:sz w:val="16"/>
                <w:szCs w:val="16"/>
              </w:rPr>
              <w:t>Total</w:t>
            </w:r>
          </w:p>
        </w:tc>
        <w:tc>
          <w:tcPr>
            <w:tcW w:w="653" w:type="pct"/>
            <w:tcBorders>
              <w:top w:val="single" w:color="000000" w:sz="8" w:space="0"/>
              <w:left w:val="nil"/>
              <w:bottom w:val="nil"/>
              <w:right w:val="nil"/>
            </w:tcBorders>
            <w:vAlign w:val="bottom"/>
          </w:tcPr>
          <w:p w:rsidRPr="00BB0DD9" w:rsidR="00EF2F18" w:rsidP="009F74CA" w:rsidRDefault="00EF2F18" w14:paraId="40D53DC6" w14:textId="77777777">
            <w:pPr>
              <w:pStyle w:val="TableParagraph"/>
              <w:keepNext/>
              <w:spacing w:before="7"/>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4,803</w:t>
            </w:r>
          </w:p>
        </w:tc>
        <w:tc>
          <w:tcPr>
            <w:tcW w:w="543" w:type="pct"/>
            <w:tcBorders>
              <w:top w:val="single" w:color="000000" w:sz="8" w:space="0"/>
              <w:left w:val="nil"/>
              <w:bottom w:val="nil"/>
              <w:right w:val="nil"/>
            </w:tcBorders>
            <w:vAlign w:val="bottom"/>
          </w:tcPr>
          <w:p w:rsidRPr="00BB0DD9" w:rsidR="00EF2F18" w:rsidP="009F74CA" w:rsidRDefault="00EF2F18" w14:paraId="4FAFBA15" w14:textId="77777777">
            <w:pPr>
              <w:pStyle w:val="TableParagraph"/>
              <w:keepNext/>
              <w:spacing w:before="7"/>
              <w:ind w:left="477"/>
              <w:jc w:val="right"/>
              <w:rPr>
                <w:rFonts w:ascii="Times New Roman" w:hAnsi="Times New Roman" w:eastAsia="Arial" w:cs="Times New Roman"/>
                <w:sz w:val="16"/>
                <w:szCs w:val="16"/>
              </w:rPr>
            </w:pPr>
            <w:r w:rsidRPr="00BB0DD9">
              <w:rPr>
                <w:rFonts w:ascii="Times New Roman" w:hAnsi="Times New Roman" w:cs="Times New Roman"/>
                <w:sz w:val="18"/>
                <w:szCs w:val="18"/>
              </w:rPr>
              <w:t>2,762</w:t>
            </w:r>
          </w:p>
        </w:tc>
        <w:tc>
          <w:tcPr>
            <w:tcW w:w="662" w:type="pct"/>
            <w:tcBorders>
              <w:top w:val="single" w:color="000000" w:sz="8" w:space="0"/>
              <w:left w:val="nil"/>
              <w:bottom w:val="nil"/>
              <w:right w:val="nil"/>
            </w:tcBorders>
            <w:vAlign w:val="bottom"/>
          </w:tcPr>
          <w:p w:rsidRPr="00BB0DD9" w:rsidR="00EF2F18" w:rsidP="009F74CA" w:rsidRDefault="00EF2F18" w14:paraId="238299B6" w14:textId="77777777">
            <w:pPr>
              <w:pStyle w:val="TableParagraph"/>
              <w:keepNext/>
              <w:spacing w:before="7"/>
              <w:jc w:val="right"/>
              <w:rPr>
                <w:rFonts w:ascii="Times New Roman" w:hAnsi="Times New Roman" w:eastAsia="Arial" w:cs="Times New Roman"/>
                <w:sz w:val="16"/>
                <w:szCs w:val="16"/>
              </w:rPr>
            </w:pPr>
            <w:r w:rsidRPr="00BB0DD9">
              <w:rPr>
                <w:rFonts w:ascii="Times New Roman" w:hAnsi="Times New Roman" w:cs="Times New Roman"/>
                <w:sz w:val="18"/>
                <w:szCs w:val="18"/>
              </w:rPr>
              <w:t>1,975</w:t>
            </w:r>
          </w:p>
        </w:tc>
        <w:tc>
          <w:tcPr>
            <w:tcW w:w="505" w:type="pct"/>
            <w:tcBorders>
              <w:top w:val="single" w:color="000000" w:sz="8" w:space="0"/>
              <w:left w:val="nil"/>
              <w:bottom w:val="nil"/>
              <w:right w:val="nil"/>
            </w:tcBorders>
            <w:vAlign w:val="bottom"/>
          </w:tcPr>
          <w:p w:rsidRPr="00BB0DD9" w:rsidR="00EF2F18" w:rsidP="009F74CA" w:rsidRDefault="00EF2F18" w14:paraId="644FAC0A" w14:textId="77777777">
            <w:pPr>
              <w:pStyle w:val="TableParagraph"/>
              <w:keepNext/>
              <w:spacing w:before="7"/>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66</w:t>
            </w:r>
          </w:p>
        </w:tc>
        <w:tc>
          <w:tcPr>
            <w:tcW w:w="775" w:type="pct"/>
            <w:tcBorders>
              <w:top w:val="single" w:color="000000" w:sz="8" w:space="0"/>
              <w:left w:val="nil"/>
              <w:bottom w:val="nil"/>
              <w:right w:val="nil"/>
            </w:tcBorders>
            <w:vAlign w:val="bottom"/>
          </w:tcPr>
          <w:p w:rsidRPr="00BB0DD9" w:rsidR="00EF2F18" w:rsidP="009F74CA" w:rsidRDefault="00EF2F18" w14:paraId="5F87DC10" w14:textId="77777777">
            <w:pPr>
              <w:pStyle w:val="TableParagraph"/>
              <w:keepNext/>
              <w:spacing w:before="7"/>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58.3</w:t>
            </w:r>
          </w:p>
        </w:tc>
        <w:tc>
          <w:tcPr>
            <w:tcW w:w="719" w:type="pct"/>
            <w:tcBorders>
              <w:top w:val="single" w:color="000000" w:sz="8" w:space="0"/>
              <w:left w:val="nil"/>
              <w:bottom w:val="nil"/>
              <w:right w:val="nil"/>
            </w:tcBorders>
            <w:vAlign w:val="bottom"/>
          </w:tcPr>
          <w:p w:rsidRPr="00BB0DD9" w:rsidR="00EF2F18" w:rsidP="009F74CA" w:rsidRDefault="00EF2F18" w14:paraId="7A12493F" w14:textId="77777777">
            <w:pPr>
              <w:pStyle w:val="TableParagraph"/>
              <w:keepNext/>
              <w:spacing w:before="7"/>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61.7</w:t>
            </w:r>
          </w:p>
        </w:tc>
      </w:tr>
      <w:tr w:rsidRPr="00BB0DD9" w:rsidR="00EF2F18" w:rsidTr="009F74CA" w14:paraId="500A2DD3" w14:textId="77777777">
        <w:trPr>
          <w:trHeight w:val="288" w:hRule="exact"/>
        </w:trPr>
        <w:tc>
          <w:tcPr>
            <w:tcW w:w="5000" w:type="pct"/>
            <w:gridSpan w:val="7"/>
            <w:tcBorders>
              <w:top w:val="nil"/>
              <w:left w:val="nil"/>
              <w:bottom w:val="nil"/>
              <w:right w:val="nil"/>
            </w:tcBorders>
          </w:tcPr>
          <w:p w:rsidRPr="00BB0DD9" w:rsidR="00EF2F18" w:rsidP="009F74CA" w:rsidRDefault="00EF2F18" w14:paraId="139180E3" w14:textId="77777777">
            <w:pPr>
              <w:pStyle w:val="TableParagraph"/>
              <w:keepNext/>
              <w:spacing w:before="43"/>
              <w:ind w:left="31"/>
              <w:rPr>
                <w:rFonts w:ascii="Times New Roman" w:hAnsi="Times New Roman" w:eastAsia="Arial" w:cs="Times New Roman"/>
                <w:sz w:val="16"/>
                <w:szCs w:val="16"/>
              </w:rPr>
            </w:pPr>
            <w:r w:rsidRPr="00BB0DD9">
              <w:rPr>
                <w:rFonts w:ascii="Times New Roman" w:hAnsi="Times New Roman" w:cs="Times New Roman"/>
                <w:spacing w:val="-1"/>
                <w:sz w:val="16"/>
                <w:szCs w:val="16"/>
              </w:rPr>
              <w:t>Level</w:t>
            </w:r>
            <w:r w:rsidRPr="00BB0DD9">
              <w:rPr>
                <w:rFonts w:ascii="Times New Roman" w:hAnsi="Times New Roman" w:cs="Times New Roman"/>
                <w:spacing w:val="-1"/>
                <w:sz w:val="16"/>
                <w:szCs w:val="16"/>
                <w:vertAlign w:val="superscript"/>
              </w:rPr>
              <w:t>6</w:t>
            </w:r>
          </w:p>
        </w:tc>
      </w:tr>
      <w:tr w:rsidRPr="00BB0DD9" w:rsidR="00EF2F18" w:rsidTr="00D461F9" w14:paraId="2C7727E6" w14:textId="77777777">
        <w:trPr>
          <w:trHeight w:val="205" w:hRule="exact"/>
        </w:trPr>
        <w:tc>
          <w:tcPr>
            <w:tcW w:w="1143" w:type="pct"/>
            <w:tcBorders>
              <w:top w:val="nil"/>
              <w:left w:val="nil"/>
              <w:bottom w:val="nil"/>
              <w:right w:val="nil"/>
            </w:tcBorders>
          </w:tcPr>
          <w:p w:rsidRPr="00BB0DD9" w:rsidR="00EF2F18" w:rsidP="009F74CA" w:rsidRDefault="00EF2F18" w14:paraId="318CDBAF" w14:textId="77777777">
            <w:pPr>
              <w:pStyle w:val="TableParagraph"/>
              <w:keepNext/>
              <w:spacing w:before="4"/>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Primary</w:t>
            </w:r>
          </w:p>
        </w:tc>
        <w:tc>
          <w:tcPr>
            <w:tcW w:w="653" w:type="pct"/>
            <w:tcBorders>
              <w:top w:val="nil"/>
              <w:left w:val="nil"/>
              <w:bottom w:val="nil"/>
              <w:right w:val="nil"/>
            </w:tcBorders>
            <w:vAlign w:val="bottom"/>
          </w:tcPr>
          <w:p w:rsidRPr="00BB0DD9" w:rsidR="00EF2F18" w:rsidP="009F74CA" w:rsidRDefault="00EF2F18" w14:paraId="03D48EDC" w14:textId="77777777">
            <w:pPr>
              <w:pStyle w:val="TableParagraph"/>
              <w:keepNext/>
              <w:spacing w:before="4"/>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1,170</w:t>
            </w:r>
          </w:p>
        </w:tc>
        <w:tc>
          <w:tcPr>
            <w:tcW w:w="543" w:type="pct"/>
            <w:tcBorders>
              <w:top w:val="nil"/>
              <w:left w:val="nil"/>
              <w:bottom w:val="nil"/>
              <w:right w:val="nil"/>
            </w:tcBorders>
            <w:vAlign w:val="bottom"/>
          </w:tcPr>
          <w:p w:rsidRPr="00BB0DD9" w:rsidR="00EF2F18" w:rsidP="009F74CA" w:rsidRDefault="00EF2F18" w14:paraId="0C794FF0" w14:textId="77777777">
            <w:pPr>
              <w:pStyle w:val="TableParagraph"/>
              <w:keepNext/>
              <w:spacing w:before="4"/>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671</w:t>
            </w:r>
          </w:p>
        </w:tc>
        <w:tc>
          <w:tcPr>
            <w:tcW w:w="662" w:type="pct"/>
            <w:tcBorders>
              <w:top w:val="nil"/>
              <w:left w:val="nil"/>
              <w:bottom w:val="nil"/>
              <w:right w:val="nil"/>
            </w:tcBorders>
            <w:vAlign w:val="bottom"/>
          </w:tcPr>
          <w:p w:rsidRPr="00BB0DD9" w:rsidR="00EF2F18" w:rsidP="009F74CA" w:rsidRDefault="00EF2F18" w14:paraId="24FC5EA4" w14:textId="77777777">
            <w:pPr>
              <w:pStyle w:val="TableParagraph"/>
              <w:keepNext/>
              <w:spacing w:before="4"/>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477</w:t>
            </w:r>
          </w:p>
        </w:tc>
        <w:tc>
          <w:tcPr>
            <w:tcW w:w="505" w:type="pct"/>
            <w:tcBorders>
              <w:top w:val="nil"/>
              <w:left w:val="nil"/>
              <w:bottom w:val="nil"/>
              <w:right w:val="nil"/>
            </w:tcBorders>
            <w:vAlign w:val="bottom"/>
          </w:tcPr>
          <w:p w:rsidRPr="00BB0DD9" w:rsidR="00EF2F18" w:rsidP="009F74CA" w:rsidRDefault="00EF2F18" w14:paraId="00C772C1" w14:textId="77777777">
            <w:pPr>
              <w:pStyle w:val="TableParagraph"/>
              <w:keepNext/>
              <w:spacing w:before="4"/>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22</w:t>
            </w:r>
          </w:p>
        </w:tc>
        <w:tc>
          <w:tcPr>
            <w:tcW w:w="775" w:type="pct"/>
            <w:tcBorders>
              <w:top w:val="nil"/>
              <w:left w:val="nil"/>
              <w:bottom w:val="nil"/>
              <w:right w:val="nil"/>
            </w:tcBorders>
            <w:vAlign w:val="bottom"/>
          </w:tcPr>
          <w:p w:rsidRPr="00BB0DD9" w:rsidR="00EF2F18" w:rsidP="009F74CA" w:rsidRDefault="00EF2F18" w14:paraId="7E89F9ED" w14:textId="77777777">
            <w:pPr>
              <w:pStyle w:val="TableParagraph"/>
              <w:keepNext/>
              <w:spacing w:before="4"/>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58.4</w:t>
            </w:r>
          </w:p>
        </w:tc>
        <w:tc>
          <w:tcPr>
            <w:tcW w:w="719" w:type="pct"/>
            <w:tcBorders>
              <w:top w:val="nil"/>
              <w:left w:val="nil"/>
              <w:bottom w:val="nil"/>
              <w:right w:val="nil"/>
            </w:tcBorders>
            <w:vAlign w:val="bottom"/>
          </w:tcPr>
          <w:p w:rsidRPr="00BB0DD9" w:rsidR="00EF2F18" w:rsidP="009F74CA" w:rsidRDefault="00EF2F18" w14:paraId="0E45F290" w14:textId="77777777">
            <w:pPr>
              <w:pStyle w:val="TableParagraph"/>
              <w:keepNext/>
              <w:spacing w:before="4"/>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60.8</w:t>
            </w:r>
          </w:p>
        </w:tc>
      </w:tr>
      <w:tr w:rsidRPr="00BB0DD9" w:rsidR="00EF2F18" w:rsidTr="00D461F9" w14:paraId="7B5E216C" w14:textId="77777777">
        <w:trPr>
          <w:trHeight w:val="214" w:hRule="exact"/>
        </w:trPr>
        <w:tc>
          <w:tcPr>
            <w:tcW w:w="1143" w:type="pct"/>
            <w:tcBorders>
              <w:top w:val="nil"/>
              <w:left w:val="nil"/>
              <w:bottom w:val="nil"/>
              <w:right w:val="nil"/>
            </w:tcBorders>
          </w:tcPr>
          <w:p w:rsidRPr="00BB0DD9" w:rsidR="00EF2F18" w:rsidP="009F74CA" w:rsidRDefault="00EF2F18" w14:paraId="7242751F"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Middle</w:t>
            </w:r>
          </w:p>
        </w:tc>
        <w:tc>
          <w:tcPr>
            <w:tcW w:w="653" w:type="pct"/>
            <w:tcBorders>
              <w:top w:val="nil"/>
              <w:left w:val="nil"/>
              <w:bottom w:val="nil"/>
              <w:right w:val="nil"/>
            </w:tcBorders>
            <w:vAlign w:val="bottom"/>
          </w:tcPr>
          <w:p w:rsidRPr="00BB0DD9" w:rsidR="00EF2F18" w:rsidP="009F74CA" w:rsidRDefault="00EF2F18" w14:paraId="7A942CE8"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1,704</w:t>
            </w:r>
          </w:p>
        </w:tc>
        <w:tc>
          <w:tcPr>
            <w:tcW w:w="543" w:type="pct"/>
            <w:tcBorders>
              <w:top w:val="nil"/>
              <w:left w:val="nil"/>
              <w:bottom w:val="nil"/>
              <w:right w:val="nil"/>
            </w:tcBorders>
            <w:vAlign w:val="bottom"/>
          </w:tcPr>
          <w:p w:rsidRPr="00BB0DD9" w:rsidR="00EF2F18" w:rsidP="009F74CA" w:rsidRDefault="00EF2F18" w14:paraId="218BA9DB"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975</w:t>
            </w:r>
          </w:p>
        </w:tc>
        <w:tc>
          <w:tcPr>
            <w:tcW w:w="662" w:type="pct"/>
            <w:tcBorders>
              <w:top w:val="nil"/>
              <w:left w:val="nil"/>
              <w:bottom w:val="nil"/>
              <w:right w:val="nil"/>
            </w:tcBorders>
            <w:vAlign w:val="bottom"/>
          </w:tcPr>
          <w:p w:rsidRPr="00BB0DD9" w:rsidR="00EF2F18" w:rsidP="009F74CA" w:rsidRDefault="00EF2F18" w14:paraId="06000DDB"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703</w:t>
            </w:r>
          </w:p>
        </w:tc>
        <w:tc>
          <w:tcPr>
            <w:tcW w:w="505" w:type="pct"/>
            <w:tcBorders>
              <w:top w:val="nil"/>
              <w:left w:val="nil"/>
              <w:bottom w:val="nil"/>
              <w:right w:val="nil"/>
            </w:tcBorders>
            <w:vAlign w:val="bottom"/>
          </w:tcPr>
          <w:p w:rsidRPr="00BB0DD9" w:rsidR="00EF2F18" w:rsidP="009F74CA" w:rsidRDefault="00EF2F18" w14:paraId="4B202F20"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26</w:t>
            </w:r>
          </w:p>
        </w:tc>
        <w:tc>
          <w:tcPr>
            <w:tcW w:w="775" w:type="pct"/>
            <w:tcBorders>
              <w:top w:val="nil"/>
              <w:left w:val="nil"/>
              <w:bottom w:val="nil"/>
              <w:right w:val="nil"/>
            </w:tcBorders>
            <w:vAlign w:val="bottom"/>
          </w:tcPr>
          <w:p w:rsidRPr="00BB0DD9" w:rsidR="00EF2F18" w:rsidP="009F74CA" w:rsidRDefault="00EF2F18" w14:paraId="2CBCAAAE"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58.1</w:t>
            </w:r>
          </w:p>
        </w:tc>
        <w:tc>
          <w:tcPr>
            <w:tcW w:w="719" w:type="pct"/>
            <w:tcBorders>
              <w:top w:val="nil"/>
              <w:left w:val="nil"/>
              <w:bottom w:val="nil"/>
              <w:right w:val="nil"/>
            </w:tcBorders>
            <w:vAlign w:val="bottom"/>
          </w:tcPr>
          <w:p w:rsidRPr="00BB0DD9" w:rsidR="00EF2F18" w:rsidP="009F74CA" w:rsidRDefault="00EF2F18" w14:paraId="5CEC96B2"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60.7</w:t>
            </w:r>
          </w:p>
        </w:tc>
      </w:tr>
      <w:tr w:rsidRPr="00BB0DD9" w:rsidR="00EF2F18" w:rsidTr="00D461F9" w14:paraId="47303FB8" w14:textId="77777777">
        <w:trPr>
          <w:trHeight w:val="214" w:hRule="exact"/>
        </w:trPr>
        <w:tc>
          <w:tcPr>
            <w:tcW w:w="1143" w:type="pct"/>
            <w:tcBorders>
              <w:top w:val="nil"/>
              <w:left w:val="nil"/>
              <w:bottom w:val="nil"/>
              <w:right w:val="nil"/>
            </w:tcBorders>
          </w:tcPr>
          <w:p w:rsidRPr="00BB0DD9" w:rsidR="00EF2F18" w:rsidP="009F74CA" w:rsidRDefault="00EF2F18" w14:paraId="6535289D"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High</w:t>
            </w:r>
            <w:r w:rsidRPr="00BB0DD9">
              <w:rPr>
                <w:rFonts w:ascii="Times New Roman" w:hAnsi="Times New Roman" w:cs="Times New Roman"/>
                <w:spacing w:val="-11"/>
                <w:sz w:val="16"/>
                <w:szCs w:val="16"/>
              </w:rPr>
              <w:t xml:space="preserve"> </w:t>
            </w:r>
            <w:r w:rsidRPr="00BB0DD9">
              <w:rPr>
                <w:rFonts w:ascii="Times New Roman" w:hAnsi="Times New Roman" w:cs="Times New Roman"/>
                <w:spacing w:val="-2"/>
                <w:sz w:val="16"/>
                <w:szCs w:val="16"/>
              </w:rPr>
              <w:t>school</w:t>
            </w:r>
          </w:p>
        </w:tc>
        <w:tc>
          <w:tcPr>
            <w:tcW w:w="653" w:type="pct"/>
            <w:tcBorders>
              <w:top w:val="nil"/>
              <w:left w:val="nil"/>
              <w:bottom w:val="nil"/>
              <w:right w:val="nil"/>
            </w:tcBorders>
            <w:vAlign w:val="bottom"/>
          </w:tcPr>
          <w:p w:rsidRPr="00BB0DD9" w:rsidR="00EF2F18" w:rsidP="009F74CA" w:rsidRDefault="00EF2F18" w14:paraId="4363FCF4"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1,748</w:t>
            </w:r>
          </w:p>
        </w:tc>
        <w:tc>
          <w:tcPr>
            <w:tcW w:w="543" w:type="pct"/>
            <w:tcBorders>
              <w:top w:val="nil"/>
              <w:left w:val="nil"/>
              <w:bottom w:val="nil"/>
              <w:right w:val="nil"/>
            </w:tcBorders>
            <w:vAlign w:val="bottom"/>
          </w:tcPr>
          <w:p w:rsidRPr="00BB0DD9" w:rsidR="00EF2F18" w:rsidP="009F74CA" w:rsidRDefault="00EF2F18" w14:paraId="6DEC0863"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997</w:t>
            </w:r>
          </w:p>
        </w:tc>
        <w:tc>
          <w:tcPr>
            <w:tcW w:w="662" w:type="pct"/>
            <w:tcBorders>
              <w:top w:val="nil"/>
              <w:left w:val="nil"/>
              <w:bottom w:val="nil"/>
              <w:right w:val="nil"/>
            </w:tcBorders>
            <w:vAlign w:val="bottom"/>
          </w:tcPr>
          <w:p w:rsidRPr="00BB0DD9" w:rsidR="00EF2F18" w:rsidP="009F74CA" w:rsidRDefault="00EF2F18" w14:paraId="130A9F73"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740</w:t>
            </w:r>
          </w:p>
        </w:tc>
        <w:tc>
          <w:tcPr>
            <w:tcW w:w="505" w:type="pct"/>
            <w:tcBorders>
              <w:top w:val="nil"/>
              <w:left w:val="nil"/>
              <w:bottom w:val="nil"/>
              <w:right w:val="nil"/>
            </w:tcBorders>
            <w:vAlign w:val="bottom"/>
          </w:tcPr>
          <w:p w:rsidRPr="00BB0DD9" w:rsidR="00EF2F18" w:rsidP="009F74CA" w:rsidRDefault="00EF2F18" w14:paraId="1993BE65"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11</w:t>
            </w:r>
          </w:p>
        </w:tc>
        <w:tc>
          <w:tcPr>
            <w:tcW w:w="775" w:type="pct"/>
            <w:tcBorders>
              <w:top w:val="nil"/>
              <w:left w:val="nil"/>
              <w:bottom w:val="nil"/>
              <w:right w:val="nil"/>
            </w:tcBorders>
            <w:vAlign w:val="bottom"/>
          </w:tcPr>
          <w:p w:rsidRPr="00BB0DD9" w:rsidR="00EF2F18" w:rsidP="009F74CA" w:rsidRDefault="00EF2F18" w14:paraId="53FBE455"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57.4</w:t>
            </w:r>
          </w:p>
        </w:tc>
        <w:tc>
          <w:tcPr>
            <w:tcW w:w="719" w:type="pct"/>
            <w:tcBorders>
              <w:top w:val="nil"/>
              <w:left w:val="nil"/>
              <w:bottom w:val="nil"/>
              <w:right w:val="nil"/>
            </w:tcBorders>
            <w:vAlign w:val="bottom"/>
          </w:tcPr>
          <w:p w:rsidRPr="00BB0DD9" w:rsidR="00EF2F18" w:rsidP="009F74CA" w:rsidRDefault="00EF2F18" w14:paraId="01738133"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61.4</w:t>
            </w:r>
          </w:p>
        </w:tc>
      </w:tr>
      <w:tr w:rsidRPr="00BB0DD9" w:rsidR="00EF2F18" w:rsidTr="00D461F9" w14:paraId="094BE0DF" w14:textId="77777777">
        <w:trPr>
          <w:trHeight w:val="244" w:hRule="exact"/>
        </w:trPr>
        <w:tc>
          <w:tcPr>
            <w:tcW w:w="1143" w:type="pct"/>
            <w:tcBorders>
              <w:top w:val="nil"/>
              <w:left w:val="nil"/>
              <w:bottom w:val="nil"/>
              <w:right w:val="nil"/>
            </w:tcBorders>
          </w:tcPr>
          <w:p w:rsidRPr="00BB0DD9" w:rsidR="00EF2F18" w:rsidP="009F74CA" w:rsidRDefault="00EF2F18" w14:paraId="2109468B"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Combined</w:t>
            </w:r>
          </w:p>
        </w:tc>
        <w:tc>
          <w:tcPr>
            <w:tcW w:w="653" w:type="pct"/>
            <w:tcBorders>
              <w:top w:val="nil"/>
              <w:left w:val="nil"/>
              <w:bottom w:val="nil"/>
              <w:right w:val="nil"/>
            </w:tcBorders>
            <w:vAlign w:val="bottom"/>
          </w:tcPr>
          <w:p w:rsidRPr="00BB0DD9" w:rsidR="00EF2F18" w:rsidP="009F74CA" w:rsidRDefault="00EF2F18" w14:paraId="7BE4197C" w14:textId="77777777">
            <w:pPr>
              <w:pStyle w:val="TableParagraph"/>
              <w:keepNext/>
              <w:spacing w:before="12"/>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181</w:t>
            </w:r>
          </w:p>
        </w:tc>
        <w:tc>
          <w:tcPr>
            <w:tcW w:w="543" w:type="pct"/>
            <w:tcBorders>
              <w:top w:val="nil"/>
              <w:left w:val="nil"/>
              <w:bottom w:val="nil"/>
              <w:right w:val="nil"/>
            </w:tcBorders>
            <w:vAlign w:val="bottom"/>
          </w:tcPr>
          <w:p w:rsidRPr="00BB0DD9" w:rsidR="00EF2F18" w:rsidP="009F74CA" w:rsidRDefault="00EF2F18" w14:paraId="78B2A5D3"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119</w:t>
            </w:r>
          </w:p>
        </w:tc>
        <w:tc>
          <w:tcPr>
            <w:tcW w:w="662" w:type="pct"/>
            <w:tcBorders>
              <w:top w:val="nil"/>
              <w:left w:val="nil"/>
              <w:bottom w:val="nil"/>
              <w:right w:val="nil"/>
            </w:tcBorders>
            <w:vAlign w:val="bottom"/>
          </w:tcPr>
          <w:p w:rsidRPr="00BB0DD9" w:rsidR="00EF2F18" w:rsidP="009F74CA" w:rsidRDefault="00EF2F18" w14:paraId="7890928D" w14:textId="77777777">
            <w:pPr>
              <w:pStyle w:val="TableParagraph"/>
              <w:keepNext/>
              <w:spacing w:before="12"/>
              <w:jc w:val="right"/>
              <w:rPr>
                <w:rFonts w:ascii="Times New Roman" w:hAnsi="Times New Roman" w:eastAsia="Arial" w:cs="Times New Roman"/>
                <w:sz w:val="16"/>
                <w:szCs w:val="16"/>
              </w:rPr>
            </w:pPr>
            <w:r w:rsidRPr="00BB0DD9">
              <w:rPr>
                <w:rFonts w:ascii="Times New Roman" w:hAnsi="Times New Roman" w:cs="Times New Roman"/>
                <w:sz w:val="18"/>
                <w:szCs w:val="18"/>
              </w:rPr>
              <w:t>55</w:t>
            </w:r>
          </w:p>
        </w:tc>
        <w:tc>
          <w:tcPr>
            <w:tcW w:w="505" w:type="pct"/>
            <w:tcBorders>
              <w:top w:val="nil"/>
              <w:left w:val="nil"/>
              <w:bottom w:val="nil"/>
              <w:right w:val="nil"/>
            </w:tcBorders>
            <w:vAlign w:val="bottom"/>
          </w:tcPr>
          <w:p w:rsidRPr="00BB0DD9" w:rsidR="00EF2F18" w:rsidP="009F74CA" w:rsidRDefault="00EF2F18" w14:paraId="5D5311A6" w14:textId="77777777">
            <w:pPr>
              <w:pStyle w:val="TableParagraph"/>
              <w:keepNext/>
              <w:spacing w:before="12"/>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7</w:t>
            </w:r>
          </w:p>
        </w:tc>
        <w:tc>
          <w:tcPr>
            <w:tcW w:w="775" w:type="pct"/>
            <w:tcBorders>
              <w:top w:val="nil"/>
              <w:left w:val="nil"/>
              <w:bottom w:val="nil"/>
              <w:right w:val="nil"/>
            </w:tcBorders>
            <w:vAlign w:val="bottom"/>
          </w:tcPr>
          <w:p w:rsidRPr="00BB0DD9" w:rsidR="00EF2F18" w:rsidP="009F74CA" w:rsidRDefault="00EF2F18" w14:paraId="56D8F2D5"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68.4</w:t>
            </w:r>
          </w:p>
        </w:tc>
        <w:tc>
          <w:tcPr>
            <w:tcW w:w="719" w:type="pct"/>
            <w:tcBorders>
              <w:top w:val="nil"/>
              <w:left w:val="nil"/>
              <w:bottom w:val="nil"/>
              <w:right w:val="nil"/>
            </w:tcBorders>
            <w:vAlign w:val="bottom"/>
          </w:tcPr>
          <w:p w:rsidRPr="00BB0DD9" w:rsidR="00EF2F18" w:rsidP="009F74CA" w:rsidRDefault="00EF2F18" w14:paraId="5BE8B3F0"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71.5</w:t>
            </w:r>
          </w:p>
        </w:tc>
      </w:tr>
      <w:tr w:rsidRPr="00BB0DD9" w:rsidR="00EF2F18" w:rsidTr="009F74CA" w14:paraId="458C2478" w14:textId="77777777">
        <w:trPr>
          <w:trHeight w:val="242" w:hRule="exact"/>
        </w:trPr>
        <w:tc>
          <w:tcPr>
            <w:tcW w:w="5000" w:type="pct"/>
            <w:gridSpan w:val="7"/>
            <w:tcBorders>
              <w:top w:val="nil"/>
              <w:left w:val="nil"/>
              <w:bottom w:val="nil"/>
              <w:right w:val="nil"/>
            </w:tcBorders>
          </w:tcPr>
          <w:p w:rsidRPr="00BB0DD9" w:rsidR="00EF2F18" w:rsidP="009F74CA" w:rsidRDefault="00EF2F18" w14:paraId="3EFE86F4" w14:textId="77777777">
            <w:pPr>
              <w:pStyle w:val="TableParagraph"/>
              <w:keepNext/>
              <w:spacing w:before="42"/>
              <w:ind w:left="31"/>
              <w:rPr>
                <w:rFonts w:ascii="Times New Roman" w:hAnsi="Times New Roman" w:eastAsia="Arial" w:cs="Times New Roman"/>
                <w:sz w:val="16"/>
                <w:szCs w:val="16"/>
              </w:rPr>
            </w:pPr>
            <w:r w:rsidRPr="00BB0DD9">
              <w:rPr>
                <w:rFonts w:ascii="Times New Roman" w:hAnsi="Times New Roman" w:cs="Times New Roman"/>
                <w:spacing w:val="-1"/>
                <w:sz w:val="16"/>
                <w:szCs w:val="16"/>
              </w:rPr>
              <w:t>Enrollment</w:t>
            </w:r>
            <w:r w:rsidRPr="00BB0DD9">
              <w:rPr>
                <w:rFonts w:ascii="Times New Roman" w:hAnsi="Times New Roman" w:cs="Times New Roman"/>
                <w:spacing w:val="-12"/>
                <w:sz w:val="16"/>
                <w:szCs w:val="16"/>
              </w:rPr>
              <w:t xml:space="preserve"> </w:t>
            </w:r>
            <w:r w:rsidRPr="00BB0DD9">
              <w:rPr>
                <w:rFonts w:ascii="Times New Roman" w:hAnsi="Times New Roman" w:cs="Times New Roman"/>
                <w:spacing w:val="-1"/>
                <w:sz w:val="16"/>
                <w:szCs w:val="16"/>
              </w:rPr>
              <w:t>size</w:t>
            </w:r>
          </w:p>
        </w:tc>
      </w:tr>
      <w:tr w:rsidRPr="00BB0DD9" w:rsidR="00EF2F18" w:rsidTr="00D461F9" w14:paraId="01A09170" w14:textId="77777777">
        <w:trPr>
          <w:trHeight w:val="212" w:hRule="exact"/>
        </w:trPr>
        <w:tc>
          <w:tcPr>
            <w:tcW w:w="1143" w:type="pct"/>
            <w:tcBorders>
              <w:top w:val="nil"/>
              <w:left w:val="nil"/>
              <w:bottom w:val="nil"/>
              <w:right w:val="nil"/>
            </w:tcBorders>
          </w:tcPr>
          <w:p w:rsidRPr="00BB0DD9" w:rsidR="00EF2F18" w:rsidP="009F74CA" w:rsidRDefault="00EF2F18" w14:paraId="2C5FE3AA" w14:textId="77777777">
            <w:pPr>
              <w:pStyle w:val="TableParagraph"/>
              <w:keepNext/>
              <w:spacing w:before="11"/>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Less</w:t>
            </w:r>
            <w:r w:rsidRPr="00BB0DD9">
              <w:rPr>
                <w:rFonts w:ascii="Times New Roman" w:hAnsi="Times New Roman" w:cs="Times New Roman"/>
                <w:spacing w:val="-5"/>
                <w:sz w:val="16"/>
                <w:szCs w:val="16"/>
              </w:rPr>
              <w:t xml:space="preserve"> </w:t>
            </w:r>
            <w:r w:rsidRPr="00BB0DD9">
              <w:rPr>
                <w:rFonts w:ascii="Times New Roman" w:hAnsi="Times New Roman" w:cs="Times New Roman"/>
                <w:spacing w:val="-2"/>
                <w:sz w:val="16"/>
                <w:szCs w:val="16"/>
              </w:rPr>
              <w:t>than</w:t>
            </w:r>
            <w:r w:rsidRPr="00BB0DD9">
              <w:rPr>
                <w:rFonts w:ascii="Times New Roman" w:hAnsi="Times New Roman" w:cs="Times New Roman"/>
                <w:spacing w:val="-7"/>
                <w:sz w:val="16"/>
                <w:szCs w:val="16"/>
              </w:rPr>
              <w:t xml:space="preserve"> </w:t>
            </w:r>
            <w:r w:rsidRPr="00BB0DD9">
              <w:rPr>
                <w:rFonts w:ascii="Times New Roman" w:hAnsi="Times New Roman" w:cs="Times New Roman"/>
                <w:spacing w:val="-2"/>
                <w:sz w:val="16"/>
                <w:szCs w:val="16"/>
              </w:rPr>
              <w:t>300</w:t>
            </w:r>
          </w:p>
        </w:tc>
        <w:tc>
          <w:tcPr>
            <w:tcW w:w="653" w:type="pct"/>
            <w:tcBorders>
              <w:top w:val="nil"/>
              <w:left w:val="nil"/>
              <w:bottom w:val="nil"/>
              <w:right w:val="nil"/>
            </w:tcBorders>
            <w:vAlign w:val="bottom"/>
          </w:tcPr>
          <w:p w:rsidRPr="00BB0DD9" w:rsidR="00EF2F18" w:rsidP="009F74CA" w:rsidRDefault="00EF2F18" w14:paraId="75ADC2F4" w14:textId="77777777">
            <w:pPr>
              <w:pStyle w:val="TableParagraph"/>
              <w:keepNext/>
              <w:spacing w:before="11"/>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456</w:t>
            </w:r>
          </w:p>
        </w:tc>
        <w:tc>
          <w:tcPr>
            <w:tcW w:w="543" w:type="pct"/>
            <w:tcBorders>
              <w:top w:val="nil"/>
              <w:left w:val="nil"/>
              <w:bottom w:val="nil"/>
              <w:right w:val="nil"/>
            </w:tcBorders>
            <w:vAlign w:val="bottom"/>
          </w:tcPr>
          <w:p w:rsidRPr="00BB0DD9" w:rsidR="00EF2F18" w:rsidP="009F74CA" w:rsidRDefault="00EF2F18" w14:paraId="261CEE72" w14:textId="77777777">
            <w:pPr>
              <w:pStyle w:val="TableParagraph"/>
              <w:keepNext/>
              <w:spacing w:before="11"/>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286</w:t>
            </w:r>
          </w:p>
        </w:tc>
        <w:tc>
          <w:tcPr>
            <w:tcW w:w="662" w:type="pct"/>
            <w:tcBorders>
              <w:top w:val="nil"/>
              <w:left w:val="nil"/>
              <w:bottom w:val="nil"/>
              <w:right w:val="nil"/>
            </w:tcBorders>
            <w:vAlign w:val="bottom"/>
          </w:tcPr>
          <w:p w:rsidRPr="00BB0DD9" w:rsidR="00EF2F18" w:rsidP="009F74CA" w:rsidRDefault="00EF2F18" w14:paraId="3EF46328" w14:textId="77777777">
            <w:pPr>
              <w:pStyle w:val="TableParagraph"/>
              <w:keepNext/>
              <w:spacing w:before="11"/>
              <w:jc w:val="right"/>
              <w:rPr>
                <w:rFonts w:ascii="Times New Roman" w:hAnsi="Times New Roman" w:eastAsia="Arial" w:cs="Times New Roman"/>
                <w:sz w:val="16"/>
                <w:szCs w:val="16"/>
              </w:rPr>
            </w:pPr>
            <w:r w:rsidRPr="00BB0DD9">
              <w:rPr>
                <w:rFonts w:ascii="Times New Roman" w:hAnsi="Times New Roman" w:cs="Times New Roman"/>
                <w:sz w:val="18"/>
                <w:szCs w:val="18"/>
              </w:rPr>
              <w:t>135</w:t>
            </w:r>
          </w:p>
        </w:tc>
        <w:tc>
          <w:tcPr>
            <w:tcW w:w="505" w:type="pct"/>
            <w:tcBorders>
              <w:top w:val="nil"/>
              <w:left w:val="nil"/>
              <w:bottom w:val="nil"/>
              <w:right w:val="nil"/>
            </w:tcBorders>
            <w:vAlign w:val="bottom"/>
          </w:tcPr>
          <w:p w:rsidRPr="00BB0DD9" w:rsidR="00EF2F18" w:rsidP="009F74CA" w:rsidRDefault="00EF2F18" w14:paraId="408CC3E8" w14:textId="77777777">
            <w:pPr>
              <w:pStyle w:val="TableParagraph"/>
              <w:keepNext/>
              <w:spacing w:before="11"/>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35</w:t>
            </w:r>
          </w:p>
        </w:tc>
        <w:tc>
          <w:tcPr>
            <w:tcW w:w="775" w:type="pct"/>
            <w:tcBorders>
              <w:top w:val="nil"/>
              <w:left w:val="nil"/>
              <w:bottom w:val="nil"/>
              <w:right w:val="nil"/>
            </w:tcBorders>
            <w:vAlign w:val="bottom"/>
          </w:tcPr>
          <w:p w:rsidRPr="00BB0DD9" w:rsidR="00EF2F18" w:rsidP="009F74CA" w:rsidRDefault="00EF2F18" w14:paraId="734474F8" w14:textId="77777777">
            <w:pPr>
              <w:pStyle w:val="TableParagraph"/>
              <w:keepNext/>
              <w:spacing w:before="11"/>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67.9</w:t>
            </w:r>
          </w:p>
        </w:tc>
        <w:tc>
          <w:tcPr>
            <w:tcW w:w="719" w:type="pct"/>
            <w:tcBorders>
              <w:top w:val="nil"/>
              <w:left w:val="nil"/>
              <w:bottom w:val="nil"/>
              <w:right w:val="nil"/>
            </w:tcBorders>
            <w:vAlign w:val="bottom"/>
          </w:tcPr>
          <w:p w:rsidRPr="00BB0DD9" w:rsidR="00EF2F18" w:rsidP="009F74CA" w:rsidRDefault="00EF2F18" w14:paraId="24483832" w14:textId="77777777">
            <w:pPr>
              <w:pStyle w:val="TableParagraph"/>
              <w:keepNext/>
              <w:spacing w:before="11"/>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68.4</w:t>
            </w:r>
          </w:p>
        </w:tc>
      </w:tr>
      <w:tr w:rsidRPr="00BB0DD9" w:rsidR="00EF2F18" w:rsidTr="00D461F9" w14:paraId="69E5C211" w14:textId="77777777">
        <w:trPr>
          <w:trHeight w:val="214" w:hRule="exact"/>
        </w:trPr>
        <w:tc>
          <w:tcPr>
            <w:tcW w:w="1143" w:type="pct"/>
            <w:tcBorders>
              <w:top w:val="nil"/>
              <w:left w:val="nil"/>
              <w:bottom w:val="nil"/>
              <w:right w:val="nil"/>
            </w:tcBorders>
          </w:tcPr>
          <w:p w:rsidRPr="00BB0DD9" w:rsidR="00EF2F18" w:rsidP="009F74CA" w:rsidRDefault="00EF2F18" w14:paraId="07F81CCE"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eastAsia="Arial" w:cs="Times New Roman"/>
                <w:spacing w:val="-2"/>
                <w:sz w:val="16"/>
                <w:szCs w:val="16"/>
              </w:rPr>
              <w:t>300–499</w:t>
            </w:r>
          </w:p>
        </w:tc>
        <w:tc>
          <w:tcPr>
            <w:tcW w:w="653" w:type="pct"/>
            <w:tcBorders>
              <w:top w:val="nil"/>
              <w:left w:val="nil"/>
              <w:bottom w:val="nil"/>
              <w:right w:val="nil"/>
            </w:tcBorders>
            <w:vAlign w:val="bottom"/>
          </w:tcPr>
          <w:p w:rsidRPr="00BB0DD9" w:rsidR="00EF2F18" w:rsidP="009F74CA" w:rsidRDefault="00EF2F18" w14:paraId="5475B745" w14:textId="77777777">
            <w:pPr>
              <w:pStyle w:val="TableParagraph"/>
              <w:keepNext/>
              <w:spacing w:before="12"/>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955</w:t>
            </w:r>
          </w:p>
        </w:tc>
        <w:tc>
          <w:tcPr>
            <w:tcW w:w="543" w:type="pct"/>
            <w:tcBorders>
              <w:top w:val="nil"/>
              <w:left w:val="nil"/>
              <w:bottom w:val="nil"/>
              <w:right w:val="nil"/>
            </w:tcBorders>
            <w:vAlign w:val="bottom"/>
          </w:tcPr>
          <w:p w:rsidRPr="00BB0DD9" w:rsidR="00EF2F18" w:rsidP="009F74CA" w:rsidRDefault="00EF2F18" w14:paraId="4304AC65"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605</w:t>
            </w:r>
          </w:p>
        </w:tc>
        <w:tc>
          <w:tcPr>
            <w:tcW w:w="662" w:type="pct"/>
            <w:tcBorders>
              <w:top w:val="nil"/>
              <w:left w:val="nil"/>
              <w:bottom w:val="nil"/>
              <w:right w:val="nil"/>
            </w:tcBorders>
            <w:vAlign w:val="bottom"/>
          </w:tcPr>
          <w:p w:rsidRPr="00BB0DD9" w:rsidR="00EF2F18" w:rsidP="009F74CA" w:rsidRDefault="00EF2F18" w14:paraId="25566414"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334</w:t>
            </w:r>
          </w:p>
        </w:tc>
        <w:tc>
          <w:tcPr>
            <w:tcW w:w="505" w:type="pct"/>
            <w:tcBorders>
              <w:top w:val="nil"/>
              <w:left w:val="nil"/>
              <w:bottom w:val="nil"/>
              <w:right w:val="nil"/>
            </w:tcBorders>
            <w:vAlign w:val="bottom"/>
          </w:tcPr>
          <w:p w:rsidRPr="00BB0DD9" w:rsidR="00EF2F18" w:rsidP="009F74CA" w:rsidRDefault="00EF2F18" w14:paraId="7E4A0E61"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16</w:t>
            </w:r>
          </w:p>
        </w:tc>
        <w:tc>
          <w:tcPr>
            <w:tcW w:w="775" w:type="pct"/>
            <w:tcBorders>
              <w:top w:val="nil"/>
              <w:left w:val="nil"/>
              <w:bottom w:val="nil"/>
              <w:right w:val="nil"/>
            </w:tcBorders>
            <w:vAlign w:val="bottom"/>
          </w:tcPr>
          <w:p w:rsidRPr="00BB0DD9" w:rsidR="00EF2F18" w:rsidP="009F74CA" w:rsidRDefault="00EF2F18" w14:paraId="7A16AB80"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64.4</w:t>
            </w:r>
          </w:p>
        </w:tc>
        <w:tc>
          <w:tcPr>
            <w:tcW w:w="719" w:type="pct"/>
            <w:tcBorders>
              <w:top w:val="nil"/>
              <w:left w:val="nil"/>
              <w:bottom w:val="nil"/>
              <w:right w:val="nil"/>
            </w:tcBorders>
            <w:vAlign w:val="bottom"/>
          </w:tcPr>
          <w:p w:rsidRPr="00BB0DD9" w:rsidR="00EF2F18" w:rsidP="009F74CA" w:rsidRDefault="00EF2F18" w14:paraId="52BE4EE6"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65.8</w:t>
            </w:r>
          </w:p>
        </w:tc>
      </w:tr>
      <w:tr w:rsidRPr="00BB0DD9" w:rsidR="00EF2F18" w:rsidTr="00D461F9" w14:paraId="1B02D2F9" w14:textId="77777777">
        <w:trPr>
          <w:trHeight w:val="214" w:hRule="exact"/>
        </w:trPr>
        <w:tc>
          <w:tcPr>
            <w:tcW w:w="1143" w:type="pct"/>
            <w:tcBorders>
              <w:top w:val="nil"/>
              <w:left w:val="nil"/>
              <w:bottom w:val="nil"/>
              <w:right w:val="nil"/>
            </w:tcBorders>
          </w:tcPr>
          <w:p w:rsidRPr="00BB0DD9" w:rsidR="00EF2F18" w:rsidP="009F74CA" w:rsidRDefault="00EF2F18" w14:paraId="2E52F153"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eastAsia="Arial" w:cs="Times New Roman"/>
                <w:spacing w:val="-2"/>
                <w:sz w:val="16"/>
                <w:szCs w:val="16"/>
              </w:rPr>
              <w:t>500–999</w:t>
            </w:r>
          </w:p>
        </w:tc>
        <w:tc>
          <w:tcPr>
            <w:tcW w:w="653" w:type="pct"/>
            <w:tcBorders>
              <w:top w:val="nil"/>
              <w:left w:val="nil"/>
              <w:bottom w:val="nil"/>
              <w:right w:val="nil"/>
            </w:tcBorders>
            <w:vAlign w:val="bottom"/>
          </w:tcPr>
          <w:p w:rsidRPr="00BB0DD9" w:rsidR="00EF2F18" w:rsidP="009F74CA" w:rsidRDefault="00EF2F18" w14:paraId="3F00CD40"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1,860</w:t>
            </w:r>
          </w:p>
        </w:tc>
        <w:tc>
          <w:tcPr>
            <w:tcW w:w="543" w:type="pct"/>
            <w:tcBorders>
              <w:top w:val="nil"/>
              <w:left w:val="nil"/>
              <w:bottom w:val="nil"/>
              <w:right w:val="nil"/>
            </w:tcBorders>
            <w:vAlign w:val="bottom"/>
          </w:tcPr>
          <w:p w:rsidRPr="00BB0DD9" w:rsidR="00EF2F18" w:rsidP="009F74CA" w:rsidRDefault="00EF2F18" w14:paraId="1CCEF0C3" w14:textId="77777777">
            <w:pPr>
              <w:pStyle w:val="TableParagraph"/>
              <w:keepNext/>
              <w:spacing w:before="12"/>
              <w:ind w:left="477"/>
              <w:jc w:val="right"/>
              <w:rPr>
                <w:rFonts w:ascii="Times New Roman" w:hAnsi="Times New Roman" w:eastAsia="Arial" w:cs="Times New Roman"/>
                <w:sz w:val="16"/>
                <w:szCs w:val="16"/>
              </w:rPr>
            </w:pPr>
            <w:r w:rsidRPr="00BB0DD9">
              <w:rPr>
                <w:rFonts w:ascii="Times New Roman" w:hAnsi="Times New Roman" w:cs="Times New Roman"/>
                <w:sz w:val="18"/>
                <w:szCs w:val="18"/>
              </w:rPr>
              <w:t>1,042</w:t>
            </w:r>
          </w:p>
        </w:tc>
        <w:tc>
          <w:tcPr>
            <w:tcW w:w="662" w:type="pct"/>
            <w:tcBorders>
              <w:top w:val="nil"/>
              <w:left w:val="nil"/>
              <w:bottom w:val="nil"/>
              <w:right w:val="nil"/>
            </w:tcBorders>
            <w:vAlign w:val="bottom"/>
          </w:tcPr>
          <w:p w:rsidRPr="00BB0DD9" w:rsidR="00EF2F18" w:rsidP="009F74CA" w:rsidRDefault="00EF2F18" w14:paraId="49F71A84" w14:textId="77777777">
            <w:pPr>
              <w:pStyle w:val="TableParagraph"/>
              <w:keepNext/>
              <w:spacing w:before="12"/>
              <w:ind w:left="708"/>
              <w:jc w:val="right"/>
              <w:rPr>
                <w:rFonts w:ascii="Times New Roman" w:hAnsi="Times New Roman" w:eastAsia="Arial" w:cs="Times New Roman"/>
                <w:sz w:val="16"/>
                <w:szCs w:val="16"/>
              </w:rPr>
            </w:pPr>
            <w:r w:rsidRPr="00BB0DD9">
              <w:rPr>
                <w:rFonts w:ascii="Times New Roman" w:hAnsi="Times New Roman" w:cs="Times New Roman"/>
                <w:sz w:val="18"/>
                <w:szCs w:val="18"/>
              </w:rPr>
              <w:t>806</w:t>
            </w:r>
          </w:p>
        </w:tc>
        <w:tc>
          <w:tcPr>
            <w:tcW w:w="505" w:type="pct"/>
            <w:tcBorders>
              <w:top w:val="nil"/>
              <w:left w:val="nil"/>
              <w:bottom w:val="nil"/>
              <w:right w:val="nil"/>
            </w:tcBorders>
            <w:vAlign w:val="bottom"/>
          </w:tcPr>
          <w:p w:rsidRPr="00BB0DD9" w:rsidR="00EF2F18" w:rsidP="009F74CA" w:rsidRDefault="00EF2F18" w14:paraId="27C12434" w14:textId="77777777">
            <w:pPr>
              <w:pStyle w:val="TableParagraph"/>
              <w:keepNext/>
              <w:spacing w:before="12"/>
              <w:ind w:right="101"/>
              <w:jc w:val="right"/>
              <w:rPr>
                <w:rFonts w:ascii="Times New Roman" w:hAnsi="Times New Roman" w:eastAsia="Arial" w:cs="Times New Roman"/>
                <w:sz w:val="16"/>
                <w:szCs w:val="16"/>
              </w:rPr>
            </w:pPr>
            <w:r w:rsidRPr="00BB0DD9">
              <w:rPr>
                <w:rFonts w:ascii="Times New Roman" w:hAnsi="Times New Roman" w:cs="Times New Roman"/>
                <w:sz w:val="18"/>
                <w:szCs w:val="18"/>
              </w:rPr>
              <w:t>12</w:t>
            </w:r>
          </w:p>
        </w:tc>
        <w:tc>
          <w:tcPr>
            <w:tcW w:w="775" w:type="pct"/>
            <w:tcBorders>
              <w:top w:val="nil"/>
              <w:left w:val="nil"/>
              <w:bottom w:val="nil"/>
              <w:right w:val="nil"/>
            </w:tcBorders>
            <w:vAlign w:val="bottom"/>
          </w:tcPr>
          <w:p w:rsidRPr="00BB0DD9" w:rsidR="00EF2F18" w:rsidP="009F74CA" w:rsidRDefault="00EF2F18" w14:paraId="3796A819"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56.4</w:t>
            </w:r>
          </w:p>
        </w:tc>
        <w:tc>
          <w:tcPr>
            <w:tcW w:w="719" w:type="pct"/>
            <w:tcBorders>
              <w:top w:val="nil"/>
              <w:left w:val="nil"/>
              <w:bottom w:val="nil"/>
              <w:right w:val="nil"/>
            </w:tcBorders>
            <w:vAlign w:val="bottom"/>
          </w:tcPr>
          <w:p w:rsidRPr="00BB0DD9" w:rsidR="00EF2F18" w:rsidP="009F74CA" w:rsidRDefault="00EF2F18" w14:paraId="29BB8C51"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56.8</w:t>
            </w:r>
          </w:p>
        </w:tc>
      </w:tr>
      <w:tr w:rsidRPr="00BB0DD9" w:rsidR="00EF2F18" w:rsidTr="00D461F9" w14:paraId="184F612D" w14:textId="77777777">
        <w:trPr>
          <w:trHeight w:val="244" w:hRule="exact"/>
        </w:trPr>
        <w:tc>
          <w:tcPr>
            <w:tcW w:w="1143" w:type="pct"/>
            <w:tcBorders>
              <w:top w:val="nil"/>
              <w:left w:val="nil"/>
              <w:bottom w:val="nil"/>
              <w:right w:val="nil"/>
            </w:tcBorders>
          </w:tcPr>
          <w:p w:rsidRPr="00BB0DD9" w:rsidR="00EF2F18" w:rsidP="009F74CA" w:rsidRDefault="00EF2F18" w14:paraId="5664623D"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1,000</w:t>
            </w:r>
            <w:r w:rsidRPr="00BB0DD9">
              <w:rPr>
                <w:rFonts w:ascii="Times New Roman" w:hAnsi="Times New Roman" w:cs="Times New Roman"/>
                <w:spacing w:val="-8"/>
                <w:sz w:val="16"/>
                <w:szCs w:val="16"/>
              </w:rPr>
              <w:t xml:space="preserve"> </w:t>
            </w:r>
            <w:r w:rsidRPr="00BB0DD9">
              <w:rPr>
                <w:rFonts w:ascii="Times New Roman" w:hAnsi="Times New Roman" w:cs="Times New Roman"/>
                <w:spacing w:val="-1"/>
                <w:sz w:val="16"/>
                <w:szCs w:val="16"/>
              </w:rPr>
              <w:t>or</w:t>
            </w:r>
            <w:r w:rsidRPr="00BB0DD9">
              <w:rPr>
                <w:rFonts w:ascii="Times New Roman" w:hAnsi="Times New Roman" w:cs="Times New Roman"/>
                <w:spacing w:val="-5"/>
                <w:sz w:val="16"/>
                <w:szCs w:val="16"/>
              </w:rPr>
              <w:t xml:space="preserve"> </w:t>
            </w:r>
            <w:r w:rsidRPr="00BB0DD9">
              <w:rPr>
                <w:rFonts w:ascii="Times New Roman" w:hAnsi="Times New Roman" w:cs="Times New Roman"/>
                <w:spacing w:val="-1"/>
                <w:sz w:val="16"/>
                <w:szCs w:val="16"/>
              </w:rPr>
              <w:t>more</w:t>
            </w:r>
          </w:p>
        </w:tc>
        <w:tc>
          <w:tcPr>
            <w:tcW w:w="653" w:type="pct"/>
            <w:tcBorders>
              <w:top w:val="nil"/>
              <w:left w:val="nil"/>
              <w:bottom w:val="nil"/>
              <w:right w:val="nil"/>
            </w:tcBorders>
            <w:vAlign w:val="bottom"/>
          </w:tcPr>
          <w:p w:rsidRPr="00BB0DD9" w:rsidR="00EF2F18" w:rsidP="009F74CA" w:rsidRDefault="00EF2F18" w14:paraId="64199872"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1,532</w:t>
            </w:r>
          </w:p>
        </w:tc>
        <w:tc>
          <w:tcPr>
            <w:tcW w:w="543" w:type="pct"/>
            <w:tcBorders>
              <w:top w:val="nil"/>
              <w:left w:val="nil"/>
              <w:bottom w:val="nil"/>
              <w:right w:val="nil"/>
            </w:tcBorders>
            <w:vAlign w:val="bottom"/>
          </w:tcPr>
          <w:p w:rsidRPr="00BB0DD9" w:rsidR="00EF2F18" w:rsidP="009F74CA" w:rsidRDefault="00EF2F18" w14:paraId="44FA48E5"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829</w:t>
            </w:r>
          </w:p>
        </w:tc>
        <w:tc>
          <w:tcPr>
            <w:tcW w:w="662" w:type="pct"/>
            <w:tcBorders>
              <w:top w:val="nil"/>
              <w:left w:val="nil"/>
              <w:bottom w:val="nil"/>
              <w:right w:val="nil"/>
            </w:tcBorders>
            <w:vAlign w:val="bottom"/>
          </w:tcPr>
          <w:p w:rsidRPr="00BB0DD9" w:rsidR="00EF2F18" w:rsidP="009F74CA" w:rsidRDefault="00EF2F18" w14:paraId="50CB6038"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700</w:t>
            </w:r>
          </w:p>
        </w:tc>
        <w:tc>
          <w:tcPr>
            <w:tcW w:w="505" w:type="pct"/>
            <w:tcBorders>
              <w:top w:val="nil"/>
              <w:left w:val="nil"/>
              <w:bottom w:val="nil"/>
              <w:right w:val="nil"/>
            </w:tcBorders>
            <w:vAlign w:val="bottom"/>
          </w:tcPr>
          <w:p w:rsidRPr="00BB0DD9" w:rsidR="00EF2F18" w:rsidP="009F74CA" w:rsidRDefault="00EF2F18" w14:paraId="253714D2" w14:textId="77777777">
            <w:pPr>
              <w:pStyle w:val="TableParagraph"/>
              <w:keepNext/>
              <w:spacing w:before="12"/>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3</w:t>
            </w:r>
          </w:p>
        </w:tc>
        <w:tc>
          <w:tcPr>
            <w:tcW w:w="775" w:type="pct"/>
            <w:tcBorders>
              <w:top w:val="nil"/>
              <w:left w:val="nil"/>
              <w:bottom w:val="nil"/>
              <w:right w:val="nil"/>
            </w:tcBorders>
            <w:vAlign w:val="bottom"/>
          </w:tcPr>
          <w:p w:rsidRPr="00BB0DD9" w:rsidR="00EF2F18" w:rsidP="009F74CA" w:rsidRDefault="00EF2F18" w14:paraId="4D2672E9" w14:textId="77777777">
            <w:pPr>
              <w:pStyle w:val="TableParagraph"/>
              <w:keepNext/>
              <w:spacing w:before="12"/>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54.2</w:t>
            </w:r>
          </w:p>
        </w:tc>
        <w:tc>
          <w:tcPr>
            <w:tcW w:w="719" w:type="pct"/>
            <w:tcBorders>
              <w:top w:val="nil"/>
              <w:left w:val="nil"/>
              <w:bottom w:val="nil"/>
              <w:right w:val="nil"/>
            </w:tcBorders>
            <w:vAlign w:val="bottom"/>
          </w:tcPr>
          <w:p w:rsidRPr="00BB0DD9" w:rsidR="00EF2F18" w:rsidP="009F74CA" w:rsidRDefault="00EF2F18" w14:paraId="57133E71"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55.1</w:t>
            </w:r>
          </w:p>
        </w:tc>
      </w:tr>
      <w:tr w:rsidRPr="00BB0DD9" w:rsidR="00EF2F18" w:rsidTr="009F74CA" w14:paraId="6490BF36" w14:textId="77777777">
        <w:trPr>
          <w:trHeight w:val="242" w:hRule="exact"/>
        </w:trPr>
        <w:tc>
          <w:tcPr>
            <w:tcW w:w="5000" w:type="pct"/>
            <w:gridSpan w:val="7"/>
            <w:tcBorders>
              <w:top w:val="nil"/>
              <w:left w:val="nil"/>
              <w:bottom w:val="nil"/>
              <w:right w:val="nil"/>
            </w:tcBorders>
          </w:tcPr>
          <w:p w:rsidRPr="00BB0DD9" w:rsidR="00EF2F18" w:rsidP="009F74CA" w:rsidRDefault="00EF2F18" w14:paraId="384FB2F2" w14:textId="77777777">
            <w:pPr>
              <w:pStyle w:val="TableParagraph"/>
              <w:keepNext/>
              <w:spacing w:before="42"/>
              <w:ind w:left="31"/>
              <w:rPr>
                <w:rFonts w:ascii="Times New Roman" w:hAnsi="Times New Roman" w:eastAsia="Arial" w:cs="Times New Roman"/>
                <w:sz w:val="16"/>
                <w:szCs w:val="16"/>
              </w:rPr>
            </w:pPr>
            <w:r w:rsidRPr="00BB0DD9">
              <w:rPr>
                <w:rFonts w:ascii="Times New Roman" w:hAnsi="Times New Roman" w:cs="Times New Roman"/>
                <w:spacing w:val="-1"/>
                <w:sz w:val="16"/>
                <w:szCs w:val="16"/>
              </w:rPr>
              <w:t>Urbanicity</w:t>
            </w:r>
          </w:p>
        </w:tc>
      </w:tr>
      <w:tr w:rsidRPr="00BB0DD9" w:rsidR="00EF2F18" w:rsidTr="00D461F9" w14:paraId="4D5DE7DA" w14:textId="77777777">
        <w:trPr>
          <w:trHeight w:val="212" w:hRule="exact"/>
        </w:trPr>
        <w:tc>
          <w:tcPr>
            <w:tcW w:w="1143" w:type="pct"/>
            <w:tcBorders>
              <w:top w:val="nil"/>
              <w:left w:val="nil"/>
              <w:bottom w:val="nil"/>
              <w:right w:val="nil"/>
            </w:tcBorders>
          </w:tcPr>
          <w:p w:rsidRPr="00BB0DD9" w:rsidR="00EF2F18" w:rsidP="009F74CA" w:rsidRDefault="00EF2F18" w14:paraId="20045788" w14:textId="77777777">
            <w:pPr>
              <w:pStyle w:val="TableParagraph"/>
              <w:keepNext/>
              <w:spacing w:before="11"/>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City</w:t>
            </w:r>
          </w:p>
        </w:tc>
        <w:tc>
          <w:tcPr>
            <w:tcW w:w="653" w:type="pct"/>
            <w:tcBorders>
              <w:top w:val="nil"/>
              <w:left w:val="nil"/>
              <w:bottom w:val="nil"/>
              <w:right w:val="nil"/>
            </w:tcBorders>
            <w:vAlign w:val="bottom"/>
          </w:tcPr>
          <w:p w:rsidRPr="00BB0DD9" w:rsidR="00EF2F18" w:rsidP="009F74CA" w:rsidRDefault="00EF2F18" w14:paraId="619EB8DF" w14:textId="77777777">
            <w:pPr>
              <w:pStyle w:val="TableParagraph"/>
              <w:keepNext/>
              <w:spacing w:before="11"/>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1,528</w:t>
            </w:r>
          </w:p>
        </w:tc>
        <w:tc>
          <w:tcPr>
            <w:tcW w:w="543" w:type="pct"/>
            <w:tcBorders>
              <w:top w:val="nil"/>
              <w:left w:val="nil"/>
              <w:bottom w:val="nil"/>
              <w:right w:val="nil"/>
            </w:tcBorders>
            <w:vAlign w:val="bottom"/>
          </w:tcPr>
          <w:p w:rsidRPr="00BB0DD9" w:rsidR="00EF2F18" w:rsidP="009F74CA" w:rsidRDefault="00EF2F18" w14:paraId="21273342" w14:textId="77777777">
            <w:pPr>
              <w:pStyle w:val="TableParagraph"/>
              <w:keepNext/>
              <w:spacing w:before="11"/>
              <w:ind w:left="600"/>
              <w:jc w:val="right"/>
              <w:rPr>
                <w:rFonts w:ascii="Times New Roman" w:hAnsi="Times New Roman" w:eastAsia="Arial" w:cs="Times New Roman"/>
                <w:sz w:val="16"/>
                <w:szCs w:val="16"/>
              </w:rPr>
            </w:pPr>
            <w:r w:rsidRPr="00BB0DD9">
              <w:rPr>
                <w:rFonts w:ascii="Times New Roman" w:hAnsi="Times New Roman" w:cs="Times New Roman"/>
                <w:sz w:val="18"/>
                <w:szCs w:val="18"/>
              </w:rPr>
              <w:t>723</w:t>
            </w:r>
          </w:p>
        </w:tc>
        <w:tc>
          <w:tcPr>
            <w:tcW w:w="662" w:type="pct"/>
            <w:tcBorders>
              <w:top w:val="nil"/>
              <w:left w:val="nil"/>
              <w:bottom w:val="nil"/>
              <w:right w:val="nil"/>
            </w:tcBorders>
            <w:vAlign w:val="bottom"/>
          </w:tcPr>
          <w:p w:rsidRPr="00BB0DD9" w:rsidR="00EF2F18" w:rsidP="009F74CA" w:rsidRDefault="00EF2F18" w14:paraId="77E62232" w14:textId="77777777">
            <w:pPr>
              <w:pStyle w:val="TableParagraph"/>
              <w:keepNext/>
              <w:spacing w:before="11"/>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769</w:t>
            </w:r>
          </w:p>
        </w:tc>
        <w:tc>
          <w:tcPr>
            <w:tcW w:w="505" w:type="pct"/>
            <w:tcBorders>
              <w:top w:val="nil"/>
              <w:left w:val="nil"/>
              <w:bottom w:val="nil"/>
              <w:right w:val="nil"/>
            </w:tcBorders>
            <w:vAlign w:val="bottom"/>
          </w:tcPr>
          <w:p w:rsidRPr="00BB0DD9" w:rsidR="00EF2F18" w:rsidP="009F74CA" w:rsidRDefault="00EF2F18" w14:paraId="52BAD358" w14:textId="77777777">
            <w:pPr>
              <w:pStyle w:val="TableParagraph"/>
              <w:keepNext/>
              <w:spacing w:before="11"/>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36</w:t>
            </w:r>
          </w:p>
        </w:tc>
        <w:tc>
          <w:tcPr>
            <w:tcW w:w="775" w:type="pct"/>
            <w:tcBorders>
              <w:top w:val="nil"/>
              <w:left w:val="nil"/>
              <w:bottom w:val="nil"/>
              <w:right w:val="nil"/>
            </w:tcBorders>
            <w:vAlign w:val="bottom"/>
          </w:tcPr>
          <w:p w:rsidRPr="00BB0DD9" w:rsidR="00EF2F18" w:rsidP="009F74CA" w:rsidRDefault="00EF2F18" w14:paraId="644AC87C" w14:textId="77777777">
            <w:pPr>
              <w:pStyle w:val="TableParagraph"/>
              <w:keepNext/>
              <w:spacing w:before="11"/>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48.5</w:t>
            </w:r>
          </w:p>
        </w:tc>
        <w:tc>
          <w:tcPr>
            <w:tcW w:w="719" w:type="pct"/>
            <w:tcBorders>
              <w:top w:val="nil"/>
              <w:left w:val="nil"/>
              <w:bottom w:val="nil"/>
              <w:right w:val="nil"/>
            </w:tcBorders>
            <w:vAlign w:val="bottom"/>
          </w:tcPr>
          <w:p w:rsidRPr="00BB0DD9" w:rsidR="00EF2F18" w:rsidP="009F74CA" w:rsidRDefault="00EF2F18" w14:paraId="23FA1E02" w14:textId="77777777">
            <w:pPr>
              <w:pStyle w:val="TableParagraph"/>
              <w:keepNext/>
              <w:spacing w:before="11"/>
              <w:ind w:right="22"/>
              <w:jc w:val="right"/>
              <w:rPr>
                <w:rFonts w:ascii="Times New Roman" w:hAnsi="Times New Roman" w:eastAsia="Arial" w:cs="Times New Roman"/>
                <w:sz w:val="16"/>
                <w:szCs w:val="16"/>
              </w:rPr>
            </w:pPr>
            <w:r w:rsidRPr="00BB0DD9">
              <w:rPr>
                <w:rFonts w:ascii="Times New Roman" w:hAnsi="Times New Roman" w:cs="Times New Roman"/>
                <w:sz w:val="18"/>
                <w:szCs w:val="18"/>
              </w:rPr>
              <w:t>49.3</w:t>
            </w:r>
          </w:p>
        </w:tc>
      </w:tr>
      <w:tr w:rsidRPr="00BB0DD9" w:rsidR="00EF2F18" w:rsidTr="00D461F9" w14:paraId="3C642AAE" w14:textId="77777777">
        <w:trPr>
          <w:trHeight w:val="214" w:hRule="exact"/>
        </w:trPr>
        <w:tc>
          <w:tcPr>
            <w:tcW w:w="1143" w:type="pct"/>
            <w:tcBorders>
              <w:top w:val="nil"/>
              <w:left w:val="nil"/>
              <w:bottom w:val="nil"/>
              <w:right w:val="nil"/>
            </w:tcBorders>
          </w:tcPr>
          <w:p w:rsidRPr="00BB0DD9" w:rsidR="00EF2F18" w:rsidP="009F74CA" w:rsidRDefault="00EF2F18" w14:paraId="269467B8"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Suburb</w:t>
            </w:r>
          </w:p>
        </w:tc>
        <w:tc>
          <w:tcPr>
            <w:tcW w:w="653" w:type="pct"/>
            <w:tcBorders>
              <w:top w:val="nil"/>
              <w:left w:val="nil"/>
              <w:bottom w:val="nil"/>
              <w:right w:val="nil"/>
            </w:tcBorders>
            <w:vAlign w:val="bottom"/>
          </w:tcPr>
          <w:p w:rsidRPr="00BB0DD9" w:rsidR="00EF2F18" w:rsidP="009F74CA" w:rsidRDefault="00EF2F18" w14:paraId="265BC94C"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1,837</w:t>
            </w:r>
          </w:p>
        </w:tc>
        <w:tc>
          <w:tcPr>
            <w:tcW w:w="543" w:type="pct"/>
            <w:tcBorders>
              <w:top w:val="nil"/>
              <w:left w:val="nil"/>
              <w:bottom w:val="nil"/>
              <w:right w:val="nil"/>
            </w:tcBorders>
            <w:vAlign w:val="bottom"/>
          </w:tcPr>
          <w:p w:rsidRPr="00BB0DD9" w:rsidR="00EF2F18" w:rsidP="009F74CA" w:rsidRDefault="00EF2F18" w14:paraId="2A463F14" w14:textId="77777777">
            <w:pPr>
              <w:pStyle w:val="TableParagraph"/>
              <w:keepNext/>
              <w:spacing w:before="12"/>
              <w:ind w:left="600"/>
              <w:jc w:val="right"/>
              <w:rPr>
                <w:rFonts w:ascii="Times New Roman" w:hAnsi="Times New Roman" w:eastAsia="Arial" w:cs="Times New Roman"/>
                <w:sz w:val="16"/>
                <w:szCs w:val="16"/>
              </w:rPr>
            </w:pPr>
            <w:r w:rsidRPr="00BB0DD9">
              <w:rPr>
                <w:rFonts w:ascii="Times New Roman" w:hAnsi="Times New Roman" w:cs="Times New Roman"/>
                <w:sz w:val="18"/>
                <w:szCs w:val="18"/>
              </w:rPr>
              <w:t>1,034</w:t>
            </w:r>
          </w:p>
        </w:tc>
        <w:tc>
          <w:tcPr>
            <w:tcW w:w="662" w:type="pct"/>
            <w:tcBorders>
              <w:top w:val="nil"/>
              <w:left w:val="nil"/>
              <w:bottom w:val="nil"/>
              <w:right w:val="nil"/>
            </w:tcBorders>
            <w:vAlign w:val="bottom"/>
          </w:tcPr>
          <w:p w:rsidRPr="00BB0DD9" w:rsidR="00EF2F18" w:rsidP="009F74CA" w:rsidRDefault="00EF2F18" w14:paraId="63EEAD44"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793</w:t>
            </w:r>
          </w:p>
        </w:tc>
        <w:tc>
          <w:tcPr>
            <w:tcW w:w="505" w:type="pct"/>
            <w:tcBorders>
              <w:top w:val="nil"/>
              <w:left w:val="nil"/>
              <w:bottom w:val="nil"/>
              <w:right w:val="nil"/>
            </w:tcBorders>
            <w:vAlign w:val="bottom"/>
          </w:tcPr>
          <w:p w:rsidRPr="00BB0DD9" w:rsidR="00EF2F18" w:rsidP="009F74CA" w:rsidRDefault="00EF2F18" w14:paraId="567A0316"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10</w:t>
            </w:r>
          </w:p>
        </w:tc>
        <w:tc>
          <w:tcPr>
            <w:tcW w:w="775" w:type="pct"/>
            <w:tcBorders>
              <w:top w:val="nil"/>
              <w:left w:val="nil"/>
              <w:bottom w:val="nil"/>
              <w:right w:val="nil"/>
            </w:tcBorders>
            <w:vAlign w:val="bottom"/>
          </w:tcPr>
          <w:p w:rsidRPr="00BB0DD9" w:rsidR="00EF2F18" w:rsidP="009F74CA" w:rsidRDefault="00EF2F18" w14:paraId="21D546B9" w14:textId="77777777">
            <w:pPr>
              <w:pStyle w:val="TableParagraph"/>
              <w:keepNext/>
              <w:spacing w:before="12"/>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56.6</w:t>
            </w:r>
          </w:p>
        </w:tc>
        <w:tc>
          <w:tcPr>
            <w:tcW w:w="719" w:type="pct"/>
            <w:tcBorders>
              <w:top w:val="nil"/>
              <w:left w:val="nil"/>
              <w:bottom w:val="nil"/>
              <w:right w:val="nil"/>
            </w:tcBorders>
            <w:vAlign w:val="bottom"/>
          </w:tcPr>
          <w:p w:rsidRPr="00BB0DD9" w:rsidR="00EF2F18" w:rsidP="009F74CA" w:rsidRDefault="00EF2F18" w14:paraId="0E06F7FC" w14:textId="77777777">
            <w:pPr>
              <w:pStyle w:val="TableParagraph"/>
              <w:keepNext/>
              <w:spacing w:before="12"/>
              <w:ind w:right="22"/>
              <w:jc w:val="right"/>
              <w:rPr>
                <w:rFonts w:ascii="Times New Roman" w:hAnsi="Times New Roman" w:eastAsia="Arial" w:cs="Times New Roman"/>
                <w:sz w:val="16"/>
                <w:szCs w:val="16"/>
              </w:rPr>
            </w:pPr>
            <w:r w:rsidRPr="00BB0DD9">
              <w:rPr>
                <w:rFonts w:ascii="Times New Roman" w:hAnsi="Times New Roman" w:cs="Times New Roman"/>
                <w:sz w:val="18"/>
                <w:szCs w:val="18"/>
              </w:rPr>
              <w:t>58.2</w:t>
            </w:r>
          </w:p>
        </w:tc>
      </w:tr>
      <w:tr w:rsidRPr="00BB0DD9" w:rsidR="00EF2F18" w:rsidTr="00D461F9" w14:paraId="4B0B00C0" w14:textId="77777777">
        <w:trPr>
          <w:trHeight w:val="214" w:hRule="exact"/>
        </w:trPr>
        <w:tc>
          <w:tcPr>
            <w:tcW w:w="1143" w:type="pct"/>
            <w:tcBorders>
              <w:top w:val="nil"/>
              <w:left w:val="nil"/>
              <w:bottom w:val="nil"/>
              <w:right w:val="nil"/>
            </w:tcBorders>
          </w:tcPr>
          <w:p w:rsidRPr="00BB0DD9" w:rsidR="00EF2F18" w:rsidP="009F74CA" w:rsidRDefault="00EF2F18" w14:paraId="69C62E86"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Town</w:t>
            </w:r>
          </w:p>
        </w:tc>
        <w:tc>
          <w:tcPr>
            <w:tcW w:w="653" w:type="pct"/>
            <w:tcBorders>
              <w:top w:val="nil"/>
              <w:left w:val="nil"/>
              <w:bottom w:val="nil"/>
              <w:right w:val="nil"/>
            </w:tcBorders>
            <w:vAlign w:val="bottom"/>
          </w:tcPr>
          <w:p w:rsidRPr="00BB0DD9" w:rsidR="00EF2F18" w:rsidP="009F74CA" w:rsidRDefault="00EF2F18" w14:paraId="72F3B84C" w14:textId="77777777">
            <w:pPr>
              <w:pStyle w:val="TableParagraph"/>
              <w:keepNext/>
              <w:spacing w:before="12"/>
              <w:ind w:left="636"/>
              <w:jc w:val="right"/>
              <w:rPr>
                <w:rFonts w:ascii="Times New Roman" w:hAnsi="Times New Roman" w:eastAsia="Arial" w:cs="Times New Roman"/>
                <w:sz w:val="16"/>
                <w:szCs w:val="16"/>
              </w:rPr>
            </w:pPr>
            <w:r w:rsidRPr="00BB0DD9">
              <w:rPr>
                <w:rFonts w:ascii="Times New Roman" w:hAnsi="Times New Roman" w:cs="Times New Roman"/>
                <w:sz w:val="18"/>
                <w:szCs w:val="18"/>
              </w:rPr>
              <w:t>563</w:t>
            </w:r>
          </w:p>
        </w:tc>
        <w:tc>
          <w:tcPr>
            <w:tcW w:w="543" w:type="pct"/>
            <w:tcBorders>
              <w:top w:val="nil"/>
              <w:left w:val="nil"/>
              <w:bottom w:val="nil"/>
              <w:right w:val="nil"/>
            </w:tcBorders>
            <w:vAlign w:val="bottom"/>
          </w:tcPr>
          <w:p w:rsidRPr="00BB0DD9" w:rsidR="00EF2F18" w:rsidP="009F74CA" w:rsidRDefault="00EF2F18" w14:paraId="0AF231DA" w14:textId="77777777">
            <w:pPr>
              <w:pStyle w:val="TableParagraph"/>
              <w:keepNext/>
              <w:spacing w:before="12"/>
              <w:ind w:left="600"/>
              <w:jc w:val="right"/>
              <w:rPr>
                <w:rFonts w:ascii="Times New Roman" w:hAnsi="Times New Roman" w:eastAsia="Arial" w:cs="Times New Roman"/>
                <w:sz w:val="16"/>
                <w:szCs w:val="16"/>
              </w:rPr>
            </w:pPr>
            <w:r w:rsidRPr="00BB0DD9">
              <w:rPr>
                <w:rFonts w:ascii="Times New Roman" w:hAnsi="Times New Roman" w:cs="Times New Roman"/>
                <w:sz w:val="18"/>
                <w:szCs w:val="18"/>
              </w:rPr>
              <w:t>382</w:t>
            </w:r>
          </w:p>
        </w:tc>
        <w:tc>
          <w:tcPr>
            <w:tcW w:w="662" w:type="pct"/>
            <w:tcBorders>
              <w:top w:val="nil"/>
              <w:left w:val="nil"/>
              <w:bottom w:val="nil"/>
              <w:right w:val="nil"/>
            </w:tcBorders>
            <w:vAlign w:val="bottom"/>
          </w:tcPr>
          <w:p w:rsidRPr="00BB0DD9" w:rsidR="00EF2F18" w:rsidP="009F74CA" w:rsidRDefault="00EF2F18" w14:paraId="086F1D97" w14:textId="77777777">
            <w:pPr>
              <w:pStyle w:val="TableParagraph"/>
              <w:keepNext/>
              <w:spacing w:before="12"/>
              <w:jc w:val="right"/>
              <w:rPr>
                <w:rFonts w:ascii="Times New Roman" w:hAnsi="Times New Roman" w:eastAsia="Arial" w:cs="Times New Roman"/>
                <w:sz w:val="16"/>
                <w:szCs w:val="16"/>
              </w:rPr>
            </w:pPr>
            <w:r w:rsidRPr="00BB0DD9">
              <w:rPr>
                <w:rFonts w:ascii="Times New Roman" w:hAnsi="Times New Roman" w:cs="Times New Roman"/>
                <w:sz w:val="18"/>
                <w:szCs w:val="18"/>
              </w:rPr>
              <w:t>168</w:t>
            </w:r>
          </w:p>
        </w:tc>
        <w:tc>
          <w:tcPr>
            <w:tcW w:w="505" w:type="pct"/>
            <w:tcBorders>
              <w:top w:val="nil"/>
              <w:left w:val="nil"/>
              <w:bottom w:val="nil"/>
              <w:right w:val="nil"/>
            </w:tcBorders>
            <w:vAlign w:val="bottom"/>
          </w:tcPr>
          <w:p w:rsidRPr="00BB0DD9" w:rsidR="00EF2F18" w:rsidP="009F74CA" w:rsidRDefault="00EF2F18" w14:paraId="29CECF79" w14:textId="77777777">
            <w:pPr>
              <w:pStyle w:val="TableParagraph"/>
              <w:keepNext/>
              <w:spacing w:before="12"/>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13</w:t>
            </w:r>
          </w:p>
        </w:tc>
        <w:tc>
          <w:tcPr>
            <w:tcW w:w="775" w:type="pct"/>
            <w:tcBorders>
              <w:top w:val="nil"/>
              <w:left w:val="nil"/>
              <w:bottom w:val="nil"/>
              <w:right w:val="nil"/>
            </w:tcBorders>
            <w:vAlign w:val="bottom"/>
          </w:tcPr>
          <w:p w:rsidRPr="00BB0DD9" w:rsidR="00EF2F18" w:rsidP="009F74CA" w:rsidRDefault="00EF2F18" w14:paraId="7DFA0F79" w14:textId="77777777">
            <w:pPr>
              <w:pStyle w:val="TableParagraph"/>
              <w:keepNext/>
              <w:spacing w:before="12"/>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69.5</w:t>
            </w:r>
          </w:p>
        </w:tc>
        <w:tc>
          <w:tcPr>
            <w:tcW w:w="719" w:type="pct"/>
            <w:tcBorders>
              <w:top w:val="nil"/>
              <w:left w:val="nil"/>
              <w:bottom w:val="nil"/>
              <w:right w:val="nil"/>
            </w:tcBorders>
            <w:vAlign w:val="bottom"/>
          </w:tcPr>
          <w:p w:rsidRPr="00BB0DD9" w:rsidR="00EF2F18" w:rsidP="009F74CA" w:rsidRDefault="00EF2F18" w14:paraId="7D308FD6" w14:textId="77777777">
            <w:pPr>
              <w:pStyle w:val="TableParagraph"/>
              <w:keepNext/>
              <w:spacing w:before="12"/>
              <w:ind w:right="22"/>
              <w:jc w:val="right"/>
              <w:rPr>
                <w:rFonts w:ascii="Times New Roman" w:hAnsi="Times New Roman" w:eastAsia="Arial" w:cs="Times New Roman"/>
                <w:sz w:val="16"/>
                <w:szCs w:val="16"/>
              </w:rPr>
            </w:pPr>
            <w:r w:rsidRPr="00BB0DD9">
              <w:rPr>
                <w:rFonts w:ascii="Times New Roman" w:hAnsi="Times New Roman" w:cs="Times New Roman"/>
                <w:sz w:val="18"/>
                <w:szCs w:val="18"/>
              </w:rPr>
              <w:t>68.2</w:t>
            </w:r>
          </w:p>
        </w:tc>
      </w:tr>
      <w:tr w:rsidRPr="00BB0DD9" w:rsidR="00EF2F18" w:rsidTr="00D461F9" w14:paraId="61ABBF87" w14:textId="77777777">
        <w:trPr>
          <w:trHeight w:val="244" w:hRule="exact"/>
        </w:trPr>
        <w:tc>
          <w:tcPr>
            <w:tcW w:w="1143" w:type="pct"/>
            <w:tcBorders>
              <w:top w:val="nil"/>
              <w:left w:val="nil"/>
              <w:bottom w:val="nil"/>
              <w:right w:val="nil"/>
            </w:tcBorders>
          </w:tcPr>
          <w:p w:rsidRPr="00BB0DD9" w:rsidR="00EF2F18" w:rsidP="009F74CA" w:rsidRDefault="00EF2F18" w14:paraId="002890E8"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Rural</w:t>
            </w:r>
          </w:p>
        </w:tc>
        <w:tc>
          <w:tcPr>
            <w:tcW w:w="653" w:type="pct"/>
            <w:tcBorders>
              <w:top w:val="nil"/>
              <w:left w:val="nil"/>
              <w:bottom w:val="nil"/>
              <w:right w:val="nil"/>
            </w:tcBorders>
            <w:vAlign w:val="bottom"/>
          </w:tcPr>
          <w:p w:rsidRPr="00BB0DD9" w:rsidR="00EF2F18" w:rsidP="009F74CA" w:rsidRDefault="00EF2F18" w14:paraId="2F4BCEE0" w14:textId="77777777">
            <w:pPr>
              <w:pStyle w:val="TableParagraph"/>
              <w:keepNext/>
              <w:spacing w:before="12"/>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875</w:t>
            </w:r>
          </w:p>
        </w:tc>
        <w:tc>
          <w:tcPr>
            <w:tcW w:w="543" w:type="pct"/>
            <w:tcBorders>
              <w:top w:val="nil"/>
              <w:left w:val="nil"/>
              <w:bottom w:val="nil"/>
              <w:right w:val="nil"/>
            </w:tcBorders>
            <w:vAlign w:val="bottom"/>
          </w:tcPr>
          <w:p w:rsidRPr="00BB0DD9" w:rsidR="00EF2F18" w:rsidP="009F74CA" w:rsidRDefault="00EF2F18" w14:paraId="0A4C42DE"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623</w:t>
            </w:r>
          </w:p>
        </w:tc>
        <w:tc>
          <w:tcPr>
            <w:tcW w:w="662" w:type="pct"/>
            <w:tcBorders>
              <w:top w:val="nil"/>
              <w:left w:val="nil"/>
              <w:bottom w:val="nil"/>
              <w:right w:val="nil"/>
            </w:tcBorders>
            <w:vAlign w:val="bottom"/>
          </w:tcPr>
          <w:p w:rsidRPr="00BB0DD9" w:rsidR="00EF2F18" w:rsidP="009F74CA" w:rsidRDefault="00EF2F18" w14:paraId="2AADF832"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245</w:t>
            </w:r>
          </w:p>
        </w:tc>
        <w:tc>
          <w:tcPr>
            <w:tcW w:w="505" w:type="pct"/>
            <w:tcBorders>
              <w:top w:val="nil"/>
              <w:left w:val="nil"/>
              <w:bottom w:val="nil"/>
              <w:right w:val="nil"/>
            </w:tcBorders>
            <w:vAlign w:val="bottom"/>
          </w:tcPr>
          <w:p w:rsidRPr="00BB0DD9" w:rsidR="00EF2F18" w:rsidP="009F74CA" w:rsidRDefault="00EF2F18" w14:paraId="6F175CD2" w14:textId="77777777">
            <w:pPr>
              <w:pStyle w:val="TableParagraph"/>
              <w:keepNext/>
              <w:spacing w:before="12"/>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7</w:t>
            </w:r>
          </w:p>
        </w:tc>
        <w:tc>
          <w:tcPr>
            <w:tcW w:w="775" w:type="pct"/>
            <w:tcBorders>
              <w:top w:val="nil"/>
              <w:left w:val="nil"/>
              <w:bottom w:val="nil"/>
              <w:right w:val="nil"/>
            </w:tcBorders>
            <w:vAlign w:val="bottom"/>
          </w:tcPr>
          <w:p w:rsidRPr="00BB0DD9" w:rsidR="00EF2F18" w:rsidP="009F74CA" w:rsidRDefault="00EF2F18" w14:paraId="6E50C924"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71.8</w:t>
            </w:r>
          </w:p>
        </w:tc>
        <w:tc>
          <w:tcPr>
            <w:tcW w:w="719" w:type="pct"/>
            <w:tcBorders>
              <w:top w:val="nil"/>
              <w:left w:val="nil"/>
              <w:bottom w:val="nil"/>
              <w:right w:val="nil"/>
            </w:tcBorders>
            <w:vAlign w:val="bottom"/>
          </w:tcPr>
          <w:p w:rsidRPr="00BB0DD9" w:rsidR="00EF2F18" w:rsidP="009F74CA" w:rsidRDefault="00EF2F18" w14:paraId="2C4156CD"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55.0</w:t>
            </w:r>
          </w:p>
        </w:tc>
      </w:tr>
      <w:tr w:rsidRPr="00BB0DD9" w:rsidR="00EF2F18" w:rsidTr="009F74CA" w14:paraId="5C99842D" w14:textId="77777777">
        <w:trPr>
          <w:trHeight w:val="242" w:hRule="exact"/>
        </w:trPr>
        <w:tc>
          <w:tcPr>
            <w:tcW w:w="5000" w:type="pct"/>
            <w:gridSpan w:val="7"/>
            <w:tcBorders>
              <w:top w:val="nil"/>
              <w:left w:val="nil"/>
              <w:bottom w:val="nil"/>
              <w:right w:val="nil"/>
            </w:tcBorders>
          </w:tcPr>
          <w:p w:rsidRPr="00BB0DD9" w:rsidR="00EF2F18" w:rsidP="009F74CA" w:rsidRDefault="00EF2F18" w14:paraId="14DF7BB5" w14:textId="77777777">
            <w:pPr>
              <w:pStyle w:val="TableParagraph"/>
              <w:keepNext/>
              <w:spacing w:before="42"/>
              <w:ind w:left="31"/>
              <w:rPr>
                <w:rFonts w:ascii="Times New Roman" w:hAnsi="Times New Roman" w:eastAsia="Arial" w:cs="Times New Roman"/>
                <w:sz w:val="16"/>
                <w:szCs w:val="16"/>
              </w:rPr>
            </w:pPr>
            <w:r w:rsidRPr="00BB0DD9">
              <w:rPr>
                <w:rFonts w:ascii="Times New Roman" w:hAnsi="Times New Roman" w:cs="Times New Roman"/>
                <w:spacing w:val="-2"/>
                <w:sz w:val="16"/>
                <w:szCs w:val="16"/>
              </w:rPr>
              <w:t>Percent</w:t>
            </w:r>
            <w:r w:rsidRPr="00BB0DD9">
              <w:rPr>
                <w:rFonts w:ascii="Times New Roman" w:hAnsi="Times New Roman" w:cs="Times New Roman"/>
                <w:spacing w:val="-11"/>
                <w:sz w:val="16"/>
                <w:szCs w:val="16"/>
              </w:rPr>
              <w:t xml:space="preserve"> </w:t>
            </w:r>
            <w:r w:rsidRPr="00BB0DD9">
              <w:rPr>
                <w:rFonts w:ascii="Times New Roman" w:hAnsi="Times New Roman" w:cs="Times New Roman"/>
                <w:spacing w:val="1"/>
                <w:sz w:val="16"/>
                <w:szCs w:val="16"/>
              </w:rPr>
              <w:t>White</w:t>
            </w:r>
            <w:r w:rsidRPr="00BB0DD9">
              <w:rPr>
                <w:rFonts w:ascii="Times New Roman" w:hAnsi="Times New Roman" w:cs="Times New Roman"/>
                <w:spacing w:val="-10"/>
                <w:sz w:val="16"/>
                <w:szCs w:val="16"/>
              </w:rPr>
              <w:t xml:space="preserve"> </w:t>
            </w:r>
            <w:r w:rsidRPr="00BB0DD9">
              <w:rPr>
                <w:rFonts w:ascii="Times New Roman" w:hAnsi="Times New Roman" w:cs="Times New Roman"/>
                <w:spacing w:val="-2"/>
                <w:sz w:val="16"/>
                <w:szCs w:val="16"/>
              </w:rPr>
              <w:t>enrollment</w:t>
            </w:r>
          </w:p>
        </w:tc>
      </w:tr>
      <w:tr w:rsidRPr="00BB0DD9" w:rsidR="00EF2F18" w:rsidTr="00D461F9" w14:paraId="53DAC6B5" w14:textId="77777777">
        <w:trPr>
          <w:trHeight w:val="212" w:hRule="exact"/>
        </w:trPr>
        <w:tc>
          <w:tcPr>
            <w:tcW w:w="1143" w:type="pct"/>
            <w:tcBorders>
              <w:top w:val="nil"/>
              <w:left w:val="nil"/>
              <w:bottom w:val="nil"/>
              <w:right w:val="nil"/>
            </w:tcBorders>
          </w:tcPr>
          <w:p w:rsidRPr="00BB0DD9" w:rsidR="00EF2F18" w:rsidP="009F74CA" w:rsidRDefault="00EF2F18" w14:paraId="08709FBF" w14:textId="77777777">
            <w:pPr>
              <w:pStyle w:val="TableParagraph"/>
              <w:keepNext/>
              <w:spacing w:before="11"/>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More</w:t>
            </w:r>
            <w:r w:rsidRPr="00BB0DD9">
              <w:rPr>
                <w:rFonts w:ascii="Times New Roman" w:hAnsi="Times New Roman" w:cs="Times New Roman"/>
                <w:spacing w:val="-8"/>
                <w:sz w:val="16"/>
                <w:szCs w:val="16"/>
              </w:rPr>
              <w:t xml:space="preserve"> </w:t>
            </w:r>
            <w:r w:rsidRPr="00BB0DD9">
              <w:rPr>
                <w:rFonts w:ascii="Times New Roman" w:hAnsi="Times New Roman" w:cs="Times New Roman"/>
                <w:spacing w:val="-2"/>
                <w:sz w:val="16"/>
                <w:szCs w:val="16"/>
              </w:rPr>
              <w:t>than</w:t>
            </w:r>
            <w:r w:rsidRPr="00BB0DD9">
              <w:rPr>
                <w:rFonts w:ascii="Times New Roman" w:hAnsi="Times New Roman" w:cs="Times New Roman"/>
                <w:spacing w:val="-7"/>
                <w:sz w:val="16"/>
                <w:szCs w:val="16"/>
              </w:rPr>
              <w:t xml:space="preserve"> </w:t>
            </w:r>
            <w:r w:rsidRPr="00BB0DD9">
              <w:rPr>
                <w:rFonts w:ascii="Times New Roman" w:hAnsi="Times New Roman" w:cs="Times New Roman"/>
                <w:spacing w:val="-1"/>
                <w:sz w:val="16"/>
                <w:szCs w:val="16"/>
              </w:rPr>
              <w:t>95</w:t>
            </w:r>
            <w:r w:rsidRPr="00BB0DD9">
              <w:rPr>
                <w:rFonts w:ascii="Times New Roman" w:hAnsi="Times New Roman" w:cs="Times New Roman"/>
                <w:spacing w:val="-7"/>
                <w:sz w:val="16"/>
                <w:szCs w:val="16"/>
              </w:rPr>
              <w:t xml:space="preserve"> </w:t>
            </w:r>
            <w:r w:rsidRPr="00BB0DD9">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rsidRPr="00BB0DD9" w:rsidR="00EF2F18" w:rsidP="009F74CA" w:rsidRDefault="00EF2F18" w14:paraId="63AD1D5A" w14:textId="77777777">
            <w:pPr>
              <w:pStyle w:val="TableParagraph"/>
              <w:keepNext/>
              <w:spacing w:before="11"/>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170</w:t>
            </w:r>
          </w:p>
        </w:tc>
        <w:tc>
          <w:tcPr>
            <w:tcW w:w="543" w:type="pct"/>
            <w:tcBorders>
              <w:top w:val="nil"/>
              <w:left w:val="nil"/>
              <w:bottom w:val="nil"/>
              <w:right w:val="nil"/>
            </w:tcBorders>
            <w:vAlign w:val="bottom"/>
          </w:tcPr>
          <w:p w:rsidRPr="00BB0DD9" w:rsidR="00EF2F18" w:rsidP="009F74CA" w:rsidRDefault="00EF2F18" w14:paraId="034C0407" w14:textId="77777777">
            <w:pPr>
              <w:pStyle w:val="TableParagraph"/>
              <w:keepNext/>
              <w:spacing w:before="11"/>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128</w:t>
            </w:r>
          </w:p>
        </w:tc>
        <w:tc>
          <w:tcPr>
            <w:tcW w:w="662" w:type="pct"/>
            <w:tcBorders>
              <w:top w:val="nil"/>
              <w:left w:val="nil"/>
              <w:bottom w:val="nil"/>
              <w:right w:val="nil"/>
            </w:tcBorders>
            <w:vAlign w:val="bottom"/>
          </w:tcPr>
          <w:p w:rsidRPr="00BB0DD9" w:rsidR="00EF2F18" w:rsidP="009F74CA" w:rsidRDefault="00EF2F18" w14:paraId="16433D76" w14:textId="77777777">
            <w:pPr>
              <w:pStyle w:val="TableParagraph"/>
              <w:keepNext/>
              <w:spacing w:before="12"/>
              <w:ind w:left="709"/>
              <w:jc w:val="right"/>
              <w:rPr>
                <w:rFonts w:ascii="Times New Roman" w:hAnsi="Times New Roman" w:cs="Times New Roman"/>
                <w:sz w:val="18"/>
                <w:szCs w:val="18"/>
              </w:rPr>
            </w:pPr>
            <w:r w:rsidRPr="00BB0DD9">
              <w:rPr>
                <w:rFonts w:ascii="Times New Roman" w:hAnsi="Times New Roman" w:cs="Times New Roman"/>
                <w:sz w:val="18"/>
                <w:szCs w:val="18"/>
              </w:rPr>
              <w:t>39</w:t>
            </w:r>
          </w:p>
        </w:tc>
        <w:tc>
          <w:tcPr>
            <w:tcW w:w="505" w:type="pct"/>
            <w:tcBorders>
              <w:top w:val="nil"/>
              <w:left w:val="nil"/>
              <w:bottom w:val="nil"/>
              <w:right w:val="nil"/>
            </w:tcBorders>
            <w:vAlign w:val="bottom"/>
          </w:tcPr>
          <w:p w:rsidRPr="00BB0DD9" w:rsidR="00EF2F18" w:rsidP="009F74CA" w:rsidRDefault="00EF2F18" w14:paraId="2C99A532" w14:textId="77777777">
            <w:pPr>
              <w:pStyle w:val="TableParagraph"/>
              <w:keepNext/>
              <w:spacing w:before="11"/>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3</w:t>
            </w:r>
          </w:p>
        </w:tc>
        <w:tc>
          <w:tcPr>
            <w:tcW w:w="775" w:type="pct"/>
            <w:tcBorders>
              <w:top w:val="nil"/>
              <w:left w:val="nil"/>
              <w:bottom w:val="nil"/>
              <w:right w:val="nil"/>
            </w:tcBorders>
            <w:vAlign w:val="bottom"/>
          </w:tcPr>
          <w:p w:rsidRPr="00BB0DD9" w:rsidR="00EF2F18" w:rsidP="009F74CA" w:rsidRDefault="00EF2F18" w14:paraId="1D634B07" w14:textId="77777777">
            <w:pPr>
              <w:pStyle w:val="TableParagraph"/>
              <w:keepNext/>
              <w:spacing w:before="11"/>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76.6</w:t>
            </w:r>
          </w:p>
        </w:tc>
        <w:tc>
          <w:tcPr>
            <w:tcW w:w="719" w:type="pct"/>
            <w:tcBorders>
              <w:top w:val="nil"/>
              <w:left w:val="nil"/>
              <w:bottom w:val="nil"/>
              <w:right w:val="nil"/>
            </w:tcBorders>
            <w:vAlign w:val="bottom"/>
          </w:tcPr>
          <w:p w:rsidRPr="00BB0DD9" w:rsidR="00EF2F18" w:rsidP="009F74CA" w:rsidRDefault="00EF2F18" w14:paraId="0542198C" w14:textId="77777777">
            <w:pPr>
              <w:pStyle w:val="TableParagraph"/>
              <w:keepNext/>
              <w:spacing w:before="11"/>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79.2</w:t>
            </w:r>
          </w:p>
        </w:tc>
      </w:tr>
      <w:tr w:rsidRPr="00BB0DD9" w:rsidR="00EF2F18" w:rsidTr="00D461F9" w14:paraId="6497B9FB" w14:textId="77777777">
        <w:trPr>
          <w:trHeight w:val="214" w:hRule="exact"/>
        </w:trPr>
        <w:tc>
          <w:tcPr>
            <w:tcW w:w="1143" w:type="pct"/>
            <w:tcBorders>
              <w:top w:val="nil"/>
              <w:left w:val="nil"/>
              <w:bottom w:val="nil"/>
              <w:right w:val="nil"/>
            </w:tcBorders>
          </w:tcPr>
          <w:p w:rsidRPr="00BB0DD9" w:rsidR="00EF2F18" w:rsidP="009F74CA" w:rsidRDefault="00EF2F18" w14:paraId="0B05E619"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More</w:t>
            </w:r>
            <w:r w:rsidRPr="00BB0DD9">
              <w:rPr>
                <w:rFonts w:ascii="Times New Roman" w:hAnsi="Times New Roman" w:cs="Times New Roman"/>
                <w:spacing w:val="-7"/>
                <w:sz w:val="16"/>
                <w:szCs w:val="16"/>
              </w:rPr>
              <w:t xml:space="preserve"> </w:t>
            </w:r>
            <w:r w:rsidRPr="00BB0DD9">
              <w:rPr>
                <w:rFonts w:ascii="Times New Roman" w:hAnsi="Times New Roman" w:cs="Times New Roman"/>
                <w:spacing w:val="-2"/>
                <w:sz w:val="16"/>
                <w:szCs w:val="16"/>
              </w:rPr>
              <w:t>than</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80</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to</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95</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rsidRPr="00BB0DD9" w:rsidR="00EF2F18" w:rsidP="009F74CA" w:rsidRDefault="00EF2F18" w14:paraId="7C590679" w14:textId="77777777">
            <w:pPr>
              <w:pStyle w:val="TableParagraph"/>
              <w:keepNext/>
              <w:spacing w:before="12"/>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1,014</w:t>
            </w:r>
          </w:p>
        </w:tc>
        <w:tc>
          <w:tcPr>
            <w:tcW w:w="543" w:type="pct"/>
            <w:tcBorders>
              <w:top w:val="nil"/>
              <w:left w:val="nil"/>
              <w:bottom w:val="nil"/>
              <w:right w:val="nil"/>
            </w:tcBorders>
            <w:vAlign w:val="bottom"/>
          </w:tcPr>
          <w:p w:rsidRPr="00BB0DD9" w:rsidR="00EF2F18" w:rsidP="009F74CA" w:rsidRDefault="00EF2F18" w14:paraId="7E5A5567"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675</w:t>
            </w:r>
          </w:p>
        </w:tc>
        <w:tc>
          <w:tcPr>
            <w:tcW w:w="662" w:type="pct"/>
            <w:tcBorders>
              <w:top w:val="nil"/>
              <w:left w:val="nil"/>
              <w:bottom w:val="nil"/>
              <w:right w:val="nil"/>
            </w:tcBorders>
            <w:vAlign w:val="bottom"/>
          </w:tcPr>
          <w:p w:rsidRPr="00BB0DD9" w:rsidR="00EF2F18" w:rsidP="009F74CA" w:rsidRDefault="00EF2F18" w14:paraId="6A8B3D96"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330</w:t>
            </w:r>
          </w:p>
        </w:tc>
        <w:tc>
          <w:tcPr>
            <w:tcW w:w="505" w:type="pct"/>
            <w:tcBorders>
              <w:top w:val="nil"/>
              <w:left w:val="nil"/>
              <w:bottom w:val="nil"/>
              <w:right w:val="nil"/>
            </w:tcBorders>
            <w:vAlign w:val="bottom"/>
          </w:tcPr>
          <w:p w:rsidRPr="00BB0DD9" w:rsidR="00EF2F18" w:rsidP="009F74CA" w:rsidRDefault="00EF2F18" w14:paraId="7AC6965B" w14:textId="77777777">
            <w:pPr>
              <w:pStyle w:val="TableParagraph"/>
              <w:keepNext/>
              <w:spacing w:before="12"/>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9</w:t>
            </w:r>
          </w:p>
        </w:tc>
        <w:tc>
          <w:tcPr>
            <w:tcW w:w="775" w:type="pct"/>
            <w:tcBorders>
              <w:top w:val="nil"/>
              <w:left w:val="nil"/>
              <w:bottom w:val="nil"/>
              <w:right w:val="nil"/>
            </w:tcBorders>
            <w:vAlign w:val="bottom"/>
          </w:tcPr>
          <w:p w:rsidRPr="00BB0DD9" w:rsidR="00EF2F18" w:rsidP="009F74CA" w:rsidRDefault="00EF2F18" w14:paraId="2F830C5B"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67.2</w:t>
            </w:r>
          </w:p>
        </w:tc>
        <w:tc>
          <w:tcPr>
            <w:tcW w:w="719" w:type="pct"/>
            <w:tcBorders>
              <w:top w:val="nil"/>
              <w:left w:val="nil"/>
              <w:bottom w:val="nil"/>
              <w:right w:val="nil"/>
            </w:tcBorders>
            <w:vAlign w:val="bottom"/>
          </w:tcPr>
          <w:p w:rsidRPr="00BB0DD9" w:rsidR="00EF2F18" w:rsidP="009F74CA" w:rsidRDefault="00EF2F18" w14:paraId="517DDD18"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68.3</w:t>
            </w:r>
          </w:p>
        </w:tc>
      </w:tr>
      <w:tr w:rsidRPr="00BB0DD9" w:rsidR="00EF2F18" w:rsidTr="00D461F9" w14:paraId="3DD0879B" w14:textId="77777777">
        <w:trPr>
          <w:trHeight w:val="214" w:hRule="exact"/>
        </w:trPr>
        <w:tc>
          <w:tcPr>
            <w:tcW w:w="1143" w:type="pct"/>
            <w:tcBorders>
              <w:top w:val="nil"/>
              <w:left w:val="nil"/>
              <w:bottom w:val="nil"/>
              <w:right w:val="nil"/>
            </w:tcBorders>
          </w:tcPr>
          <w:p w:rsidRPr="00BB0DD9" w:rsidR="00EF2F18" w:rsidP="009F74CA" w:rsidRDefault="00EF2F18" w14:paraId="2BC6D157"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More</w:t>
            </w:r>
            <w:r w:rsidRPr="00BB0DD9">
              <w:rPr>
                <w:rFonts w:ascii="Times New Roman" w:hAnsi="Times New Roman" w:cs="Times New Roman"/>
                <w:spacing w:val="-7"/>
                <w:sz w:val="16"/>
                <w:szCs w:val="16"/>
              </w:rPr>
              <w:t xml:space="preserve"> </w:t>
            </w:r>
            <w:r w:rsidRPr="00BB0DD9">
              <w:rPr>
                <w:rFonts w:ascii="Times New Roman" w:hAnsi="Times New Roman" w:cs="Times New Roman"/>
                <w:spacing w:val="-2"/>
                <w:sz w:val="16"/>
                <w:szCs w:val="16"/>
              </w:rPr>
              <w:t>than</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50</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to</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80</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rsidRPr="00BB0DD9" w:rsidR="00EF2F18" w:rsidP="009F74CA" w:rsidRDefault="00EF2F18" w14:paraId="0559B373" w14:textId="77777777">
            <w:pPr>
              <w:pStyle w:val="TableParagraph"/>
              <w:keepNext/>
              <w:spacing w:before="12"/>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1,390</w:t>
            </w:r>
          </w:p>
        </w:tc>
        <w:tc>
          <w:tcPr>
            <w:tcW w:w="543" w:type="pct"/>
            <w:tcBorders>
              <w:top w:val="nil"/>
              <w:left w:val="nil"/>
              <w:bottom w:val="nil"/>
              <w:right w:val="nil"/>
            </w:tcBorders>
            <w:vAlign w:val="bottom"/>
          </w:tcPr>
          <w:p w:rsidRPr="00BB0DD9" w:rsidR="00EF2F18" w:rsidP="009F74CA" w:rsidRDefault="00EF2F18" w14:paraId="5D460922"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848</w:t>
            </w:r>
          </w:p>
        </w:tc>
        <w:tc>
          <w:tcPr>
            <w:tcW w:w="662" w:type="pct"/>
            <w:tcBorders>
              <w:top w:val="nil"/>
              <w:left w:val="nil"/>
              <w:bottom w:val="nil"/>
              <w:right w:val="nil"/>
            </w:tcBorders>
            <w:vAlign w:val="bottom"/>
          </w:tcPr>
          <w:p w:rsidRPr="00BB0DD9" w:rsidR="00EF2F18" w:rsidP="009F74CA" w:rsidRDefault="00EF2F18" w14:paraId="62D94CB1"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536</w:t>
            </w:r>
          </w:p>
        </w:tc>
        <w:tc>
          <w:tcPr>
            <w:tcW w:w="505" w:type="pct"/>
            <w:tcBorders>
              <w:top w:val="nil"/>
              <w:left w:val="nil"/>
              <w:bottom w:val="nil"/>
              <w:right w:val="nil"/>
            </w:tcBorders>
            <w:vAlign w:val="bottom"/>
          </w:tcPr>
          <w:p w:rsidRPr="00BB0DD9" w:rsidR="00EF2F18" w:rsidP="009F74CA" w:rsidRDefault="00EF2F18" w14:paraId="45601F5B"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6</w:t>
            </w:r>
          </w:p>
        </w:tc>
        <w:tc>
          <w:tcPr>
            <w:tcW w:w="775" w:type="pct"/>
            <w:tcBorders>
              <w:top w:val="nil"/>
              <w:left w:val="nil"/>
              <w:bottom w:val="nil"/>
              <w:right w:val="nil"/>
            </w:tcBorders>
            <w:vAlign w:val="bottom"/>
          </w:tcPr>
          <w:p w:rsidRPr="00BB0DD9" w:rsidR="00EF2F18" w:rsidP="009F74CA" w:rsidRDefault="00EF2F18" w14:paraId="139FC5F8"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61.3</w:t>
            </w:r>
          </w:p>
        </w:tc>
        <w:tc>
          <w:tcPr>
            <w:tcW w:w="719" w:type="pct"/>
            <w:tcBorders>
              <w:top w:val="nil"/>
              <w:left w:val="nil"/>
              <w:bottom w:val="nil"/>
              <w:right w:val="nil"/>
            </w:tcBorders>
            <w:vAlign w:val="bottom"/>
          </w:tcPr>
          <w:p w:rsidRPr="00BB0DD9" w:rsidR="00EF2F18" w:rsidP="009F74CA" w:rsidRDefault="00EF2F18" w14:paraId="737A81C0"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62.8</w:t>
            </w:r>
          </w:p>
        </w:tc>
      </w:tr>
      <w:tr w:rsidRPr="00BB0DD9" w:rsidR="00EF2F18" w:rsidTr="00D461F9" w14:paraId="643ED584" w14:textId="77777777">
        <w:trPr>
          <w:trHeight w:val="244" w:hRule="exact"/>
        </w:trPr>
        <w:tc>
          <w:tcPr>
            <w:tcW w:w="1143" w:type="pct"/>
            <w:tcBorders>
              <w:top w:val="nil"/>
              <w:left w:val="nil"/>
              <w:bottom w:val="nil"/>
              <w:right w:val="nil"/>
            </w:tcBorders>
          </w:tcPr>
          <w:p w:rsidRPr="00BB0DD9" w:rsidR="00EF2F18" w:rsidP="009F74CA" w:rsidRDefault="00EF2F18" w14:paraId="03EF0BAC"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1"/>
                <w:sz w:val="16"/>
                <w:szCs w:val="16"/>
              </w:rPr>
              <w:t>50</w:t>
            </w:r>
            <w:r w:rsidRPr="00BB0DD9">
              <w:rPr>
                <w:rFonts w:ascii="Times New Roman" w:hAnsi="Times New Roman" w:cs="Times New Roman"/>
                <w:spacing w:val="-7"/>
                <w:sz w:val="16"/>
                <w:szCs w:val="16"/>
              </w:rPr>
              <w:t xml:space="preserve"> </w:t>
            </w:r>
            <w:r w:rsidRPr="00BB0DD9">
              <w:rPr>
                <w:rFonts w:ascii="Times New Roman" w:hAnsi="Times New Roman" w:cs="Times New Roman"/>
                <w:spacing w:val="-2"/>
                <w:sz w:val="16"/>
                <w:szCs w:val="16"/>
              </w:rPr>
              <w:t>percent</w:t>
            </w:r>
            <w:r w:rsidRPr="00BB0DD9">
              <w:rPr>
                <w:rFonts w:ascii="Times New Roman" w:hAnsi="Times New Roman" w:cs="Times New Roman"/>
                <w:spacing w:val="-6"/>
                <w:sz w:val="16"/>
                <w:szCs w:val="16"/>
              </w:rPr>
              <w:t xml:space="preserve"> </w:t>
            </w:r>
            <w:r w:rsidRPr="00BB0DD9">
              <w:rPr>
                <w:rFonts w:ascii="Times New Roman" w:hAnsi="Times New Roman" w:cs="Times New Roman"/>
                <w:spacing w:val="-1"/>
                <w:sz w:val="16"/>
                <w:szCs w:val="16"/>
              </w:rPr>
              <w:t>or</w:t>
            </w:r>
            <w:r w:rsidRPr="00BB0DD9">
              <w:rPr>
                <w:rFonts w:ascii="Times New Roman" w:hAnsi="Times New Roman" w:cs="Times New Roman"/>
                <w:spacing w:val="-4"/>
                <w:sz w:val="16"/>
                <w:szCs w:val="16"/>
              </w:rPr>
              <w:t xml:space="preserve"> </w:t>
            </w:r>
            <w:r w:rsidRPr="00BB0DD9">
              <w:rPr>
                <w:rFonts w:ascii="Times New Roman" w:hAnsi="Times New Roman" w:cs="Times New Roman"/>
                <w:spacing w:val="-2"/>
                <w:sz w:val="16"/>
                <w:szCs w:val="16"/>
              </w:rPr>
              <w:t>less</w:t>
            </w:r>
          </w:p>
        </w:tc>
        <w:tc>
          <w:tcPr>
            <w:tcW w:w="653" w:type="pct"/>
            <w:tcBorders>
              <w:top w:val="nil"/>
              <w:left w:val="nil"/>
              <w:bottom w:val="nil"/>
              <w:right w:val="nil"/>
            </w:tcBorders>
            <w:vAlign w:val="bottom"/>
          </w:tcPr>
          <w:p w:rsidRPr="00BB0DD9" w:rsidR="00EF2F18" w:rsidP="009F74CA" w:rsidRDefault="00EF2F18" w14:paraId="049F681B"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2,229</w:t>
            </w:r>
          </w:p>
        </w:tc>
        <w:tc>
          <w:tcPr>
            <w:tcW w:w="543" w:type="pct"/>
            <w:tcBorders>
              <w:top w:val="nil"/>
              <w:left w:val="nil"/>
              <w:bottom w:val="nil"/>
              <w:right w:val="nil"/>
            </w:tcBorders>
            <w:vAlign w:val="bottom"/>
          </w:tcPr>
          <w:p w:rsidRPr="00BB0DD9" w:rsidR="00EF2F18" w:rsidP="009F74CA" w:rsidRDefault="00EF2F18" w14:paraId="72698422" w14:textId="77777777">
            <w:pPr>
              <w:pStyle w:val="TableParagraph"/>
              <w:keepNext/>
              <w:spacing w:before="12"/>
              <w:ind w:left="600"/>
              <w:jc w:val="right"/>
              <w:rPr>
                <w:rFonts w:ascii="Times New Roman" w:hAnsi="Times New Roman" w:eastAsia="Arial" w:cs="Times New Roman"/>
                <w:sz w:val="16"/>
                <w:szCs w:val="16"/>
              </w:rPr>
            </w:pPr>
            <w:r w:rsidRPr="00BB0DD9">
              <w:rPr>
                <w:rFonts w:ascii="Times New Roman" w:hAnsi="Times New Roman" w:cs="Times New Roman"/>
                <w:sz w:val="18"/>
                <w:szCs w:val="18"/>
              </w:rPr>
              <w:t>1,111</w:t>
            </w:r>
          </w:p>
        </w:tc>
        <w:tc>
          <w:tcPr>
            <w:tcW w:w="662" w:type="pct"/>
            <w:tcBorders>
              <w:top w:val="nil"/>
              <w:left w:val="nil"/>
              <w:bottom w:val="nil"/>
              <w:right w:val="nil"/>
            </w:tcBorders>
            <w:vAlign w:val="bottom"/>
          </w:tcPr>
          <w:p w:rsidRPr="00BB0DD9" w:rsidR="00EF2F18" w:rsidP="009F74CA" w:rsidRDefault="00EF2F18" w14:paraId="54FF129F"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1,070</w:t>
            </w:r>
          </w:p>
        </w:tc>
        <w:tc>
          <w:tcPr>
            <w:tcW w:w="505" w:type="pct"/>
            <w:tcBorders>
              <w:top w:val="nil"/>
              <w:left w:val="nil"/>
              <w:bottom w:val="nil"/>
              <w:right w:val="nil"/>
            </w:tcBorders>
            <w:vAlign w:val="bottom"/>
          </w:tcPr>
          <w:p w:rsidRPr="00BB0DD9" w:rsidR="00EF2F18" w:rsidP="009F74CA" w:rsidRDefault="00EF2F18" w14:paraId="587A4AC8"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48</w:t>
            </w:r>
          </w:p>
        </w:tc>
        <w:tc>
          <w:tcPr>
            <w:tcW w:w="775" w:type="pct"/>
            <w:tcBorders>
              <w:top w:val="nil"/>
              <w:left w:val="nil"/>
              <w:bottom w:val="nil"/>
              <w:right w:val="nil"/>
            </w:tcBorders>
            <w:vAlign w:val="bottom"/>
          </w:tcPr>
          <w:p w:rsidRPr="00BB0DD9" w:rsidR="00EF2F18" w:rsidP="009F74CA" w:rsidRDefault="00EF2F18" w14:paraId="6693BF82" w14:textId="77777777">
            <w:pPr>
              <w:pStyle w:val="TableParagraph"/>
              <w:keepNext/>
              <w:spacing w:before="12"/>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50.9</w:t>
            </w:r>
          </w:p>
        </w:tc>
        <w:tc>
          <w:tcPr>
            <w:tcW w:w="719" w:type="pct"/>
            <w:tcBorders>
              <w:top w:val="nil"/>
              <w:left w:val="nil"/>
              <w:bottom w:val="nil"/>
              <w:right w:val="nil"/>
            </w:tcBorders>
            <w:vAlign w:val="bottom"/>
          </w:tcPr>
          <w:p w:rsidRPr="00BB0DD9" w:rsidR="00EF2F18" w:rsidP="009F74CA" w:rsidRDefault="00EF2F18" w14:paraId="4D26CACC"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55.0</w:t>
            </w:r>
          </w:p>
        </w:tc>
      </w:tr>
      <w:tr w:rsidRPr="00BB0DD9" w:rsidR="00EF2F18" w:rsidTr="009F74CA" w14:paraId="52456E9F" w14:textId="77777777">
        <w:trPr>
          <w:trHeight w:val="242" w:hRule="exact"/>
        </w:trPr>
        <w:tc>
          <w:tcPr>
            <w:tcW w:w="5000" w:type="pct"/>
            <w:gridSpan w:val="7"/>
            <w:tcBorders>
              <w:top w:val="nil"/>
              <w:left w:val="nil"/>
              <w:bottom w:val="nil"/>
              <w:right w:val="nil"/>
            </w:tcBorders>
          </w:tcPr>
          <w:p w:rsidRPr="00BB0DD9" w:rsidR="00EF2F18" w:rsidP="009F74CA" w:rsidRDefault="00EF2F18" w14:paraId="599207E3" w14:textId="77777777">
            <w:pPr>
              <w:pStyle w:val="TableParagraph"/>
              <w:keepNext/>
              <w:spacing w:before="42"/>
              <w:ind w:left="31"/>
              <w:rPr>
                <w:rFonts w:ascii="Times New Roman" w:hAnsi="Times New Roman" w:eastAsia="Arial" w:cs="Times New Roman"/>
                <w:sz w:val="16"/>
                <w:szCs w:val="16"/>
              </w:rPr>
            </w:pPr>
            <w:r w:rsidRPr="00BB0DD9">
              <w:rPr>
                <w:rFonts w:ascii="Times New Roman" w:hAnsi="Times New Roman" w:cs="Times New Roman"/>
                <w:spacing w:val="-2"/>
                <w:sz w:val="16"/>
                <w:szCs w:val="16"/>
              </w:rPr>
              <w:t>Region</w:t>
            </w:r>
          </w:p>
        </w:tc>
      </w:tr>
      <w:tr w:rsidRPr="00BB0DD9" w:rsidR="00EF2F18" w:rsidTr="00D461F9" w14:paraId="0C6D8A21" w14:textId="77777777">
        <w:trPr>
          <w:trHeight w:val="212" w:hRule="exact"/>
        </w:trPr>
        <w:tc>
          <w:tcPr>
            <w:tcW w:w="1143" w:type="pct"/>
            <w:tcBorders>
              <w:top w:val="nil"/>
              <w:left w:val="nil"/>
              <w:bottom w:val="nil"/>
              <w:right w:val="nil"/>
            </w:tcBorders>
          </w:tcPr>
          <w:p w:rsidRPr="00BB0DD9" w:rsidR="00EF2F18" w:rsidP="009F74CA" w:rsidRDefault="00EF2F18" w14:paraId="4CB1BDD3" w14:textId="77777777">
            <w:pPr>
              <w:pStyle w:val="TableParagraph"/>
              <w:keepNext/>
              <w:spacing w:before="11"/>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Northeast</w:t>
            </w:r>
          </w:p>
        </w:tc>
        <w:tc>
          <w:tcPr>
            <w:tcW w:w="653" w:type="pct"/>
            <w:tcBorders>
              <w:top w:val="nil"/>
              <w:left w:val="nil"/>
              <w:bottom w:val="nil"/>
              <w:right w:val="nil"/>
            </w:tcBorders>
            <w:vAlign w:val="bottom"/>
          </w:tcPr>
          <w:p w:rsidRPr="00BB0DD9" w:rsidR="00EF2F18" w:rsidP="009F74CA" w:rsidRDefault="00EF2F18" w14:paraId="59CC2F5A" w14:textId="77777777">
            <w:pPr>
              <w:pStyle w:val="TableParagraph"/>
              <w:keepNext/>
              <w:spacing w:before="11"/>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819</w:t>
            </w:r>
          </w:p>
        </w:tc>
        <w:tc>
          <w:tcPr>
            <w:tcW w:w="543" w:type="pct"/>
            <w:tcBorders>
              <w:top w:val="nil"/>
              <w:left w:val="nil"/>
              <w:bottom w:val="nil"/>
              <w:right w:val="nil"/>
            </w:tcBorders>
            <w:vAlign w:val="bottom"/>
          </w:tcPr>
          <w:p w:rsidRPr="00BB0DD9" w:rsidR="00EF2F18" w:rsidP="009F74CA" w:rsidRDefault="00EF2F18" w14:paraId="09417886" w14:textId="77777777">
            <w:pPr>
              <w:pStyle w:val="TableParagraph"/>
              <w:keepNext/>
              <w:spacing w:before="11"/>
              <w:ind w:left="600"/>
              <w:jc w:val="right"/>
              <w:rPr>
                <w:rFonts w:ascii="Times New Roman" w:hAnsi="Times New Roman" w:eastAsia="Arial" w:cs="Times New Roman"/>
                <w:sz w:val="16"/>
                <w:szCs w:val="16"/>
              </w:rPr>
            </w:pPr>
            <w:r w:rsidRPr="00BB0DD9">
              <w:rPr>
                <w:rFonts w:ascii="Times New Roman" w:hAnsi="Times New Roman" w:cs="Times New Roman"/>
                <w:sz w:val="18"/>
                <w:szCs w:val="18"/>
              </w:rPr>
              <w:t>459</w:t>
            </w:r>
          </w:p>
        </w:tc>
        <w:tc>
          <w:tcPr>
            <w:tcW w:w="662" w:type="pct"/>
            <w:tcBorders>
              <w:top w:val="nil"/>
              <w:left w:val="nil"/>
              <w:bottom w:val="nil"/>
              <w:right w:val="nil"/>
            </w:tcBorders>
            <w:vAlign w:val="bottom"/>
          </w:tcPr>
          <w:p w:rsidRPr="00BB0DD9" w:rsidR="00EF2F18" w:rsidP="009F74CA" w:rsidRDefault="00EF2F18" w14:paraId="2FB96494" w14:textId="77777777">
            <w:pPr>
              <w:pStyle w:val="TableParagraph"/>
              <w:keepNext/>
              <w:spacing w:before="11"/>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347</w:t>
            </w:r>
          </w:p>
        </w:tc>
        <w:tc>
          <w:tcPr>
            <w:tcW w:w="505" w:type="pct"/>
            <w:tcBorders>
              <w:top w:val="nil"/>
              <w:left w:val="nil"/>
              <w:bottom w:val="nil"/>
              <w:right w:val="nil"/>
            </w:tcBorders>
            <w:vAlign w:val="bottom"/>
          </w:tcPr>
          <w:p w:rsidRPr="00BB0DD9" w:rsidR="00EF2F18" w:rsidP="009F74CA" w:rsidRDefault="00EF2F18" w14:paraId="76544892" w14:textId="77777777">
            <w:pPr>
              <w:pStyle w:val="TableParagraph"/>
              <w:keepNext/>
              <w:spacing w:before="11"/>
              <w:ind w:right="99"/>
              <w:jc w:val="right"/>
              <w:rPr>
                <w:rFonts w:ascii="Times New Roman" w:hAnsi="Times New Roman" w:eastAsia="Arial" w:cs="Times New Roman"/>
                <w:sz w:val="16"/>
                <w:szCs w:val="16"/>
              </w:rPr>
            </w:pPr>
            <w:r w:rsidRPr="00BB0DD9">
              <w:rPr>
                <w:rFonts w:ascii="Times New Roman" w:hAnsi="Times New Roman" w:cs="Times New Roman"/>
                <w:sz w:val="18"/>
                <w:szCs w:val="18"/>
              </w:rPr>
              <w:t>13</w:t>
            </w:r>
          </w:p>
        </w:tc>
        <w:tc>
          <w:tcPr>
            <w:tcW w:w="775" w:type="pct"/>
            <w:tcBorders>
              <w:top w:val="nil"/>
              <w:left w:val="nil"/>
              <w:bottom w:val="nil"/>
              <w:right w:val="nil"/>
            </w:tcBorders>
            <w:vAlign w:val="bottom"/>
          </w:tcPr>
          <w:p w:rsidRPr="00BB0DD9" w:rsidR="00EF2F18" w:rsidP="009F74CA" w:rsidRDefault="00EF2F18" w14:paraId="1A70FBD5" w14:textId="77777777">
            <w:pPr>
              <w:pStyle w:val="TableParagraph"/>
              <w:keepNext/>
              <w:spacing w:before="11"/>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56.9</w:t>
            </w:r>
          </w:p>
        </w:tc>
        <w:tc>
          <w:tcPr>
            <w:tcW w:w="719" w:type="pct"/>
            <w:tcBorders>
              <w:top w:val="nil"/>
              <w:left w:val="nil"/>
              <w:bottom w:val="nil"/>
              <w:right w:val="nil"/>
            </w:tcBorders>
            <w:vAlign w:val="bottom"/>
          </w:tcPr>
          <w:p w:rsidRPr="00BB0DD9" w:rsidR="00EF2F18" w:rsidP="009F74CA" w:rsidRDefault="00EF2F18" w14:paraId="7B79D857" w14:textId="77777777">
            <w:pPr>
              <w:pStyle w:val="TableParagraph"/>
              <w:keepNext/>
              <w:spacing w:before="11"/>
              <w:ind w:right="22"/>
              <w:jc w:val="right"/>
              <w:rPr>
                <w:rFonts w:ascii="Times New Roman" w:hAnsi="Times New Roman" w:eastAsia="Arial" w:cs="Times New Roman"/>
                <w:sz w:val="16"/>
                <w:szCs w:val="16"/>
              </w:rPr>
            </w:pPr>
            <w:r w:rsidRPr="00BB0DD9">
              <w:rPr>
                <w:rFonts w:ascii="Times New Roman" w:hAnsi="Times New Roman" w:cs="Times New Roman"/>
                <w:sz w:val="18"/>
                <w:szCs w:val="18"/>
              </w:rPr>
              <w:t>61.3</w:t>
            </w:r>
          </w:p>
        </w:tc>
      </w:tr>
      <w:tr w:rsidRPr="00BB0DD9" w:rsidR="00EF2F18" w:rsidTr="00D461F9" w14:paraId="7CCE0D02" w14:textId="77777777">
        <w:trPr>
          <w:trHeight w:val="214" w:hRule="exact"/>
        </w:trPr>
        <w:tc>
          <w:tcPr>
            <w:tcW w:w="1143" w:type="pct"/>
            <w:tcBorders>
              <w:top w:val="nil"/>
              <w:left w:val="nil"/>
              <w:bottom w:val="nil"/>
              <w:right w:val="nil"/>
            </w:tcBorders>
          </w:tcPr>
          <w:p w:rsidRPr="00BB0DD9" w:rsidR="00EF2F18" w:rsidP="009F74CA" w:rsidRDefault="00EF2F18" w14:paraId="6158C5AA"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3"/>
                <w:sz w:val="16"/>
                <w:szCs w:val="16"/>
              </w:rPr>
              <w:t>Midwest</w:t>
            </w:r>
          </w:p>
        </w:tc>
        <w:tc>
          <w:tcPr>
            <w:tcW w:w="653" w:type="pct"/>
            <w:tcBorders>
              <w:top w:val="nil"/>
              <w:left w:val="nil"/>
              <w:bottom w:val="nil"/>
              <w:right w:val="nil"/>
            </w:tcBorders>
            <w:vAlign w:val="bottom"/>
          </w:tcPr>
          <w:p w:rsidRPr="00BB0DD9" w:rsidR="00EF2F18" w:rsidP="009F74CA" w:rsidRDefault="00EF2F18" w14:paraId="25A3F502" w14:textId="77777777">
            <w:pPr>
              <w:pStyle w:val="TableParagraph"/>
              <w:keepNext/>
              <w:spacing w:before="12"/>
              <w:ind w:left="636"/>
              <w:jc w:val="right"/>
              <w:rPr>
                <w:rFonts w:ascii="Times New Roman" w:hAnsi="Times New Roman" w:eastAsia="Arial" w:cs="Times New Roman"/>
                <w:sz w:val="16"/>
                <w:szCs w:val="16"/>
              </w:rPr>
            </w:pPr>
            <w:r w:rsidRPr="00BB0DD9">
              <w:rPr>
                <w:rFonts w:ascii="Times New Roman" w:hAnsi="Times New Roman" w:cs="Times New Roman"/>
                <w:sz w:val="18"/>
                <w:szCs w:val="18"/>
              </w:rPr>
              <w:t>1,029</w:t>
            </w:r>
          </w:p>
        </w:tc>
        <w:tc>
          <w:tcPr>
            <w:tcW w:w="543" w:type="pct"/>
            <w:tcBorders>
              <w:top w:val="nil"/>
              <w:left w:val="nil"/>
              <w:bottom w:val="nil"/>
              <w:right w:val="nil"/>
            </w:tcBorders>
            <w:vAlign w:val="bottom"/>
          </w:tcPr>
          <w:p w:rsidRPr="00BB0DD9" w:rsidR="00EF2F18" w:rsidP="009F74CA" w:rsidRDefault="00EF2F18" w14:paraId="1DFB16EF" w14:textId="77777777">
            <w:pPr>
              <w:pStyle w:val="TableParagraph"/>
              <w:keepNext/>
              <w:spacing w:before="12"/>
              <w:ind w:left="600"/>
              <w:jc w:val="right"/>
              <w:rPr>
                <w:rFonts w:ascii="Times New Roman" w:hAnsi="Times New Roman" w:eastAsia="Arial" w:cs="Times New Roman"/>
                <w:sz w:val="16"/>
                <w:szCs w:val="16"/>
              </w:rPr>
            </w:pPr>
            <w:r w:rsidRPr="00BB0DD9">
              <w:rPr>
                <w:rFonts w:ascii="Times New Roman" w:hAnsi="Times New Roman" w:cs="Times New Roman"/>
                <w:sz w:val="18"/>
                <w:szCs w:val="18"/>
              </w:rPr>
              <w:t>636</w:t>
            </w:r>
          </w:p>
        </w:tc>
        <w:tc>
          <w:tcPr>
            <w:tcW w:w="662" w:type="pct"/>
            <w:tcBorders>
              <w:top w:val="nil"/>
              <w:left w:val="nil"/>
              <w:bottom w:val="nil"/>
              <w:right w:val="nil"/>
            </w:tcBorders>
            <w:vAlign w:val="bottom"/>
          </w:tcPr>
          <w:p w:rsidRPr="00BB0DD9" w:rsidR="00EF2F18" w:rsidP="009F74CA" w:rsidRDefault="00EF2F18" w14:paraId="44AB940F"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377</w:t>
            </w:r>
          </w:p>
        </w:tc>
        <w:tc>
          <w:tcPr>
            <w:tcW w:w="505" w:type="pct"/>
            <w:tcBorders>
              <w:top w:val="nil"/>
              <w:left w:val="nil"/>
              <w:bottom w:val="nil"/>
              <w:right w:val="nil"/>
            </w:tcBorders>
            <w:vAlign w:val="bottom"/>
          </w:tcPr>
          <w:p w:rsidRPr="00BB0DD9" w:rsidR="00EF2F18" w:rsidP="009F74CA" w:rsidRDefault="00EF2F18" w14:paraId="055BD700"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16</w:t>
            </w:r>
          </w:p>
        </w:tc>
        <w:tc>
          <w:tcPr>
            <w:tcW w:w="775" w:type="pct"/>
            <w:tcBorders>
              <w:top w:val="nil"/>
              <w:left w:val="nil"/>
              <w:bottom w:val="nil"/>
              <w:right w:val="nil"/>
            </w:tcBorders>
            <w:vAlign w:val="bottom"/>
          </w:tcPr>
          <w:p w:rsidRPr="00BB0DD9" w:rsidR="00EF2F18" w:rsidP="009F74CA" w:rsidRDefault="00EF2F18" w14:paraId="2F53BC6B" w14:textId="77777777">
            <w:pPr>
              <w:pStyle w:val="TableParagraph"/>
              <w:keepNext/>
              <w:spacing w:before="12"/>
              <w:ind w:left="759"/>
              <w:jc w:val="right"/>
              <w:rPr>
                <w:rFonts w:ascii="Times New Roman" w:hAnsi="Times New Roman" w:eastAsia="Arial" w:cs="Times New Roman"/>
                <w:sz w:val="16"/>
                <w:szCs w:val="16"/>
              </w:rPr>
            </w:pPr>
            <w:r w:rsidRPr="00BB0DD9">
              <w:rPr>
                <w:rFonts w:ascii="Times New Roman" w:hAnsi="Times New Roman" w:cs="Times New Roman"/>
                <w:sz w:val="18"/>
                <w:szCs w:val="18"/>
              </w:rPr>
              <w:t>62.8</w:t>
            </w:r>
          </w:p>
        </w:tc>
        <w:tc>
          <w:tcPr>
            <w:tcW w:w="719" w:type="pct"/>
            <w:tcBorders>
              <w:top w:val="nil"/>
              <w:left w:val="nil"/>
              <w:bottom w:val="nil"/>
              <w:right w:val="nil"/>
            </w:tcBorders>
            <w:vAlign w:val="bottom"/>
          </w:tcPr>
          <w:p w:rsidRPr="00BB0DD9" w:rsidR="00EF2F18" w:rsidP="009F74CA" w:rsidRDefault="00EF2F18" w14:paraId="3A702F29" w14:textId="77777777">
            <w:pPr>
              <w:pStyle w:val="TableParagraph"/>
              <w:keepNext/>
              <w:spacing w:before="12"/>
              <w:ind w:right="22"/>
              <w:jc w:val="right"/>
              <w:rPr>
                <w:rFonts w:ascii="Times New Roman" w:hAnsi="Times New Roman" w:eastAsia="Arial" w:cs="Times New Roman"/>
                <w:sz w:val="16"/>
                <w:szCs w:val="16"/>
              </w:rPr>
            </w:pPr>
            <w:r w:rsidRPr="00BB0DD9">
              <w:rPr>
                <w:rFonts w:ascii="Times New Roman" w:hAnsi="Times New Roman" w:cs="Times New Roman"/>
                <w:sz w:val="18"/>
                <w:szCs w:val="18"/>
              </w:rPr>
              <w:t>64.3</w:t>
            </w:r>
          </w:p>
        </w:tc>
      </w:tr>
      <w:tr w:rsidRPr="00BB0DD9" w:rsidR="00EF2F18" w:rsidTr="00D461F9" w14:paraId="352EBE8D" w14:textId="77777777">
        <w:trPr>
          <w:trHeight w:val="214" w:hRule="exact"/>
        </w:trPr>
        <w:tc>
          <w:tcPr>
            <w:tcW w:w="1143" w:type="pct"/>
            <w:tcBorders>
              <w:top w:val="nil"/>
              <w:left w:val="nil"/>
              <w:bottom w:val="nil"/>
              <w:right w:val="nil"/>
            </w:tcBorders>
          </w:tcPr>
          <w:p w:rsidRPr="00BB0DD9" w:rsidR="00EF2F18" w:rsidP="009F74CA" w:rsidRDefault="00EF2F18" w14:paraId="07D6131F"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pacing w:val="-2"/>
                <w:sz w:val="16"/>
                <w:szCs w:val="16"/>
              </w:rPr>
              <w:t>South</w:t>
            </w:r>
          </w:p>
        </w:tc>
        <w:tc>
          <w:tcPr>
            <w:tcW w:w="653" w:type="pct"/>
            <w:tcBorders>
              <w:top w:val="nil"/>
              <w:left w:val="nil"/>
              <w:bottom w:val="nil"/>
              <w:right w:val="nil"/>
            </w:tcBorders>
            <w:vAlign w:val="bottom"/>
          </w:tcPr>
          <w:p w:rsidRPr="00BB0DD9" w:rsidR="00EF2F18" w:rsidP="009F74CA" w:rsidRDefault="00EF2F18" w14:paraId="3AA83672" w14:textId="77777777">
            <w:pPr>
              <w:pStyle w:val="TableParagraph"/>
              <w:keepNext/>
              <w:spacing w:before="12"/>
              <w:ind w:left="513"/>
              <w:jc w:val="right"/>
              <w:rPr>
                <w:rFonts w:ascii="Times New Roman" w:hAnsi="Times New Roman" w:eastAsia="Arial" w:cs="Times New Roman"/>
                <w:sz w:val="16"/>
                <w:szCs w:val="16"/>
              </w:rPr>
            </w:pPr>
            <w:r w:rsidRPr="00BB0DD9">
              <w:rPr>
                <w:rFonts w:ascii="Times New Roman" w:hAnsi="Times New Roman" w:cs="Times New Roman"/>
                <w:sz w:val="18"/>
                <w:szCs w:val="18"/>
              </w:rPr>
              <w:t>1,845</w:t>
            </w:r>
          </w:p>
        </w:tc>
        <w:tc>
          <w:tcPr>
            <w:tcW w:w="543" w:type="pct"/>
            <w:tcBorders>
              <w:top w:val="nil"/>
              <w:left w:val="nil"/>
              <w:bottom w:val="nil"/>
              <w:right w:val="nil"/>
            </w:tcBorders>
            <w:vAlign w:val="bottom"/>
          </w:tcPr>
          <w:p w:rsidRPr="00BB0DD9" w:rsidR="00EF2F18" w:rsidP="009F74CA" w:rsidRDefault="00EF2F18" w14:paraId="623D975E"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1,042</w:t>
            </w:r>
          </w:p>
        </w:tc>
        <w:tc>
          <w:tcPr>
            <w:tcW w:w="662" w:type="pct"/>
            <w:tcBorders>
              <w:top w:val="nil"/>
              <w:left w:val="nil"/>
              <w:bottom w:val="nil"/>
              <w:right w:val="nil"/>
            </w:tcBorders>
            <w:vAlign w:val="bottom"/>
          </w:tcPr>
          <w:p w:rsidRPr="00BB0DD9" w:rsidR="00EF2F18" w:rsidP="009F74CA" w:rsidRDefault="00EF2F18" w14:paraId="6FE4D6D3"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782</w:t>
            </w:r>
          </w:p>
        </w:tc>
        <w:tc>
          <w:tcPr>
            <w:tcW w:w="505" w:type="pct"/>
            <w:tcBorders>
              <w:top w:val="nil"/>
              <w:left w:val="nil"/>
              <w:bottom w:val="nil"/>
              <w:right w:val="nil"/>
            </w:tcBorders>
            <w:vAlign w:val="bottom"/>
          </w:tcPr>
          <w:p w:rsidRPr="00BB0DD9" w:rsidR="00EF2F18" w:rsidP="009F74CA" w:rsidRDefault="00EF2F18" w14:paraId="39124926"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21</w:t>
            </w:r>
          </w:p>
        </w:tc>
        <w:tc>
          <w:tcPr>
            <w:tcW w:w="775" w:type="pct"/>
            <w:tcBorders>
              <w:top w:val="nil"/>
              <w:left w:val="nil"/>
              <w:bottom w:val="nil"/>
              <w:right w:val="nil"/>
            </w:tcBorders>
            <w:vAlign w:val="bottom"/>
          </w:tcPr>
          <w:p w:rsidRPr="00BB0DD9" w:rsidR="00EF2F18" w:rsidP="009F74CA" w:rsidRDefault="00EF2F18" w14:paraId="0D8D113F"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57.1</w:t>
            </w:r>
          </w:p>
        </w:tc>
        <w:tc>
          <w:tcPr>
            <w:tcW w:w="719" w:type="pct"/>
            <w:tcBorders>
              <w:top w:val="nil"/>
              <w:left w:val="nil"/>
              <w:bottom w:val="nil"/>
              <w:right w:val="nil"/>
            </w:tcBorders>
            <w:vAlign w:val="bottom"/>
          </w:tcPr>
          <w:p w:rsidRPr="00BB0DD9" w:rsidR="00EF2F18" w:rsidP="009F74CA" w:rsidRDefault="00EF2F18" w14:paraId="77DB5A93"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61.0</w:t>
            </w:r>
          </w:p>
        </w:tc>
      </w:tr>
      <w:tr w:rsidRPr="00BB0DD9" w:rsidR="00EF2F18" w:rsidTr="00D461F9" w14:paraId="2BEE327C" w14:textId="77777777">
        <w:trPr>
          <w:trHeight w:val="288" w:hRule="exact"/>
        </w:trPr>
        <w:tc>
          <w:tcPr>
            <w:tcW w:w="1143" w:type="pct"/>
            <w:tcBorders>
              <w:top w:val="nil"/>
              <w:left w:val="nil"/>
              <w:bottom w:val="single" w:color="000000" w:sz="8" w:space="0"/>
              <w:right w:val="nil"/>
            </w:tcBorders>
          </w:tcPr>
          <w:p w:rsidRPr="00BB0DD9" w:rsidR="00EF2F18" w:rsidP="009F74CA" w:rsidRDefault="00EF2F18" w14:paraId="5D50F885" w14:textId="77777777">
            <w:pPr>
              <w:pStyle w:val="TableParagraph"/>
              <w:keepNext/>
              <w:spacing w:before="12"/>
              <w:ind w:left="194"/>
              <w:rPr>
                <w:rFonts w:ascii="Times New Roman" w:hAnsi="Times New Roman" w:eastAsia="Arial" w:cs="Times New Roman"/>
                <w:sz w:val="16"/>
                <w:szCs w:val="16"/>
              </w:rPr>
            </w:pPr>
            <w:r w:rsidRPr="00BB0DD9">
              <w:rPr>
                <w:rFonts w:ascii="Times New Roman" w:hAnsi="Times New Roman" w:cs="Times New Roman"/>
                <w:sz w:val="16"/>
                <w:szCs w:val="16"/>
              </w:rPr>
              <w:t>West</w:t>
            </w:r>
          </w:p>
        </w:tc>
        <w:tc>
          <w:tcPr>
            <w:tcW w:w="653" w:type="pct"/>
            <w:tcBorders>
              <w:top w:val="nil"/>
              <w:left w:val="nil"/>
              <w:bottom w:val="single" w:color="000000" w:sz="8" w:space="0"/>
              <w:right w:val="nil"/>
            </w:tcBorders>
          </w:tcPr>
          <w:p w:rsidRPr="00BB0DD9" w:rsidR="00EF2F18" w:rsidP="009F74CA" w:rsidRDefault="00EF2F18" w14:paraId="065AE33B" w14:textId="77777777">
            <w:pPr>
              <w:pStyle w:val="TableParagraph"/>
              <w:keepNext/>
              <w:spacing w:before="12"/>
              <w:ind w:left="635"/>
              <w:jc w:val="right"/>
              <w:rPr>
                <w:rFonts w:ascii="Times New Roman" w:hAnsi="Times New Roman" w:eastAsia="Arial" w:cs="Times New Roman"/>
                <w:sz w:val="16"/>
                <w:szCs w:val="16"/>
              </w:rPr>
            </w:pPr>
            <w:r w:rsidRPr="00BB0DD9">
              <w:rPr>
                <w:rFonts w:ascii="Times New Roman" w:hAnsi="Times New Roman" w:cs="Times New Roman"/>
                <w:sz w:val="18"/>
                <w:szCs w:val="18"/>
              </w:rPr>
              <w:t>1,110</w:t>
            </w:r>
          </w:p>
        </w:tc>
        <w:tc>
          <w:tcPr>
            <w:tcW w:w="543" w:type="pct"/>
            <w:tcBorders>
              <w:top w:val="nil"/>
              <w:left w:val="nil"/>
              <w:bottom w:val="single" w:color="000000" w:sz="8" w:space="0"/>
              <w:right w:val="nil"/>
            </w:tcBorders>
          </w:tcPr>
          <w:p w:rsidRPr="00BB0DD9" w:rsidR="00EF2F18" w:rsidP="009F74CA" w:rsidRDefault="00EF2F18" w14:paraId="67CC0AE6" w14:textId="77777777">
            <w:pPr>
              <w:pStyle w:val="TableParagraph"/>
              <w:keepNext/>
              <w:spacing w:before="12"/>
              <w:ind w:left="599"/>
              <w:jc w:val="right"/>
              <w:rPr>
                <w:rFonts w:ascii="Times New Roman" w:hAnsi="Times New Roman" w:eastAsia="Arial" w:cs="Times New Roman"/>
                <w:sz w:val="16"/>
                <w:szCs w:val="16"/>
              </w:rPr>
            </w:pPr>
            <w:r w:rsidRPr="00BB0DD9">
              <w:rPr>
                <w:rFonts w:ascii="Times New Roman" w:hAnsi="Times New Roman" w:cs="Times New Roman"/>
                <w:sz w:val="18"/>
                <w:szCs w:val="18"/>
              </w:rPr>
              <w:t>625</w:t>
            </w:r>
          </w:p>
        </w:tc>
        <w:tc>
          <w:tcPr>
            <w:tcW w:w="662" w:type="pct"/>
            <w:tcBorders>
              <w:top w:val="nil"/>
              <w:left w:val="nil"/>
              <w:bottom w:val="single" w:color="000000" w:sz="8" w:space="0"/>
              <w:right w:val="nil"/>
            </w:tcBorders>
          </w:tcPr>
          <w:p w:rsidRPr="00BB0DD9" w:rsidR="00EF2F18" w:rsidP="009F74CA" w:rsidRDefault="00EF2F18" w14:paraId="19CB09CD" w14:textId="77777777">
            <w:pPr>
              <w:pStyle w:val="TableParagraph"/>
              <w:keepNext/>
              <w:spacing w:before="12"/>
              <w:ind w:left="709"/>
              <w:jc w:val="right"/>
              <w:rPr>
                <w:rFonts w:ascii="Times New Roman" w:hAnsi="Times New Roman" w:eastAsia="Arial" w:cs="Times New Roman"/>
                <w:sz w:val="16"/>
                <w:szCs w:val="16"/>
              </w:rPr>
            </w:pPr>
            <w:r w:rsidRPr="00BB0DD9">
              <w:rPr>
                <w:rFonts w:ascii="Times New Roman" w:hAnsi="Times New Roman" w:cs="Times New Roman"/>
                <w:sz w:val="18"/>
                <w:szCs w:val="18"/>
              </w:rPr>
              <w:t>469</w:t>
            </w:r>
          </w:p>
        </w:tc>
        <w:tc>
          <w:tcPr>
            <w:tcW w:w="505" w:type="pct"/>
            <w:tcBorders>
              <w:top w:val="nil"/>
              <w:left w:val="nil"/>
              <w:bottom w:val="single" w:color="000000" w:sz="8" w:space="0"/>
              <w:right w:val="nil"/>
            </w:tcBorders>
          </w:tcPr>
          <w:p w:rsidRPr="00BB0DD9" w:rsidR="00EF2F18" w:rsidP="009F74CA" w:rsidRDefault="00EF2F18" w14:paraId="1D43B4B2" w14:textId="77777777">
            <w:pPr>
              <w:pStyle w:val="TableParagraph"/>
              <w:keepNext/>
              <w:spacing w:before="12"/>
              <w:ind w:right="100"/>
              <w:jc w:val="right"/>
              <w:rPr>
                <w:rFonts w:ascii="Times New Roman" w:hAnsi="Times New Roman" w:eastAsia="Arial" w:cs="Times New Roman"/>
                <w:sz w:val="16"/>
                <w:szCs w:val="16"/>
              </w:rPr>
            </w:pPr>
            <w:r w:rsidRPr="00BB0DD9">
              <w:rPr>
                <w:rFonts w:ascii="Times New Roman" w:hAnsi="Times New Roman" w:cs="Times New Roman"/>
                <w:sz w:val="18"/>
                <w:szCs w:val="18"/>
              </w:rPr>
              <w:t>16</w:t>
            </w:r>
          </w:p>
        </w:tc>
        <w:tc>
          <w:tcPr>
            <w:tcW w:w="775" w:type="pct"/>
            <w:tcBorders>
              <w:top w:val="nil"/>
              <w:left w:val="nil"/>
              <w:bottom w:val="single" w:color="000000" w:sz="8" w:space="0"/>
              <w:right w:val="nil"/>
            </w:tcBorders>
          </w:tcPr>
          <w:p w:rsidRPr="00BB0DD9" w:rsidR="00EF2F18" w:rsidP="009F74CA" w:rsidRDefault="00EF2F18" w14:paraId="4977E57C" w14:textId="77777777">
            <w:pPr>
              <w:pStyle w:val="TableParagraph"/>
              <w:keepNext/>
              <w:spacing w:before="12"/>
              <w:ind w:left="758"/>
              <w:jc w:val="right"/>
              <w:rPr>
                <w:rFonts w:ascii="Times New Roman" w:hAnsi="Times New Roman" w:eastAsia="Arial" w:cs="Times New Roman"/>
                <w:sz w:val="16"/>
                <w:szCs w:val="16"/>
              </w:rPr>
            </w:pPr>
            <w:r w:rsidRPr="00BB0DD9">
              <w:rPr>
                <w:rFonts w:ascii="Times New Roman" w:hAnsi="Times New Roman" w:cs="Times New Roman"/>
                <w:sz w:val="18"/>
                <w:szCs w:val="18"/>
              </w:rPr>
              <w:t>57.1</w:t>
            </w:r>
          </w:p>
        </w:tc>
        <w:tc>
          <w:tcPr>
            <w:tcW w:w="719" w:type="pct"/>
            <w:tcBorders>
              <w:top w:val="nil"/>
              <w:left w:val="nil"/>
              <w:bottom w:val="single" w:color="000000" w:sz="8" w:space="0"/>
              <w:right w:val="nil"/>
            </w:tcBorders>
          </w:tcPr>
          <w:p w:rsidRPr="00BB0DD9" w:rsidR="00EF2F18" w:rsidP="009F74CA" w:rsidRDefault="00EF2F18" w14:paraId="17AB9134" w14:textId="77777777">
            <w:pPr>
              <w:pStyle w:val="TableParagraph"/>
              <w:keepNext/>
              <w:spacing w:before="12"/>
              <w:ind w:right="23"/>
              <w:jc w:val="right"/>
              <w:rPr>
                <w:rFonts w:ascii="Times New Roman" w:hAnsi="Times New Roman" w:eastAsia="Arial" w:cs="Times New Roman"/>
                <w:sz w:val="16"/>
                <w:szCs w:val="16"/>
              </w:rPr>
            </w:pPr>
            <w:r w:rsidRPr="00BB0DD9">
              <w:rPr>
                <w:rFonts w:ascii="Times New Roman" w:hAnsi="Times New Roman" w:cs="Times New Roman"/>
                <w:sz w:val="18"/>
                <w:szCs w:val="18"/>
              </w:rPr>
              <w:t>60.4</w:t>
            </w:r>
          </w:p>
        </w:tc>
      </w:tr>
    </w:tbl>
    <w:p w:rsidRPr="00BB0DD9" w:rsidR="00A4532F" w:rsidP="00EF2F18" w:rsidRDefault="00EF2F18" w14:paraId="7D0FDEF3" w14:textId="77777777">
      <w:pPr>
        <w:keepNext/>
        <w:spacing w:line="187" w:lineRule="exact"/>
        <w:ind w:left="141" w:right="684" w:hanging="8"/>
        <w:rPr>
          <w:sz w:val="16"/>
          <w:szCs w:val="16"/>
        </w:rPr>
      </w:pPr>
      <w:r w:rsidRPr="00BB0DD9">
        <w:rPr>
          <w:spacing w:val="-2"/>
          <w:sz w:val="16"/>
          <w:szCs w:val="16"/>
          <w:vertAlign w:val="superscript"/>
        </w:rPr>
        <w:t>1</w:t>
      </w:r>
      <w:r w:rsidRPr="00BB0DD9">
        <w:rPr>
          <w:sz w:val="16"/>
          <w:szCs w:val="16"/>
        </w:rPr>
        <w:t>In SSOCS:2018, a minimum of 60 percent (157 subitems) of the 261 subitems eligible for recontact (i.e., all subitems in the questionnaire except the non-survey items that collect information about the respondent) were required to be answered for the survey to be considered complete.</w:t>
      </w:r>
      <w:r w:rsidRPr="00BB0DD9" w:rsidR="00A4532F">
        <w:rPr>
          <w:sz w:val="16"/>
          <w:szCs w:val="16"/>
        </w:rPr>
        <w:t xml:space="preserve"> </w:t>
      </w:r>
      <w:r w:rsidRPr="00BB0DD9">
        <w:rPr>
          <w:sz w:val="16"/>
          <w:szCs w:val="16"/>
        </w:rPr>
        <w:t>The 261 subitems eligible for recontact include a minimum of 80 percent of the 76 critical subitems (61 out of 76 total), 60 percent of item 30 subitems (18 out of 30 total), and 60 percent of item 38 subitems in column 1 (3 out of 5 total). The critical items are 11, 18, 19, 20, 22, 28, 29, 30, 31, 35, 36, 38</w:t>
      </w:r>
      <w:r w:rsidRPr="00BB0DD9" w:rsidR="00601B40">
        <w:rPr>
          <w:sz w:val="16"/>
          <w:szCs w:val="16"/>
        </w:rPr>
        <w:t xml:space="preserve"> </w:t>
      </w:r>
      <w:r w:rsidRPr="00BB0DD9">
        <w:rPr>
          <w:sz w:val="16"/>
          <w:szCs w:val="16"/>
        </w:rPr>
        <w:t>(column 1), 39, 40, 41, 42, 46, 47</w:t>
      </w:r>
      <w:r w:rsidRPr="00BB0DD9" w:rsidR="00601B40">
        <w:rPr>
          <w:sz w:val="16"/>
          <w:szCs w:val="16"/>
        </w:rPr>
        <w:t>,</w:t>
      </w:r>
      <w:r w:rsidRPr="00BB0DD9">
        <w:rPr>
          <w:sz w:val="16"/>
          <w:szCs w:val="16"/>
        </w:rPr>
        <w:t xml:space="preserve"> and 48. Questionnaires that did not meet established completion criteria were considered incomplete and are excluded from the SSOCS:2018 data file.</w:t>
      </w:r>
    </w:p>
    <w:p w:rsidRPr="00BB0DD9" w:rsidR="00EF2F18" w:rsidP="00EF2F18" w:rsidRDefault="00EF2F18" w14:paraId="471C4B4B" w14:textId="0B880AB8">
      <w:pPr>
        <w:keepNext/>
        <w:spacing w:line="187" w:lineRule="exact"/>
        <w:ind w:left="141" w:right="684" w:hanging="8"/>
        <w:rPr>
          <w:rFonts w:eastAsia="Arial"/>
          <w:sz w:val="16"/>
        </w:rPr>
      </w:pPr>
      <w:r w:rsidRPr="00BB0DD9">
        <w:rPr>
          <w:spacing w:val="-2"/>
          <w:sz w:val="20"/>
          <w:szCs w:val="20"/>
          <w:vertAlign w:val="superscript"/>
        </w:rPr>
        <w:t>2</w:t>
      </w:r>
      <w:r w:rsidRPr="00BB0DD9">
        <w:rPr>
          <w:spacing w:val="-2"/>
          <w:sz w:val="16"/>
        </w:rPr>
        <w:t>Nonrespondents</w:t>
      </w:r>
      <w:r w:rsidRPr="00BB0DD9">
        <w:rPr>
          <w:spacing w:val="-6"/>
          <w:sz w:val="16"/>
        </w:rPr>
        <w:t xml:space="preserve"> </w:t>
      </w:r>
      <w:r w:rsidRPr="00BB0DD9">
        <w:rPr>
          <w:spacing w:val="-1"/>
          <w:sz w:val="16"/>
        </w:rPr>
        <w:t>include</w:t>
      </w:r>
      <w:r w:rsidRPr="00BB0DD9">
        <w:rPr>
          <w:spacing w:val="-7"/>
          <w:sz w:val="16"/>
        </w:rPr>
        <w:t xml:space="preserve"> </w:t>
      </w:r>
      <w:r w:rsidRPr="00BB0DD9">
        <w:rPr>
          <w:spacing w:val="-1"/>
          <w:sz w:val="16"/>
        </w:rPr>
        <w:t>schools</w:t>
      </w:r>
      <w:r w:rsidRPr="00BB0DD9">
        <w:rPr>
          <w:spacing w:val="-6"/>
          <w:sz w:val="16"/>
        </w:rPr>
        <w:t xml:space="preserve"> </w:t>
      </w:r>
      <w:r w:rsidRPr="00BB0DD9">
        <w:rPr>
          <w:spacing w:val="-3"/>
          <w:sz w:val="16"/>
        </w:rPr>
        <w:t>whose</w:t>
      </w:r>
      <w:r w:rsidRPr="00BB0DD9">
        <w:rPr>
          <w:spacing w:val="-6"/>
          <w:sz w:val="16"/>
        </w:rPr>
        <w:t xml:space="preserve"> </w:t>
      </w:r>
      <w:r w:rsidRPr="00BB0DD9">
        <w:rPr>
          <w:spacing w:val="-1"/>
          <w:sz w:val="16"/>
        </w:rPr>
        <w:t>districts</w:t>
      </w:r>
      <w:r w:rsidRPr="00BB0DD9">
        <w:rPr>
          <w:spacing w:val="-5"/>
          <w:sz w:val="16"/>
        </w:rPr>
        <w:t xml:space="preserve"> </w:t>
      </w:r>
      <w:r w:rsidRPr="00BB0DD9">
        <w:rPr>
          <w:spacing w:val="-2"/>
          <w:sz w:val="16"/>
        </w:rPr>
        <w:t>denied</w:t>
      </w:r>
      <w:r w:rsidRPr="00BB0DD9">
        <w:rPr>
          <w:spacing w:val="-8"/>
          <w:sz w:val="16"/>
        </w:rPr>
        <w:t xml:space="preserve"> </w:t>
      </w:r>
      <w:r w:rsidRPr="00BB0DD9">
        <w:rPr>
          <w:spacing w:val="-1"/>
          <w:sz w:val="16"/>
        </w:rPr>
        <w:t>permission</w:t>
      </w:r>
      <w:r w:rsidRPr="00BB0DD9">
        <w:rPr>
          <w:spacing w:val="-7"/>
          <w:sz w:val="16"/>
        </w:rPr>
        <w:t xml:space="preserve"> </w:t>
      </w:r>
      <w:r w:rsidRPr="00BB0DD9">
        <w:rPr>
          <w:spacing w:val="-1"/>
          <w:sz w:val="16"/>
        </w:rPr>
        <w:t>to</w:t>
      </w:r>
      <w:r w:rsidRPr="00BB0DD9">
        <w:rPr>
          <w:spacing w:val="-8"/>
          <w:sz w:val="16"/>
        </w:rPr>
        <w:t xml:space="preserve"> </w:t>
      </w:r>
      <w:r w:rsidRPr="00BB0DD9">
        <w:rPr>
          <w:spacing w:val="-1"/>
          <w:sz w:val="16"/>
        </w:rPr>
        <w:t>NCES to conduct the survey</w:t>
      </w:r>
      <w:r w:rsidRPr="00BB0DD9">
        <w:rPr>
          <w:spacing w:val="-6"/>
          <w:sz w:val="16"/>
        </w:rPr>
        <w:t xml:space="preserve"> </w:t>
      </w:r>
      <w:r w:rsidRPr="00BB0DD9">
        <w:rPr>
          <w:spacing w:val="-2"/>
          <w:sz w:val="16"/>
        </w:rPr>
        <w:t>and</w:t>
      </w:r>
      <w:r w:rsidRPr="00BB0DD9">
        <w:rPr>
          <w:spacing w:val="-8"/>
          <w:sz w:val="16"/>
        </w:rPr>
        <w:t xml:space="preserve"> </w:t>
      </w:r>
      <w:r w:rsidRPr="00BB0DD9">
        <w:rPr>
          <w:spacing w:val="-2"/>
          <w:sz w:val="16"/>
        </w:rPr>
        <w:t>those</w:t>
      </w:r>
      <w:r w:rsidRPr="00BB0DD9">
        <w:rPr>
          <w:spacing w:val="-5"/>
          <w:sz w:val="16"/>
        </w:rPr>
        <w:t xml:space="preserve"> </w:t>
      </w:r>
      <w:r w:rsidRPr="00BB0DD9">
        <w:rPr>
          <w:spacing w:val="-1"/>
          <w:sz w:val="16"/>
        </w:rPr>
        <w:t>eligible</w:t>
      </w:r>
      <w:r w:rsidRPr="00BB0DD9">
        <w:rPr>
          <w:spacing w:val="-8"/>
          <w:sz w:val="16"/>
        </w:rPr>
        <w:t xml:space="preserve"> </w:t>
      </w:r>
      <w:r w:rsidRPr="00BB0DD9">
        <w:rPr>
          <w:spacing w:val="-1"/>
          <w:sz w:val="16"/>
        </w:rPr>
        <w:t>schools</w:t>
      </w:r>
      <w:r w:rsidRPr="00BB0DD9">
        <w:rPr>
          <w:spacing w:val="-6"/>
          <w:sz w:val="16"/>
        </w:rPr>
        <w:t xml:space="preserve"> </w:t>
      </w:r>
      <w:r w:rsidRPr="00BB0DD9">
        <w:rPr>
          <w:spacing w:val="-2"/>
          <w:sz w:val="16"/>
        </w:rPr>
        <w:t>that</w:t>
      </w:r>
      <w:r w:rsidRPr="00BB0DD9">
        <w:rPr>
          <w:spacing w:val="-6"/>
          <w:sz w:val="16"/>
        </w:rPr>
        <w:t xml:space="preserve"> </w:t>
      </w:r>
      <w:r w:rsidRPr="00BB0DD9">
        <w:rPr>
          <w:spacing w:val="-2"/>
          <w:sz w:val="16"/>
        </w:rPr>
        <w:t>either</w:t>
      </w:r>
      <w:r w:rsidRPr="00BB0DD9">
        <w:rPr>
          <w:spacing w:val="-6"/>
          <w:sz w:val="16"/>
        </w:rPr>
        <w:t xml:space="preserve"> </w:t>
      </w:r>
      <w:r w:rsidRPr="00BB0DD9">
        <w:rPr>
          <w:spacing w:val="-1"/>
          <w:sz w:val="16"/>
        </w:rPr>
        <w:t>did</w:t>
      </w:r>
      <w:r w:rsidRPr="00BB0DD9">
        <w:rPr>
          <w:spacing w:val="-7"/>
          <w:sz w:val="16"/>
        </w:rPr>
        <w:t xml:space="preserve"> </w:t>
      </w:r>
      <w:r w:rsidRPr="00BB0DD9">
        <w:rPr>
          <w:spacing w:val="-2"/>
          <w:sz w:val="16"/>
        </w:rPr>
        <w:t>not</w:t>
      </w:r>
      <w:r w:rsidRPr="00BB0DD9">
        <w:rPr>
          <w:spacing w:val="-6"/>
          <w:sz w:val="16"/>
        </w:rPr>
        <w:t xml:space="preserve"> </w:t>
      </w:r>
      <w:r w:rsidRPr="00BB0DD9">
        <w:rPr>
          <w:spacing w:val="-2"/>
          <w:sz w:val="16"/>
        </w:rPr>
        <w:t>respond</w:t>
      </w:r>
      <w:r w:rsidRPr="00BB0DD9">
        <w:rPr>
          <w:spacing w:val="-7"/>
          <w:sz w:val="16"/>
        </w:rPr>
        <w:t xml:space="preserve"> </w:t>
      </w:r>
      <w:r w:rsidRPr="00BB0DD9">
        <w:rPr>
          <w:spacing w:val="-1"/>
          <w:sz w:val="16"/>
        </w:rPr>
        <w:t>or</w:t>
      </w:r>
      <w:r w:rsidRPr="00BB0DD9">
        <w:rPr>
          <w:spacing w:val="-4"/>
          <w:sz w:val="16"/>
        </w:rPr>
        <w:t xml:space="preserve"> </w:t>
      </w:r>
      <w:r w:rsidRPr="00BB0DD9">
        <w:rPr>
          <w:spacing w:val="-2"/>
          <w:sz w:val="16"/>
        </w:rPr>
        <w:t>responded</w:t>
      </w:r>
      <w:r w:rsidRPr="00BB0DD9">
        <w:rPr>
          <w:spacing w:val="-7"/>
          <w:sz w:val="16"/>
        </w:rPr>
        <w:t xml:space="preserve"> </w:t>
      </w:r>
      <w:r w:rsidRPr="00BB0DD9">
        <w:rPr>
          <w:spacing w:val="-2"/>
          <w:sz w:val="16"/>
        </w:rPr>
        <w:t>but</w:t>
      </w:r>
      <w:r w:rsidRPr="00BB0DD9">
        <w:rPr>
          <w:spacing w:val="-6"/>
          <w:sz w:val="16"/>
        </w:rPr>
        <w:t xml:space="preserve"> </w:t>
      </w:r>
      <w:r w:rsidRPr="00BB0DD9">
        <w:rPr>
          <w:spacing w:val="-1"/>
          <w:sz w:val="16"/>
        </w:rPr>
        <w:t>did</w:t>
      </w:r>
      <w:r w:rsidRPr="00BB0DD9">
        <w:rPr>
          <w:spacing w:val="-6"/>
          <w:sz w:val="16"/>
        </w:rPr>
        <w:t xml:space="preserve"> </w:t>
      </w:r>
      <w:r w:rsidRPr="00BB0DD9">
        <w:rPr>
          <w:spacing w:val="-2"/>
          <w:sz w:val="16"/>
        </w:rPr>
        <w:t>not</w:t>
      </w:r>
      <w:r w:rsidRPr="00BB0DD9">
        <w:rPr>
          <w:spacing w:val="-6"/>
          <w:sz w:val="16"/>
        </w:rPr>
        <w:t xml:space="preserve"> </w:t>
      </w:r>
      <w:r w:rsidRPr="00BB0DD9">
        <w:rPr>
          <w:spacing w:val="-2"/>
          <w:sz w:val="16"/>
        </w:rPr>
        <w:t>answer</w:t>
      </w:r>
      <w:r w:rsidRPr="00BB0DD9">
        <w:rPr>
          <w:spacing w:val="-5"/>
          <w:sz w:val="16"/>
        </w:rPr>
        <w:t xml:space="preserve"> </w:t>
      </w:r>
      <w:r w:rsidRPr="00BB0DD9">
        <w:rPr>
          <w:spacing w:val="-1"/>
          <w:sz w:val="16"/>
        </w:rPr>
        <w:t>the</w:t>
      </w:r>
      <w:r w:rsidRPr="00BB0DD9">
        <w:rPr>
          <w:spacing w:val="-6"/>
          <w:sz w:val="16"/>
        </w:rPr>
        <w:t xml:space="preserve"> </w:t>
      </w:r>
      <w:r w:rsidRPr="00BB0DD9">
        <w:rPr>
          <w:spacing w:val="-1"/>
          <w:sz w:val="16"/>
        </w:rPr>
        <w:t>minimum</w:t>
      </w:r>
      <w:r w:rsidRPr="00BB0DD9">
        <w:rPr>
          <w:spacing w:val="-5"/>
          <w:sz w:val="16"/>
        </w:rPr>
        <w:t xml:space="preserve"> </w:t>
      </w:r>
      <w:r w:rsidRPr="00BB0DD9">
        <w:rPr>
          <w:spacing w:val="-2"/>
          <w:sz w:val="16"/>
        </w:rPr>
        <w:t>number</w:t>
      </w:r>
      <w:r w:rsidRPr="00BB0DD9">
        <w:rPr>
          <w:spacing w:val="-5"/>
          <w:sz w:val="16"/>
        </w:rPr>
        <w:t xml:space="preserve"> </w:t>
      </w:r>
      <w:r w:rsidRPr="00BB0DD9">
        <w:rPr>
          <w:spacing w:val="-1"/>
          <w:sz w:val="16"/>
        </w:rPr>
        <w:t>of</w:t>
      </w:r>
      <w:r w:rsidRPr="00BB0DD9">
        <w:rPr>
          <w:spacing w:val="-3"/>
          <w:sz w:val="16"/>
        </w:rPr>
        <w:t xml:space="preserve"> </w:t>
      </w:r>
      <w:r w:rsidRPr="00BB0DD9">
        <w:rPr>
          <w:spacing w:val="-1"/>
          <w:sz w:val="16"/>
        </w:rPr>
        <w:t>items</w:t>
      </w:r>
      <w:r w:rsidRPr="00BB0DD9">
        <w:rPr>
          <w:spacing w:val="-5"/>
          <w:sz w:val="16"/>
        </w:rPr>
        <w:t xml:space="preserve"> </w:t>
      </w:r>
      <w:r w:rsidRPr="00BB0DD9">
        <w:rPr>
          <w:spacing w:val="-1"/>
          <w:sz w:val="16"/>
        </w:rPr>
        <w:t>required</w:t>
      </w:r>
      <w:r w:rsidRPr="00BB0DD9">
        <w:rPr>
          <w:spacing w:val="-7"/>
          <w:sz w:val="16"/>
        </w:rPr>
        <w:t xml:space="preserve"> </w:t>
      </w:r>
      <w:r w:rsidRPr="00BB0DD9">
        <w:rPr>
          <w:spacing w:val="-1"/>
          <w:sz w:val="16"/>
        </w:rPr>
        <w:t>for</w:t>
      </w:r>
      <w:r w:rsidRPr="00BB0DD9">
        <w:rPr>
          <w:spacing w:val="-5"/>
          <w:sz w:val="16"/>
        </w:rPr>
        <w:t xml:space="preserve"> </w:t>
      </w:r>
      <w:r w:rsidRPr="00BB0DD9">
        <w:rPr>
          <w:spacing w:val="-1"/>
          <w:sz w:val="16"/>
        </w:rPr>
        <w:t>the</w:t>
      </w:r>
      <w:r w:rsidRPr="00BB0DD9">
        <w:rPr>
          <w:spacing w:val="-6"/>
          <w:sz w:val="16"/>
        </w:rPr>
        <w:t xml:space="preserve"> </w:t>
      </w:r>
      <w:r w:rsidRPr="00BB0DD9">
        <w:rPr>
          <w:spacing w:val="-1"/>
          <w:sz w:val="16"/>
        </w:rPr>
        <w:t>survey</w:t>
      </w:r>
      <w:r w:rsidRPr="00BB0DD9">
        <w:rPr>
          <w:spacing w:val="-9"/>
          <w:sz w:val="16"/>
        </w:rPr>
        <w:t xml:space="preserve"> </w:t>
      </w:r>
      <w:r w:rsidRPr="00BB0DD9">
        <w:rPr>
          <w:spacing w:val="-1"/>
          <w:sz w:val="16"/>
        </w:rPr>
        <w:t>to</w:t>
      </w:r>
      <w:r w:rsidRPr="00BB0DD9">
        <w:rPr>
          <w:spacing w:val="-7"/>
          <w:sz w:val="16"/>
        </w:rPr>
        <w:t xml:space="preserve"> </w:t>
      </w:r>
      <w:r w:rsidRPr="00BB0DD9">
        <w:rPr>
          <w:spacing w:val="-1"/>
          <w:sz w:val="16"/>
        </w:rPr>
        <w:t>be</w:t>
      </w:r>
      <w:r w:rsidRPr="00BB0DD9">
        <w:rPr>
          <w:spacing w:val="-7"/>
          <w:sz w:val="16"/>
        </w:rPr>
        <w:t xml:space="preserve"> </w:t>
      </w:r>
      <w:r w:rsidRPr="00BB0DD9">
        <w:rPr>
          <w:spacing w:val="-2"/>
          <w:sz w:val="16"/>
        </w:rPr>
        <w:t>considered</w:t>
      </w:r>
      <w:r w:rsidRPr="00BB0DD9">
        <w:rPr>
          <w:spacing w:val="-7"/>
          <w:sz w:val="16"/>
        </w:rPr>
        <w:t xml:space="preserve"> </w:t>
      </w:r>
      <w:r w:rsidRPr="00BB0DD9">
        <w:rPr>
          <w:spacing w:val="-2"/>
          <w:sz w:val="16"/>
        </w:rPr>
        <w:t>complete.</w:t>
      </w:r>
    </w:p>
    <w:p w:rsidRPr="00BB0DD9" w:rsidR="00EF2F18" w:rsidP="00EF2F18" w:rsidRDefault="00EF2F18" w14:paraId="238147B3" w14:textId="7E98BC09">
      <w:pPr>
        <w:keepNext/>
        <w:spacing w:line="187" w:lineRule="exact"/>
        <w:ind w:left="141" w:right="684" w:hanging="8"/>
        <w:rPr>
          <w:rFonts w:eastAsia="Arial"/>
          <w:sz w:val="16"/>
        </w:rPr>
      </w:pPr>
      <w:r w:rsidRPr="00BB0DD9">
        <w:rPr>
          <w:spacing w:val="-2"/>
          <w:sz w:val="20"/>
          <w:szCs w:val="20"/>
          <w:vertAlign w:val="superscript"/>
        </w:rPr>
        <w:t>3</w:t>
      </w:r>
      <w:r w:rsidRPr="00BB0DD9">
        <w:rPr>
          <w:spacing w:val="-1"/>
          <w:sz w:val="16"/>
        </w:rPr>
        <w:t>Ineligible</w:t>
      </w:r>
      <w:r w:rsidRPr="00BB0DD9">
        <w:rPr>
          <w:spacing w:val="-7"/>
          <w:sz w:val="16"/>
        </w:rPr>
        <w:t xml:space="preserve"> </w:t>
      </w:r>
      <w:r w:rsidRPr="00BB0DD9">
        <w:rPr>
          <w:spacing w:val="-1"/>
          <w:sz w:val="16"/>
        </w:rPr>
        <w:t>schools</w:t>
      </w:r>
      <w:r w:rsidRPr="00BB0DD9">
        <w:rPr>
          <w:spacing w:val="-6"/>
          <w:sz w:val="16"/>
        </w:rPr>
        <w:t xml:space="preserve"> </w:t>
      </w:r>
      <w:r w:rsidRPr="00BB0DD9">
        <w:rPr>
          <w:spacing w:val="-1"/>
          <w:sz w:val="16"/>
        </w:rPr>
        <w:t>include</w:t>
      </w:r>
      <w:r w:rsidRPr="00BB0DD9">
        <w:rPr>
          <w:spacing w:val="-7"/>
          <w:sz w:val="16"/>
        </w:rPr>
        <w:t xml:space="preserve"> </w:t>
      </w:r>
      <w:r w:rsidRPr="00BB0DD9">
        <w:rPr>
          <w:spacing w:val="-2"/>
          <w:sz w:val="16"/>
        </w:rPr>
        <w:t>those</w:t>
      </w:r>
      <w:r w:rsidRPr="00BB0DD9">
        <w:rPr>
          <w:spacing w:val="-5"/>
          <w:sz w:val="16"/>
        </w:rPr>
        <w:t xml:space="preserve"> </w:t>
      </w:r>
      <w:r w:rsidRPr="00BB0DD9">
        <w:rPr>
          <w:spacing w:val="-2"/>
          <w:sz w:val="16"/>
        </w:rPr>
        <w:t>that</w:t>
      </w:r>
      <w:r w:rsidRPr="00BB0DD9">
        <w:rPr>
          <w:spacing w:val="-6"/>
          <w:sz w:val="16"/>
        </w:rPr>
        <w:t xml:space="preserve"> </w:t>
      </w:r>
      <w:r w:rsidRPr="00BB0DD9">
        <w:rPr>
          <w:spacing w:val="-2"/>
          <w:sz w:val="16"/>
        </w:rPr>
        <w:t>had</w:t>
      </w:r>
      <w:r w:rsidRPr="00BB0DD9">
        <w:rPr>
          <w:spacing w:val="-7"/>
          <w:sz w:val="16"/>
        </w:rPr>
        <w:t xml:space="preserve"> </w:t>
      </w:r>
      <w:r w:rsidRPr="00BB0DD9">
        <w:rPr>
          <w:spacing w:val="-1"/>
          <w:sz w:val="16"/>
        </w:rPr>
        <w:t>closed,</w:t>
      </w:r>
      <w:r w:rsidRPr="00BB0DD9">
        <w:rPr>
          <w:spacing w:val="-6"/>
          <w:sz w:val="16"/>
        </w:rPr>
        <w:t xml:space="preserve"> </w:t>
      </w:r>
      <w:r w:rsidRPr="00BB0DD9">
        <w:rPr>
          <w:spacing w:val="-1"/>
          <w:sz w:val="16"/>
        </w:rPr>
        <w:t>merged</w:t>
      </w:r>
      <w:r w:rsidRPr="00BB0DD9">
        <w:rPr>
          <w:spacing w:val="-7"/>
          <w:sz w:val="16"/>
        </w:rPr>
        <w:t xml:space="preserve"> </w:t>
      </w:r>
      <w:r w:rsidRPr="00BB0DD9">
        <w:rPr>
          <w:spacing w:val="-2"/>
          <w:sz w:val="16"/>
        </w:rPr>
        <w:t>with</w:t>
      </w:r>
      <w:r w:rsidRPr="00BB0DD9">
        <w:rPr>
          <w:spacing w:val="-7"/>
          <w:sz w:val="16"/>
        </w:rPr>
        <w:t xml:space="preserve"> </w:t>
      </w:r>
      <w:r w:rsidRPr="00BB0DD9">
        <w:rPr>
          <w:spacing w:val="-2"/>
          <w:sz w:val="16"/>
        </w:rPr>
        <w:t>another</w:t>
      </w:r>
      <w:r w:rsidRPr="00BB0DD9">
        <w:rPr>
          <w:spacing w:val="-5"/>
          <w:sz w:val="16"/>
        </w:rPr>
        <w:t xml:space="preserve"> </w:t>
      </w:r>
      <w:r w:rsidRPr="00BB0DD9">
        <w:rPr>
          <w:spacing w:val="-2"/>
          <w:sz w:val="16"/>
        </w:rPr>
        <w:t>school</w:t>
      </w:r>
      <w:r w:rsidRPr="00BB0DD9">
        <w:rPr>
          <w:spacing w:val="-5"/>
          <w:sz w:val="16"/>
        </w:rPr>
        <w:t xml:space="preserve"> </w:t>
      </w:r>
      <w:r w:rsidRPr="00BB0DD9">
        <w:rPr>
          <w:spacing w:val="-1"/>
          <w:sz w:val="16"/>
        </w:rPr>
        <w:t>at</w:t>
      </w:r>
      <w:r w:rsidRPr="00BB0DD9">
        <w:rPr>
          <w:spacing w:val="-6"/>
          <w:sz w:val="16"/>
        </w:rPr>
        <w:t xml:space="preserve"> </w:t>
      </w:r>
      <w:r w:rsidRPr="00BB0DD9">
        <w:rPr>
          <w:sz w:val="16"/>
        </w:rPr>
        <w:t>a</w:t>
      </w:r>
      <w:r w:rsidRPr="00BB0DD9">
        <w:rPr>
          <w:spacing w:val="-7"/>
          <w:sz w:val="16"/>
        </w:rPr>
        <w:t xml:space="preserve"> </w:t>
      </w:r>
      <w:r w:rsidRPr="00BB0DD9">
        <w:rPr>
          <w:spacing w:val="-2"/>
          <w:sz w:val="16"/>
        </w:rPr>
        <w:t>new</w:t>
      </w:r>
      <w:r w:rsidRPr="00BB0DD9">
        <w:rPr>
          <w:spacing w:val="-10"/>
          <w:sz w:val="16"/>
        </w:rPr>
        <w:t xml:space="preserve"> </w:t>
      </w:r>
      <w:r w:rsidRPr="00BB0DD9">
        <w:rPr>
          <w:spacing w:val="-1"/>
          <w:sz w:val="16"/>
        </w:rPr>
        <w:t>location,</w:t>
      </w:r>
      <w:r w:rsidRPr="00BB0DD9">
        <w:rPr>
          <w:spacing w:val="-6"/>
          <w:sz w:val="16"/>
        </w:rPr>
        <w:t xml:space="preserve"> </w:t>
      </w:r>
      <w:r w:rsidRPr="00BB0DD9">
        <w:rPr>
          <w:spacing w:val="-2"/>
          <w:sz w:val="16"/>
        </w:rPr>
        <w:t>changed</w:t>
      </w:r>
      <w:r w:rsidRPr="00BB0DD9">
        <w:rPr>
          <w:spacing w:val="-7"/>
          <w:sz w:val="16"/>
        </w:rPr>
        <w:t xml:space="preserve"> </w:t>
      </w:r>
      <w:r w:rsidRPr="00BB0DD9">
        <w:rPr>
          <w:spacing w:val="-1"/>
          <w:sz w:val="16"/>
        </w:rPr>
        <w:t>from</w:t>
      </w:r>
      <w:r w:rsidRPr="00BB0DD9">
        <w:rPr>
          <w:spacing w:val="-5"/>
          <w:sz w:val="16"/>
        </w:rPr>
        <w:t xml:space="preserve"> </w:t>
      </w:r>
      <w:r w:rsidRPr="00BB0DD9">
        <w:rPr>
          <w:sz w:val="16"/>
        </w:rPr>
        <w:t>a</w:t>
      </w:r>
      <w:r w:rsidRPr="00BB0DD9">
        <w:rPr>
          <w:spacing w:val="-7"/>
          <w:sz w:val="16"/>
        </w:rPr>
        <w:t xml:space="preserve"> </w:t>
      </w:r>
      <w:r w:rsidRPr="00BB0DD9">
        <w:rPr>
          <w:spacing w:val="-2"/>
          <w:sz w:val="16"/>
        </w:rPr>
        <w:t>regular</w:t>
      </w:r>
      <w:r w:rsidRPr="00BB0DD9">
        <w:rPr>
          <w:spacing w:val="-7"/>
          <w:sz w:val="16"/>
        </w:rPr>
        <w:t xml:space="preserve"> </w:t>
      </w:r>
      <w:r w:rsidRPr="00BB0DD9">
        <w:rPr>
          <w:spacing w:val="-1"/>
          <w:sz w:val="16"/>
        </w:rPr>
        <w:t>public</w:t>
      </w:r>
      <w:r w:rsidRPr="00BB0DD9">
        <w:rPr>
          <w:spacing w:val="-5"/>
          <w:sz w:val="16"/>
        </w:rPr>
        <w:t xml:space="preserve"> </w:t>
      </w:r>
      <w:r w:rsidRPr="00BB0DD9">
        <w:rPr>
          <w:spacing w:val="-2"/>
          <w:sz w:val="16"/>
        </w:rPr>
        <w:t>school</w:t>
      </w:r>
      <w:r w:rsidRPr="00BB0DD9">
        <w:rPr>
          <w:spacing w:val="-4"/>
          <w:sz w:val="16"/>
        </w:rPr>
        <w:t xml:space="preserve"> </w:t>
      </w:r>
      <w:r w:rsidRPr="00BB0DD9">
        <w:rPr>
          <w:spacing w:val="-1"/>
          <w:sz w:val="16"/>
        </w:rPr>
        <w:t>to</w:t>
      </w:r>
      <w:r w:rsidRPr="00BB0DD9">
        <w:rPr>
          <w:spacing w:val="-6"/>
          <w:sz w:val="16"/>
        </w:rPr>
        <w:t xml:space="preserve"> </w:t>
      </w:r>
      <w:r w:rsidRPr="00BB0DD9">
        <w:rPr>
          <w:spacing w:val="-1"/>
          <w:sz w:val="16"/>
        </w:rPr>
        <w:t>an</w:t>
      </w:r>
      <w:r w:rsidRPr="00BB0DD9">
        <w:rPr>
          <w:spacing w:val="-6"/>
          <w:sz w:val="16"/>
        </w:rPr>
        <w:t xml:space="preserve"> </w:t>
      </w:r>
      <w:r w:rsidRPr="00BB0DD9">
        <w:rPr>
          <w:spacing w:val="-2"/>
          <w:sz w:val="16"/>
        </w:rPr>
        <w:t>alternative</w:t>
      </w:r>
      <w:r w:rsidRPr="00BB0DD9">
        <w:rPr>
          <w:spacing w:val="-5"/>
          <w:sz w:val="16"/>
        </w:rPr>
        <w:t xml:space="preserve"> </w:t>
      </w:r>
      <w:r w:rsidRPr="00BB0DD9">
        <w:rPr>
          <w:spacing w:val="-1"/>
          <w:sz w:val="16"/>
        </w:rPr>
        <w:t>school,</w:t>
      </w:r>
      <w:r w:rsidRPr="00BB0DD9">
        <w:rPr>
          <w:spacing w:val="-5"/>
          <w:sz w:val="16"/>
        </w:rPr>
        <w:t xml:space="preserve"> </w:t>
      </w:r>
      <w:r w:rsidRPr="00BB0DD9">
        <w:rPr>
          <w:spacing w:val="-1"/>
          <w:sz w:val="16"/>
        </w:rPr>
        <w:t>or</w:t>
      </w:r>
      <w:r w:rsidRPr="00BB0DD9">
        <w:rPr>
          <w:spacing w:val="-4"/>
          <w:sz w:val="16"/>
        </w:rPr>
        <w:t xml:space="preserve"> </w:t>
      </w:r>
      <w:r w:rsidRPr="00BB0DD9">
        <w:rPr>
          <w:spacing w:val="-1"/>
          <w:sz w:val="16"/>
        </w:rPr>
        <w:t>are</w:t>
      </w:r>
      <w:r w:rsidRPr="00BB0DD9">
        <w:rPr>
          <w:spacing w:val="-6"/>
          <w:sz w:val="16"/>
        </w:rPr>
        <w:t xml:space="preserve"> </w:t>
      </w:r>
      <w:r w:rsidRPr="00BB0DD9">
        <w:rPr>
          <w:spacing w:val="-2"/>
          <w:sz w:val="16"/>
        </w:rPr>
        <w:t>not</w:t>
      </w:r>
      <w:r w:rsidRPr="00BB0DD9">
        <w:rPr>
          <w:spacing w:val="-6"/>
          <w:sz w:val="16"/>
        </w:rPr>
        <w:t xml:space="preserve"> </w:t>
      </w:r>
      <w:r w:rsidRPr="00BB0DD9">
        <w:rPr>
          <w:sz w:val="16"/>
        </w:rPr>
        <w:t>a</w:t>
      </w:r>
      <w:r w:rsidRPr="00BB0DD9">
        <w:rPr>
          <w:spacing w:val="-6"/>
          <w:sz w:val="16"/>
        </w:rPr>
        <w:t xml:space="preserve"> </w:t>
      </w:r>
      <w:r w:rsidRPr="00BB0DD9">
        <w:rPr>
          <w:spacing w:val="-2"/>
          <w:sz w:val="16"/>
        </w:rPr>
        <w:t>school</w:t>
      </w:r>
      <w:r w:rsidRPr="00BB0DD9">
        <w:rPr>
          <w:spacing w:val="-4"/>
          <w:sz w:val="16"/>
        </w:rPr>
        <w:t xml:space="preserve"> </w:t>
      </w:r>
      <w:r w:rsidRPr="00BB0DD9">
        <w:rPr>
          <w:spacing w:val="-1"/>
          <w:sz w:val="16"/>
        </w:rPr>
        <w:t>("not</w:t>
      </w:r>
      <w:r w:rsidRPr="00BB0DD9">
        <w:rPr>
          <w:spacing w:val="-5"/>
          <w:sz w:val="16"/>
        </w:rPr>
        <w:t xml:space="preserve"> </w:t>
      </w:r>
      <w:r w:rsidRPr="00BB0DD9">
        <w:rPr>
          <w:sz w:val="16"/>
        </w:rPr>
        <w:t>a</w:t>
      </w:r>
      <w:r w:rsidRPr="00BB0DD9">
        <w:rPr>
          <w:spacing w:val="-7"/>
          <w:sz w:val="16"/>
        </w:rPr>
        <w:t xml:space="preserve"> </w:t>
      </w:r>
      <w:r w:rsidRPr="00BB0DD9">
        <w:rPr>
          <w:spacing w:val="-1"/>
          <w:sz w:val="16"/>
        </w:rPr>
        <w:t>school"</w:t>
      </w:r>
      <w:r w:rsidRPr="00BB0DD9">
        <w:rPr>
          <w:spacing w:val="-4"/>
          <w:sz w:val="16"/>
        </w:rPr>
        <w:t xml:space="preserve"> </w:t>
      </w:r>
      <w:r w:rsidRPr="00BB0DD9">
        <w:rPr>
          <w:spacing w:val="-2"/>
          <w:sz w:val="16"/>
        </w:rPr>
        <w:t>generally</w:t>
      </w:r>
      <w:r w:rsidRPr="00BB0DD9">
        <w:rPr>
          <w:spacing w:val="-9"/>
          <w:sz w:val="16"/>
        </w:rPr>
        <w:t xml:space="preserve"> </w:t>
      </w:r>
      <w:r w:rsidRPr="00BB0DD9">
        <w:rPr>
          <w:spacing w:val="-1"/>
          <w:sz w:val="16"/>
        </w:rPr>
        <w:t>refers</w:t>
      </w:r>
      <w:r w:rsidRPr="00BB0DD9">
        <w:rPr>
          <w:spacing w:val="-4"/>
          <w:sz w:val="16"/>
        </w:rPr>
        <w:t xml:space="preserve"> </w:t>
      </w:r>
      <w:r w:rsidRPr="00BB0DD9">
        <w:rPr>
          <w:spacing w:val="-1"/>
          <w:sz w:val="16"/>
        </w:rPr>
        <w:t>to</w:t>
      </w:r>
      <w:r w:rsidRPr="00BB0DD9">
        <w:rPr>
          <w:spacing w:val="-6"/>
          <w:sz w:val="16"/>
        </w:rPr>
        <w:t xml:space="preserve"> </w:t>
      </w:r>
      <w:r w:rsidRPr="00BB0DD9">
        <w:rPr>
          <w:sz w:val="16"/>
        </w:rPr>
        <w:t>a</w:t>
      </w:r>
      <w:r w:rsidRPr="00BB0DD9">
        <w:rPr>
          <w:spacing w:val="-6"/>
          <w:sz w:val="16"/>
        </w:rPr>
        <w:t xml:space="preserve"> </w:t>
      </w:r>
      <w:r w:rsidRPr="00BB0DD9">
        <w:rPr>
          <w:spacing w:val="-2"/>
          <w:sz w:val="16"/>
        </w:rPr>
        <w:t>school</w:t>
      </w:r>
      <w:r w:rsidRPr="00BB0DD9">
        <w:rPr>
          <w:spacing w:val="-5"/>
          <w:sz w:val="16"/>
        </w:rPr>
        <w:t xml:space="preserve"> </w:t>
      </w:r>
      <w:r w:rsidRPr="00BB0DD9">
        <w:rPr>
          <w:spacing w:val="-1"/>
          <w:sz w:val="16"/>
        </w:rPr>
        <w:t>record</w:t>
      </w:r>
      <w:r w:rsidRPr="00BB0DD9">
        <w:rPr>
          <w:spacing w:val="-6"/>
          <w:sz w:val="16"/>
        </w:rPr>
        <w:t xml:space="preserve"> </w:t>
      </w:r>
      <w:r w:rsidRPr="00BB0DD9">
        <w:rPr>
          <w:spacing w:val="-1"/>
          <w:sz w:val="16"/>
        </w:rPr>
        <w:t>for</w:t>
      </w:r>
      <w:r w:rsidRPr="00BB0DD9">
        <w:rPr>
          <w:spacing w:val="-4"/>
          <w:sz w:val="16"/>
        </w:rPr>
        <w:t xml:space="preserve"> </w:t>
      </w:r>
      <w:r w:rsidRPr="00BB0DD9">
        <w:rPr>
          <w:spacing w:val="-2"/>
          <w:sz w:val="16"/>
        </w:rPr>
        <w:t>an</w:t>
      </w:r>
      <w:r w:rsidRPr="00BB0DD9">
        <w:rPr>
          <w:spacing w:val="-7"/>
          <w:sz w:val="16"/>
        </w:rPr>
        <w:t xml:space="preserve"> </w:t>
      </w:r>
      <w:r w:rsidRPr="00BB0DD9">
        <w:rPr>
          <w:spacing w:val="-2"/>
          <w:sz w:val="16"/>
        </w:rPr>
        <w:t>organization</w:t>
      </w:r>
      <w:r w:rsidRPr="00BB0DD9">
        <w:rPr>
          <w:spacing w:val="-8"/>
          <w:sz w:val="16"/>
        </w:rPr>
        <w:t xml:space="preserve"> </w:t>
      </w:r>
      <w:r w:rsidRPr="00BB0DD9">
        <w:rPr>
          <w:spacing w:val="-2"/>
          <w:sz w:val="16"/>
        </w:rPr>
        <w:t>that</w:t>
      </w:r>
      <w:r w:rsidRPr="00BB0DD9">
        <w:rPr>
          <w:spacing w:val="-6"/>
          <w:sz w:val="16"/>
        </w:rPr>
        <w:t xml:space="preserve"> </w:t>
      </w:r>
      <w:r w:rsidRPr="00BB0DD9">
        <w:rPr>
          <w:spacing w:val="-2"/>
          <w:sz w:val="16"/>
        </w:rPr>
        <w:t>does</w:t>
      </w:r>
      <w:r w:rsidRPr="00BB0DD9">
        <w:rPr>
          <w:spacing w:val="-5"/>
          <w:sz w:val="16"/>
        </w:rPr>
        <w:t xml:space="preserve"> </w:t>
      </w:r>
      <w:r w:rsidRPr="00BB0DD9">
        <w:rPr>
          <w:spacing w:val="-2"/>
          <w:sz w:val="16"/>
        </w:rPr>
        <w:t>not</w:t>
      </w:r>
      <w:r w:rsidRPr="00BB0DD9">
        <w:rPr>
          <w:spacing w:val="-6"/>
          <w:sz w:val="16"/>
        </w:rPr>
        <w:t xml:space="preserve"> </w:t>
      </w:r>
      <w:r w:rsidRPr="00BB0DD9">
        <w:rPr>
          <w:spacing w:val="-1"/>
          <w:sz w:val="16"/>
        </w:rPr>
        <w:t>provide</w:t>
      </w:r>
      <w:r w:rsidRPr="00BB0DD9">
        <w:rPr>
          <w:spacing w:val="-7"/>
          <w:sz w:val="16"/>
        </w:rPr>
        <w:t xml:space="preserve"> </w:t>
      </w:r>
      <w:r w:rsidRPr="00BB0DD9">
        <w:rPr>
          <w:spacing w:val="-2"/>
          <w:sz w:val="16"/>
        </w:rPr>
        <w:t>any</w:t>
      </w:r>
      <w:r w:rsidRPr="00BB0DD9">
        <w:rPr>
          <w:spacing w:val="-10"/>
          <w:sz w:val="16"/>
        </w:rPr>
        <w:t xml:space="preserve"> </w:t>
      </w:r>
      <w:r w:rsidRPr="00BB0DD9">
        <w:rPr>
          <w:spacing w:val="-1"/>
          <w:sz w:val="16"/>
        </w:rPr>
        <w:t>classroom</w:t>
      </w:r>
      <w:r w:rsidRPr="00BB0DD9">
        <w:rPr>
          <w:spacing w:val="-5"/>
          <w:sz w:val="16"/>
        </w:rPr>
        <w:t xml:space="preserve"> </w:t>
      </w:r>
      <w:r w:rsidRPr="00BB0DD9">
        <w:rPr>
          <w:spacing w:val="-1"/>
          <w:sz w:val="16"/>
        </w:rPr>
        <w:t>instruction</w:t>
      </w:r>
      <w:r w:rsidRPr="00BB0DD9">
        <w:rPr>
          <w:spacing w:val="-7"/>
          <w:sz w:val="16"/>
        </w:rPr>
        <w:t xml:space="preserve"> </w:t>
      </w:r>
      <w:r w:rsidRPr="00BB0DD9">
        <w:rPr>
          <w:spacing w:val="-1"/>
          <w:sz w:val="16"/>
        </w:rPr>
        <w:t>(e.g.,</w:t>
      </w:r>
      <w:r w:rsidRPr="00BB0DD9">
        <w:rPr>
          <w:spacing w:val="-6"/>
          <w:sz w:val="16"/>
        </w:rPr>
        <w:t xml:space="preserve"> </w:t>
      </w:r>
      <w:r w:rsidRPr="00BB0DD9">
        <w:rPr>
          <w:spacing w:val="-1"/>
          <w:sz w:val="16"/>
        </w:rPr>
        <w:t>an</w:t>
      </w:r>
      <w:r w:rsidRPr="00BB0DD9">
        <w:rPr>
          <w:spacing w:val="-7"/>
          <w:sz w:val="16"/>
        </w:rPr>
        <w:t xml:space="preserve"> </w:t>
      </w:r>
      <w:r w:rsidRPr="00BB0DD9">
        <w:rPr>
          <w:spacing w:val="-1"/>
          <w:sz w:val="16"/>
        </w:rPr>
        <w:t>office</w:t>
      </w:r>
      <w:r w:rsidRPr="00BB0DD9">
        <w:rPr>
          <w:spacing w:val="-5"/>
          <w:sz w:val="16"/>
        </w:rPr>
        <w:t xml:space="preserve"> </w:t>
      </w:r>
      <w:r w:rsidRPr="00BB0DD9">
        <w:rPr>
          <w:spacing w:val="-2"/>
          <w:sz w:val="16"/>
        </w:rPr>
        <w:t>overseeing</w:t>
      </w:r>
      <w:r w:rsidRPr="00BB0DD9">
        <w:rPr>
          <w:spacing w:val="-8"/>
          <w:sz w:val="16"/>
        </w:rPr>
        <w:t xml:space="preserve"> </w:t>
      </w:r>
      <w:r w:rsidRPr="00BB0DD9">
        <w:rPr>
          <w:sz w:val="16"/>
        </w:rPr>
        <w:t>a</w:t>
      </w:r>
      <w:r w:rsidRPr="00BB0DD9">
        <w:rPr>
          <w:spacing w:val="-7"/>
          <w:sz w:val="16"/>
        </w:rPr>
        <w:t xml:space="preserve"> </w:t>
      </w:r>
      <w:r w:rsidRPr="00BB0DD9">
        <w:rPr>
          <w:spacing w:val="-1"/>
          <w:sz w:val="16"/>
        </w:rPr>
        <w:t>certain</w:t>
      </w:r>
      <w:r w:rsidRPr="00BB0DD9">
        <w:rPr>
          <w:spacing w:val="-7"/>
          <w:sz w:val="16"/>
        </w:rPr>
        <w:t xml:space="preserve"> </w:t>
      </w:r>
      <w:r w:rsidRPr="00BB0DD9">
        <w:rPr>
          <w:spacing w:val="-2"/>
          <w:sz w:val="16"/>
        </w:rPr>
        <w:t>type</w:t>
      </w:r>
      <w:r w:rsidRPr="00BB0DD9">
        <w:rPr>
          <w:spacing w:val="-7"/>
          <w:sz w:val="16"/>
        </w:rPr>
        <w:t xml:space="preserve"> </w:t>
      </w:r>
      <w:r w:rsidRPr="00BB0DD9">
        <w:rPr>
          <w:spacing w:val="-1"/>
          <w:sz w:val="16"/>
        </w:rPr>
        <w:t>of</w:t>
      </w:r>
      <w:r w:rsidRPr="00BB0DD9">
        <w:rPr>
          <w:spacing w:val="-4"/>
          <w:sz w:val="16"/>
        </w:rPr>
        <w:t xml:space="preserve"> </w:t>
      </w:r>
      <w:r w:rsidRPr="00BB0DD9">
        <w:rPr>
          <w:spacing w:val="-2"/>
          <w:sz w:val="16"/>
        </w:rPr>
        <w:t>program</w:t>
      </w:r>
      <w:r w:rsidRPr="00BB0DD9">
        <w:rPr>
          <w:spacing w:val="-5"/>
          <w:sz w:val="16"/>
        </w:rPr>
        <w:t xml:space="preserve"> </w:t>
      </w:r>
      <w:r w:rsidRPr="00BB0DD9">
        <w:rPr>
          <w:spacing w:val="-1"/>
          <w:sz w:val="16"/>
        </w:rPr>
        <w:t>or</w:t>
      </w:r>
      <w:r w:rsidRPr="00BB0DD9">
        <w:rPr>
          <w:spacing w:val="-5"/>
          <w:sz w:val="16"/>
        </w:rPr>
        <w:t xml:space="preserve"> </w:t>
      </w:r>
      <w:r w:rsidRPr="00BB0DD9">
        <w:rPr>
          <w:spacing w:val="-1"/>
          <w:sz w:val="16"/>
        </w:rPr>
        <w:t>offering</w:t>
      </w:r>
      <w:r w:rsidRPr="00BB0DD9">
        <w:rPr>
          <w:spacing w:val="-7"/>
          <w:sz w:val="16"/>
        </w:rPr>
        <w:t xml:space="preserve"> </w:t>
      </w:r>
      <w:r w:rsidRPr="00BB0DD9">
        <w:rPr>
          <w:spacing w:val="-1"/>
          <w:sz w:val="16"/>
        </w:rPr>
        <w:t>tutoring</w:t>
      </w:r>
      <w:r w:rsidRPr="00BB0DD9">
        <w:rPr>
          <w:spacing w:val="-11"/>
          <w:sz w:val="16"/>
        </w:rPr>
        <w:t xml:space="preserve"> </w:t>
      </w:r>
      <w:r w:rsidRPr="00BB0DD9">
        <w:rPr>
          <w:spacing w:val="-1"/>
          <w:sz w:val="16"/>
        </w:rPr>
        <w:t>services</w:t>
      </w:r>
      <w:r w:rsidRPr="00BB0DD9">
        <w:rPr>
          <w:spacing w:val="-8"/>
          <w:sz w:val="16"/>
        </w:rPr>
        <w:t xml:space="preserve"> </w:t>
      </w:r>
      <w:r w:rsidRPr="00BB0DD9">
        <w:rPr>
          <w:spacing w:val="-2"/>
          <w:sz w:val="16"/>
        </w:rPr>
        <w:t>only)).</w:t>
      </w:r>
    </w:p>
    <w:p w:rsidRPr="00BB0DD9" w:rsidR="00EF2F18" w:rsidP="00EF2F18" w:rsidRDefault="00EF2F18" w14:paraId="31A8747F" w14:textId="77777777">
      <w:pPr>
        <w:keepNext/>
        <w:spacing w:line="187" w:lineRule="exact"/>
        <w:ind w:left="141" w:right="684" w:hanging="8"/>
        <w:rPr>
          <w:spacing w:val="97"/>
          <w:w w:val="99"/>
          <w:sz w:val="16"/>
        </w:rPr>
      </w:pPr>
      <w:r w:rsidRPr="00BB0DD9">
        <w:rPr>
          <w:spacing w:val="-2"/>
          <w:sz w:val="20"/>
          <w:szCs w:val="20"/>
          <w:vertAlign w:val="superscript"/>
        </w:rPr>
        <w:t>4</w:t>
      </w:r>
      <w:r w:rsidRPr="00BB0DD9">
        <w:rPr>
          <w:spacing w:val="-1"/>
          <w:sz w:val="16"/>
        </w:rPr>
        <w:t>The</w:t>
      </w:r>
      <w:r w:rsidRPr="00BB0DD9">
        <w:rPr>
          <w:spacing w:val="-7"/>
          <w:sz w:val="16"/>
        </w:rPr>
        <w:t xml:space="preserve"> </w:t>
      </w:r>
      <w:r w:rsidRPr="00BB0DD9">
        <w:rPr>
          <w:spacing w:val="-2"/>
          <w:sz w:val="16"/>
        </w:rPr>
        <w:t>unweighted</w:t>
      </w:r>
      <w:r w:rsidRPr="00BB0DD9">
        <w:rPr>
          <w:spacing w:val="-6"/>
          <w:sz w:val="16"/>
        </w:rPr>
        <w:t xml:space="preserve"> </w:t>
      </w:r>
      <w:r w:rsidRPr="00BB0DD9">
        <w:rPr>
          <w:spacing w:val="-2"/>
          <w:sz w:val="16"/>
        </w:rPr>
        <w:t>response</w:t>
      </w:r>
      <w:r w:rsidRPr="00BB0DD9">
        <w:rPr>
          <w:spacing w:val="-5"/>
          <w:sz w:val="16"/>
        </w:rPr>
        <w:t xml:space="preserve"> </w:t>
      </w:r>
      <w:r w:rsidRPr="00BB0DD9">
        <w:rPr>
          <w:spacing w:val="-1"/>
          <w:sz w:val="16"/>
        </w:rPr>
        <w:t>rate</w:t>
      </w:r>
      <w:r w:rsidRPr="00BB0DD9">
        <w:rPr>
          <w:spacing w:val="-7"/>
          <w:sz w:val="16"/>
        </w:rPr>
        <w:t xml:space="preserve"> </w:t>
      </w:r>
      <w:r w:rsidRPr="00BB0DD9">
        <w:rPr>
          <w:sz w:val="16"/>
        </w:rPr>
        <w:t>is</w:t>
      </w:r>
      <w:r w:rsidRPr="00BB0DD9">
        <w:rPr>
          <w:spacing w:val="-4"/>
          <w:sz w:val="16"/>
        </w:rPr>
        <w:t xml:space="preserve"> </w:t>
      </w:r>
      <w:r w:rsidRPr="00BB0DD9">
        <w:rPr>
          <w:spacing w:val="-2"/>
          <w:sz w:val="16"/>
        </w:rPr>
        <w:t>calculated</w:t>
      </w:r>
      <w:r w:rsidRPr="00BB0DD9">
        <w:rPr>
          <w:spacing w:val="-7"/>
          <w:sz w:val="16"/>
        </w:rPr>
        <w:t xml:space="preserve"> </w:t>
      </w:r>
      <w:r w:rsidRPr="00BB0DD9">
        <w:rPr>
          <w:spacing w:val="-1"/>
          <w:sz w:val="16"/>
        </w:rPr>
        <w:t>as</w:t>
      </w:r>
      <w:r w:rsidRPr="00BB0DD9">
        <w:rPr>
          <w:spacing w:val="-4"/>
          <w:sz w:val="16"/>
        </w:rPr>
        <w:t xml:space="preserve"> </w:t>
      </w:r>
      <w:r w:rsidRPr="00BB0DD9">
        <w:rPr>
          <w:spacing w:val="-1"/>
          <w:sz w:val="16"/>
        </w:rPr>
        <w:t>the</w:t>
      </w:r>
      <w:r w:rsidRPr="00BB0DD9">
        <w:rPr>
          <w:spacing w:val="-7"/>
          <w:sz w:val="16"/>
        </w:rPr>
        <w:t xml:space="preserve"> </w:t>
      </w:r>
      <w:r w:rsidRPr="00BB0DD9">
        <w:rPr>
          <w:spacing w:val="-2"/>
          <w:sz w:val="16"/>
        </w:rPr>
        <w:t>following</w:t>
      </w:r>
      <w:r w:rsidRPr="00BB0DD9">
        <w:rPr>
          <w:spacing w:val="-6"/>
          <w:sz w:val="16"/>
        </w:rPr>
        <w:t xml:space="preserve"> </w:t>
      </w:r>
      <w:r w:rsidRPr="00BB0DD9">
        <w:rPr>
          <w:spacing w:val="-1"/>
          <w:sz w:val="16"/>
        </w:rPr>
        <w:t>ratio:</w:t>
      </w:r>
      <w:r w:rsidRPr="00BB0DD9">
        <w:rPr>
          <w:spacing w:val="-6"/>
          <w:sz w:val="16"/>
        </w:rPr>
        <w:t xml:space="preserve"> </w:t>
      </w:r>
      <w:r w:rsidRPr="00BB0DD9">
        <w:rPr>
          <w:spacing w:val="-2"/>
          <w:sz w:val="16"/>
        </w:rPr>
        <w:t>completed</w:t>
      </w:r>
      <w:r w:rsidRPr="00BB0DD9">
        <w:rPr>
          <w:spacing w:val="-6"/>
          <w:sz w:val="16"/>
        </w:rPr>
        <w:t xml:space="preserve"> </w:t>
      </w:r>
      <w:r w:rsidRPr="00BB0DD9">
        <w:rPr>
          <w:spacing w:val="-2"/>
          <w:sz w:val="16"/>
        </w:rPr>
        <w:t>cases</w:t>
      </w:r>
      <w:r w:rsidRPr="00BB0DD9">
        <w:rPr>
          <w:spacing w:val="-5"/>
          <w:sz w:val="16"/>
        </w:rPr>
        <w:t xml:space="preserve"> </w:t>
      </w:r>
      <w:r w:rsidRPr="00BB0DD9">
        <w:rPr>
          <w:sz w:val="16"/>
        </w:rPr>
        <w:t>/</w:t>
      </w:r>
      <w:r w:rsidRPr="00BB0DD9">
        <w:rPr>
          <w:spacing w:val="-6"/>
          <w:sz w:val="16"/>
        </w:rPr>
        <w:t xml:space="preserve"> </w:t>
      </w:r>
      <w:r w:rsidRPr="00BB0DD9">
        <w:rPr>
          <w:spacing w:val="-1"/>
          <w:sz w:val="16"/>
        </w:rPr>
        <w:t>(total</w:t>
      </w:r>
      <w:r w:rsidRPr="00BB0DD9">
        <w:rPr>
          <w:spacing w:val="-4"/>
          <w:sz w:val="16"/>
        </w:rPr>
        <w:t xml:space="preserve"> </w:t>
      </w:r>
      <w:r w:rsidRPr="00BB0DD9">
        <w:rPr>
          <w:spacing w:val="-1"/>
          <w:sz w:val="16"/>
        </w:rPr>
        <w:t>sample</w:t>
      </w:r>
      <w:r w:rsidRPr="00BB0DD9">
        <w:rPr>
          <w:spacing w:val="-7"/>
          <w:sz w:val="16"/>
        </w:rPr>
        <w:t xml:space="preserve"> </w:t>
      </w:r>
      <w:r w:rsidRPr="00BB0DD9">
        <w:rPr>
          <w:rFonts w:eastAsia="Arial"/>
          <w:spacing w:val="-2"/>
          <w:sz w:val="16"/>
        </w:rPr>
        <w:t>–</w:t>
      </w:r>
      <w:r w:rsidRPr="00BB0DD9">
        <w:rPr>
          <w:spacing w:val="-4"/>
          <w:sz w:val="16"/>
        </w:rPr>
        <w:t xml:space="preserve"> </w:t>
      </w:r>
      <w:r w:rsidRPr="00BB0DD9">
        <w:rPr>
          <w:spacing w:val="-2"/>
          <w:sz w:val="16"/>
        </w:rPr>
        <w:t>known</w:t>
      </w:r>
      <w:r w:rsidRPr="00BB0DD9">
        <w:rPr>
          <w:spacing w:val="-7"/>
          <w:sz w:val="16"/>
        </w:rPr>
        <w:t xml:space="preserve"> </w:t>
      </w:r>
      <w:r w:rsidRPr="00BB0DD9">
        <w:rPr>
          <w:spacing w:val="-1"/>
          <w:sz w:val="16"/>
        </w:rPr>
        <w:t>ineligibles).</w:t>
      </w:r>
    </w:p>
    <w:p w:rsidRPr="00BB0DD9" w:rsidR="00EF2F18" w:rsidP="00EF2F18" w:rsidRDefault="00EF2F18" w14:paraId="2689F724" w14:textId="77777777">
      <w:pPr>
        <w:keepNext/>
        <w:spacing w:line="187" w:lineRule="exact"/>
        <w:ind w:left="141" w:right="684" w:hanging="8"/>
        <w:rPr>
          <w:spacing w:val="-1"/>
          <w:sz w:val="16"/>
        </w:rPr>
      </w:pPr>
      <w:r w:rsidRPr="00BB0DD9">
        <w:rPr>
          <w:spacing w:val="-2"/>
          <w:sz w:val="20"/>
          <w:szCs w:val="20"/>
          <w:vertAlign w:val="superscript"/>
        </w:rPr>
        <w:t>5</w:t>
      </w:r>
      <w:r w:rsidRPr="00BB0DD9">
        <w:rPr>
          <w:spacing w:val="-1"/>
          <w:sz w:val="16"/>
        </w:rPr>
        <w:t>The</w:t>
      </w:r>
      <w:r w:rsidRPr="00BB0DD9">
        <w:rPr>
          <w:spacing w:val="-7"/>
          <w:sz w:val="16"/>
        </w:rPr>
        <w:t xml:space="preserve"> </w:t>
      </w:r>
      <w:r w:rsidRPr="00BB0DD9">
        <w:rPr>
          <w:spacing w:val="-2"/>
          <w:sz w:val="16"/>
        </w:rPr>
        <w:t>weighted response</w:t>
      </w:r>
      <w:r w:rsidRPr="00BB0DD9">
        <w:rPr>
          <w:spacing w:val="-4"/>
          <w:sz w:val="16"/>
        </w:rPr>
        <w:t xml:space="preserve"> </w:t>
      </w:r>
      <w:r w:rsidRPr="00BB0DD9">
        <w:rPr>
          <w:spacing w:val="-1"/>
          <w:sz w:val="16"/>
        </w:rPr>
        <w:t>rate</w:t>
      </w:r>
      <w:r w:rsidRPr="00BB0DD9">
        <w:rPr>
          <w:spacing w:val="-6"/>
          <w:sz w:val="16"/>
        </w:rPr>
        <w:t xml:space="preserve"> </w:t>
      </w:r>
      <w:r w:rsidRPr="00BB0DD9">
        <w:rPr>
          <w:sz w:val="16"/>
        </w:rPr>
        <w:t>is</w:t>
      </w:r>
      <w:r w:rsidRPr="00BB0DD9">
        <w:rPr>
          <w:spacing w:val="-5"/>
          <w:sz w:val="16"/>
        </w:rPr>
        <w:t xml:space="preserve"> </w:t>
      </w:r>
      <w:r w:rsidRPr="00BB0DD9">
        <w:rPr>
          <w:spacing w:val="-2"/>
          <w:sz w:val="16"/>
        </w:rPr>
        <w:t>calculated</w:t>
      </w:r>
      <w:r w:rsidRPr="00BB0DD9">
        <w:rPr>
          <w:spacing w:val="-6"/>
          <w:sz w:val="16"/>
        </w:rPr>
        <w:t xml:space="preserve"> </w:t>
      </w:r>
      <w:r w:rsidRPr="00BB0DD9">
        <w:rPr>
          <w:spacing w:val="-1"/>
          <w:sz w:val="16"/>
        </w:rPr>
        <w:t>by</w:t>
      </w:r>
      <w:r w:rsidRPr="00BB0DD9">
        <w:rPr>
          <w:spacing w:val="-9"/>
          <w:sz w:val="16"/>
        </w:rPr>
        <w:t xml:space="preserve"> </w:t>
      </w:r>
      <w:r w:rsidRPr="00BB0DD9">
        <w:rPr>
          <w:spacing w:val="-2"/>
          <w:sz w:val="16"/>
        </w:rPr>
        <w:t>applying</w:t>
      </w:r>
      <w:r w:rsidRPr="00BB0DD9">
        <w:rPr>
          <w:spacing w:val="-6"/>
          <w:sz w:val="16"/>
        </w:rPr>
        <w:t xml:space="preserve"> </w:t>
      </w:r>
      <w:r w:rsidRPr="00BB0DD9">
        <w:rPr>
          <w:spacing w:val="-1"/>
          <w:sz w:val="16"/>
        </w:rPr>
        <w:t>the</w:t>
      </w:r>
      <w:r w:rsidRPr="00BB0DD9">
        <w:rPr>
          <w:spacing w:val="-6"/>
          <w:sz w:val="16"/>
        </w:rPr>
        <w:t xml:space="preserve"> </w:t>
      </w:r>
      <w:r w:rsidRPr="00BB0DD9">
        <w:rPr>
          <w:spacing w:val="-2"/>
          <w:sz w:val="16"/>
        </w:rPr>
        <w:t>base</w:t>
      </w:r>
      <w:r w:rsidRPr="00BB0DD9">
        <w:rPr>
          <w:spacing w:val="-4"/>
          <w:sz w:val="16"/>
        </w:rPr>
        <w:t xml:space="preserve"> </w:t>
      </w:r>
      <w:r w:rsidRPr="00BB0DD9">
        <w:rPr>
          <w:spacing w:val="-1"/>
          <w:sz w:val="16"/>
        </w:rPr>
        <w:t>sampling</w:t>
      </w:r>
      <w:r w:rsidRPr="00BB0DD9">
        <w:rPr>
          <w:spacing w:val="-7"/>
          <w:sz w:val="16"/>
        </w:rPr>
        <w:t xml:space="preserve"> </w:t>
      </w:r>
      <w:r w:rsidRPr="00BB0DD9">
        <w:rPr>
          <w:spacing w:val="-1"/>
          <w:sz w:val="16"/>
        </w:rPr>
        <w:t>rates</w:t>
      </w:r>
      <w:r w:rsidRPr="00BB0DD9">
        <w:rPr>
          <w:spacing w:val="-4"/>
          <w:sz w:val="16"/>
        </w:rPr>
        <w:t xml:space="preserve"> </w:t>
      </w:r>
      <w:r w:rsidRPr="00BB0DD9">
        <w:rPr>
          <w:spacing w:val="-1"/>
          <w:sz w:val="16"/>
        </w:rPr>
        <w:t>to</w:t>
      </w:r>
      <w:r w:rsidRPr="00BB0DD9">
        <w:rPr>
          <w:spacing w:val="-6"/>
          <w:sz w:val="16"/>
        </w:rPr>
        <w:t xml:space="preserve"> </w:t>
      </w:r>
      <w:r w:rsidRPr="00BB0DD9">
        <w:rPr>
          <w:spacing w:val="-1"/>
          <w:sz w:val="16"/>
        </w:rPr>
        <w:t>the</w:t>
      </w:r>
      <w:r w:rsidRPr="00BB0DD9">
        <w:rPr>
          <w:spacing w:val="-6"/>
          <w:sz w:val="16"/>
        </w:rPr>
        <w:t xml:space="preserve"> </w:t>
      </w:r>
      <w:r w:rsidRPr="00BB0DD9">
        <w:rPr>
          <w:spacing w:val="-2"/>
          <w:sz w:val="16"/>
        </w:rPr>
        <w:t>following</w:t>
      </w:r>
      <w:r w:rsidRPr="00BB0DD9">
        <w:rPr>
          <w:spacing w:val="-6"/>
          <w:sz w:val="16"/>
        </w:rPr>
        <w:t xml:space="preserve"> </w:t>
      </w:r>
      <w:r w:rsidRPr="00BB0DD9">
        <w:rPr>
          <w:spacing w:val="-1"/>
          <w:sz w:val="16"/>
        </w:rPr>
        <w:t>ratio:</w:t>
      </w:r>
      <w:r w:rsidRPr="00BB0DD9">
        <w:rPr>
          <w:spacing w:val="-6"/>
          <w:sz w:val="16"/>
        </w:rPr>
        <w:t xml:space="preserve"> </w:t>
      </w:r>
      <w:r w:rsidRPr="00BB0DD9">
        <w:rPr>
          <w:spacing w:val="-2"/>
          <w:sz w:val="16"/>
        </w:rPr>
        <w:t>completed</w:t>
      </w:r>
      <w:r w:rsidRPr="00BB0DD9">
        <w:rPr>
          <w:spacing w:val="-6"/>
          <w:sz w:val="16"/>
        </w:rPr>
        <w:t xml:space="preserve"> </w:t>
      </w:r>
      <w:r w:rsidRPr="00BB0DD9">
        <w:rPr>
          <w:spacing w:val="-2"/>
          <w:sz w:val="16"/>
        </w:rPr>
        <w:t>cases</w:t>
      </w:r>
      <w:r w:rsidRPr="00BB0DD9">
        <w:rPr>
          <w:spacing w:val="-4"/>
          <w:sz w:val="16"/>
        </w:rPr>
        <w:t xml:space="preserve"> </w:t>
      </w:r>
      <w:r w:rsidRPr="00BB0DD9">
        <w:rPr>
          <w:sz w:val="16"/>
        </w:rPr>
        <w:t>/</w:t>
      </w:r>
      <w:r w:rsidRPr="00BB0DD9">
        <w:rPr>
          <w:spacing w:val="-6"/>
          <w:sz w:val="16"/>
        </w:rPr>
        <w:t xml:space="preserve"> </w:t>
      </w:r>
      <w:r w:rsidRPr="00BB0DD9">
        <w:rPr>
          <w:spacing w:val="-1"/>
          <w:sz w:val="16"/>
        </w:rPr>
        <w:t>(total</w:t>
      </w:r>
      <w:r w:rsidRPr="00BB0DD9">
        <w:rPr>
          <w:spacing w:val="-7"/>
          <w:sz w:val="16"/>
        </w:rPr>
        <w:t xml:space="preserve"> </w:t>
      </w:r>
      <w:r w:rsidRPr="00BB0DD9">
        <w:rPr>
          <w:spacing w:val="-1"/>
          <w:sz w:val="16"/>
        </w:rPr>
        <w:t>sample</w:t>
      </w:r>
      <w:r w:rsidRPr="00BB0DD9">
        <w:rPr>
          <w:spacing w:val="-8"/>
          <w:sz w:val="16"/>
        </w:rPr>
        <w:t xml:space="preserve"> </w:t>
      </w:r>
      <w:r w:rsidRPr="00BB0DD9">
        <w:rPr>
          <w:rFonts w:eastAsia="Arial"/>
          <w:spacing w:val="-2"/>
          <w:sz w:val="16"/>
        </w:rPr>
        <w:t>–</w:t>
      </w:r>
      <w:r w:rsidRPr="00BB0DD9">
        <w:rPr>
          <w:spacing w:val="-6"/>
          <w:sz w:val="16"/>
        </w:rPr>
        <w:t xml:space="preserve"> </w:t>
      </w:r>
      <w:r w:rsidRPr="00BB0DD9">
        <w:rPr>
          <w:spacing w:val="-2"/>
          <w:sz w:val="16"/>
        </w:rPr>
        <w:t>known</w:t>
      </w:r>
      <w:r w:rsidRPr="00BB0DD9">
        <w:rPr>
          <w:spacing w:val="-8"/>
          <w:sz w:val="16"/>
        </w:rPr>
        <w:t xml:space="preserve"> </w:t>
      </w:r>
      <w:r w:rsidRPr="00BB0DD9">
        <w:rPr>
          <w:spacing w:val="-1"/>
          <w:sz w:val="16"/>
        </w:rPr>
        <w:t>ineligibles).</w:t>
      </w:r>
    </w:p>
    <w:p w:rsidRPr="00BB0DD9" w:rsidR="00EF2F18" w:rsidP="00EF2F18" w:rsidRDefault="00EF2F18" w14:paraId="15DAF31A" w14:textId="18741611">
      <w:pPr>
        <w:keepNext/>
        <w:spacing w:line="187" w:lineRule="exact"/>
        <w:ind w:left="141" w:right="684" w:hanging="8"/>
        <w:rPr>
          <w:rFonts w:eastAsia="Arial"/>
          <w:sz w:val="16"/>
        </w:rPr>
      </w:pPr>
      <w:r w:rsidRPr="00BB0DD9">
        <w:rPr>
          <w:spacing w:val="-2"/>
          <w:sz w:val="20"/>
          <w:szCs w:val="20"/>
          <w:vertAlign w:val="superscript"/>
        </w:rPr>
        <w:t>6</w:t>
      </w:r>
      <w:r w:rsidRPr="00BB0DD9">
        <w:rPr>
          <w:rFonts w:eastAsia="Arial"/>
          <w:spacing w:val="-1"/>
          <w:sz w:val="16"/>
        </w:rPr>
        <w:t>Primary</w:t>
      </w:r>
      <w:r w:rsidRPr="00BB0DD9">
        <w:rPr>
          <w:rFonts w:eastAsia="Arial"/>
          <w:spacing w:val="-9"/>
          <w:sz w:val="16"/>
        </w:rPr>
        <w:t xml:space="preserve"> </w:t>
      </w:r>
      <w:r w:rsidRPr="00BB0DD9">
        <w:rPr>
          <w:spacing w:val="-1"/>
          <w:sz w:val="16"/>
        </w:rPr>
        <w:t>schools</w:t>
      </w:r>
      <w:r w:rsidRPr="00BB0DD9">
        <w:rPr>
          <w:rFonts w:eastAsia="Arial"/>
          <w:spacing w:val="-5"/>
          <w:sz w:val="16"/>
        </w:rPr>
        <w:t xml:space="preserve"> </w:t>
      </w:r>
      <w:r w:rsidRPr="00BB0DD9">
        <w:rPr>
          <w:rFonts w:eastAsia="Arial"/>
          <w:spacing w:val="-1"/>
          <w:sz w:val="16"/>
        </w:rPr>
        <w:t>are</w:t>
      </w:r>
      <w:r w:rsidRPr="00BB0DD9">
        <w:rPr>
          <w:rFonts w:eastAsia="Arial"/>
          <w:spacing w:val="-6"/>
          <w:sz w:val="16"/>
        </w:rPr>
        <w:t xml:space="preserve"> </w:t>
      </w:r>
      <w:r w:rsidRPr="00BB0DD9">
        <w:rPr>
          <w:rFonts w:eastAsia="Arial"/>
          <w:spacing w:val="-1"/>
          <w:sz w:val="16"/>
        </w:rPr>
        <w:t>defined</w:t>
      </w:r>
      <w:r w:rsidRPr="00BB0DD9">
        <w:rPr>
          <w:rFonts w:eastAsia="Arial"/>
          <w:spacing w:val="-6"/>
          <w:sz w:val="16"/>
        </w:rPr>
        <w:t xml:space="preserve"> </w:t>
      </w:r>
      <w:r w:rsidRPr="00BB0DD9">
        <w:rPr>
          <w:rFonts w:eastAsia="Arial"/>
          <w:spacing w:val="-1"/>
          <w:sz w:val="16"/>
        </w:rPr>
        <w:t>as</w:t>
      </w:r>
      <w:r w:rsidRPr="00BB0DD9">
        <w:rPr>
          <w:rFonts w:eastAsia="Arial"/>
          <w:spacing w:val="-5"/>
          <w:sz w:val="16"/>
        </w:rPr>
        <w:t xml:space="preserve"> </w:t>
      </w:r>
      <w:r w:rsidRPr="00BB0DD9">
        <w:rPr>
          <w:rFonts w:eastAsia="Arial"/>
          <w:spacing w:val="-1"/>
          <w:sz w:val="16"/>
        </w:rPr>
        <w:t>schools</w:t>
      </w:r>
      <w:r w:rsidRPr="00BB0DD9">
        <w:rPr>
          <w:rFonts w:eastAsia="Arial"/>
          <w:spacing w:val="-4"/>
          <w:sz w:val="16"/>
        </w:rPr>
        <w:t xml:space="preserve"> </w:t>
      </w:r>
      <w:r w:rsidRPr="00BB0DD9">
        <w:rPr>
          <w:rFonts w:eastAsia="Arial"/>
          <w:sz w:val="16"/>
        </w:rPr>
        <w:t>in</w:t>
      </w:r>
      <w:r w:rsidRPr="00BB0DD9">
        <w:rPr>
          <w:rFonts w:eastAsia="Arial"/>
          <w:spacing w:val="-6"/>
          <w:sz w:val="16"/>
        </w:rPr>
        <w:t xml:space="preserve"> </w:t>
      </w:r>
      <w:r w:rsidRPr="00BB0DD9">
        <w:rPr>
          <w:rFonts w:eastAsia="Arial"/>
          <w:spacing w:val="-2"/>
          <w:sz w:val="16"/>
        </w:rPr>
        <w:t>which</w:t>
      </w:r>
      <w:r w:rsidRPr="00BB0DD9">
        <w:rPr>
          <w:rFonts w:eastAsia="Arial"/>
          <w:spacing w:val="-4"/>
          <w:sz w:val="16"/>
        </w:rPr>
        <w:t xml:space="preserve"> </w:t>
      </w:r>
      <w:r w:rsidRPr="00BB0DD9">
        <w:rPr>
          <w:rFonts w:eastAsia="Arial"/>
          <w:spacing w:val="-1"/>
          <w:sz w:val="16"/>
        </w:rPr>
        <w:t>the</w:t>
      </w:r>
      <w:r w:rsidRPr="00BB0DD9">
        <w:rPr>
          <w:rFonts w:eastAsia="Arial"/>
          <w:spacing w:val="-7"/>
          <w:sz w:val="16"/>
        </w:rPr>
        <w:t xml:space="preserve"> </w:t>
      </w:r>
      <w:r w:rsidRPr="00BB0DD9">
        <w:rPr>
          <w:rFonts w:eastAsia="Arial"/>
          <w:spacing w:val="-2"/>
          <w:sz w:val="16"/>
        </w:rPr>
        <w:t>lowest</w:t>
      </w:r>
      <w:r w:rsidRPr="00BB0DD9">
        <w:rPr>
          <w:rFonts w:eastAsia="Arial"/>
          <w:spacing w:val="-4"/>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is</w:t>
      </w:r>
      <w:r w:rsidRPr="00BB0DD9">
        <w:rPr>
          <w:rFonts w:eastAsia="Arial"/>
          <w:spacing w:val="-5"/>
          <w:sz w:val="16"/>
        </w:rPr>
        <w:t xml:space="preserve"> </w:t>
      </w:r>
      <w:r w:rsidRPr="00BB0DD9">
        <w:rPr>
          <w:rFonts w:eastAsia="Arial"/>
          <w:spacing w:val="-2"/>
          <w:sz w:val="16"/>
        </w:rPr>
        <w:t>not</w:t>
      </w:r>
      <w:r w:rsidRPr="00BB0DD9">
        <w:rPr>
          <w:rFonts w:eastAsia="Arial"/>
          <w:spacing w:val="-5"/>
          <w:sz w:val="16"/>
        </w:rPr>
        <w:t xml:space="preserve"> </w:t>
      </w:r>
      <w:r w:rsidRPr="00BB0DD9">
        <w:rPr>
          <w:rFonts w:eastAsia="Arial"/>
          <w:spacing w:val="-2"/>
          <w:sz w:val="16"/>
        </w:rPr>
        <w:t>higher</w:t>
      </w:r>
      <w:r w:rsidRPr="00BB0DD9">
        <w:rPr>
          <w:rFonts w:eastAsia="Arial"/>
          <w:spacing w:val="-4"/>
          <w:sz w:val="16"/>
        </w:rPr>
        <w:t xml:space="preserve"> </w:t>
      </w:r>
      <w:r w:rsidRPr="00BB0DD9">
        <w:rPr>
          <w:rFonts w:eastAsia="Arial"/>
          <w:spacing w:val="-2"/>
          <w:sz w:val="16"/>
        </w:rPr>
        <w:t>than</w:t>
      </w:r>
      <w:r w:rsidRPr="00BB0DD9">
        <w:rPr>
          <w:rFonts w:eastAsia="Arial"/>
          <w:spacing w:val="-6"/>
          <w:sz w:val="16"/>
        </w:rPr>
        <w:t xml:space="preserve"> </w:t>
      </w:r>
      <w:r w:rsidRPr="00BB0DD9">
        <w:rPr>
          <w:rFonts w:eastAsia="Arial"/>
          <w:spacing w:val="-2"/>
          <w:sz w:val="16"/>
        </w:rPr>
        <w:t>grade</w:t>
      </w:r>
      <w:r w:rsidRPr="00BB0DD9">
        <w:rPr>
          <w:rFonts w:eastAsia="Arial"/>
          <w:spacing w:val="-7"/>
          <w:sz w:val="16"/>
        </w:rPr>
        <w:t xml:space="preserve"> </w:t>
      </w:r>
      <w:r w:rsidRPr="00BB0DD9">
        <w:rPr>
          <w:rFonts w:eastAsia="Arial"/>
          <w:sz w:val="16"/>
        </w:rPr>
        <w:t>3</w:t>
      </w:r>
      <w:r w:rsidRPr="00BB0DD9">
        <w:rPr>
          <w:rFonts w:eastAsia="Arial"/>
          <w:spacing w:val="-6"/>
          <w:sz w:val="16"/>
        </w:rPr>
        <w:t xml:space="preserve"> </w:t>
      </w:r>
      <w:r w:rsidRPr="00BB0DD9">
        <w:rPr>
          <w:rFonts w:eastAsia="Arial"/>
          <w:spacing w:val="-2"/>
          <w:sz w:val="16"/>
        </w:rPr>
        <w:t>and</w:t>
      </w:r>
      <w:r w:rsidRPr="00BB0DD9">
        <w:rPr>
          <w:rFonts w:eastAsia="Arial"/>
          <w:spacing w:val="-6"/>
          <w:sz w:val="16"/>
        </w:rPr>
        <w:t xml:space="preserve"> </w:t>
      </w:r>
      <w:r w:rsidRPr="00BB0DD9">
        <w:rPr>
          <w:rFonts w:eastAsia="Arial"/>
          <w:spacing w:val="-1"/>
          <w:sz w:val="16"/>
        </w:rPr>
        <w:t>the</w:t>
      </w:r>
      <w:r w:rsidRPr="00BB0DD9">
        <w:rPr>
          <w:rFonts w:eastAsia="Arial"/>
          <w:spacing w:val="-6"/>
          <w:sz w:val="16"/>
        </w:rPr>
        <w:t xml:space="preserve"> </w:t>
      </w:r>
      <w:r w:rsidRPr="00BB0DD9">
        <w:rPr>
          <w:rFonts w:eastAsia="Arial"/>
          <w:spacing w:val="-2"/>
          <w:sz w:val="16"/>
        </w:rPr>
        <w:t>highest</w:t>
      </w:r>
      <w:r w:rsidRPr="00BB0DD9">
        <w:rPr>
          <w:rFonts w:eastAsia="Arial"/>
          <w:spacing w:val="-5"/>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is</w:t>
      </w:r>
      <w:r w:rsidRPr="00BB0DD9">
        <w:rPr>
          <w:rFonts w:eastAsia="Arial"/>
          <w:spacing w:val="-4"/>
          <w:sz w:val="16"/>
        </w:rPr>
        <w:t xml:space="preserve"> </w:t>
      </w:r>
      <w:r w:rsidRPr="00BB0DD9">
        <w:rPr>
          <w:rFonts w:eastAsia="Arial"/>
          <w:spacing w:val="-2"/>
          <w:sz w:val="16"/>
        </w:rPr>
        <w:t>not</w:t>
      </w:r>
      <w:r w:rsidRPr="00BB0DD9">
        <w:rPr>
          <w:spacing w:val="-6"/>
          <w:sz w:val="16"/>
        </w:rPr>
        <w:t xml:space="preserve"> </w:t>
      </w:r>
      <w:r w:rsidRPr="00BB0DD9">
        <w:rPr>
          <w:rFonts w:eastAsia="Arial"/>
          <w:spacing w:val="-2"/>
          <w:sz w:val="16"/>
        </w:rPr>
        <w:t>higher</w:t>
      </w:r>
      <w:r w:rsidRPr="00BB0DD9">
        <w:rPr>
          <w:rFonts w:eastAsia="Arial"/>
          <w:spacing w:val="-5"/>
          <w:sz w:val="16"/>
        </w:rPr>
        <w:t xml:space="preserve"> </w:t>
      </w:r>
      <w:r w:rsidRPr="00BB0DD9">
        <w:rPr>
          <w:rFonts w:eastAsia="Arial"/>
          <w:spacing w:val="-2"/>
          <w:sz w:val="16"/>
        </w:rPr>
        <w:t>than</w:t>
      </w:r>
      <w:r w:rsidRPr="00BB0DD9">
        <w:rPr>
          <w:rFonts w:eastAsia="Arial"/>
          <w:spacing w:val="-6"/>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pacing w:val="-1"/>
          <w:sz w:val="16"/>
        </w:rPr>
        <w:t>8.</w:t>
      </w:r>
      <w:r w:rsidRPr="00BB0DD9">
        <w:rPr>
          <w:rFonts w:eastAsia="Arial"/>
          <w:spacing w:val="-5"/>
          <w:sz w:val="16"/>
        </w:rPr>
        <w:t xml:space="preserve"> </w:t>
      </w:r>
      <w:r w:rsidRPr="00BB0DD9">
        <w:rPr>
          <w:rFonts w:eastAsia="Arial"/>
          <w:spacing w:val="-1"/>
          <w:sz w:val="16"/>
        </w:rPr>
        <w:t>Middle</w:t>
      </w:r>
      <w:r w:rsidRPr="00BB0DD9">
        <w:rPr>
          <w:rFonts w:eastAsia="Arial"/>
          <w:spacing w:val="-6"/>
          <w:sz w:val="16"/>
        </w:rPr>
        <w:t xml:space="preserve"> </w:t>
      </w:r>
      <w:r w:rsidRPr="00BB0DD9">
        <w:rPr>
          <w:rFonts w:eastAsia="Arial"/>
          <w:spacing w:val="-1"/>
          <w:sz w:val="16"/>
        </w:rPr>
        <w:t>schools</w:t>
      </w:r>
      <w:r w:rsidRPr="00BB0DD9">
        <w:rPr>
          <w:rFonts w:eastAsia="Arial"/>
          <w:spacing w:val="-4"/>
          <w:sz w:val="16"/>
        </w:rPr>
        <w:t xml:space="preserve"> </w:t>
      </w:r>
      <w:r w:rsidRPr="00BB0DD9">
        <w:rPr>
          <w:rFonts w:eastAsia="Arial"/>
          <w:spacing w:val="-1"/>
          <w:sz w:val="16"/>
        </w:rPr>
        <w:t>are</w:t>
      </w:r>
      <w:r w:rsidRPr="00BB0DD9">
        <w:rPr>
          <w:rFonts w:eastAsia="Arial"/>
          <w:spacing w:val="-7"/>
          <w:sz w:val="16"/>
        </w:rPr>
        <w:t xml:space="preserve"> </w:t>
      </w:r>
      <w:r w:rsidRPr="00BB0DD9">
        <w:rPr>
          <w:rFonts w:eastAsia="Arial"/>
          <w:spacing w:val="-1"/>
          <w:sz w:val="16"/>
        </w:rPr>
        <w:t>defined</w:t>
      </w:r>
      <w:r w:rsidRPr="00BB0DD9">
        <w:rPr>
          <w:rFonts w:eastAsia="Arial"/>
          <w:spacing w:val="-6"/>
          <w:sz w:val="16"/>
        </w:rPr>
        <w:t xml:space="preserve"> </w:t>
      </w:r>
      <w:r w:rsidRPr="00BB0DD9">
        <w:rPr>
          <w:rFonts w:eastAsia="Arial"/>
          <w:spacing w:val="-1"/>
          <w:sz w:val="16"/>
        </w:rPr>
        <w:t>as</w:t>
      </w:r>
      <w:r w:rsidRPr="00BB0DD9">
        <w:rPr>
          <w:rFonts w:eastAsia="Arial"/>
          <w:spacing w:val="-4"/>
          <w:sz w:val="16"/>
        </w:rPr>
        <w:t xml:space="preserve"> </w:t>
      </w:r>
      <w:r w:rsidRPr="00BB0DD9">
        <w:rPr>
          <w:rFonts w:eastAsia="Arial"/>
          <w:spacing w:val="-1"/>
          <w:sz w:val="16"/>
        </w:rPr>
        <w:t>schools</w:t>
      </w:r>
      <w:r w:rsidRPr="00BB0DD9">
        <w:rPr>
          <w:rFonts w:eastAsia="Arial"/>
          <w:spacing w:val="-4"/>
          <w:sz w:val="16"/>
        </w:rPr>
        <w:t xml:space="preserve"> </w:t>
      </w:r>
      <w:r w:rsidRPr="00BB0DD9">
        <w:rPr>
          <w:rFonts w:eastAsia="Arial"/>
          <w:sz w:val="16"/>
        </w:rPr>
        <w:t>in</w:t>
      </w:r>
      <w:r w:rsidRPr="00BB0DD9">
        <w:rPr>
          <w:rFonts w:eastAsia="Arial"/>
          <w:spacing w:val="-6"/>
          <w:sz w:val="16"/>
        </w:rPr>
        <w:t xml:space="preserve"> </w:t>
      </w:r>
      <w:r w:rsidRPr="00BB0DD9">
        <w:rPr>
          <w:rFonts w:eastAsia="Arial"/>
          <w:spacing w:val="-2"/>
          <w:sz w:val="16"/>
        </w:rPr>
        <w:t>which</w:t>
      </w:r>
      <w:r w:rsidRPr="00BB0DD9">
        <w:rPr>
          <w:rFonts w:eastAsia="Arial"/>
          <w:spacing w:val="-5"/>
          <w:sz w:val="16"/>
        </w:rPr>
        <w:t xml:space="preserve"> </w:t>
      </w:r>
      <w:r w:rsidRPr="00BB0DD9">
        <w:rPr>
          <w:rFonts w:eastAsia="Arial"/>
          <w:spacing w:val="-1"/>
          <w:sz w:val="16"/>
        </w:rPr>
        <w:t>the</w:t>
      </w:r>
      <w:r w:rsidRPr="00BB0DD9">
        <w:rPr>
          <w:rFonts w:eastAsia="Arial"/>
          <w:spacing w:val="-6"/>
          <w:sz w:val="16"/>
        </w:rPr>
        <w:t xml:space="preserve"> </w:t>
      </w:r>
      <w:r w:rsidRPr="00BB0DD9">
        <w:rPr>
          <w:rFonts w:eastAsia="Arial"/>
          <w:spacing w:val="-2"/>
          <w:sz w:val="16"/>
        </w:rPr>
        <w:t>lowest</w:t>
      </w:r>
      <w:r w:rsidRPr="00BB0DD9">
        <w:rPr>
          <w:rFonts w:eastAsia="Arial"/>
          <w:spacing w:val="-4"/>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is</w:t>
      </w:r>
      <w:r w:rsidRPr="00BB0DD9">
        <w:rPr>
          <w:rFonts w:eastAsia="Arial"/>
          <w:spacing w:val="-4"/>
          <w:sz w:val="16"/>
        </w:rPr>
        <w:t xml:space="preserve"> </w:t>
      </w:r>
      <w:r w:rsidRPr="00BB0DD9">
        <w:rPr>
          <w:rFonts w:eastAsia="Arial"/>
          <w:spacing w:val="-2"/>
          <w:sz w:val="16"/>
        </w:rPr>
        <w:t>not</w:t>
      </w:r>
      <w:r w:rsidRPr="00BB0DD9">
        <w:rPr>
          <w:rFonts w:eastAsia="Arial"/>
          <w:spacing w:val="-5"/>
          <w:sz w:val="16"/>
        </w:rPr>
        <w:t xml:space="preserve"> </w:t>
      </w:r>
      <w:r w:rsidRPr="00BB0DD9">
        <w:rPr>
          <w:rFonts w:eastAsia="Arial"/>
          <w:spacing w:val="-2"/>
          <w:sz w:val="16"/>
        </w:rPr>
        <w:t>lower</w:t>
      </w:r>
      <w:r w:rsidRPr="00BB0DD9">
        <w:rPr>
          <w:rFonts w:eastAsia="Arial"/>
          <w:spacing w:val="-5"/>
          <w:sz w:val="16"/>
        </w:rPr>
        <w:t xml:space="preserve"> </w:t>
      </w:r>
      <w:r w:rsidRPr="00BB0DD9">
        <w:rPr>
          <w:rFonts w:eastAsia="Arial"/>
          <w:spacing w:val="-2"/>
          <w:sz w:val="16"/>
        </w:rPr>
        <w:t>than</w:t>
      </w:r>
      <w:r w:rsidRPr="00BB0DD9">
        <w:rPr>
          <w:rFonts w:eastAsia="Arial"/>
          <w:spacing w:val="-6"/>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4</w:t>
      </w:r>
      <w:r w:rsidRPr="00BB0DD9">
        <w:rPr>
          <w:rFonts w:eastAsia="Arial"/>
          <w:spacing w:val="-6"/>
          <w:sz w:val="16"/>
        </w:rPr>
        <w:t xml:space="preserve"> </w:t>
      </w:r>
      <w:r w:rsidRPr="00BB0DD9">
        <w:rPr>
          <w:rFonts w:eastAsia="Arial"/>
          <w:spacing w:val="-2"/>
          <w:sz w:val="16"/>
        </w:rPr>
        <w:t>and</w:t>
      </w:r>
      <w:r w:rsidRPr="00BB0DD9">
        <w:rPr>
          <w:rFonts w:eastAsia="Arial"/>
          <w:spacing w:val="-6"/>
          <w:sz w:val="16"/>
        </w:rPr>
        <w:t xml:space="preserve"> </w:t>
      </w:r>
      <w:r w:rsidRPr="00BB0DD9">
        <w:rPr>
          <w:rFonts w:eastAsia="Arial"/>
          <w:spacing w:val="-2"/>
          <w:sz w:val="16"/>
        </w:rPr>
        <w:t>the</w:t>
      </w:r>
      <w:r w:rsidRPr="00BB0DD9">
        <w:rPr>
          <w:spacing w:val="-6"/>
          <w:sz w:val="16"/>
        </w:rPr>
        <w:t xml:space="preserve"> </w:t>
      </w:r>
      <w:r w:rsidRPr="00BB0DD9">
        <w:rPr>
          <w:rFonts w:eastAsia="Arial"/>
          <w:spacing w:val="-2"/>
          <w:sz w:val="16"/>
        </w:rPr>
        <w:t>highest</w:t>
      </w:r>
      <w:r w:rsidRPr="00BB0DD9">
        <w:rPr>
          <w:rFonts w:eastAsia="Arial"/>
          <w:spacing w:val="-5"/>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is</w:t>
      </w:r>
      <w:r w:rsidRPr="00BB0DD9">
        <w:rPr>
          <w:rFonts w:eastAsia="Arial"/>
          <w:spacing w:val="-4"/>
          <w:sz w:val="16"/>
        </w:rPr>
        <w:t xml:space="preserve"> </w:t>
      </w:r>
      <w:r w:rsidRPr="00BB0DD9">
        <w:rPr>
          <w:rFonts w:eastAsia="Arial"/>
          <w:spacing w:val="-2"/>
          <w:sz w:val="16"/>
        </w:rPr>
        <w:t>not</w:t>
      </w:r>
      <w:r w:rsidRPr="00BB0DD9">
        <w:rPr>
          <w:rFonts w:eastAsia="Arial"/>
          <w:spacing w:val="-5"/>
          <w:sz w:val="16"/>
        </w:rPr>
        <w:t xml:space="preserve"> </w:t>
      </w:r>
      <w:r w:rsidRPr="00BB0DD9">
        <w:rPr>
          <w:rFonts w:eastAsia="Arial"/>
          <w:spacing w:val="-2"/>
          <w:sz w:val="16"/>
        </w:rPr>
        <w:t>higher</w:t>
      </w:r>
      <w:r w:rsidRPr="00BB0DD9">
        <w:rPr>
          <w:rFonts w:eastAsia="Arial"/>
          <w:spacing w:val="-5"/>
          <w:sz w:val="16"/>
        </w:rPr>
        <w:t xml:space="preserve"> </w:t>
      </w:r>
      <w:r w:rsidRPr="00BB0DD9">
        <w:rPr>
          <w:rFonts w:eastAsia="Arial"/>
          <w:spacing w:val="-2"/>
          <w:sz w:val="16"/>
        </w:rPr>
        <w:t>than</w:t>
      </w:r>
      <w:r w:rsidRPr="00BB0DD9">
        <w:rPr>
          <w:rFonts w:eastAsia="Arial"/>
          <w:spacing w:val="-6"/>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pacing w:val="-1"/>
          <w:sz w:val="16"/>
        </w:rPr>
        <w:t>9.</w:t>
      </w:r>
      <w:r w:rsidRPr="00BB0DD9">
        <w:rPr>
          <w:rFonts w:eastAsia="Arial"/>
          <w:spacing w:val="-5"/>
          <w:sz w:val="16"/>
        </w:rPr>
        <w:t xml:space="preserve"> </w:t>
      </w:r>
      <w:r w:rsidRPr="00BB0DD9">
        <w:rPr>
          <w:rFonts w:eastAsia="Arial"/>
          <w:spacing w:val="-1"/>
          <w:sz w:val="16"/>
        </w:rPr>
        <w:t>High</w:t>
      </w:r>
      <w:r w:rsidRPr="00BB0DD9">
        <w:rPr>
          <w:rFonts w:eastAsia="Arial"/>
          <w:spacing w:val="-6"/>
          <w:sz w:val="16"/>
        </w:rPr>
        <w:t xml:space="preserve"> </w:t>
      </w:r>
      <w:r w:rsidRPr="00BB0DD9">
        <w:rPr>
          <w:rFonts w:eastAsia="Arial"/>
          <w:spacing w:val="-1"/>
          <w:sz w:val="16"/>
        </w:rPr>
        <w:t>schools</w:t>
      </w:r>
      <w:r w:rsidRPr="00BB0DD9">
        <w:rPr>
          <w:rFonts w:eastAsia="Arial"/>
          <w:spacing w:val="-5"/>
          <w:sz w:val="16"/>
        </w:rPr>
        <w:t xml:space="preserve"> </w:t>
      </w:r>
      <w:r w:rsidRPr="00BB0DD9">
        <w:rPr>
          <w:rFonts w:eastAsia="Arial"/>
          <w:spacing w:val="-1"/>
          <w:sz w:val="16"/>
        </w:rPr>
        <w:t>are</w:t>
      </w:r>
      <w:r w:rsidRPr="00BB0DD9">
        <w:rPr>
          <w:rFonts w:eastAsia="Arial"/>
          <w:spacing w:val="-6"/>
          <w:sz w:val="16"/>
        </w:rPr>
        <w:t xml:space="preserve"> </w:t>
      </w:r>
      <w:r w:rsidRPr="00BB0DD9">
        <w:rPr>
          <w:rFonts w:eastAsia="Arial"/>
          <w:spacing w:val="-1"/>
          <w:sz w:val="16"/>
        </w:rPr>
        <w:t>defined</w:t>
      </w:r>
      <w:r w:rsidRPr="00BB0DD9">
        <w:rPr>
          <w:rFonts w:eastAsia="Arial"/>
          <w:spacing w:val="-6"/>
          <w:sz w:val="16"/>
        </w:rPr>
        <w:t xml:space="preserve"> </w:t>
      </w:r>
      <w:r w:rsidRPr="00BB0DD9">
        <w:rPr>
          <w:rFonts w:eastAsia="Arial"/>
          <w:spacing w:val="-1"/>
          <w:sz w:val="16"/>
        </w:rPr>
        <w:t>as</w:t>
      </w:r>
      <w:r w:rsidRPr="00BB0DD9">
        <w:rPr>
          <w:rFonts w:eastAsia="Arial"/>
          <w:spacing w:val="-4"/>
          <w:sz w:val="16"/>
        </w:rPr>
        <w:t xml:space="preserve"> </w:t>
      </w:r>
      <w:r w:rsidRPr="00BB0DD9">
        <w:rPr>
          <w:rFonts w:eastAsia="Arial"/>
          <w:spacing w:val="-1"/>
          <w:sz w:val="16"/>
        </w:rPr>
        <w:t>schools</w:t>
      </w:r>
      <w:r w:rsidRPr="00BB0DD9">
        <w:rPr>
          <w:rFonts w:eastAsia="Arial"/>
          <w:spacing w:val="-4"/>
          <w:sz w:val="16"/>
        </w:rPr>
        <w:t xml:space="preserve"> </w:t>
      </w:r>
      <w:r w:rsidRPr="00BB0DD9">
        <w:rPr>
          <w:rFonts w:eastAsia="Arial"/>
          <w:sz w:val="16"/>
        </w:rPr>
        <w:t>in</w:t>
      </w:r>
      <w:r w:rsidRPr="00BB0DD9">
        <w:rPr>
          <w:rFonts w:eastAsia="Arial"/>
          <w:spacing w:val="-7"/>
          <w:sz w:val="16"/>
        </w:rPr>
        <w:t xml:space="preserve"> </w:t>
      </w:r>
      <w:r w:rsidRPr="00BB0DD9">
        <w:rPr>
          <w:rFonts w:eastAsia="Arial"/>
          <w:spacing w:val="-2"/>
          <w:sz w:val="16"/>
        </w:rPr>
        <w:t>which</w:t>
      </w:r>
      <w:r w:rsidRPr="00BB0DD9">
        <w:rPr>
          <w:rFonts w:eastAsia="Arial"/>
          <w:spacing w:val="-4"/>
          <w:sz w:val="16"/>
        </w:rPr>
        <w:t xml:space="preserve"> </w:t>
      </w:r>
      <w:r w:rsidRPr="00BB0DD9">
        <w:rPr>
          <w:rFonts w:eastAsia="Arial"/>
          <w:spacing w:val="-1"/>
          <w:sz w:val="16"/>
        </w:rPr>
        <w:t>the</w:t>
      </w:r>
      <w:r w:rsidRPr="00BB0DD9">
        <w:rPr>
          <w:rFonts w:eastAsia="Arial"/>
          <w:spacing w:val="-6"/>
          <w:sz w:val="16"/>
        </w:rPr>
        <w:t xml:space="preserve"> </w:t>
      </w:r>
      <w:r w:rsidRPr="00BB0DD9">
        <w:rPr>
          <w:rFonts w:eastAsia="Arial"/>
          <w:spacing w:val="-2"/>
          <w:sz w:val="16"/>
        </w:rPr>
        <w:t>lowest</w:t>
      </w:r>
      <w:r w:rsidRPr="00BB0DD9">
        <w:rPr>
          <w:rFonts w:eastAsia="Arial"/>
          <w:spacing w:val="-4"/>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is</w:t>
      </w:r>
      <w:r w:rsidRPr="00BB0DD9">
        <w:rPr>
          <w:rFonts w:eastAsia="Arial"/>
          <w:spacing w:val="-5"/>
          <w:sz w:val="16"/>
        </w:rPr>
        <w:t xml:space="preserve"> </w:t>
      </w:r>
      <w:r w:rsidRPr="00BB0DD9">
        <w:rPr>
          <w:rFonts w:eastAsia="Arial"/>
          <w:spacing w:val="-2"/>
          <w:sz w:val="16"/>
        </w:rPr>
        <w:t>not</w:t>
      </w:r>
      <w:r w:rsidRPr="00BB0DD9">
        <w:rPr>
          <w:rFonts w:eastAsia="Arial"/>
          <w:spacing w:val="-5"/>
          <w:sz w:val="16"/>
        </w:rPr>
        <w:t xml:space="preserve"> </w:t>
      </w:r>
      <w:r w:rsidRPr="00BB0DD9">
        <w:rPr>
          <w:rFonts w:eastAsia="Arial"/>
          <w:spacing w:val="-2"/>
          <w:sz w:val="16"/>
        </w:rPr>
        <w:t>lower</w:t>
      </w:r>
      <w:r w:rsidRPr="00BB0DD9">
        <w:rPr>
          <w:rFonts w:eastAsia="Arial"/>
          <w:spacing w:val="-4"/>
          <w:sz w:val="16"/>
        </w:rPr>
        <w:t xml:space="preserve"> </w:t>
      </w:r>
      <w:r w:rsidRPr="00BB0DD9">
        <w:rPr>
          <w:rFonts w:eastAsia="Arial"/>
          <w:spacing w:val="-2"/>
          <w:sz w:val="16"/>
        </w:rPr>
        <w:t>than</w:t>
      </w:r>
      <w:r w:rsidRPr="00BB0DD9">
        <w:rPr>
          <w:spacing w:val="-6"/>
          <w:sz w:val="16"/>
        </w:rPr>
        <w:t xml:space="preserve"> </w:t>
      </w:r>
      <w:r w:rsidRPr="00BB0DD9">
        <w:rPr>
          <w:rFonts w:eastAsia="Arial"/>
          <w:spacing w:val="-2"/>
          <w:sz w:val="16"/>
        </w:rPr>
        <w:t>grade</w:t>
      </w:r>
      <w:r w:rsidRPr="00BB0DD9">
        <w:rPr>
          <w:rFonts w:eastAsia="Arial"/>
          <w:spacing w:val="-7"/>
          <w:sz w:val="16"/>
        </w:rPr>
        <w:t xml:space="preserve"> </w:t>
      </w:r>
      <w:r w:rsidRPr="00BB0DD9">
        <w:rPr>
          <w:rFonts w:eastAsia="Arial"/>
          <w:sz w:val="16"/>
        </w:rPr>
        <w:t>9</w:t>
      </w:r>
      <w:r w:rsidRPr="00BB0DD9">
        <w:rPr>
          <w:rFonts w:eastAsia="Arial"/>
          <w:spacing w:val="-7"/>
          <w:sz w:val="16"/>
        </w:rPr>
        <w:t xml:space="preserve"> </w:t>
      </w:r>
      <w:r w:rsidRPr="00BB0DD9">
        <w:rPr>
          <w:rFonts w:eastAsia="Arial"/>
          <w:spacing w:val="-2"/>
          <w:sz w:val="16"/>
        </w:rPr>
        <w:t>and</w:t>
      </w:r>
      <w:r w:rsidRPr="00BB0DD9">
        <w:rPr>
          <w:rFonts w:eastAsia="Arial"/>
          <w:spacing w:val="-6"/>
          <w:sz w:val="16"/>
        </w:rPr>
        <w:t xml:space="preserve"> </w:t>
      </w:r>
      <w:r w:rsidRPr="00BB0DD9">
        <w:rPr>
          <w:rFonts w:eastAsia="Arial"/>
          <w:spacing w:val="-1"/>
          <w:sz w:val="16"/>
        </w:rPr>
        <w:t>the</w:t>
      </w:r>
      <w:r w:rsidRPr="00BB0DD9">
        <w:rPr>
          <w:rFonts w:eastAsia="Arial"/>
          <w:spacing w:val="-7"/>
          <w:sz w:val="16"/>
        </w:rPr>
        <w:t xml:space="preserve"> </w:t>
      </w:r>
      <w:r w:rsidRPr="00BB0DD9">
        <w:rPr>
          <w:rFonts w:eastAsia="Arial"/>
          <w:spacing w:val="-2"/>
          <w:sz w:val="16"/>
        </w:rPr>
        <w:t>highest</w:t>
      </w:r>
      <w:r w:rsidRPr="00BB0DD9">
        <w:rPr>
          <w:rFonts w:eastAsia="Arial"/>
          <w:spacing w:val="-5"/>
          <w:sz w:val="16"/>
        </w:rPr>
        <w:t xml:space="preserve"> </w:t>
      </w:r>
      <w:r w:rsidRPr="00BB0DD9">
        <w:rPr>
          <w:rFonts w:eastAsia="Arial"/>
          <w:spacing w:val="-2"/>
          <w:sz w:val="16"/>
        </w:rPr>
        <w:t>grade</w:t>
      </w:r>
      <w:r w:rsidRPr="00BB0DD9">
        <w:rPr>
          <w:rFonts w:eastAsia="Arial"/>
          <w:spacing w:val="-6"/>
          <w:sz w:val="16"/>
        </w:rPr>
        <w:t xml:space="preserve"> </w:t>
      </w:r>
      <w:r w:rsidRPr="00BB0DD9">
        <w:rPr>
          <w:rFonts w:eastAsia="Arial"/>
          <w:sz w:val="16"/>
        </w:rPr>
        <w:t>is</w:t>
      </w:r>
      <w:r w:rsidRPr="00BB0DD9">
        <w:rPr>
          <w:rFonts w:eastAsia="Arial"/>
          <w:spacing w:val="-5"/>
          <w:sz w:val="16"/>
        </w:rPr>
        <w:t xml:space="preserve"> </w:t>
      </w:r>
      <w:r w:rsidRPr="00BB0DD9">
        <w:rPr>
          <w:rFonts w:eastAsia="Arial"/>
          <w:spacing w:val="-2"/>
          <w:sz w:val="16"/>
        </w:rPr>
        <w:t>not</w:t>
      </w:r>
      <w:r w:rsidRPr="00BB0DD9">
        <w:rPr>
          <w:rFonts w:eastAsia="Arial"/>
          <w:spacing w:val="-6"/>
          <w:sz w:val="16"/>
        </w:rPr>
        <w:t xml:space="preserve"> </w:t>
      </w:r>
      <w:r w:rsidRPr="00BB0DD9">
        <w:rPr>
          <w:rFonts w:eastAsia="Arial"/>
          <w:spacing w:val="-2"/>
          <w:sz w:val="16"/>
        </w:rPr>
        <w:t>higher</w:t>
      </w:r>
      <w:r w:rsidRPr="00BB0DD9">
        <w:rPr>
          <w:rFonts w:eastAsia="Arial"/>
          <w:spacing w:val="-5"/>
          <w:sz w:val="16"/>
        </w:rPr>
        <w:t xml:space="preserve"> </w:t>
      </w:r>
      <w:r w:rsidRPr="00BB0DD9">
        <w:rPr>
          <w:rFonts w:eastAsia="Arial"/>
          <w:spacing w:val="-2"/>
          <w:sz w:val="16"/>
        </w:rPr>
        <w:t>than</w:t>
      </w:r>
      <w:r w:rsidRPr="00BB0DD9">
        <w:rPr>
          <w:rFonts w:eastAsia="Arial"/>
          <w:spacing w:val="-6"/>
          <w:sz w:val="16"/>
        </w:rPr>
        <w:t xml:space="preserve"> </w:t>
      </w:r>
      <w:r w:rsidRPr="00BB0DD9">
        <w:rPr>
          <w:rFonts w:eastAsia="Arial"/>
          <w:spacing w:val="-2"/>
          <w:sz w:val="16"/>
        </w:rPr>
        <w:t>grade</w:t>
      </w:r>
      <w:r w:rsidRPr="00BB0DD9">
        <w:rPr>
          <w:rFonts w:eastAsia="Arial"/>
          <w:spacing w:val="-7"/>
          <w:sz w:val="16"/>
        </w:rPr>
        <w:t xml:space="preserve"> </w:t>
      </w:r>
      <w:r w:rsidRPr="00BB0DD9">
        <w:rPr>
          <w:rFonts w:eastAsia="Arial"/>
          <w:spacing w:val="-2"/>
          <w:sz w:val="16"/>
        </w:rPr>
        <w:t>12.</w:t>
      </w:r>
      <w:r w:rsidRPr="00BB0DD9">
        <w:rPr>
          <w:rFonts w:eastAsia="Arial"/>
          <w:spacing w:val="-6"/>
          <w:sz w:val="16"/>
        </w:rPr>
        <w:t xml:space="preserve"> </w:t>
      </w:r>
      <w:r w:rsidRPr="00BB0DD9">
        <w:rPr>
          <w:rFonts w:eastAsia="Arial"/>
          <w:spacing w:val="-1"/>
          <w:sz w:val="16"/>
        </w:rPr>
        <w:t>Combined</w:t>
      </w:r>
      <w:r w:rsidRPr="00BB0DD9">
        <w:rPr>
          <w:rFonts w:eastAsia="Arial"/>
          <w:spacing w:val="-6"/>
          <w:sz w:val="16"/>
        </w:rPr>
        <w:t xml:space="preserve"> </w:t>
      </w:r>
      <w:r w:rsidRPr="00BB0DD9">
        <w:rPr>
          <w:rFonts w:eastAsia="Arial"/>
          <w:spacing w:val="-1"/>
          <w:sz w:val="16"/>
        </w:rPr>
        <w:t>schools</w:t>
      </w:r>
      <w:r w:rsidRPr="00BB0DD9">
        <w:rPr>
          <w:rFonts w:eastAsia="Arial"/>
          <w:spacing w:val="-5"/>
          <w:sz w:val="16"/>
        </w:rPr>
        <w:t xml:space="preserve"> </w:t>
      </w:r>
      <w:r w:rsidRPr="00BB0DD9">
        <w:rPr>
          <w:rFonts w:eastAsia="Arial"/>
          <w:spacing w:val="-1"/>
          <w:sz w:val="16"/>
        </w:rPr>
        <w:t>include</w:t>
      </w:r>
      <w:r w:rsidRPr="00BB0DD9">
        <w:rPr>
          <w:rFonts w:eastAsia="Arial"/>
          <w:spacing w:val="-7"/>
          <w:sz w:val="16"/>
        </w:rPr>
        <w:t xml:space="preserve"> </w:t>
      </w:r>
      <w:r w:rsidRPr="00BB0DD9">
        <w:rPr>
          <w:rFonts w:eastAsia="Arial"/>
          <w:spacing w:val="-1"/>
          <w:sz w:val="16"/>
        </w:rPr>
        <w:t>all</w:t>
      </w:r>
      <w:r w:rsidRPr="00BB0DD9">
        <w:rPr>
          <w:rFonts w:eastAsia="Arial"/>
          <w:spacing w:val="-5"/>
          <w:sz w:val="16"/>
        </w:rPr>
        <w:t xml:space="preserve"> </w:t>
      </w:r>
      <w:r w:rsidRPr="00BB0DD9">
        <w:rPr>
          <w:rFonts w:eastAsia="Arial"/>
          <w:spacing w:val="-2"/>
          <w:sz w:val="16"/>
        </w:rPr>
        <w:t>other</w:t>
      </w:r>
      <w:r w:rsidRPr="00BB0DD9">
        <w:rPr>
          <w:rFonts w:eastAsia="Arial"/>
          <w:spacing w:val="-5"/>
          <w:sz w:val="16"/>
        </w:rPr>
        <w:t xml:space="preserve"> </w:t>
      </w:r>
      <w:r w:rsidRPr="00BB0DD9">
        <w:rPr>
          <w:rFonts w:eastAsia="Arial"/>
          <w:spacing w:val="-2"/>
          <w:sz w:val="16"/>
        </w:rPr>
        <w:t>combinations</w:t>
      </w:r>
      <w:r w:rsidRPr="00BB0DD9">
        <w:rPr>
          <w:rFonts w:eastAsia="Arial"/>
          <w:spacing w:val="-4"/>
          <w:sz w:val="16"/>
        </w:rPr>
        <w:t xml:space="preserve"> </w:t>
      </w:r>
      <w:r w:rsidRPr="00BB0DD9">
        <w:rPr>
          <w:rFonts w:eastAsia="Arial"/>
          <w:spacing w:val="-1"/>
          <w:sz w:val="16"/>
        </w:rPr>
        <w:t>of</w:t>
      </w:r>
      <w:r w:rsidRPr="00BB0DD9">
        <w:rPr>
          <w:rFonts w:eastAsia="Arial"/>
          <w:spacing w:val="-4"/>
          <w:sz w:val="16"/>
        </w:rPr>
        <w:t xml:space="preserve"> </w:t>
      </w:r>
      <w:r w:rsidRPr="00BB0DD9">
        <w:rPr>
          <w:rFonts w:eastAsia="Arial"/>
          <w:spacing w:val="-2"/>
          <w:sz w:val="16"/>
        </w:rPr>
        <w:t>grades,</w:t>
      </w:r>
      <w:r w:rsidRPr="00BB0DD9">
        <w:rPr>
          <w:spacing w:val="-6"/>
          <w:sz w:val="16"/>
        </w:rPr>
        <w:t xml:space="preserve"> </w:t>
      </w:r>
      <w:r w:rsidRPr="00BB0DD9">
        <w:rPr>
          <w:rFonts w:eastAsia="Arial"/>
          <w:spacing w:val="-1"/>
          <w:sz w:val="16"/>
        </w:rPr>
        <w:t>including</w:t>
      </w:r>
      <w:r w:rsidRPr="00BB0DD9">
        <w:rPr>
          <w:rFonts w:eastAsia="Arial"/>
          <w:spacing w:val="-11"/>
          <w:sz w:val="16"/>
        </w:rPr>
        <w:t xml:space="preserve"> </w:t>
      </w:r>
      <w:r w:rsidRPr="00BB0DD9">
        <w:rPr>
          <w:rFonts w:eastAsia="Arial"/>
          <w:spacing w:val="-2"/>
          <w:sz w:val="16"/>
        </w:rPr>
        <w:t>K–12</w:t>
      </w:r>
      <w:r w:rsidRPr="00BB0DD9">
        <w:rPr>
          <w:rFonts w:eastAsia="Arial"/>
          <w:spacing w:val="-10"/>
          <w:sz w:val="16"/>
        </w:rPr>
        <w:t xml:space="preserve"> </w:t>
      </w:r>
      <w:r w:rsidRPr="00BB0DD9">
        <w:rPr>
          <w:rFonts w:eastAsia="Arial"/>
          <w:spacing w:val="-2"/>
          <w:sz w:val="16"/>
        </w:rPr>
        <w:t>schools.</w:t>
      </w:r>
      <w:r w:rsidRPr="00BB0DD9" w:rsidR="008E4DB1">
        <w:rPr>
          <w:rFonts w:eastAsia="Arial"/>
          <w:spacing w:val="-2"/>
          <w:sz w:val="16"/>
        </w:rPr>
        <w:t xml:space="preserve"> (Note that </w:t>
      </w:r>
      <w:r w:rsidRPr="00BB0DD9" w:rsidR="00CD48BF">
        <w:rPr>
          <w:rFonts w:eastAsia="Arial"/>
          <w:spacing w:val="-2"/>
          <w:sz w:val="16"/>
        </w:rPr>
        <w:t>the school level categories were changed for the 2019-20 cycle.)</w:t>
      </w:r>
    </w:p>
    <w:p w:rsidRPr="00BB0DD9" w:rsidR="00EF2F18" w:rsidP="00EF2F18" w:rsidRDefault="00EF2F18" w14:paraId="0BACE9D1" w14:textId="77777777">
      <w:pPr>
        <w:spacing w:line="187" w:lineRule="exact"/>
        <w:ind w:left="141" w:right="684" w:hanging="8"/>
        <w:rPr>
          <w:rFonts w:eastAsia="Arial"/>
        </w:rPr>
      </w:pPr>
      <w:r w:rsidRPr="00BB0DD9">
        <w:rPr>
          <w:rFonts w:eastAsia="Arial"/>
          <w:spacing w:val="-1"/>
          <w:sz w:val="16"/>
        </w:rPr>
        <w:t>SOURCE:</w:t>
      </w:r>
      <w:r w:rsidRPr="00BB0DD9">
        <w:rPr>
          <w:rFonts w:eastAsia="Arial"/>
          <w:spacing w:val="-7"/>
          <w:sz w:val="16"/>
        </w:rPr>
        <w:t xml:space="preserve"> </w:t>
      </w:r>
      <w:r w:rsidRPr="00BB0DD9">
        <w:rPr>
          <w:rFonts w:eastAsia="Arial"/>
          <w:spacing w:val="-1"/>
          <w:sz w:val="16"/>
        </w:rPr>
        <w:t>U.S.</w:t>
      </w:r>
      <w:r w:rsidRPr="00BB0DD9">
        <w:rPr>
          <w:rFonts w:eastAsia="Arial"/>
          <w:spacing w:val="-7"/>
          <w:sz w:val="16"/>
        </w:rPr>
        <w:t xml:space="preserve"> </w:t>
      </w:r>
      <w:r w:rsidRPr="00BB0DD9">
        <w:rPr>
          <w:rFonts w:eastAsia="Arial"/>
          <w:spacing w:val="-2"/>
          <w:sz w:val="16"/>
        </w:rPr>
        <w:t>Department</w:t>
      </w:r>
      <w:r w:rsidRPr="00BB0DD9">
        <w:rPr>
          <w:rFonts w:eastAsia="Arial"/>
          <w:spacing w:val="-7"/>
          <w:sz w:val="16"/>
        </w:rPr>
        <w:t xml:space="preserve"> </w:t>
      </w:r>
      <w:r w:rsidRPr="00BB0DD9">
        <w:rPr>
          <w:rFonts w:eastAsia="Arial"/>
          <w:spacing w:val="-1"/>
          <w:sz w:val="16"/>
        </w:rPr>
        <w:t>of</w:t>
      </w:r>
      <w:r w:rsidRPr="00BB0DD9">
        <w:rPr>
          <w:rFonts w:eastAsia="Arial"/>
          <w:spacing w:val="-5"/>
          <w:sz w:val="16"/>
        </w:rPr>
        <w:t xml:space="preserve"> </w:t>
      </w:r>
      <w:r w:rsidRPr="00BB0DD9">
        <w:rPr>
          <w:rFonts w:eastAsia="Arial"/>
          <w:spacing w:val="-2"/>
          <w:sz w:val="16"/>
        </w:rPr>
        <w:t>Education,</w:t>
      </w:r>
      <w:r w:rsidRPr="00BB0DD9">
        <w:rPr>
          <w:rFonts w:eastAsia="Arial"/>
          <w:spacing w:val="-7"/>
          <w:sz w:val="16"/>
        </w:rPr>
        <w:t xml:space="preserve"> </w:t>
      </w:r>
      <w:r w:rsidRPr="00BB0DD9">
        <w:rPr>
          <w:rFonts w:eastAsia="Arial"/>
          <w:spacing w:val="-2"/>
          <w:sz w:val="16"/>
        </w:rPr>
        <w:t>National</w:t>
      </w:r>
      <w:r w:rsidRPr="00BB0DD9">
        <w:rPr>
          <w:rFonts w:eastAsia="Arial"/>
          <w:spacing w:val="-6"/>
          <w:sz w:val="16"/>
        </w:rPr>
        <w:t xml:space="preserve"> </w:t>
      </w:r>
      <w:r w:rsidRPr="00BB0DD9">
        <w:rPr>
          <w:rFonts w:eastAsia="Arial"/>
          <w:spacing w:val="-2"/>
          <w:sz w:val="16"/>
        </w:rPr>
        <w:t>Center</w:t>
      </w:r>
      <w:r w:rsidRPr="00BB0DD9">
        <w:rPr>
          <w:rFonts w:eastAsia="Arial"/>
          <w:spacing w:val="-6"/>
          <w:sz w:val="16"/>
        </w:rPr>
        <w:t xml:space="preserve"> </w:t>
      </w:r>
      <w:r w:rsidRPr="00BB0DD9">
        <w:rPr>
          <w:rFonts w:eastAsia="Arial"/>
          <w:spacing w:val="-1"/>
          <w:sz w:val="16"/>
        </w:rPr>
        <w:t>for</w:t>
      </w:r>
      <w:r w:rsidRPr="00BB0DD9">
        <w:rPr>
          <w:rFonts w:eastAsia="Arial"/>
          <w:spacing w:val="-7"/>
          <w:sz w:val="16"/>
        </w:rPr>
        <w:t xml:space="preserve"> </w:t>
      </w:r>
      <w:r w:rsidRPr="00BB0DD9">
        <w:rPr>
          <w:rFonts w:eastAsia="Arial"/>
          <w:spacing w:val="-2"/>
          <w:sz w:val="16"/>
        </w:rPr>
        <w:t>Education</w:t>
      </w:r>
      <w:r w:rsidRPr="00BB0DD9">
        <w:rPr>
          <w:rFonts w:eastAsia="Arial"/>
          <w:spacing w:val="-7"/>
          <w:sz w:val="16"/>
        </w:rPr>
        <w:t xml:space="preserve"> </w:t>
      </w:r>
      <w:r w:rsidRPr="00BB0DD9">
        <w:rPr>
          <w:rFonts w:eastAsia="Arial"/>
          <w:spacing w:val="-1"/>
          <w:sz w:val="16"/>
        </w:rPr>
        <w:t>Statistics,</w:t>
      </w:r>
      <w:r w:rsidRPr="00BB0DD9">
        <w:rPr>
          <w:rFonts w:eastAsia="Arial"/>
          <w:spacing w:val="-5"/>
          <w:sz w:val="16"/>
        </w:rPr>
        <w:t xml:space="preserve"> </w:t>
      </w:r>
      <w:r w:rsidRPr="00BB0DD9">
        <w:rPr>
          <w:rFonts w:eastAsia="Arial"/>
          <w:spacing w:val="-2"/>
          <w:sz w:val="16"/>
        </w:rPr>
        <w:t>2017–18</w:t>
      </w:r>
      <w:r w:rsidRPr="00BB0DD9">
        <w:rPr>
          <w:rFonts w:eastAsia="Arial"/>
          <w:spacing w:val="-7"/>
          <w:sz w:val="16"/>
        </w:rPr>
        <w:t xml:space="preserve"> </w:t>
      </w:r>
      <w:r w:rsidRPr="00BB0DD9">
        <w:rPr>
          <w:rFonts w:eastAsia="Arial"/>
          <w:spacing w:val="-2"/>
          <w:sz w:val="16"/>
        </w:rPr>
        <w:t>School</w:t>
      </w:r>
      <w:r w:rsidRPr="00BB0DD9">
        <w:rPr>
          <w:rFonts w:eastAsia="Arial"/>
          <w:spacing w:val="-6"/>
          <w:sz w:val="16"/>
        </w:rPr>
        <w:t xml:space="preserve"> </w:t>
      </w:r>
      <w:r w:rsidRPr="00BB0DD9">
        <w:rPr>
          <w:rFonts w:eastAsia="Arial"/>
          <w:spacing w:val="-1"/>
          <w:sz w:val="16"/>
        </w:rPr>
        <w:t>Survey</w:t>
      </w:r>
      <w:r w:rsidRPr="00BB0DD9">
        <w:rPr>
          <w:rFonts w:eastAsia="Arial"/>
          <w:spacing w:val="-11"/>
          <w:sz w:val="16"/>
        </w:rPr>
        <w:t xml:space="preserve"> </w:t>
      </w:r>
      <w:r w:rsidRPr="00BB0DD9">
        <w:rPr>
          <w:rFonts w:eastAsia="Arial"/>
          <w:spacing w:val="-1"/>
          <w:sz w:val="16"/>
        </w:rPr>
        <w:t>on</w:t>
      </w:r>
      <w:r w:rsidRPr="00BB0DD9">
        <w:rPr>
          <w:rFonts w:eastAsia="Arial"/>
          <w:spacing w:val="-8"/>
          <w:sz w:val="16"/>
        </w:rPr>
        <w:t xml:space="preserve"> </w:t>
      </w:r>
      <w:r w:rsidRPr="00BB0DD9">
        <w:rPr>
          <w:rFonts w:eastAsia="Arial"/>
          <w:sz w:val="16"/>
        </w:rPr>
        <w:t>Crime</w:t>
      </w:r>
      <w:r w:rsidRPr="00BB0DD9">
        <w:rPr>
          <w:rFonts w:eastAsia="Arial"/>
          <w:spacing w:val="-8"/>
          <w:sz w:val="16"/>
        </w:rPr>
        <w:t xml:space="preserve"> </w:t>
      </w:r>
      <w:r w:rsidRPr="00BB0DD9">
        <w:rPr>
          <w:rFonts w:eastAsia="Arial"/>
          <w:spacing w:val="-2"/>
          <w:sz w:val="16"/>
        </w:rPr>
        <w:t>and</w:t>
      </w:r>
      <w:r w:rsidRPr="00BB0DD9">
        <w:rPr>
          <w:spacing w:val="-6"/>
          <w:sz w:val="16"/>
        </w:rPr>
        <w:t xml:space="preserve"> </w:t>
      </w:r>
      <w:r w:rsidRPr="00BB0DD9">
        <w:rPr>
          <w:rFonts w:eastAsia="Arial"/>
          <w:spacing w:val="-1"/>
          <w:sz w:val="16"/>
        </w:rPr>
        <w:t>Safety</w:t>
      </w:r>
      <w:r w:rsidRPr="00BB0DD9">
        <w:rPr>
          <w:rFonts w:eastAsia="Arial"/>
          <w:spacing w:val="-21"/>
          <w:sz w:val="16"/>
        </w:rPr>
        <w:t xml:space="preserve"> </w:t>
      </w:r>
      <w:r w:rsidRPr="00BB0DD9">
        <w:rPr>
          <w:rFonts w:eastAsia="Arial"/>
          <w:spacing w:val="-1"/>
          <w:sz w:val="16"/>
        </w:rPr>
        <w:t>(SSOCS:2018).</w:t>
      </w:r>
    </w:p>
    <w:p w:rsidRPr="00BB0DD9" w:rsidR="00231CAF" w:rsidP="00231CAF" w:rsidRDefault="00231CAF" w14:paraId="42BAB4B4" w14:textId="77777777"/>
    <w:p w:rsidRPr="00BB0DD9" w:rsidR="00AA7A29" w:rsidP="00614D39" w:rsidRDefault="00354CF2" w14:paraId="38452414" w14:textId="7810CA01">
      <w:pPr>
        <w:pStyle w:val="Heading2"/>
        <w:jc w:val="left"/>
      </w:pPr>
      <w:bookmarkStart w:name="_Toc45701387" w:id="10"/>
      <w:bookmarkStart w:name="_Toc411895532" w:id="11"/>
      <w:bookmarkStart w:name="_Toc3478474" w:id="12"/>
      <w:bookmarkEnd w:id="6"/>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0"/>
      <w:bookmarkEnd w:id="11"/>
      <w:bookmarkEnd w:id="12"/>
    </w:p>
    <w:p w:rsidRPr="00BB0DD9" w:rsidR="007C6F40" w:rsidP="00E103F7" w:rsidRDefault="002F6285" w14:paraId="4F85D979" w14:textId="5EE5F0B4">
      <w:pPr>
        <w:pStyle w:val="SL-FlLftSgl"/>
        <w:spacing w:after="120" w:line="240" w:lineRule="auto"/>
        <w:jc w:val="left"/>
        <w:rPr>
          <w:sz w:val="24"/>
          <w:szCs w:val="24"/>
        </w:rPr>
      </w:pPr>
      <w:r w:rsidRPr="00BB0DD9">
        <w:rPr>
          <w:sz w:val="24"/>
          <w:szCs w:val="24"/>
        </w:rPr>
        <w:t xml:space="preserve">The data collection methods </w:t>
      </w:r>
      <w:r w:rsidRPr="00BB0DD9" w:rsidR="006C78F6">
        <w:rPr>
          <w:sz w:val="24"/>
          <w:szCs w:val="24"/>
        </w:rPr>
        <w:t xml:space="preserve">used in </w:t>
      </w:r>
      <w:r w:rsidRPr="00BB0DD9" w:rsidR="00EF2F18">
        <w:rPr>
          <w:sz w:val="24"/>
          <w:szCs w:val="24"/>
        </w:rPr>
        <w:t>SSOCS:20</w:t>
      </w:r>
      <w:r w:rsidRPr="00BB0DD9" w:rsidR="00997034">
        <w:rPr>
          <w:sz w:val="24"/>
          <w:szCs w:val="24"/>
        </w:rPr>
        <w:t>22</w:t>
      </w:r>
      <w:r w:rsidRPr="00BB0DD9" w:rsidR="00EF2F18">
        <w:rPr>
          <w:sz w:val="24"/>
          <w:szCs w:val="24"/>
        </w:rPr>
        <w:t xml:space="preserve"> </w:t>
      </w:r>
      <w:r w:rsidRPr="00BB0DD9" w:rsidR="004A2CE6">
        <w:rPr>
          <w:sz w:val="24"/>
          <w:szCs w:val="24"/>
        </w:rPr>
        <w:t>include</w:t>
      </w:r>
      <w:r w:rsidR="00447BDF">
        <w:rPr>
          <w:sz w:val="24"/>
          <w:szCs w:val="24"/>
        </w:rPr>
        <w:t xml:space="preserve"> </w:t>
      </w:r>
      <w:r w:rsidRPr="00BB0DD9" w:rsidR="004A2CE6">
        <w:rPr>
          <w:sz w:val="24"/>
          <w:szCs w:val="24"/>
        </w:rPr>
        <w:t>web-based survey</w:t>
      </w:r>
      <w:r w:rsidRPr="00BB0DD9" w:rsidR="00AA7A29">
        <w:rPr>
          <w:sz w:val="24"/>
          <w:szCs w:val="24"/>
        </w:rPr>
        <w:t xml:space="preserve"> </w:t>
      </w:r>
      <w:r w:rsidR="00C67522">
        <w:rPr>
          <w:sz w:val="24"/>
          <w:szCs w:val="24"/>
        </w:rPr>
        <w:t xml:space="preserve">and mail survey </w:t>
      </w:r>
      <w:r w:rsidRPr="00BB0DD9" w:rsidR="00AA7A29">
        <w:rPr>
          <w:sz w:val="24"/>
          <w:szCs w:val="24"/>
        </w:rPr>
        <w:t xml:space="preserve">with intensive </w:t>
      </w:r>
      <w:r w:rsidRPr="00BB0DD9" w:rsidR="00487871">
        <w:rPr>
          <w:sz w:val="24"/>
          <w:szCs w:val="24"/>
        </w:rPr>
        <w:t xml:space="preserve">follow-up by both </w:t>
      </w:r>
      <w:r w:rsidRPr="00BB0DD9" w:rsidR="00AA7A29">
        <w:rPr>
          <w:sz w:val="24"/>
          <w:szCs w:val="24"/>
        </w:rPr>
        <w:t xml:space="preserve">phone </w:t>
      </w:r>
      <w:r w:rsidRPr="00BB0DD9" w:rsidR="00634443">
        <w:rPr>
          <w:sz w:val="24"/>
          <w:szCs w:val="24"/>
        </w:rPr>
        <w:t>and e</w:t>
      </w:r>
      <w:r w:rsidRPr="00BB0DD9" w:rsidR="00B00C2D">
        <w:rPr>
          <w:sz w:val="24"/>
          <w:szCs w:val="24"/>
        </w:rPr>
        <w:noBreakHyphen/>
      </w:r>
      <w:r w:rsidRPr="00BB0DD9" w:rsidR="00634443">
        <w:rPr>
          <w:sz w:val="24"/>
          <w:szCs w:val="24"/>
        </w:rPr>
        <w:t>mail</w:t>
      </w:r>
      <w:r w:rsidRPr="00BB0DD9" w:rsidR="00487871">
        <w:rPr>
          <w:sz w:val="24"/>
          <w:szCs w:val="24"/>
        </w:rPr>
        <w:t>.</w:t>
      </w:r>
      <w:r w:rsidRPr="00BB0DD9" w:rsidR="00473848">
        <w:rPr>
          <w:sz w:val="24"/>
          <w:szCs w:val="24"/>
        </w:rPr>
        <w:t xml:space="preserve"> </w:t>
      </w:r>
      <w:r w:rsidRPr="00BB0DD9" w:rsidR="00D63B35">
        <w:rPr>
          <w:sz w:val="24"/>
          <w:szCs w:val="24"/>
        </w:rPr>
        <w:t xml:space="preserve">The </w:t>
      </w:r>
      <w:r w:rsidRPr="00BB0DD9" w:rsidR="004502AC">
        <w:rPr>
          <w:sz w:val="24"/>
          <w:szCs w:val="24"/>
        </w:rPr>
        <w:t>methods are</w:t>
      </w:r>
      <w:r w:rsidRPr="00BB0DD9" w:rsidR="00634443">
        <w:rPr>
          <w:sz w:val="24"/>
          <w:szCs w:val="24"/>
        </w:rPr>
        <w:t xml:space="preserve"> </w:t>
      </w:r>
      <w:r w:rsidRPr="00BB0DD9" w:rsidR="007D2730">
        <w:rPr>
          <w:sz w:val="24"/>
          <w:szCs w:val="24"/>
        </w:rPr>
        <w:t>described in more detail in the following sections</w:t>
      </w:r>
      <w:r w:rsidRPr="00BB0DD9" w:rsidR="00AA7A29">
        <w:rPr>
          <w:sz w:val="24"/>
          <w:szCs w:val="24"/>
        </w:rPr>
        <w:t>.</w:t>
      </w:r>
    </w:p>
    <w:p w:rsidRPr="00BB0DD9" w:rsidR="00AA7A29" w:rsidP="001B301E" w:rsidRDefault="00AA7A29" w14:paraId="5CF4D85D" w14:textId="77777777">
      <w:pPr>
        <w:pStyle w:val="Heading3"/>
        <w:rPr>
          <w:bCs/>
        </w:rPr>
      </w:pPr>
      <w:r w:rsidRPr="00BB0DD9">
        <w:t>Steps in the Data Collection Process</w:t>
      </w:r>
    </w:p>
    <w:p w:rsidRPr="00BB0DD9" w:rsidR="00A4532F" w:rsidP="00BE6004" w:rsidRDefault="00AA7A29" w14:paraId="5CA2CAFF" w14:textId="36500507">
      <w:pPr>
        <w:pStyle w:val="SL-FlLftSgl"/>
        <w:widowControl w:val="0"/>
        <w:spacing w:after="120" w:line="240" w:lineRule="auto"/>
        <w:jc w:val="left"/>
        <w:rPr>
          <w:sz w:val="24"/>
          <w:szCs w:val="24"/>
        </w:rPr>
      </w:pPr>
      <w:r w:rsidRPr="00BB0DD9">
        <w:rPr>
          <w:sz w:val="24"/>
          <w:szCs w:val="24"/>
        </w:rPr>
        <w:t>The following is a description of the main tasks in the data collection process for SSOCS</w:t>
      </w:r>
      <w:r w:rsidRPr="00BB0DD9" w:rsidR="002E789F">
        <w:rPr>
          <w:sz w:val="24"/>
          <w:szCs w:val="24"/>
        </w:rPr>
        <w:t xml:space="preserve">. </w:t>
      </w:r>
      <w:r w:rsidRPr="00BB0DD9">
        <w:rPr>
          <w:sz w:val="24"/>
          <w:szCs w:val="24"/>
        </w:rPr>
        <w:t>These tasks include drawing the sample; identifying special</w:t>
      </w:r>
      <w:r w:rsidRPr="00BB0DD9" w:rsidR="00745F8D">
        <w:rPr>
          <w:sz w:val="24"/>
          <w:szCs w:val="24"/>
        </w:rPr>
        <w:t xml:space="preserve"> contact</w:t>
      </w:r>
      <w:r w:rsidRPr="00BB0DD9">
        <w:rPr>
          <w:sz w:val="24"/>
          <w:szCs w:val="24"/>
        </w:rPr>
        <w:t xml:space="preserve"> districts; mailing</w:t>
      </w:r>
      <w:r w:rsidRPr="00BB0DD9" w:rsidR="00540B9D">
        <w:rPr>
          <w:sz w:val="24"/>
          <w:szCs w:val="24"/>
        </w:rPr>
        <w:t xml:space="preserve"> </w:t>
      </w:r>
      <w:r w:rsidRPr="00BB0DD9" w:rsidR="00EF2F18">
        <w:rPr>
          <w:sz w:val="24"/>
          <w:szCs w:val="24"/>
        </w:rPr>
        <w:t xml:space="preserve">advance </w:t>
      </w:r>
      <w:r w:rsidRPr="00BB0DD9" w:rsidR="001202B9">
        <w:rPr>
          <w:sz w:val="24"/>
          <w:szCs w:val="24"/>
        </w:rPr>
        <w:t>letters</w:t>
      </w:r>
      <w:r w:rsidRPr="00BB0DD9">
        <w:rPr>
          <w:sz w:val="24"/>
          <w:szCs w:val="24"/>
        </w:rPr>
        <w:t xml:space="preserve"> to </w:t>
      </w:r>
      <w:r w:rsidRPr="00BB0DD9" w:rsidR="00133D17">
        <w:rPr>
          <w:sz w:val="24"/>
          <w:szCs w:val="24"/>
        </w:rPr>
        <w:t xml:space="preserve">school </w:t>
      </w:r>
      <w:r w:rsidRPr="00BB0DD9">
        <w:rPr>
          <w:sz w:val="24"/>
          <w:szCs w:val="24"/>
        </w:rPr>
        <w:t xml:space="preserve">district superintendents and </w:t>
      </w:r>
      <w:r w:rsidRPr="00BB0DD9" w:rsidR="00C67DFD">
        <w:rPr>
          <w:sz w:val="24"/>
          <w:szCs w:val="24"/>
        </w:rPr>
        <w:t>Chief State School Officers (</w:t>
      </w:r>
      <w:r w:rsidRPr="00BB0DD9" w:rsidR="00C316D6">
        <w:rPr>
          <w:sz w:val="24"/>
          <w:szCs w:val="24"/>
        </w:rPr>
        <w:t>CSSO</w:t>
      </w:r>
      <w:r w:rsidRPr="00BB0DD9" w:rsidR="00727FA5">
        <w:rPr>
          <w:sz w:val="24"/>
          <w:szCs w:val="24"/>
        </w:rPr>
        <w:t>s</w:t>
      </w:r>
      <w:r w:rsidRPr="00BB0DD9" w:rsidR="00C67DFD">
        <w:rPr>
          <w:sz w:val="24"/>
          <w:szCs w:val="24"/>
        </w:rPr>
        <w:t>)</w:t>
      </w:r>
      <w:r w:rsidRPr="00BB0DD9">
        <w:rPr>
          <w:sz w:val="24"/>
          <w:szCs w:val="24"/>
        </w:rPr>
        <w:t xml:space="preserve">; </w:t>
      </w:r>
      <w:r w:rsidRPr="00BB0DD9" w:rsidR="001202B9">
        <w:rPr>
          <w:sz w:val="24"/>
          <w:szCs w:val="24"/>
        </w:rPr>
        <w:t>mailing full package</w:t>
      </w:r>
      <w:r w:rsidR="00447BDF">
        <w:rPr>
          <w:sz w:val="24"/>
          <w:szCs w:val="24"/>
        </w:rPr>
        <w:t>s</w:t>
      </w:r>
      <w:r w:rsidRPr="00BB0DD9" w:rsidR="001202B9">
        <w:rPr>
          <w:sz w:val="24"/>
          <w:szCs w:val="24"/>
        </w:rPr>
        <w:t xml:space="preserve"> to principals; </w:t>
      </w:r>
      <w:r w:rsidRPr="00BB0DD9" w:rsidR="00085AE7">
        <w:rPr>
          <w:sz w:val="24"/>
          <w:szCs w:val="24"/>
        </w:rPr>
        <w:t xml:space="preserve">placing </w:t>
      </w:r>
      <w:r w:rsidRPr="00BB0DD9" w:rsidR="009842D3">
        <w:rPr>
          <w:sz w:val="24"/>
          <w:szCs w:val="24"/>
        </w:rPr>
        <w:t>reminder and</w:t>
      </w:r>
      <w:r w:rsidRPr="00BB0DD9">
        <w:rPr>
          <w:sz w:val="24"/>
          <w:szCs w:val="24"/>
        </w:rPr>
        <w:t xml:space="preserve"> foll</w:t>
      </w:r>
      <w:r w:rsidRPr="00BB0DD9" w:rsidR="000835F6">
        <w:rPr>
          <w:sz w:val="24"/>
          <w:szCs w:val="24"/>
        </w:rPr>
        <w:t>ow-up</w:t>
      </w:r>
      <w:r w:rsidRPr="00BB0DD9" w:rsidR="009842D3">
        <w:rPr>
          <w:sz w:val="24"/>
          <w:szCs w:val="24"/>
        </w:rPr>
        <w:t xml:space="preserve"> calls</w:t>
      </w:r>
      <w:r w:rsidRPr="00BB0DD9" w:rsidR="000835F6">
        <w:rPr>
          <w:sz w:val="24"/>
          <w:szCs w:val="24"/>
        </w:rPr>
        <w:t xml:space="preserve"> to nonresponding schools;</w:t>
      </w:r>
      <w:r w:rsidRPr="00BB0DD9" w:rsidR="009356CD">
        <w:rPr>
          <w:sz w:val="24"/>
          <w:szCs w:val="24"/>
        </w:rPr>
        <w:t xml:space="preserve"> and refusal </w:t>
      </w:r>
      <w:r w:rsidRPr="00BB0DD9">
        <w:rPr>
          <w:sz w:val="24"/>
          <w:szCs w:val="24"/>
        </w:rPr>
        <w:t>conversion efforts</w:t>
      </w:r>
      <w:r w:rsidRPr="00BB0DD9" w:rsidR="00487871">
        <w:rPr>
          <w:sz w:val="24"/>
          <w:szCs w:val="24"/>
        </w:rPr>
        <w:t xml:space="preserve"> </w:t>
      </w:r>
      <w:r w:rsidRPr="00BB0DD9" w:rsidR="009842D3">
        <w:rPr>
          <w:sz w:val="24"/>
          <w:szCs w:val="24"/>
        </w:rPr>
        <w:t>using</w:t>
      </w:r>
      <w:r w:rsidRPr="00BB0DD9" w:rsidR="00487871">
        <w:rPr>
          <w:sz w:val="24"/>
          <w:szCs w:val="24"/>
        </w:rPr>
        <w:t xml:space="preserve"> both mailings and e-mails</w:t>
      </w:r>
      <w:r w:rsidRPr="00BB0DD9" w:rsidR="007D2730">
        <w:rPr>
          <w:sz w:val="24"/>
          <w:szCs w:val="24"/>
        </w:rPr>
        <w:t>. All communication materials to potential respondents are designed for refusal aversion</w:t>
      </w:r>
      <w:r w:rsidRPr="00BB0DD9" w:rsidR="003B5EF3">
        <w:rPr>
          <w:sz w:val="24"/>
          <w:szCs w:val="24"/>
        </w:rPr>
        <w:t xml:space="preserve">. </w:t>
      </w:r>
      <w:bookmarkStart w:name="_Hlk3308620" w:id="13"/>
      <w:r w:rsidRPr="00BB0DD9" w:rsidR="003B5EF3">
        <w:rPr>
          <w:sz w:val="24"/>
          <w:szCs w:val="24"/>
        </w:rPr>
        <w:t>See appendix A for letters to superintendents, CSSOs, and principals, as well as postcards to schools in special contact districts and reminder e-mails to respondents</w:t>
      </w:r>
      <w:r w:rsidRPr="00BB0DD9" w:rsidR="00B97825">
        <w:rPr>
          <w:sz w:val="24"/>
          <w:szCs w:val="24"/>
        </w:rPr>
        <w:t xml:space="preserve">. </w:t>
      </w:r>
    </w:p>
    <w:bookmarkEnd w:id="13"/>
    <w:p w:rsidRPr="00BB0DD9" w:rsidR="007C6F40" w:rsidP="001B301E" w:rsidRDefault="00AA7A29" w14:paraId="562EE000" w14:textId="64E913A0">
      <w:pPr>
        <w:pStyle w:val="Heading3"/>
      </w:pPr>
      <w:r w:rsidRPr="00BB0DD9">
        <w:lastRenderedPageBreak/>
        <w:t>Drawing the Sample</w:t>
      </w:r>
    </w:p>
    <w:p w:rsidRPr="00BB0DD9" w:rsidR="00AA7A29" w:rsidP="00E103F7" w:rsidRDefault="00B643B9" w14:paraId="5F545410" w14:textId="08965256">
      <w:pPr>
        <w:spacing w:after="120"/>
      </w:pPr>
      <w:r w:rsidRPr="00BB0DD9">
        <w:t>T</w:t>
      </w:r>
      <w:r w:rsidRPr="00BB0DD9" w:rsidR="00AA7A29">
        <w:t xml:space="preserve">he sample of schools </w:t>
      </w:r>
      <w:r w:rsidRPr="00BB0DD9">
        <w:t xml:space="preserve">will be drawn </w:t>
      </w:r>
      <w:r w:rsidRPr="00BB0DD9" w:rsidR="00AA7A29">
        <w:t xml:space="preserve">in </w:t>
      </w:r>
      <w:r w:rsidRPr="00BB0DD9" w:rsidR="009842D3">
        <w:t xml:space="preserve">the </w:t>
      </w:r>
      <w:r w:rsidRPr="00BB0DD9" w:rsidR="00133D17">
        <w:t xml:space="preserve">summer </w:t>
      </w:r>
      <w:r w:rsidRPr="00BB0DD9" w:rsidR="00317C25">
        <w:t>preceding data collection</w:t>
      </w:r>
      <w:r w:rsidR="007C243D">
        <w:t xml:space="preserve"> (</w:t>
      </w:r>
      <w:r w:rsidR="00E43EC5">
        <w:t>S</w:t>
      </w:r>
      <w:r w:rsidR="007C243D">
        <w:t>ummer 2021)</w:t>
      </w:r>
      <w:r w:rsidRPr="00BB0DD9" w:rsidR="00C77362">
        <w:t xml:space="preserve"> </w:t>
      </w:r>
      <w:r w:rsidRPr="00BB0DD9" w:rsidR="00795391">
        <w:t xml:space="preserve">once the </w:t>
      </w:r>
      <w:r w:rsidRPr="00BB0DD9" w:rsidR="00133D17">
        <w:t xml:space="preserve">SSOCS </w:t>
      </w:r>
      <w:r w:rsidRPr="00BB0DD9" w:rsidR="00795391">
        <w:t>frame creation is complete</w:t>
      </w:r>
      <w:r w:rsidRPr="00BB0DD9" w:rsidR="00133D17">
        <w:t>.</w:t>
      </w:r>
      <w:r w:rsidRPr="00BB0DD9" w:rsidR="004A2CE6">
        <w:t xml:space="preserve"> </w:t>
      </w:r>
      <w:r w:rsidRPr="00BB0DD9" w:rsidR="008067EA">
        <w:t>However</w:t>
      </w:r>
      <w:r w:rsidRPr="00BB0DD9" w:rsidR="004A2CE6">
        <w:t xml:space="preserve">, </w:t>
      </w:r>
      <w:r w:rsidRPr="00BB0DD9" w:rsidR="008067EA">
        <w:t xml:space="preserve">since </w:t>
      </w:r>
      <w:r w:rsidRPr="00BB0DD9" w:rsidR="00D839C4">
        <w:t xml:space="preserve">many larger districts </w:t>
      </w:r>
      <w:r w:rsidRPr="00BB0DD9" w:rsidR="008067EA">
        <w:t xml:space="preserve">(known as “certainty” districts) </w:t>
      </w:r>
      <w:r w:rsidRPr="00BB0DD9" w:rsidR="00D839C4">
        <w:t xml:space="preserve">are always included in </w:t>
      </w:r>
      <w:r w:rsidRPr="00BB0DD9" w:rsidR="00EF4C0B">
        <w:t xml:space="preserve">the </w:t>
      </w:r>
      <w:r w:rsidRPr="00BB0DD9" w:rsidR="00D839C4">
        <w:t>various NCES sample surveys,</w:t>
      </w:r>
      <w:r w:rsidRPr="00BB0DD9" w:rsidR="008067EA">
        <w:t xml:space="preserve"> the</w:t>
      </w:r>
      <w:r w:rsidRPr="00BB0DD9" w:rsidR="00D839C4">
        <w:t xml:space="preserve"> </w:t>
      </w:r>
      <w:r w:rsidRPr="00BB0DD9" w:rsidR="004A2CE6">
        <w:t xml:space="preserve">preliminary research </w:t>
      </w:r>
      <w:r w:rsidRPr="00BB0DD9" w:rsidR="00D839C4">
        <w:t xml:space="preserve">and application development for these districts </w:t>
      </w:r>
      <w:r w:rsidRPr="00BB0DD9" w:rsidR="004A2CE6">
        <w:t>will begin</w:t>
      </w:r>
      <w:r w:rsidRPr="00BB0DD9" w:rsidR="00795391">
        <w:t xml:space="preserve"> </w:t>
      </w:r>
      <w:r w:rsidRPr="00BB0DD9" w:rsidR="00E10BF5">
        <w:t xml:space="preserve">in </w:t>
      </w:r>
      <w:r w:rsidR="00E43EC5">
        <w:t>S</w:t>
      </w:r>
      <w:r w:rsidRPr="00BB0DD9" w:rsidR="00133D17">
        <w:t>pring</w:t>
      </w:r>
      <w:r w:rsidR="00214C26">
        <w:t xml:space="preserve"> 2021</w:t>
      </w:r>
      <w:r w:rsidRPr="00BB0DD9" w:rsidR="009842D3">
        <w:t>, prior to sampling</w:t>
      </w:r>
      <w:r w:rsidRPr="00BB0DD9" w:rsidR="002E789F">
        <w:t xml:space="preserve">. </w:t>
      </w:r>
      <w:r w:rsidRPr="00BB0DD9" w:rsidR="00AA7A29">
        <w:t xml:space="preserve">This </w:t>
      </w:r>
      <w:r w:rsidRPr="00BB0DD9" w:rsidR="00955DD8">
        <w:t>will</w:t>
      </w:r>
      <w:r w:rsidRPr="00BB0DD9" w:rsidR="00AA7A29">
        <w:t xml:space="preserve"> ensure that these </w:t>
      </w:r>
      <w:r w:rsidRPr="00BB0DD9">
        <w:t>districts</w:t>
      </w:r>
      <w:r w:rsidRPr="00BB0DD9" w:rsidR="00AA7A29">
        <w:t xml:space="preserve"> have the necessary information to present to their </w:t>
      </w:r>
      <w:r w:rsidRPr="00BB0DD9" w:rsidR="00745F8D">
        <w:t xml:space="preserve">research </w:t>
      </w:r>
      <w:r w:rsidRPr="00BB0DD9" w:rsidR="00AA7A29">
        <w:t xml:space="preserve">approval board </w:t>
      </w:r>
      <w:r w:rsidRPr="00BB0DD9" w:rsidR="004A2CE6">
        <w:t>during their scheduled annual or bi-annual meeting</w:t>
      </w:r>
      <w:r w:rsidRPr="00BB0DD9" w:rsidR="00745F8D">
        <w:t>s</w:t>
      </w:r>
      <w:r w:rsidRPr="00BB0DD9" w:rsidR="00AA7A29">
        <w:t>.</w:t>
      </w:r>
      <w:r w:rsidRPr="00BB0DD9" w:rsidR="00D839C4">
        <w:t xml:space="preserve"> Additional special</w:t>
      </w:r>
      <w:r w:rsidRPr="00BB0DD9" w:rsidR="00745F8D">
        <w:t xml:space="preserve"> contact</w:t>
      </w:r>
      <w:r w:rsidRPr="00BB0DD9" w:rsidR="00D839C4">
        <w:t xml:space="preserve"> district outreach will occur once the sample is drawn for any remaining sampled districts </w:t>
      </w:r>
      <w:r w:rsidRPr="00BB0DD9" w:rsidR="00745F8D">
        <w:t xml:space="preserve">that </w:t>
      </w:r>
      <w:r w:rsidRPr="00BB0DD9" w:rsidR="00D839C4">
        <w:t>require approval.</w:t>
      </w:r>
    </w:p>
    <w:p w:rsidRPr="00BB0DD9" w:rsidR="004030F4" w:rsidP="001B301E" w:rsidRDefault="00AA7A29" w14:paraId="0D860240" w14:textId="77777777">
      <w:pPr>
        <w:pStyle w:val="Heading3"/>
      </w:pPr>
      <w:r w:rsidRPr="00BB0DD9">
        <w:t>Identifying Special</w:t>
      </w:r>
      <w:r w:rsidRPr="00BB0DD9" w:rsidR="00362B0B">
        <w:t xml:space="preserve"> Contact </w:t>
      </w:r>
      <w:r w:rsidRPr="00BB0DD9">
        <w:t>Districts and the Need for Research Applications</w:t>
      </w:r>
    </w:p>
    <w:p w:rsidRPr="00BB0DD9" w:rsidR="00FF6B05" w:rsidP="00E103F7" w:rsidRDefault="00FF6B05" w14:paraId="1D501F93" w14:textId="0C89621F">
      <w:pPr>
        <w:spacing w:after="120"/>
      </w:pPr>
      <w:r w:rsidRPr="00BB0DD9">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Pr="00BB0DD9" w:rsidR="00FF6B05" w:rsidP="00E103F7" w:rsidRDefault="00FF6B05" w14:paraId="25D80885" w14:textId="77777777">
      <w:pPr>
        <w:spacing w:after="120"/>
      </w:pPr>
      <w:r w:rsidRPr="00BB0DD9">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BB0DD9" w:rsidR="00FF6B05" w:rsidP="00E103F7" w:rsidRDefault="00FF6B05" w14:paraId="6BCBA00B" w14:textId="77777777">
      <w:pPr>
        <w:spacing w:after="120"/>
      </w:pPr>
      <w:r w:rsidRPr="00BB0DD9">
        <w:t>The following are examples of the type of information that will be gathered from each district’s website in order to prepare a research application for submission to this district:</w:t>
      </w:r>
    </w:p>
    <w:p w:rsidRPr="00BB0DD9" w:rsidR="00FF6B05" w:rsidP="003608A3" w:rsidRDefault="00FF6B05" w14:paraId="7DC7BC01" w14:textId="77777777">
      <w:pPr>
        <w:pStyle w:val="ListParagraph"/>
        <w:numPr>
          <w:ilvl w:val="0"/>
          <w:numId w:val="21"/>
        </w:numPr>
        <w:spacing w:after="120"/>
        <w:ind w:left="540" w:hanging="270"/>
        <w:contextualSpacing/>
      </w:pPr>
      <w:r w:rsidRPr="00BB0DD9">
        <w:t>Name and contact information for the district office or department that reviews applications to conduct external research, and the name and contact information of the person in charge of that office.</w:t>
      </w:r>
    </w:p>
    <w:p w:rsidRPr="00BB0DD9" w:rsidR="00FF6B05" w:rsidP="003608A3" w:rsidRDefault="00FF6B05" w14:paraId="728475DC" w14:textId="77777777">
      <w:pPr>
        <w:pStyle w:val="ListParagraph"/>
        <w:numPr>
          <w:ilvl w:val="0"/>
          <w:numId w:val="21"/>
        </w:numPr>
        <w:spacing w:after="120"/>
        <w:ind w:left="540" w:hanging="270"/>
        <w:contextualSpacing/>
      </w:pPr>
      <w:r w:rsidRPr="00BB0DD9">
        <w:t>Information about review schedules and submission deadlines.</w:t>
      </w:r>
    </w:p>
    <w:p w:rsidRPr="00BB0DD9" w:rsidR="00FF6B05" w:rsidP="003608A3" w:rsidRDefault="00FF6B05" w14:paraId="5EAA70BB" w14:textId="77777777">
      <w:pPr>
        <w:pStyle w:val="ListParagraph"/>
        <w:numPr>
          <w:ilvl w:val="0"/>
          <w:numId w:val="21"/>
        </w:numPr>
        <w:spacing w:after="120"/>
        <w:ind w:left="540" w:hanging="270"/>
        <w:contextualSpacing/>
      </w:pPr>
      <w:r w:rsidRPr="00BB0DD9">
        <w:t>Whether application fees are required, and if so, how much.</w:t>
      </w:r>
    </w:p>
    <w:p w:rsidRPr="00BB0DD9" w:rsidR="00FF6B05" w:rsidP="003608A3" w:rsidRDefault="00FF6B05" w14:paraId="4BB3A0DB" w14:textId="77777777">
      <w:pPr>
        <w:pStyle w:val="ListParagraph"/>
        <w:numPr>
          <w:ilvl w:val="0"/>
          <w:numId w:val="21"/>
        </w:numPr>
        <w:spacing w:after="120"/>
        <w:ind w:left="540" w:hanging="270"/>
        <w:contextualSpacing/>
      </w:pPr>
      <w:r w:rsidRPr="00BB0DD9">
        <w:t>Whether a district sponsor is required.</w:t>
      </w:r>
    </w:p>
    <w:p w:rsidRPr="00BB0DD9" w:rsidR="00FF6B05" w:rsidP="003608A3" w:rsidRDefault="00FF6B05" w14:paraId="452ED31E" w14:textId="4668581A">
      <w:pPr>
        <w:pStyle w:val="ListParagraph"/>
        <w:numPr>
          <w:ilvl w:val="0"/>
          <w:numId w:val="21"/>
        </w:numPr>
        <w:spacing w:after="120"/>
        <w:ind w:left="540" w:hanging="270"/>
        <w:contextualSpacing/>
      </w:pPr>
      <w:r w:rsidRPr="00BB0DD9">
        <w:t>Whether an online application is required, and if so, the link to the application if possible.</w:t>
      </w:r>
    </w:p>
    <w:p w:rsidRPr="00BB0DD9" w:rsidR="00795391" w:rsidP="00795391" w:rsidRDefault="00795391" w14:paraId="5E37DB73" w14:textId="77777777">
      <w:pPr>
        <w:pStyle w:val="ListParagraph"/>
        <w:numPr>
          <w:ilvl w:val="0"/>
          <w:numId w:val="21"/>
        </w:numPr>
        <w:spacing w:after="120"/>
        <w:ind w:left="540" w:hanging="270"/>
        <w:contextualSpacing/>
      </w:pPr>
      <w:r w:rsidRPr="00BB0DD9">
        <w:t>Whether in-person approval is required, and if so, information about the in-person approval process.</w:t>
      </w:r>
    </w:p>
    <w:p w:rsidRPr="00BB0DD9" w:rsidR="00FF6B05" w:rsidP="003608A3" w:rsidRDefault="00FF6B05" w14:paraId="3065EC68" w14:textId="77777777">
      <w:pPr>
        <w:pStyle w:val="ListParagraph"/>
        <w:numPr>
          <w:ilvl w:val="0"/>
          <w:numId w:val="21"/>
        </w:numPr>
        <w:spacing w:after="120"/>
        <w:ind w:left="540" w:hanging="270"/>
        <w:contextualSpacing/>
      </w:pPr>
      <w:r w:rsidRPr="00BB0DD9">
        <w:t>Information about research topics and/or agenda on which the district is focusing.</w:t>
      </w:r>
    </w:p>
    <w:p w:rsidRPr="00BB0DD9" w:rsidR="00FF6B05" w:rsidP="003608A3" w:rsidRDefault="00FF6B05" w14:paraId="512B28B3" w14:textId="77777777">
      <w:pPr>
        <w:pStyle w:val="ListParagraph"/>
        <w:numPr>
          <w:ilvl w:val="0"/>
          <w:numId w:val="21"/>
        </w:numPr>
        <w:spacing w:after="120"/>
        <w:ind w:left="540" w:hanging="270"/>
        <w:contextualSpacing/>
      </w:pPr>
      <w:r w:rsidRPr="00BB0DD9">
        <w:t>The web link to the main research department or office website.</w:t>
      </w:r>
    </w:p>
    <w:p w:rsidRPr="00BB0DD9" w:rsidR="00FF6B05" w:rsidP="003608A3" w:rsidRDefault="00FF6B05" w14:paraId="7FC52979" w14:textId="77777777">
      <w:pPr>
        <w:pStyle w:val="ListParagraph"/>
        <w:numPr>
          <w:ilvl w:val="0"/>
          <w:numId w:val="21"/>
        </w:numPr>
        <w:spacing w:after="120"/>
        <w:ind w:left="540" w:hanging="270"/>
        <w:contextualSpacing/>
      </w:pPr>
      <w:r w:rsidRPr="00BB0DD9">
        <w:t>Research guidelines, instructions, application forms, District Action Plans, Strategic Plan or Goals, if any.</w:t>
      </w:r>
    </w:p>
    <w:p w:rsidRPr="00BB0DD9" w:rsidR="00FF6B05" w:rsidP="00E103F7" w:rsidRDefault="00FF6B05" w14:paraId="49D50DFA" w14:textId="77777777">
      <w:pPr>
        <w:spacing w:after="120"/>
      </w:pPr>
      <w:r w:rsidRPr="00BB0DD9">
        <w:t>Recruitment staff will contact districts by phone and email to obtain key information not listed on the district’s website, (e.g., requirements for the research application, research application submission deadlines, etc.).</w:t>
      </w:r>
    </w:p>
    <w:p w:rsidRPr="00BB0DD9" w:rsidR="00FF6B05" w:rsidP="00E103F7" w:rsidRDefault="008373A1" w14:paraId="0D8615CD" w14:textId="50C2868C">
      <w:pPr>
        <w:widowControl w:val="0"/>
        <w:spacing w:after="120"/>
      </w:pPr>
      <w:r w:rsidRPr="00BB0DD9">
        <w:t xml:space="preserve">SSOCS </w:t>
      </w:r>
      <w:r w:rsidRPr="00BB0DD9" w:rsidR="00D23FFB">
        <w:t>s</w:t>
      </w:r>
      <w:r w:rsidRPr="00BB0DD9" w:rsidR="00FD685A">
        <w:t xml:space="preserve">pecial </w:t>
      </w:r>
      <w:r w:rsidRPr="00BB0DD9" w:rsidR="00D23FFB">
        <w:t>d</w:t>
      </w:r>
      <w:r w:rsidRPr="00BB0DD9" w:rsidR="004D4147">
        <w:t xml:space="preserve">istrict recruitment </w:t>
      </w:r>
      <w:r w:rsidRPr="00BB0DD9" w:rsidR="00FF6B05">
        <w:t xml:space="preserve">staff developed a generic research application </w:t>
      </w:r>
      <w:r w:rsidRPr="00BB0DD9" w:rsidR="00795391">
        <w:t xml:space="preserve">(see </w:t>
      </w:r>
      <w:r w:rsidRPr="00BB0DD9" w:rsidR="00A830DF">
        <w:t>a</w:t>
      </w:r>
      <w:r w:rsidRPr="00BB0DD9" w:rsidR="00795391">
        <w:t>ppendix A)</w:t>
      </w:r>
      <w:r w:rsidRPr="00BB0DD9" w:rsidR="00D83305">
        <w:t xml:space="preserve"> </w:t>
      </w:r>
      <w:r w:rsidRPr="00BB0DD9" w:rsidR="00FF6B05">
        <w:t>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BB0DD9" w:rsidR="00FF6B05" w:rsidP="00CD2661" w:rsidRDefault="00FF6B05" w14:paraId="6BFF151D" w14:textId="77777777">
      <w:pPr>
        <w:widowControl w:val="0"/>
        <w:spacing w:after="120"/>
      </w:pPr>
      <w:r w:rsidRPr="00BB0DD9">
        <w:t>Using the information obtained from the district website or phone or email exchanges, a district research request packet will be prepared. Each research application will include the following documents, where applicable:</w:t>
      </w:r>
    </w:p>
    <w:p w:rsidRPr="00BB0DD9" w:rsidR="00FF6B05" w:rsidP="00CD2661" w:rsidRDefault="00FF6B05" w14:paraId="33D9E9DB" w14:textId="77777777">
      <w:pPr>
        <w:pStyle w:val="ListParagraph"/>
        <w:widowControl w:val="0"/>
        <w:numPr>
          <w:ilvl w:val="0"/>
          <w:numId w:val="22"/>
        </w:numPr>
        <w:spacing w:after="120"/>
        <w:ind w:left="540" w:hanging="270"/>
        <w:contextualSpacing/>
      </w:pPr>
      <w:r w:rsidRPr="00BB0DD9">
        <w:lastRenderedPageBreak/>
        <w:t>District research application cover letter;</w:t>
      </w:r>
    </w:p>
    <w:p w:rsidRPr="00BB0DD9" w:rsidR="00FF6B05" w:rsidP="00CD2661" w:rsidRDefault="00FF6B05" w14:paraId="49ED34D3" w14:textId="77777777">
      <w:pPr>
        <w:pStyle w:val="ListParagraph"/>
        <w:widowControl w:val="0"/>
        <w:numPr>
          <w:ilvl w:val="0"/>
          <w:numId w:val="22"/>
        </w:numPr>
        <w:spacing w:after="120"/>
        <w:ind w:left="540" w:hanging="270"/>
        <w:contextualSpacing/>
      </w:pPr>
      <w:r w:rsidRPr="00BB0DD9">
        <w:t>Research application (district-specific or generic, as required by the district);</w:t>
      </w:r>
    </w:p>
    <w:p w:rsidRPr="00BB0DD9" w:rsidR="00FF6B05" w:rsidP="003608A3" w:rsidRDefault="00FF6B05" w14:paraId="2C105A52" w14:textId="77777777">
      <w:pPr>
        <w:pStyle w:val="ListParagraph"/>
        <w:numPr>
          <w:ilvl w:val="0"/>
          <w:numId w:val="22"/>
        </w:numPr>
        <w:spacing w:after="120"/>
        <w:ind w:left="540" w:hanging="270"/>
        <w:contextualSpacing/>
      </w:pPr>
      <w:r w:rsidRPr="00BB0DD9">
        <w:t>Study summary;</w:t>
      </w:r>
    </w:p>
    <w:p w:rsidRPr="00BB0DD9" w:rsidR="00FF6B05" w:rsidP="003608A3" w:rsidRDefault="00FF6B05" w14:paraId="0A65C333" w14:textId="41D9D193">
      <w:pPr>
        <w:pStyle w:val="ListParagraph"/>
        <w:numPr>
          <w:ilvl w:val="0"/>
          <w:numId w:val="22"/>
        </w:numPr>
        <w:spacing w:after="120"/>
        <w:ind w:left="540" w:hanging="270"/>
        <w:contextualSpacing/>
      </w:pPr>
      <w:r w:rsidRPr="00BB0DD9">
        <w:t>F</w:t>
      </w:r>
      <w:r w:rsidRPr="00BB0DD9" w:rsidR="00795391">
        <w:t>requently</w:t>
      </w:r>
      <w:r w:rsidRPr="00BB0DD9" w:rsidR="00B21E6C">
        <w:t xml:space="preserve"> </w:t>
      </w:r>
      <w:r w:rsidRPr="00BB0DD9">
        <w:t>A</w:t>
      </w:r>
      <w:r w:rsidRPr="00BB0DD9" w:rsidR="00795391">
        <w:t>sked</w:t>
      </w:r>
      <w:r w:rsidRPr="00BB0DD9" w:rsidR="00B21E6C">
        <w:t xml:space="preserve"> </w:t>
      </w:r>
      <w:r w:rsidRPr="00BB0DD9">
        <w:t>Q</w:t>
      </w:r>
      <w:r w:rsidRPr="00BB0DD9" w:rsidR="00795391">
        <w:t>uestions</w:t>
      </w:r>
      <w:r w:rsidRPr="00BB0DD9" w:rsidR="00B21E6C">
        <w:t xml:space="preserve"> (FAQ)</w:t>
      </w:r>
      <w:r w:rsidRPr="00BB0DD9">
        <w:t xml:space="preserve"> document;</w:t>
      </w:r>
    </w:p>
    <w:p w:rsidRPr="00BB0DD9" w:rsidR="00FF6B05" w:rsidP="003608A3" w:rsidRDefault="00FF6B05" w14:paraId="7CFE32F9" w14:textId="77777777">
      <w:pPr>
        <w:pStyle w:val="ListParagraph"/>
        <w:numPr>
          <w:ilvl w:val="0"/>
          <w:numId w:val="22"/>
        </w:numPr>
        <w:spacing w:after="120"/>
        <w:ind w:left="540" w:hanging="270"/>
        <w:contextualSpacing/>
      </w:pPr>
      <w:r w:rsidRPr="00BB0DD9">
        <w:t>Special contact district approval form;</w:t>
      </w:r>
    </w:p>
    <w:p w:rsidRPr="00BB0DD9" w:rsidR="00FF6B05" w:rsidP="003608A3" w:rsidRDefault="00FF6B05" w14:paraId="3EF6642E" w14:textId="77777777">
      <w:pPr>
        <w:pStyle w:val="ListParagraph"/>
        <w:numPr>
          <w:ilvl w:val="0"/>
          <w:numId w:val="22"/>
        </w:numPr>
        <w:spacing w:after="120"/>
        <w:ind w:left="540" w:hanging="270"/>
        <w:contextualSpacing/>
      </w:pPr>
      <w:r w:rsidRPr="00BB0DD9">
        <w:t>Participant informed consent form (if required by the district);</w:t>
      </w:r>
    </w:p>
    <w:p w:rsidRPr="00BB0DD9" w:rsidR="00FF6B05" w:rsidP="003608A3" w:rsidRDefault="000B1446" w14:paraId="0D6E1DF1" w14:textId="52A9424E">
      <w:pPr>
        <w:pStyle w:val="ListParagraph"/>
        <w:numPr>
          <w:ilvl w:val="0"/>
          <w:numId w:val="22"/>
        </w:numPr>
        <w:spacing w:after="120"/>
        <w:ind w:left="540" w:hanging="270"/>
        <w:contextualSpacing/>
      </w:pPr>
      <w:r w:rsidRPr="00BB0DD9">
        <w:t>NCES</w:t>
      </w:r>
      <w:r w:rsidRPr="00BB0DD9" w:rsidR="00FF6B05">
        <w:t xml:space="preserve"> Project Director’s </w:t>
      </w:r>
      <w:proofErr w:type="gramStart"/>
      <w:r w:rsidRPr="00BB0DD9" w:rsidR="00FF6B05">
        <w:t>resume;</w:t>
      </w:r>
      <w:proofErr w:type="gramEnd"/>
    </w:p>
    <w:p w:rsidRPr="00BB0DD9" w:rsidR="00FF6B05" w:rsidP="003608A3" w:rsidRDefault="00FF6B05" w14:paraId="547F693C" w14:textId="77777777">
      <w:pPr>
        <w:pStyle w:val="ListParagraph"/>
        <w:numPr>
          <w:ilvl w:val="0"/>
          <w:numId w:val="22"/>
        </w:numPr>
        <w:spacing w:after="120"/>
        <w:ind w:left="540" w:hanging="270"/>
        <w:contextualSpacing/>
      </w:pPr>
      <w:r w:rsidRPr="00BB0DD9">
        <w:t>Copy of questionnaires; and</w:t>
      </w:r>
    </w:p>
    <w:p w:rsidRPr="00BB0DD9" w:rsidR="00FF6B05" w:rsidP="003608A3" w:rsidRDefault="00FF6B05" w14:paraId="36F515F6" w14:textId="77777777">
      <w:pPr>
        <w:pStyle w:val="ListParagraph"/>
        <w:numPr>
          <w:ilvl w:val="0"/>
          <w:numId w:val="22"/>
        </w:numPr>
        <w:spacing w:after="120"/>
        <w:ind w:left="540" w:hanging="270"/>
        <w:contextualSpacing/>
      </w:pPr>
      <w:r w:rsidRPr="00BB0DD9">
        <w:t>Application fee (if required by the district).</w:t>
      </w:r>
    </w:p>
    <w:p w:rsidRPr="00BB0DD9" w:rsidR="00FF6B05" w:rsidP="00E103F7" w:rsidRDefault="00FF6B05" w14:paraId="73585F2C" w14:textId="77777777">
      <w:pPr>
        <w:spacing w:after="120"/>
      </w:pPr>
      <w:r w:rsidRPr="00BB0DD9">
        <w:t>Other information about the study may be required by the district and will be included with the application or provided upon request.</w:t>
      </w:r>
    </w:p>
    <w:p w:rsidRPr="00BB0DD9" w:rsidR="00FF6B05" w:rsidP="00E103F7" w:rsidRDefault="00FF6B05" w14:paraId="20480EE7" w14:textId="7F5ED95B">
      <w:pPr>
        <w:spacing w:after="120"/>
      </w:pPr>
      <w:r w:rsidRPr="00BB0DD9">
        <w:t xml:space="preserve">Approximately one week after the application is submitted to the district (either electronically or in hard copy, as required by the district), </w:t>
      </w:r>
      <w:r w:rsidRPr="00BB0DD9" w:rsidR="00D23FFB">
        <w:t xml:space="preserve">SSOCS </w:t>
      </w:r>
      <w:r w:rsidRPr="00BB0DD9" w:rsidR="00FD685A">
        <w:t xml:space="preserve">special </w:t>
      </w:r>
      <w:r w:rsidRPr="00BB0DD9">
        <w:t>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Pr="00BB0DD9" w:rsidR="00FF6B05" w:rsidP="00E103F7" w:rsidRDefault="00E863F6" w14:paraId="7E3B5F5C" w14:textId="0B2CB680">
      <w:pPr>
        <w:spacing w:after="120"/>
      </w:pPr>
      <w:r w:rsidRPr="00BB0DD9">
        <w:t>Some districts charge a fee (~$50-200) to process research application requests, which will be paid as necessary</w:t>
      </w:r>
      <w:r w:rsidRPr="00BB0DD9" w:rsidR="00FF6B05">
        <w:t>.</w:t>
      </w:r>
    </w:p>
    <w:p w:rsidRPr="00BB0DD9" w:rsidR="00AA7A29" w:rsidP="001B301E" w:rsidRDefault="00AA7A29" w14:paraId="4A3C0472" w14:textId="6C528BB9">
      <w:pPr>
        <w:pStyle w:val="Heading3"/>
      </w:pPr>
      <w:r w:rsidRPr="00BB0DD9">
        <w:t xml:space="preserve">Mailing </w:t>
      </w:r>
      <w:r w:rsidRPr="00BB0DD9" w:rsidR="006927A7">
        <w:t>the Study Notification</w:t>
      </w:r>
      <w:r w:rsidRPr="00BB0DD9">
        <w:t xml:space="preserve"> to District Superintendents and Chief State School Officers</w:t>
      </w:r>
    </w:p>
    <w:p w:rsidRPr="00BB0DD9" w:rsidR="007C6F40" w:rsidP="00E103F7" w:rsidRDefault="00AA7A29" w14:paraId="7B8363D9" w14:textId="563513AD">
      <w:pPr>
        <w:widowControl w:val="0"/>
        <w:spacing w:after="120"/>
      </w:pPr>
      <w:r w:rsidRPr="00BB0DD9">
        <w:t xml:space="preserve">In order to achieve the highest possible response rate, we will send the study notification </w:t>
      </w:r>
      <w:r w:rsidRPr="00BB0DD9" w:rsidR="00C316D6">
        <w:t xml:space="preserve">mailing to superintendents and </w:t>
      </w:r>
      <w:r w:rsidRPr="00BB0DD9">
        <w:t>C</w:t>
      </w:r>
      <w:r w:rsidRPr="00BB0DD9" w:rsidR="00556C29">
        <w:t xml:space="preserve">hief </w:t>
      </w:r>
      <w:r w:rsidRPr="00BB0DD9">
        <w:t>S</w:t>
      </w:r>
      <w:r w:rsidRPr="00BB0DD9" w:rsidR="00556C29">
        <w:t xml:space="preserve">tate </w:t>
      </w:r>
      <w:r w:rsidRPr="00BB0DD9">
        <w:t>S</w:t>
      </w:r>
      <w:r w:rsidRPr="00BB0DD9" w:rsidR="00556C29">
        <w:t xml:space="preserve">chool </w:t>
      </w:r>
      <w:r w:rsidRPr="00BB0DD9">
        <w:t>O</w:t>
      </w:r>
      <w:r w:rsidRPr="00BB0DD9" w:rsidR="00556C29">
        <w:t>fficers (CSSO</w:t>
      </w:r>
      <w:r w:rsidRPr="00BB0DD9" w:rsidR="00C316D6">
        <w:t>s</w:t>
      </w:r>
      <w:r w:rsidRPr="00BB0DD9" w:rsidR="00556C29">
        <w:t>)</w:t>
      </w:r>
      <w:r w:rsidRPr="00BB0DD9">
        <w:t xml:space="preserve"> </w:t>
      </w:r>
      <w:r w:rsidRPr="00BB0DD9" w:rsidR="00661121">
        <w:t xml:space="preserve">prior to the start of SSOCS:2022 data collection with the sampled schools. </w:t>
      </w:r>
      <w:r w:rsidRPr="00BB0DD9" w:rsidR="002E789F">
        <w:t xml:space="preserve"> </w:t>
      </w:r>
      <w:r w:rsidRPr="00BB0DD9">
        <w:t>The purpose of this mailing is to provide districts with information about the survey and to inform them about the questionnaires being mailed to sampled schools in their district. It is not designed to ask for permission</w:t>
      </w:r>
      <w:r w:rsidRPr="00BB0DD9" w:rsidR="006927A7">
        <w:t>;</w:t>
      </w:r>
      <w:r w:rsidRPr="00BB0DD9">
        <w:t xml:space="preserve"> rather, </w:t>
      </w:r>
      <w:r w:rsidRPr="00BB0DD9" w:rsidR="006927A7">
        <w:t>it</w:t>
      </w:r>
      <w:r w:rsidRPr="00BB0DD9">
        <w:t xml:space="preserve"> is designed as a vehicle to help enhance participation. All materials sent to the CSSOs will be personalized using contact information from the CSSO website</w:t>
      </w:r>
      <w:r w:rsidRPr="00BB0DD9" w:rsidR="002E789F">
        <w:t xml:space="preserve">. </w:t>
      </w:r>
      <w:r w:rsidRPr="00BB0DD9">
        <w:t>Copies of the</w:t>
      </w:r>
      <w:r w:rsidRPr="00BB0DD9" w:rsidR="00B644F3">
        <w:t xml:space="preserve"> </w:t>
      </w:r>
      <w:r w:rsidRPr="00BB0DD9" w:rsidR="00C316D6">
        <w:t xml:space="preserve">letters </w:t>
      </w:r>
      <w:r w:rsidRPr="00BB0DD9" w:rsidR="003F0C2B">
        <w:t xml:space="preserve">and materials sent </w:t>
      </w:r>
      <w:r w:rsidRPr="00BB0DD9" w:rsidR="00C316D6">
        <w:t>to the superintendents/</w:t>
      </w:r>
      <w:r w:rsidRPr="00BB0DD9">
        <w:t xml:space="preserve">CSSOs are included in </w:t>
      </w:r>
      <w:r w:rsidRPr="00BB0DD9" w:rsidR="000A15CC">
        <w:t>a</w:t>
      </w:r>
      <w:r w:rsidRPr="00BB0DD9" w:rsidR="00892B7A">
        <w:t>ppendix A</w:t>
      </w:r>
      <w:r w:rsidRPr="00BB0DD9" w:rsidR="002E789F">
        <w:t>.</w:t>
      </w:r>
    </w:p>
    <w:p w:rsidRPr="00BB0DD9" w:rsidR="007C6F40" w:rsidP="001B301E" w:rsidRDefault="003F0C2B" w14:paraId="7A9A853F" w14:textId="725E64A4">
      <w:pPr>
        <w:pStyle w:val="Heading3"/>
      </w:pPr>
      <w:r w:rsidRPr="00BB0DD9">
        <w:t>Mailouts</w:t>
      </w:r>
    </w:p>
    <w:p w:rsidRPr="00BB0DD9" w:rsidR="00DA49BB" w:rsidP="00BB0DD9" w:rsidRDefault="003F0C2B" w14:paraId="55535812" w14:textId="36DDBD01">
      <w:pPr>
        <w:spacing w:after="120"/>
      </w:pPr>
      <w:bookmarkStart w:name="_Hlk3315492" w:id="14"/>
      <w:r w:rsidRPr="00BB0DD9">
        <w:t>SSOCS:</w:t>
      </w:r>
      <w:r w:rsidRPr="00BB0DD9" w:rsidR="00661121">
        <w:t xml:space="preserve">2022 </w:t>
      </w:r>
      <w:r w:rsidRPr="00BB0DD9">
        <w:t xml:space="preserve">will be conducted </w:t>
      </w:r>
      <w:r w:rsidRPr="00BB0DD9" w:rsidR="004265D4">
        <w:t xml:space="preserve">primarily </w:t>
      </w:r>
      <w:r w:rsidRPr="00BB0DD9">
        <w:t xml:space="preserve">via the web-based survey instrument. A clerical operation prior to data collection will obtain e-mail addresses for all of the sampled principals, and these e-mails will be used to contact </w:t>
      </w:r>
      <w:r w:rsidRPr="00BB0DD9" w:rsidR="00136A46">
        <w:t xml:space="preserve">the </w:t>
      </w:r>
      <w:r w:rsidRPr="00BB0DD9">
        <w:t xml:space="preserve">principals throughout </w:t>
      </w:r>
      <w:r w:rsidRPr="00BB0DD9" w:rsidR="004E5ADE">
        <w:t xml:space="preserve">the </w:t>
      </w:r>
      <w:r w:rsidRPr="00BB0DD9">
        <w:t xml:space="preserve">data collection. Both </w:t>
      </w:r>
      <w:r w:rsidRPr="00BB0DD9" w:rsidR="006B6FAB">
        <w:t xml:space="preserve">mail and e-mail </w:t>
      </w:r>
      <w:r w:rsidRPr="00BB0DD9" w:rsidR="00661121">
        <w:t xml:space="preserve">will be used </w:t>
      </w:r>
      <w:r w:rsidRPr="00BB0DD9" w:rsidR="006B6FAB">
        <w:t xml:space="preserve">to </w:t>
      </w:r>
      <w:r w:rsidRPr="00BB0DD9">
        <w:t xml:space="preserve">distribute instructions </w:t>
      </w:r>
      <w:r w:rsidRPr="00BB0DD9" w:rsidR="006B6FAB">
        <w:t xml:space="preserve">on how </w:t>
      </w:r>
      <w:r w:rsidRPr="00BB0DD9">
        <w:t>to complete the web questionnaire</w:t>
      </w:r>
      <w:r w:rsidRPr="00BB0DD9" w:rsidR="006B6FAB">
        <w:t>,</w:t>
      </w:r>
      <w:r w:rsidRPr="00BB0DD9">
        <w:t xml:space="preserve"> with </w:t>
      </w:r>
      <w:r w:rsidR="00C305AA">
        <w:t xml:space="preserve">a </w:t>
      </w:r>
      <w:r w:rsidRPr="00BB0DD9">
        <w:t>paper questionnaire introduced in follow-up mailings. Sampled principals will receive as many as four mailings, as needed, throughout the collection period, and principals who have completed their questionnaire prior to subsequent mailing(s) will be excluded from those mailouts.</w:t>
      </w:r>
      <w:bookmarkEnd w:id="14"/>
    </w:p>
    <w:p w:rsidRPr="00BB0DD9" w:rsidR="00A4532F" w:rsidP="00906F9C" w:rsidRDefault="00DA49BB" w14:paraId="3718E574" w14:textId="0611F3A5">
      <w:pPr>
        <w:spacing w:after="120"/>
      </w:pPr>
      <w:bookmarkStart w:name="_Hlk3326779" w:id="15"/>
      <w:r w:rsidRPr="00BB0DD9">
        <w:t xml:space="preserve">The initial mailout is scheduled for mid-February </w:t>
      </w:r>
      <w:r w:rsidRPr="00BB0DD9" w:rsidR="000774E3">
        <w:t>2022</w:t>
      </w:r>
      <w:r w:rsidRPr="00BB0DD9">
        <w:t xml:space="preserve">, and the second mailout is scheduled for March </w:t>
      </w:r>
      <w:r w:rsidRPr="00BB0DD9" w:rsidR="000774E3">
        <w:t>2022</w:t>
      </w:r>
      <w:r w:rsidRPr="00BB0DD9">
        <w:t xml:space="preserve">. The principal will be asked to complete the questionnaire—or to have it completed by the person at the school who is the most knowledgeable about school crime and safety—within 2 weeks of receipt. Both mailings will include a personalized letter containing the survey URL and a unique </w:t>
      </w:r>
      <w:proofErr w:type="spellStart"/>
      <w:r w:rsidRPr="00BB0DD9">
        <w:t>UserID</w:t>
      </w:r>
      <w:proofErr w:type="spellEnd"/>
      <w:r w:rsidRPr="00BB0DD9">
        <w:t xml:space="preserve"> </w:t>
      </w:r>
      <w:r w:rsidRPr="00BB0DD9" w:rsidR="004D5F8E">
        <w:t>to</w:t>
      </w:r>
      <w:r w:rsidRPr="00BB0DD9">
        <w:t xml:space="preserve"> access the survey online. The letter will also include Census Bureau contact information</w:t>
      </w:r>
      <w:r w:rsidRPr="00BB0DD9" w:rsidR="004D5F8E">
        <w:t xml:space="preserve"> and</w:t>
      </w:r>
      <w:r w:rsidRPr="00BB0DD9">
        <w:t xml:space="preserve"> answers to FAQs. </w:t>
      </w:r>
      <w:r w:rsidRPr="00BB0DD9" w:rsidR="004D5F8E">
        <w:t>In addition, the</w:t>
      </w:r>
      <w:r w:rsidRPr="00BB0DD9">
        <w:t xml:space="preserve"> mailing will include a one-page endorsement insert, which will display the names and logos o</w:t>
      </w:r>
      <w:r w:rsidR="00365FD5">
        <w:t xml:space="preserve">f </w:t>
      </w:r>
      <w:r w:rsidRPr="00BB0DD9">
        <w:lastRenderedPageBreak/>
        <w:t xml:space="preserve">all SSOCS endorsing agencies. Finally, </w:t>
      </w:r>
      <w:r w:rsidR="001D0CE4">
        <w:t>all schools</w:t>
      </w:r>
      <w:r w:rsidR="001D0CE4">
        <w:rPr>
          <w:rStyle w:val="FootnoteReference"/>
        </w:rPr>
        <w:footnoteReference w:id="3"/>
      </w:r>
      <w:r w:rsidRPr="00BB0DD9">
        <w:t xml:space="preserve">  will </w:t>
      </w:r>
      <w:r w:rsidRPr="00BB0DD9" w:rsidR="00780CF6">
        <w:t>receive</w:t>
      </w:r>
      <w:r w:rsidRPr="00BB0DD9">
        <w:t xml:space="preserve"> $10 cash adhered to a brightly</w:t>
      </w:r>
      <w:r w:rsidRPr="00BB0DD9" w:rsidR="00965F70">
        <w:t xml:space="preserve"> </w:t>
      </w:r>
      <w:r w:rsidRPr="00BB0DD9">
        <w:t>colored incentive insert in their initial mailout package.</w:t>
      </w:r>
    </w:p>
    <w:bookmarkEnd w:id="15"/>
    <w:p w:rsidRPr="00BB0DD9" w:rsidR="00A4532F" w:rsidP="00906F9C" w:rsidRDefault="00DA49BB" w14:paraId="70C62844" w14:textId="4E9514C3">
      <w:pPr>
        <w:pStyle w:val="L1-FlLSp12"/>
        <w:tabs>
          <w:tab w:val="clear" w:pos="1152"/>
        </w:tabs>
        <w:spacing w:after="120" w:line="240" w:lineRule="auto"/>
        <w:rPr>
          <w:rFonts w:ascii="Times New Roman" w:hAnsi="Times New Roman"/>
        </w:rPr>
      </w:pPr>
      <w:r w:rsidRPr="00BB0DD9">
        <w:rPr>
          <w:rFonts w:ascii="Times New Roman" w:hAnsi="Times New Roman"/>
        </w:rPr>
        <w:t>The third and fourth mailings (</w:t>
      </w:r>
      <w:r w:rsidRPr="00BB0DD9" w:rsidR="00965F70">
        <w:rPr>
          <w:rFonts w:ascii="Times New Roman" w:hAnsi="Times New Roman"/>
        </w:rPr>
        <w:t xml:space="preserve">in </w:t>
      </w:r>
      <w:r w:rsidRPr="00BB0DD9">
        <w:rPr>
          <w:rFonts w:ascii="Times New Roman" w:hAnsi="Times New Roman"/>
        </w:rPr>
        <w:t xml:space="preserve">March and April, respectively) will include a paper questionnaire, a postage-paid return envelope, and a personalized cover letter that will include the toll-free number at the Census Bureau and the SSOCS e-mail address. The third mailing will be the first time that respondents receive a paper questionnaire. </w:t>
      </w:r>
    </w:p>
    <w:p w:rsidRPr="00BB0DD9" w:rsidR="00DA49BB" w:rsidP="00906F9C" w:rsidRDefault="00DA49BB" w14:paraId="53860429" w14:textId="51276E7A">
      <w:pPr>
        <w:pStyle w:val="L1-FlLSp12"/>
        <w:tabs>
          <w:tab w:val="clear" w:pos="1152"/>
        </w:tabs>
        <w:spacing w:after="120" w:line="240" w:lineRule="auto"/>
        <w:rPr>
          <w:rFonts w:ascii="Times New Roman" w:hAnsi="Times New Roman"/>
          <w:szCs w:val="24"/>
        </w:rPr>
      </w:pPr>
      <w:r w:rsidRPr="00BB0DD9">
        <w:rPr>
          <w:rFonts w:ascii="Times New Roman" w:hAnsi="Times New Roman"/>
          <w:szCs w:val="24"/>
        </w:rPr>
        <w:t>Principals will receive an e-mail invitation that includes a clickable URL to the web survey and log-in credentials around the time of the first and second mailings. E-mails will be personalized and sent to individual respondents. Principals will be sent reminder e-mails, as appropriate, throughout the data collection period.</w:t>
      </w:r>
    </w:p>
    <w:p w:rsidRPr="00BB0DD9" w:rsidR="00DA49BB" w:rsidP="00DA49BB" w:rsidRDefault="00DA49BB" w14:paraId="575A6A31" w14:textId="4BFC3F76">
      <w:pPr>
        <w:spacing w:after="120"/>
      </w:pPr>
      <w:r w:rsidRPr="00BB0DD9">
        <w:t>A copy of the cover letters and e-mails sent to principals throughout SSOCS:</w:t>
      </w:r>
      <w:r w:rsidRPr="00BB0DD9" w:rsidR="000774E3">
        <w:t xml:space="preserve">2022 </w:t>
      </w:r>
      <w:r w:rsidRPr="00BB0DD9">
        <w:t xml:space="preserve">data collection </w:t>
      </w:r>
      <w:r w:rsidRPr="00BB0DD9" w:rsidR="00965F70">
        <w:t>is</w:t>
      </w:r>
      <w:r w:rsidRPr="00BB0DD9">
        <w:t xml:space="preserve"> included in appendix A.</w:t>
      </w:r>
    </w:p>
    <w:p w:rsidRPr="00BB0DD9" w:rsidR="00AA7A29" w:rsidP="001B301E" w:rsidRDefault="00AA7A29" w14:paraId="597AF9E6" w14:textId="77777777">
      <w:pPr>
        <w:pStyle w:val="Heading3"/>
        <w:rPr>
          <w:bCs/>
        </w:rPr>
      </w:pPr>
      <w:r w:rsidRPr="00BB0DD9">
        <w:t>Protocol for Follow-up Calls</w:t>
      </w:r>
    </w:p>
    <w:p w:rsidRPr="00BB0DD9" w:rsidR="00A4532F" w:rsidP="009F0566" w:rsidRDefault="000774E3" w14:paraId="11EDB8A3" w14:textId="7E50C945">
      <w:pPr>
        <w:spacing w:after="120"/>
      </w:pPr>
      <w:r w:rsidRPr="00BB0DD9">
        <w:t xml:space="preserve">Approximately </w:t>
      </w:r>
      <w:r w:rsidRPr="00BB0DD9" w:rsidR="003F0C2B">
        <w:t>3 weeks after the second mailing to school principals, Census will initiate phone calls with nonrespondents, reminding them to complete their questionnaire.</w:t>
      </w:r>
    </w:p>
    <w:p w:rsidRPr="00BB0DD9" w:rsidR="007C6F40" w:rsidP="00FB2B0E" w:rsidRDefault="00C14556" w14:paraId="57B9FF87" w14:textId="3905A7BA">
      <w:pPr>
        <w:spacing w:after="120"/>
      </w:pPr>
      <w:r w:rsidRPr="00BB0DD9">
        <w:t xml:space="preserve">Finally, during the last </w:t>
      </w:r>
      <w:r w:rsidRPr="00BB0DD9" w:rsidR="003F0C2B">
        <w:t xml:space="preserve">two </w:t>
      </w:r>
      <w:r w:rsidRPr="00BB0DD9">
        <w:t>month</w:t>
      </w:r>
      <w:r w:rsidRPr="00BB0DD9" w:rsidR="003F0C2B">
        <w:t xml:space="preserve">s </w:t>
      </w:r>
      <w:r w:rsidRPr="00BB0DD9">
        <w:t xml:space="preserve">of </w:t>
      </w:r>
      <w:r w:rsidRPr="00BB0DD9" w:rsidR="003F0C2B">
        <w:t>the SSOCS:202</w:t>
      </w:r>
      <w:r w:rsidRPr="00BB0DD9" w:rsidR="000774E3">
        <w:t>2</w:t>
      </w:r>
      <w:r w:rsidRPr="00BB0DD9" w:rsidR="003F0C2B">
        <w:t xml:space="preserve"> </w:t>
      </w:r>
      <w:r w:rsidRPr="00BB0DD9">
        <w:t>data collection, Census will conduct nonresponse follow-up by phone</w:t>
      </w:r>
      <w:r w:rsidRPr="00BB0DD9" w:rsidR="00C84B12">
        <w:t xml:space="preserve">. This operation is aimed at </w:t>
      </w:r>
      <w:r w:rsidRPr="00BB0DD9">
        <w:t xml:space="preserve">collecting </w:t>
      </w:r>
      <w:r w:rsidRPr="00BB0DD9" w:rsidR="00C84B12">
        <w:t>SSOCS data over the phone</w:t>
      </w:r>
      <w:r w:rsidRPr="00BB0DD9" w:rsidR="00A301E2">
        <w:t>,</w:t>
      </w:r>
      <w:r w:rsidRPr="00BB0DD9" w:rsidR="00C84B12">
        <w:t xml:space="preserve"> whenever possible</w:t>
      </w:r>
      <w:r w:rsidRPr="00BB0DD9">
        <w:t>.</w:t>
      </w:r>
    </w:p>
    <w:p w:rsidRPr="00BB0DD9" w:rsidR="00FB3B3E" w:rsidP="001B301E" w:rsidRDefault="00FB3B3E" w14:paraId="2F043B4F" w14:textId="77777777">
      <w:pPr>
        <w:pStyle w:val="Heading3"/>
      </w:pPr>
      <w:r w:rsidRPr="00BB0DD9">
        <w:t>Refusal Conversion for Schools That Will Not Participate</w:t>
      </w:r>
    </w:p>
    <w:p w:rsidRPr="00BB0DD9" w:rsidR="00A4532F" w:rsidP="00485DDA" w:rsidRDefault="007F2650" w14:paraId="56C4B144" w14:textId="2900512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mailed materials will include the project’s toll-free number.</w:t>
      </w:r>
      <w:r w:rsidRPr="00BB0DD9" w:rsidR="00E51C50">
        <w:t xml:space="preserve"> In addition, FAQs </w:t>
      </w:r>
      <w:r w:rsidRPr="00BB0DD9" w:rsidR="001408ED">
        <w:t xml:space="preserve">will be included on the </w:t>
      </w:r>
      <w:r w:rsidRPr="00BB0DD9" w:rsidR="00E51C50">
        <w:t>back of the initi</w:t>
      </w:r>
      <w:r w:rsidRPr="00BB0DD9" w:rsidR="001408ED">
        <w:t xml:space="preserve">al mailout letters and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9E4CA3" w:rsidP="001B301E" w:rsidRDefault="00AA7A29" w14:paraId="5451756F" w14:textId="67D0F7F0">
      <w:pPr>
        <w:pStyle w:val="Heading3"/>
      </w:pPr>
      <w:r w:rsidRPr="00BB0DD9">
        <w:t>D</w:t>
      </w:r>
      <w:r w:rsidRPr="00BB0DD9" w:rsidR="00013359">
        <w:t>ata Retrieval of Critical Items</w:t>
      </w:r>
    </w:p>
    <w:p w:rsidRPr="00BB0DD9" w:rsidR="00CF5E5C" w:rsidP="00CF5E5C" w:rsidRDefault="00AA7A29" w14:paraId="342A3032" w14:textId="7ABED1F1">
      <w:pPr>
        <w:spacing w:after="120"/>
      </w:pPr>
      <w:r w:rsidRPr="00BB0DD9">
        <w:t xml:space="preserve">In terms of </w:t>
      </w:r>
      <w:r w:rsidRPr="00BB0DD9" w:rsidR="009110D9">
        <w:t xml:space="preserve">the </w:t>
      </w:r>
      <w:r w:rsidRPr="00BB0DD9">
        <w:t>collection of “critical items</w:t>
      </w:r>
      <w:r w:rsidRPr="00BB0DD9" w:rsidR="00C53D3B">
        <w:t>,</w:t>
      </w:r>
      <w:r w:rsidRPr="00BB0DD9">
        <w:t>”</w:t>
      </w:r>
      <w:r w:rsidRPr="00BB0DD9" w:rsidR="00710F68">
        <w:t xml:space="preserve"> the</w:t>
      </w:r>
      <w:r w:rsidRPr="00BB0DD9">
        <w:t xml:space="preserve"> interview labor </w:t>
      </w:r>
      <w:r w:rsidRPr="00BB0DD9" w:rsidR="00710F68">
        <w:t xml:space="preserve">will </w:t>
      </w:r>
      <w:r w:rsidRPr="00BB0DD9">
        <w:t xml:space="preserve">be divided between follow-up </w:t>
      </w:r>
      <w:r w:rsidRPr="00BB0DD9" w:rsidR="009110D9">
        <w:t xml:space="preserve">with </w:t>
      </w:r>
      <w:r w:rsidRPr="00BB0DD9">
        <w:t>nonresponde</w:t>
      </w:r>
      <w:r w:rsidRPr="00BB0DD9" w:rsidR="009110D9">
        <w:t>nts</w:t>
      </w:r>
      <w:r w:rsidRPr="00BB0DD9">
        <w:t xml:space="preserve"> (seeking </w:t>
      </w:r>
      <w:r w:rsidRPr="00BB0DD9" w:rsidR="00710F68">
        <w:t xml:space="preserve">the completion of </w:t>
      </w:r>
      <w:r w:rsidRPr="00BB0DD9" w:rsidR="009110D9">
        <w:t>“</w:t>
      </w:r>
      <w:r w:rsidRPr="00BB0DD9">
        <w:t>critical item</w:t>
      </w:r>
      <w:r w:rsidRPr="00BB0DD9" w:rsidR="00710F68">
        <w:t>s</w:t>
      </w:r>
      <w:r w:rsidRPr="00BB0DD9" w:rsidR="009110D9">
        <w:t>”</w:t>
      </w:r>
      <w:r w:rsidRPr="00BB0DD9">
        <w:t xml:space="preserve"> </w:t>
      </w:r>
      <w:r w:rsidRPr="00BB0DD9" w:rsidR="00710F68">
        <w:t>rather than</w:t>
      </w:r>
      <w:r w:rsidRPr="00BB0DD9">
        <w:t xml:space="preserve"> the full survey) and follow-up </w:t>
      </w:r>
      <w:r w:rsidRPr="00BB0DD9" w:rsidR="009110D9">
        <w:t xml:space="preserve">with </w:t>
      </w:r>
      <w:r w:rsidRPr="00BB0DD9">
        <w:t>responde</w:t>
      </w:r>
      <w:r w:rsidRPr="00BB0DD9" w:rsidR="009110D9">
        <w:t xml:space="preserve">nts </w:t>
      </w:r>
      <w:r w:rsidRPr="00BB0DD9">
        <w:t>who have skipped items deemed to be critical (</w:t>
      </w:r>
      <w:r w:rsidRPr="00BB0DD9" w:rsidR="00710F68">
        <w:t xml:space="preserve">the </w:t>
      </w:r>
      <w:r w:rsidRPr="00BB0DD9">
        <w:t xml:space="preserve">retrieval </w:t>
      </w:r>
      <w:r w:rsidRPr="00BB0DD9" w:rsidR="009110D9">
        <w:t xml:space="preserve">of </w:t>
      </w:r>
      <w:r w:rsidRPr="00BB0DD9">
        <w:t>missing data)</w:t>
      </w:r>
      <w:r w:rsidRPr="00BB0DD9" w:rsidR="002E789F">
        <w:t xml:space="preserve">. </w:t>
      </w:r>
      <w:r w:rsidRPr="00BB0DD9">
        <w:t xml:space="preserve">For </w:t>
      </w:r>
      <w:r w:rsidRPr="00BB0DD9" w:rsidR="009110D9">
        <w:t>nonrespondents</w:t>
      </w:r>
      <w:r w:rsidRPr="00BB0DD9">
        <w:t xml:space="preserve">, </w:t>
      </w:r>
      <w:r w:rsidRPr="00BB0DD9" w:rsidR="00FB3B3E">
        <w:t xml:space="preserve">in </w:t>
      </w:r>
      <w:r w:rsidRPr="00BB0DD9">
        <w:t xml:space="preserve">May </w:t>
      </w:r>
      <w:r w:rsidRPr="00BB0DD9" w:rsidR="000774E3">
        <w:t>2022</w:t>
      </w:r>
      <w:r w:rsidRPr="00BB0DD9" w:rsidR="009110D9">
        <w:t>,</w:t>
      </w:r>
      <w:r w:rsidRPr="00BB0DD9">
        <w:t xml:space="preserve"> we will offer “critical item” </w:t>
      </w:r>
      <w:r w:rsidRPr="00BB0DD9" w:rsidR="00710F68">
        <w:t xml:space="preserve">completion </w:t>
      </w:r>
      <w:r w:rsidRPr="00BB0DD9">
        <w:t xml:space="preserve">by fax or phone. The “critical items” </w:t>
      </w:r>
      <w:r w:rsidRPr="00BB0DD9" w:rsidR="0030487E">
        <w:t xml:space="preserve">identified by NCES </w:t>
      </w:r>
      <w:r w:rsidRPr="00BB0DD9" w:rsidR="00FF1E92">
        <w:t xml:space="preserve">for </w:t>
      </w:r>
      <w:r w:rsidRPr="00BB0DD9" w:rsidR="00EB2527">
        <w:t>SSOCS:</w:t>
      </w:r>
      <w:r w:rsidRPr="00BB0DD9" w:rsidR="000774E3">
        <w:t xml:space="preserve">2022 </w:t>
      </w:r>
      <w:r w:rsidRPr="00BB0DD9" w:rsidR="009656D9">
        <w:t xml:space="preserve">include incidence data as well as </w:t>
      </w:r>
      <w:r w:rsidRPr="00BB0DD9" w:rsidR="006B6FAB">
        <w:t xml:space="preserve">data on </w:t>
      </w:r>
      <w:r w:rsidRPr="00BB0DD9" w:rsidR="009656D9">
        <w:t xml:space="preserve">school </w:t>
      </w:r>
      <w:r w:rsidRPr="00BB0DD9" w:rsidR="006B6FAB">
        <w:t>characteristics</w:t>
      </w:r>
      <w:r w:rsidRPr="00BB0DD9" w:rsidR="009656D9">
        <w:t xml:space="preserve">, consistent with </w:t>
      </w:r>
      <w:r w:rsidRPr="00BB0DD9" w:rsidR="00FF1E92">
        <w:t>SSOCS:</w:t>
      </w:r>
      <w:r w:rsidRPr="00BB0DD9" w:rsidR="00914BF4">
        <w:t>20</w:t>
      </w:r>
      <w:r w:rsidRPr="00BB0DD9" w:rsidR="000774E3">
        <w:t>18 and SSOCS:2020</w:t>
      </w:r>
      <w:r w:rsidRPr="00BB0DD9" w:rsidR="009656D9">
        <w:t xml:space="preserve">. The </w:t>
      </w:r>
      <w:r w:rsidRPr="00BB0DD9" w:rsidR="00C32B3E">
        <w:t>SSOCS:</w:t>
      </w:r>
      <w:r w:rsidRPr="00BB0DD9" w:rsidR="000774E3">
        <w:t xml:space="preserve">2022 </w:t>
      </w:r>
      <w:r w:rsidRPr="00BB0DD9" w:rsidR="00C32B3E">
        <w:t>critical items are analogous to the SSOCS:20</w:t>
      </w:r>
      <w:r w:rsidRPr="00BB0DD9" w:rsidR="000774E3">
        <w:t>20</w:t>
      </w:r>
      <w:r w:rsidRPr="00BB0DD9" w:rsidR="00C32B3E">
        <w:t xml:space="preserve"> items, </w:t>
      </w:r>
      <w:r w:rsidRPr="00BB0DD9" w:rsidR="0023233D">
        <w:t xml:space="preserve">with </w:t>
      </w:r>
      <w:r w:rsidRPr="00BB0DD9" w:rsidR="00C32B3E">
        <w:t xml:space="preserve">item numbers </w:t>
      </w:r>
      <w:r w:rsidRPr="00BB0DD9" w:rsidR="0023233D">
        <w:t xml:space="preserve">updated </w:t>
      </w:r>
      <w:r w:rsidRPr="00BB0DD9" w:rsidR="00C32B3E">
        <w:t xml:space="preserve">to match the </w:t>
      </w:r>
      <w:r w:rsidRPr="00BB0DD9" w:rsidR="0023233D">
        <w:t xml:space="preserve">revised </w:t>
      </w:r>
      <w:r w:rsidRPr="00BB0DD9" w:rsidR="00C32B3E">
        <w:t>SSOCS:</w:t>
      </w:r>
      <w:r w:rsidRPr="00BB0DD9" w:rsidR="000774E3">
        <w:t xml:space="preserve">2022 </w:t>
      </w:r>
      <w:r w:rsidRPr="00BB0DD9" w:rsidR="00C32B3E">
        <w:t xml:space="preserve">questionnaire: </w:t>
      </w:r>
      <w:r w:rsidR="008852AA">
        <w:t>15</w:t>
      </w:r>
      <w:r w:rsidRPr="00BB0DD9" w:rsidR="00C32B3E">
        <w:t xml:space="preserve">, </w:t>
      </w:r>
      <w:r w:rsidR="008852AA">
        <w:t>21</w:t>
      </w:r>
      <w:r w:rsidRPr="00BB0DD9" w:rsidR="00C32B3E">
        <w:t xml:space="preserve">, </w:t>
      </w:r>
      <w:r w:rsidR="008852AA">
        <w:t>22</w:t>
      </w:r>
      <w:r w:rsidRPr="00BB0DD9" w:rsidR="00C32B3E">
        <w:t xml:space="preserve">, </w:t>
      </w:r>
      <w:r w:rsidR="008852AA">
        <w:t>23</w:t>
      </w:r>
      <w:r w:rsidRPr="00BB0DD9" w:rsidR="00C32B3E">
        <w:t xml:space="preserve">, </w:t>
      </w:r>
      <w:r w:rsidR="008852AA">
        <w:t>25</w:t>
      </w:r>
      <w:r w:rsidRPr="00BB0DD9" w:rsidR="00C32B3E">
        <w:t xml:space="preserve">, </w:t>
      </w:r>
      <w:r w:rsidR="008852AA">
        <w:t>31</w:t>
      </w:r>
      <w:r w:rsidRPr="00BB0DD9" w:rsidR="00C32B3E">
        <w:t xml:space="preserve">, </w:t>
      </w:r>
      <w:r w:rsidR="008852AA">
        <w:t>32</w:t>
      </w:r>
      <w:r w:rsidRPr="00BB0DD9" w:rsidR="00C32B3E">
        <w:t xml:space="preserve">, </w:t>
      </w:r>
      <w:r w:rsidR="008852AA">
        <w:t>36</w:t>
      </w:r>
      <w:r w:rsidRPr="00BB0DD9" w:rsidR="00C32B3E">
        <w:t xml:space="preserve">, </w:t>
      </w:r>
      <w:r w:rsidR="00892790">
        <w:t>37,</w:t>
      </w:r>
      <w:r w:rsidRPr="00BB0DD9" w:rsidR="00C32B3E">
        <w:t xml:space="preserve"> </w:t>
      </w:r>
      <w:r w:rsidR="008852AA">
        <w:t>39</w:t>
      </w:r>
      <w:r w:rsidRPr="00BB0DD9" w:rsidR="00C32B3E">
        <w:t xml:space="preserve"> (column 1), </w:t>
      </w:r>
      <w:r w:rsidR="006C4C3E">
        <w:t xml:space="preserve">40, 41, </w:t>
      </w:r>
      <w:r w:rsidR="008852AA">
        <w:t>44</w:t>
      </w:r>
      <w:r w:rsidRPr="00BB0DD9" w:rsidR="00C32B3E">
        <w:t xml:space="preserve">, </w:t>
      </w:r>
      <w:r w:rsidR="008852AA">
        <w:t>45</w:t>
      </w:r>
      <w:r w:rsidRPr="00BB0DD9" w:rsidR="00C32B3E">
        <w:t xml:space="preserve">, </w:t>
      </w:r>
      <w:r w:rsidR="004A4D90">
        <w:t xml:space="preserve">46, </w:t>
      </w:r>
      <w:r w:rsidRPr="00BB0DD9" w:rsidR="00C32B3E">
        <w:t>4</w:t>
      </w:r>
      <w:r w:rsidR="004A4D90">
        <w:t>8</w:t>
      </w:r>
      <w:r w:rsidRPr="00BB0DD9" w:rsidR="00C32B3E">
        <w:t xml:space="preserve">, and </w:t>
      </w:r>
      <w:r w:rsidR="004A4D90">
        <w:t>49</w:t>
      </w:r>
      <w:r w:rsidRPr="00BB0DD9" w:rsidR="00C32B3E">
        <w:t>.</w:t>
      </w:r>
    </w:p>
    <w:p w:rsidRPr="00BB0DD9" w:rsidR="00AA7A29" w:rsidP="00614D39" w:rsidRDefault="009E4CA3" w14:paraId="36233633" w14:textId="5187BD70">
      <w:pPr>
        <w:pStyle w:val="Heading2"/>
        <w:jc w:val="left"/>
      </w:pPr>
      <w:bookmarkStart w:name="_Toc45701401" w:id="16"/>
      <w:bookmarkStart w:name="_Toc411895533" w:id="17"/>
      <w:bookmarkStart w:name="_Toc3478475" w:id="18"/>
      <w:r w:rsidRPr="00BB0DD9">
        <w:t>B</w:t>
      </w:r>
      <w:r w:rsidRPr="00BB0DD9" w:rsidR="00CD4B5C">
        <w:t>3</w:t>
      </w:r>
      <w:r w:rsidRPr="00BB0DD9" w:rsidR="002E789F">
        <w:t xml:space="preserve">. </w:t>
      </w:r>
      <w:r w:rsidRPr="00BB0DD9" w:rsidR="00AA7A29">
        <w:t>Methods to Maximize Response Rates</w:t>
      </w:r>
      <w:bookmarkEnd w:id="16"/>
      <w:bookmarkEnd w:id="17"/>
      <w:bookmarkEnd w:id="18"/>
    </w:p>
    <w:p w:rsidRPr="00BB0DD9" w:rsidR="007C6F40" w:rsidP="00E103F7" w:rsidRDefault="00AA7A29" w14:paraId="7FE31877" w14:textId="28E7A856">
      <w:pPr>
        <w:pStyle w:val="BodyText2"/>
        <w:spacing w:after="120" w:line="240" w:lineRule="auto"/>
        <w:rPr>
          <w:sz w:val="24"/>
        </w:rPr>
      </w:pPr>
      <w:r w:rsidRPr="00BB0DD9">
        <w:rPr>
          <w:sz w:val="24"/>
        </w:rPr>
        <w:t xml:space="preserve">NCES is committed to obtaining a high response rate in </w:t>
      </w:r>
      <w:r w:rsidRPr="00BB0DD9" w:rsidR="00EB2527">
        <w:rPr>
          <w:sz w:val="24"/>
        </w:rPr>
        <w:t>SSOCS:</w:t>
      </w:r>
      <w:r w:rsidRPr="00BB0DD9" w:rsidR="00865D1E">
        <w:rPr>
          <w:sz w:val="24"/>
        </w:rPr>
        <w:t>20</w:t>
      </w:r>
      <w:r w:rsidRPr="00BB0DD9" w:rsidR="000774E3">
        <w:rPr>
          <w:sz w:val="24"/>
        </w:rPr>
        <w:t>22</w:t>
      </w:r>
      <w:r w:rsidRPr="00BB0DD9" w:rsidR="002E789F">
        <w:rPr>
          <w:sz w:val="24"/>
        </w:rPr>
        <w:t xml:space="preserve">. </w:t>
      </w:r>
      <w:r w:rsidRPr="00BB0DD9" w:rsidR="00BC5630">
        <w:rPr>
          <w:sz w:val="24"/>
        </w:rPr>
        <w:t>In general, a</w:t>
      </w:r>
      <w:r w:rsidRPr="00BB0DD9">
        <w:rPr>
          <w:sz w:val="24"/>
        </w:rPr>
        <w:t xml:space="preserve"> key to achieving </w:t>
      </w:r>
      <w:r w:rsidRPr="00BB0DD9" w:rsidR="003949E6">
        <w:rPr>
          <w:sz w:val="24"/>
        </w:rPr>
        <w:t xml:space="preserve">a high </w:t>
      </w:r>
      <w:r w:rsidRPr="00BB0DD9">
        <w:rPr>
          <w:sz w:val="24"/>
        </w:rPr>
        <w:t xml:space="preserve">response rate is </w:t>
      </w:r>
      <w:r w:rsidRPr="00BB0DD9" w:rsidR="00557999">
        <w:rPr>
          <w:sz w:val="24"/>
        </w:rPr>
        <w:t>to track</w:t>
      </w:r>
      <w:r w:rsidRPr="00BB0DD9">
        <w:rPr>
          <w:sz w:val="24"/>
        </w:rPr>
        <w:t xml:space="preserve"> the response status of each sampled school, with telephone follow-up</w:t>
      </w:r>
      <w:r w:rsidRPr="00BB0DD9" w:rsidR="00193AE2">
        <w:rPr>
          <w:sz w:val="24"/>
        </w:rPr>
        <w:t>, as well as follow-up by mail and e</w:t>
      </w:r>
      <w:r w:rsidRPr="00BB0DD9" w:rsidR="000C0290">
        <w:rPr>
          <w:sz w:val="24"/>
        </w:rPr>
        <w:t>-</w:t>
      </w:r>
      <w:r w:rsidRPr="00BB0DD9" w:rsidR="00193AE2">
        <w:rPr>
          <w:sz w:val="24"/>
        </w:rPr>
        <w:t>mail,</w:t>
      </w:r>
      <w:r w:rsidRPr="00BB0DD9">
        <w:rPr>
          <w:sz w:val="24"/>
        </w:rPr>
        <w:t xml:space="preserve"> of those schools that do not respond promptly</w:t>
      </w:r>
      <w:r w:rsidRPr="00BB0DD9" w:rsidR="002E789F">
        <w:rPr>
          <w:sz w:val="24"/>
        </w:rPr>
        <w:t xml:space="preserve">. </w:t>
      </w:r>
      <w:r w:rsidRPr="00BB0DD9" w:rsidR="000A7D11">
        <w:rPr>
          <w:sz w:val="24"/>
        </w:rPr>
        <w:t>To help track response status</w:t>
      </w:r>
      <w:r w:rsidRPr="00BB0DD9" w:rsidR="00557999">
        <w:rPr>
          <w:sz w:val="24"/>
        </w:rPr>
        <w:t>,</w:t>
      </w:r>
      <w:r w:rsidRPr="00BB0DD9">
        <w:rPr>
          <w:sz w:val="24"/>
        </w:rPr>
        <w:t xml:space="preserve"> survey responses will be monitored through an automated receipt control system</w:t>
      </w:r>
      <w:r w:rsidRPr="00BB0DD9" w:rsidR="002E789F">
        <w:rPr>
          <w:sz w:val="24"/>
        </w:rPr>
        <w:t>.</w:t>
      </w:r>
    </w:p>
    <w:p w:rsidRPr="00BB0DD9" w:rsidR="0034311E" w:rsidP="00B744D9" w:rsidRDefault="003F0C2B" w14:paraId="79F44EBF" w14:textId="500E5D9B">
      <w:pPr>
        <w:pStyle w:val="BodyText2"/>
        <w:spacing w:after="120" w:line="240" w:lineRule="auto"/>
        <w:rPr>
          <w:sz w:val="24"/>
        </w:rPr>
      </w:pPr>
      <w:r w:rsidRPr="00BB0DD9">
        <w:rPr>
          <w:sz w:val="24"/>
        </w:rPr>
        <w:t xml:space="preserve">The decision to move to a primarily web-based instrument </w:t>
      </w:r>
      <w:r w:rsidR="003C0E47">
        <w:rPr>
          <w:sz w:val="24"/>
        </w:rPr>
        <w:t>starting with</w:t>
      </w:r>
      <w:r w:rsidRPr="00BB0DD9" w:rsidR="003C0E47">
        <w:rPr>
          <w:sz w:val="24"/>
        </w:rPr>
        <w:t xml:space="preserve"> SSOCS:202</w:t>
      </w:r>
      <w:r w:rsidR="003C0E47">
        <w:rPr>
          <w:sz w:val="24"/>
        </w:rPr>
        <w:t xml:space="preserve">0 </w:t>
      </w:r>
      <w:r w:rsidRPr="00BB0DD9">
        <w:rPr>
          <w:sz w:val="24"/>
        </w:rPr>
        <w:t xml:space="preserve">was based </w:t>
      </w:r>
      <w:r w:rsidRPr="00BB0DD9" w:rsidR="004D5F8E">
        <w:rPr>
          <w:sz w:val="24"/>
        </w:rPr>
        <w:t>on</w:t>
      </w:r>
      <w:r w:rsidRPr="00BB0DD9">
        <w:rPr>
          <w:sz w:val="24"/>
        </w:rPr>
        <w:t xml:space="preserve"> the results of the two SSOCS:2018 experiment</w:t>
      </w:r>
      <w:r w:rsidRPr="00BB0DD9" w:rsidR="00F523A5">
        <w:rPr>
          <w:sz w:val="24"/>
        </w:rPr>
        <w:t>s—a web-based mode and an incentive—to motivate principals to respond to the survey</w:t>
      </w:r>
      <w:r w:rsidRPr="00BB0DD9">
        <w:rPr>
          <w:sz w:val="24"/>
        </w:rPr>
        <w:t>. Analyses of these experiments resulted in the recommendation to include an incentive and allow web-based response</w:t>
      </w:r>
      <w:r w:rsidRPr="00BB0DD9" w:rsidR="004C0A1B">
        <w:rPr>
          <w:sz w:val="24"/>
        </w:rPr>
        <w:t>s</w:t>
      </w:r>
      <w:r w:rsidRPr="00BB0DD9">
        <w:rPr>
          <w:sz w:val="24"/>
        </w:rPr>
        <w:t xml:space="preserve"> as part of a mixed-mode methodology </w:t>
      </w:r>
      <w:r w:rsidRPr="00BB0DD9" w:rsidR="00B562BA">
        <w:rPr>
          <w:sz w:val="24"/>
        </w:rPr>
        <w:t>in</w:t>
      </w:r>
      <w:r w:rsidRPr="00BB0DD9">
        <w:rPr>
          <w:sz w:val="24"/>
        </w:rPr>
        <w:t xml:space="preserve"> future SSOCS administrations.</w:t>
      </w:r>
      <w:bookmarkStart w:name="_Hlk3367796" w:id="19"/>
      <w:r w:rsidRPr="00BB0DD9" w:rsidR="0059415B">
        <w:rPr>
          <w:sz w:val="24"/>
        </w:rPr>
        <w:t xml:space="preserve"> </w:t>
      </w:r>
      <w:r w:rsidRPr="00BB0DD9">
        <w:rPr>
          <w:sz w:val="24"/>
        </w:rPr>
        <w:lastRenderedPageBreak/>
        <w:t>Overall, offering an incentive was advantageous for SSOCS:2018, as it increased response rates and promoted significantly faster response times</w:t>
      </w:r>
      <w:r w:rsidR="001D0CE4">
        <w:rPr>
          <w:sz w:val="24"/>
        </w:rPr>
        <w:t>. As such, all schools will receive a $10 cash incentive at the first contact by mail for the SSOCS:2022 collection, and the incentives will be offered in a non-experimental manner given the results observed in SSOCS:2018.</w:t>
      </w:r>
    </w:p>
    <w:bookmarkEnd w:id="19"/>
    <w:p w:rsidRPr="00BB0DD9" w:rsidR="00A4532F" w:rsidP="00E103F7" w:rsidRDefault="009B15C2" w14:paraId="15C38FCE" w14:textId="048C3B5F">
      <w:pPr>
        <w:pStyle w:val="BodyText2"/>
        <w:spacing w:after="120" w:line="240" w:lineRule="auto"/>
        <w:rPr>
          <w:sz w:val="24"/>
        </w:rPr>
      </w:pPr>
      <w:r w:rsidRPr="00BB0DD9">
        <w:rPr>
          <w:sz w:val="24"/>
        </w:rPr>
        <w:t>SSOCS:2020 include</w:t>
      </w:r>
      <w:r w:rsidRPr="00BB0DD9" w:rsidR="00F523A5">
        <w:rPr>
          <w:sz w:val="24"/>
        </w:rPr>
        <w:t>d</w:t>
      </w:r>
      <w:r w:rsidRPr="00BB0DD9">
        <w:rPr>
          <w:sz w:val="24"/>
        </w:rPr>
        <w:t xml:space="preserve"> a modal experiment to test a navigation menu within the web instrument. </w:t>
      </w:r>
      <w:r w:rsidRPr="00BB0DD9" w:rsidR="00D96496">
        <w:rPr>
          <w:sz w:val="24"/>
        </w:rPr>
        <w:t xml:space="preserve">The goal of adding the navigation menu was to improve the instrument usability and reduce respondent burden. While the results of the experiment have not yet been fully analyzed, preliminary analyses indicate that the navigation menu did not negatively impact survey response. SSOCS:2022 will include the </w:t>
      </w:r>
      <w:r w:rsidRPr="00BB0DD9">
        <w:rPr>
          <w:sz w:val="24"/>
        </w:rPr>
        <w:t xml:space="preserve">navigation menu </w:t>
      </w:r>
      <w:r w:rsidRPr="00BB0DD9" w:rsidR="00D96496">
        <w:rPr>
          <w:sz w:val="24"/>
        </w:rPr>
        <w:t xml:space="preserve">for all sampled schools. </w:t>
      </w:r>
    </w:p>
    <w:p w:rsidRPr="00BB0DD9" w:rsidR="00840296" w:rsidP="007D2398" w:rsidRDefault="009B15C2" w14:paraId="45EF3887" w14:textId="4F8320C3">
      <w:pPr>
        <w:pStyle w:val="BodyText2"/>
        <w:widowControl w:val="0"/>
        <w:spacing w:after="120" w:line="240" w:lineRule="auto"/>
        <w:rPr>
          <w:sz w:val="24"/>
        </w:rPr>
      </w:pPr>
      <w:r w:rsidRPr="00BB0DD9">
        <w:rPr>
          <w:sz w:val="24"/>
        </w:rPr>
        <w:t>SSOCS:</w:t>
      </w:r>
      <w:r w:rsidRPr="00BB0DD9" w:rsidR="00F523A5">
        <w:rPr>
          <w:sz w:val="24"/>
        </w:rPr>
        <w:t>2022 will mail questionnaire packages to nonrespondents</w:t>
      </w:r>
      <w:r w:rsidR="005D7745">
        <w:rPr>
          <w:sz w:val="24"/>
        </w:rPr>
        <w:t>’ school addresses</w:t>
      </w:r>
      <w:r w:rsidRPr="00BB0DD9" w:rsidR="00F523A5">
        <w:rPr>
          <w:sz w:val="24"/>
        </w:rPr>
        <w:t xml:space="preserve"> using </w:t>
      </w:r>
      <w:r w:rsidRPr="00BB0DD9">
        <w:rPr>
          <w:sz w:val="24"/>
        </w:rPr>
        <w:t>Federal Express</w:t>
      </w:r>
      <w:r w:rsidRPr="00BB0DD9" w:rsidR="00F523A5">
        <w:rPr>
          <w:sz w:val="24"/>
        </w:rPr>
        <w:t xml:space="preserve"> </w:t>
      </w:r>
      <w:r w:rsidRPr="00BB0DD9">
        <w:rPr>
          <w:sz w:val="24"/>
        </w:rPr>
        <w:t xml:space="preserve">during the fourth and final mailing </w:t>
      </w:r>
      <w:proofErr w:type="gramStart"/>
      <w:r w:rsidRPr="00BB0DD9">
        <w:rPr>
          <w:sz w:val="24"/>
        </w:rPr>
        <w:t>in order to</w:t>
      </w:r>
      <w:proofErr w:type="gramEnd"/>
      <w:r w:rsidRPr="00BB0DD9">
        <w:rPr>
          <w:sz w:val="24"/>
        </w:rPr>
        <w:t xml:space="preserve"> make the questionnaire package stand out to nonrespondents.</w:t>
      </w:r>
    </w:p>
    <w:p w:rsidRPr="00BB0DD9" w:rsidR="007C6F40" w:rsidP="00E103F7" w:rsidRDefault="009B15C2" w14:paraId="462E9A8C" w14:textId="1B60DCAE">
      <w:pPr>
        <w:pStyle w:val="BodyText2"/>
        <w:spacing w:after="120" w:line="240" w:lineRule="auto"/>
        <w:rPr>
          <w:sz w:val="24"/>
        </w:rPr>
      </w:pPr>
      <w:r w:rsidRPr="00BB0DD9">
        <w:rPr>
          <w:sz w:val="24"/>
        </w:rPr>
        <w:t xml:space="preserve">All </w:t>
      </w:r>
      <w:r w:rsidRPr="00BB0DD9" w:rsidR="0013774D">
        <w:rPr>
          <w:sz w:val="24"/>
        </w:rPr>
        <w:t xml:space="preserve">mailed </w:t>
      </w:r>
      <w:r w:rsidRPr="00BB0DD9">
        <w:rPr>
          <w:sz w:val="24"/>
        </w:rPr>
        <w:t xml:space="preserve">SSOCS </w:t>
      </w:r>
      <w:r w:rsidRPr="00BB0DD9" w:rsidR="00782FD2">
        <w:rPr>
          <w:sz w:val="24"/>
        </w:rPr>
        <w:t xml:space="preserve">paper </w:t>
      </w:r>
      <w:r w:rsidRPr="00BB0DD9" w:rsidR="00AA7A29">
        <w:rPr>
          <w:sz w:val="24"/>
        </w:rPr>
        <w:t>questionnaire</w:t>
      </w:r>
      <w:r w:rsidRPr="00BB0DD9" w:rsidR="00782FD2">
        <w:rPr>
          <w:sz w:val="24"/>
        </w:rPr>
        <w:t>s</w:t>
      </w:r>
      <w:r w:rsidRPr="00BB0DD9" w:rsidR="00AA7A29">
        <w:rPr>
          <w:sz w:val="24"/>
        </w:rPr>
        <w:t xml:space="preserve"> will be accompanied by a postage-paid return reply envelope and </w:t>
      </w:r>
      <w:r w:rsidRPr="00BB0DD9" w:rsidR="00782FD2">
        <w:rPr>
          <w:sz w:val="24"/>
        </w:rPr>
        <w:t xml:space="preserve">a personalized letter </w:t>
      </w:r>
      <w:r w:rsidRPr="00BB0DD9" w:rsidR="00642EB3">
        <w:rPr>
          <w:sz w:val="24"/>
        </w:rPr>
        <w:t xml:space="preserve">and </w:t>
      </w:r>
      <w:r w:rsidRPr="00BB0DD9" w:rsidR="00782FD2">
        <w:rPr>
          <w:sz w:val="24"/>
        </w:rPr>
        <w:t xml:space="preserve">include a </w:t>
      </w:r>
      <w:r w:rsidRPr="00BB0DD9" w:rsidR="00AA7A29">
        <w:rPr>
          <w:sz w:val="24"/>
        </w:rPr>
        <w:t xml:space="preserve">toll-free number that </w:t>
      </w:r>
      <w:r w:rsidRPr="00BB0DD9" w:rsidR="00E613A7">
        <w:rPr>
          <w:sz w:val="24"/>
        </w:rPr>
        <w:t>respondents</w:t>
      </w:r>
      <w:r w:rsidRPr="00BB0DD9" w:rsidR="00AA7A29">
        <w:rPr>
          <w:sz w:val="24"/>
        </w:rPr>
        <w:t xml:space="preserve"> may call to resolve questions about the survey</w:t>
      </w:r>
      <w:r w:rsidRPr="00BB0DD9" w:rsidR="002E789F">
        <w:rPr>
          <w:sz w:val="24"/>
        </w:rPr>
        <w:t xml:space="preserve">. </w:t>
      </w:r>
      <w:r w:rsidRPr="00BB0DD9" w:rsidR="00E613A7">
        <w:rPr>
          <w:sz w:val="24"/>
        </w:rPr>
        <w:t>The letters</w:t>
      </w:r>
      <w:r w:rsidRPr="00BB0DD9" w:rsidR="00AA7A29">
        <w:rPr>
          <w:sz w:val="24"/>
        </w:rPr>
        <w:t xml:space="preserve"> </w:t>
      </w:r>
      <w:r w:rsidRPr="00BB0DD9" w:rsidR="00642EB3">
        <w:rPr>
          <w:sz w:val="24"/>
        </w:rPr>
        <w:t xml:space="preserve">will </w:t>
      </w:r>
      <w:r w:rsidRPr="00BB0DD9" w:rsidR="00AA7A29">
        <w:rPr>
          <w:sz w:val="24"/>
        </w:rPr>
        <w:t>also provide a means for seeking help by e</w:t>
      </w:r>
      <w:r w:rsidRPr="00BB0DD9" w:rsidR="00557999">
        <w:rPr>
          <w:sz w:val="24"/>
        </w:rPr>
        <w:noBreakHyphen/>
      </w:r>
      <w:r w:rsidRPr="00BB0DD9" w:rsidR="00AA7A29">
        <w:rPr>
          <w:sz w:val="24"/>
        </w:rPr>
        <w:t>mail</w:t>
      </w:r>
      <w:r w:rsidRPr="00BB0DD9" w:rsidR="002E789F">
        <w:rPr>
          <w:sz w:val="24"/>
        </w:rPr>
        <w:t xml:space="preserve">. </w:t>
      </w:r>
      <w:r w:rsidRPr="00BB0DD9" w:rsidR="00AA7A29">
        <w:rPr>
          <w:sz w:val="24"/>
        </w:rPr>
        <w:t xml:space="preserve">If a questionnaire is returned by the </w:t>
      </w:r>
      <w:r w:rsidRPr="00BB0DD9" w:rsidR="00557999">
        <w:rPr>
          <w:sz w:val="24"/>
        </w:rPr>
        <w:t>U.S. P</w:t>
      </w:r>
      <w:r w:rsidRPr="00BB0DD9" w:rsidR="00AA7A29">
        <w:rPr>
          <w:sz w:val="24"/>
        </w:rPr>
        <w:t xml:space="preserve">ostal </w:t>
      </w:r>
      <w:r w:rsidRPr="00BB0DD9" w:rsidR="00557999">
        <w:rPr>
          <w:sz w:val="24"/>
        </w:rPr>
        <w:t>S</w:t>
      </w:r>
      <w:r w:rsidRPr="00BB0DD9" w:rsidR="00AA7A29">
        <w:rPr>
          <w:sz w:val="24"/>
        </w:rPr>
        <w:t xml:space="preserve">ervice, </w:t>
      </w:r>
      <w:r w:rsidRPr="00BB0DD9" w:rsidR="00825D9A">
        <w:rPr>
          <w:sz w:val="24"/>
        </w:rPr>
        <w:t>the</w:t>
      </w:r>
      <w:r w:rsidRPr="00BB0DD9" w:rsidR="00AA7A29">
        <w:rPr>
          <w:sz w:val="24"/>
        </w:rPr>
        <w:t xml:space="preserve"> Census </w:t>
      </w:r>
      <w:r w:rsidRPr="00BB0DD9" w:rsidR="00825D9A">
        <w:rPr>
          <w:sz w:val="24"/>
        </w:rPr>
        <w:t xml:space="preserve">Bureau </w:t>
      </w:r>
      <w:r w:rsidRPr="00BB0DD9" w:rsidR="00AA7A29">
        <w:rPr>
          <w:sz w:val="24"/>
        </w:rPr>
        <w:t>will seek to verify the correct address and remail the questionnaire</w:t>
      </w:r>
      <w:r w:rsidRPr="00BB0DD9" w:rsidR="002E789F">
        <w:rPr>
          <w:sz w:val="24"/>
        </w:rPr>
        <w:t xml:space="preserve">. </w:t>
      </w:r>
      <w:r w:rsidRPr="00BB0DD9" w:rsidR="00E613A7">
        <w:rPr>
          <w:sz w:val="24"/>
        </w:rPr>
        <w:t>Likewise, if outgoing e</w:t>
      </w:r>
      <w:r w:rsidRPr="00BB0DD9" w:rsidR="00204BAE">
        <w:rPr>
          <w:sz w:val="24"/>
        </w:rPr>
        <w:t>-</w:t>
      </w:r>
      <w:r w:rsidRPr="00BB0DD9" w:rsidR="00E613A7">
        <w:rPr>
          <w:sz w:val="24"/>
        </w:rPr>
        <w:t>mails sent to respondents bounce back, the Census Bureau will perform research to obtain the correct address</w:t>
      </w:r>
      <w:r w:rsidRPr="00BB0DD9" w:rsidR="00204BAE">
        <w:rPr>
          <w:sz w:val="24"/>
        </w:rPr>
        <w:t>es</w:t>
      </w:r>
      <w:r w:rsidRPr="00BB0DD9" w:rsidR="00E613A7">
        <w:rPr>
          <w:sz w:val="24"/>
        </w:rPr>
        <w:t xml:space="preserve"> and </w:t>
      </w:r>
      <w:r w:rsidRPr="00BB0DD9" w:rsidR="00204BAE">
        <w:rPr>
          <w:sz w:val="24"/>
        </w:rPr>
        <w:t xml:space="preserve">then </w:t>
      </w:r>
      <w:r w:rsidRPr="00BB0DD9" w:rsidR="00E613A7">
        <w:rPr>
          <w:sz w:val="24"/>
        </w:rPr>
        <w:t>resend the e</w:t>
      </w:r>
      <w:r w:rsidRPr="00BB0DD9" w:rsidR="00204BAE">
        <w:rPr>
          <w:sz w:val="24"/>
        </w:rPr>
        <w:t>-</w:t>
      </w:r>
      <w:r w:rsidRPr="00BB0DD9" w:rsidR="00E613A7">
        <w:rPr>
          <w:sz w:val="24"/>
        </w:rPr>
        <w:t>mail</w:t>
      </w:r>
      <w:r w:rsidRPr="00BB0DD9" w:rsidR="00204BAE">
        <w:rPr>
          <w:sz w:val="24"/>
        </w:rPr>
        <w:t>s</w:t>
      </w:r>
      <w:r w:rsidRPr="00BB0DD9" w:rsidR="00E613A7">
        <w:rPr>
          <w:sz w:val="24"/>
        </w:rPr>
        <w:t>.</w:t>
      </w:r>
    </w:p>
    <w:p w:rsidRPr="00BB0DD9" w:rsidR="007C6F40" w:rsidP="00E103F7" w:rsidRDefault="00AA7A29" w14:paraId="04EBB685" w14:textId="5377E320">
      <w:pPr>
        <w:pStyle w:val="BodyText2"/>
        <w:spacing w:after="120" w:line="240" w:lineRule="auto"/>
        <w:rPr>
          <w:sz w:val="24"/>
        </w:rPr>
      </w:pPr>
      <w:r w:rsidRPr="00BB0DD9">
        <w:rPr>
          <w:sz w:val="24"/>
        </w:rPr>
        <w:t xml:space="preserve">All </w:t>
      </w:r>
      <w:r w:rsidRPr="00BB0DD9" w:rsidR="00E613A7">
        <w:rPr>
          <w:sz w:val="24"/>
        </w:rPr>
        <w:t xml:space="preserve">completed </w:t>
      </w:r>
      <w:r w:rsidRPr="00BB0DD9">
        <w:rPr>
          <w:sz w:val="24"/>
        </w:rPr>
        <w:t xml:space="preserve">questionnaires </w:t>
      </w:r>
      <w:r w:rsidRPr="00BB0DD9" w:rsidR="009B15C2">
        <w:rPr>
          <w:sz w:val="24"/>
        </w:rPr>
        <w:t>(both paper and web)</w:t>
      </w:r>
      <w:r w:rsidRPr="00BB0DD9" w:rsidR="00840296">
        <w:rPr>
          <w:sz w:val="24"/>
        </w:rPr>
        <w:t xml:space="preserve"> </w:t>
      </w:r>
      <w:r w:rsidRPr="00BB0DD9">
        <w:rPr>
          <w:sz w:val="24"/>
        </w:rPr>
        <w:t xml:space="preserve">that are received </w:t>
      </w:r>
      <w:r w:rsidRPr="00BB0DD9" w:rsidR="00E613A7">
        <w:rPr>
          <w:sz w:val="24"/>
        </w:rPr>
        <w:t xml:space="preserve">by the Census Bureau </w:t>
      </w:r>
      <w:r w:rsidRPr="00BB0DD9">
        <w:rPr>
          <w:sz w:val="24"/>
        </w:rPr>
        <w:t>will be reviewed for consistency and completeness</w:t>
      </w:r>
      <w:r w:rsidRPr="00BB0DD9" w:rsidR="00831E65">
        <w:rPr>
          <w:sz w:val="24"/>
        </w:rPr>
        <w:t>. I</w:t>
      </w:r>
      <w:r w:rsidRPr="00BB0DD9">
        <w:rPr>
          <w:sz w:val="24"/>
        </w:rPr>
        <w:t xml:space="preserve">f a questionnaire has too few items completed to be counted as a response (or if it has missing or conflicting data </w:t>
      </w:r>
      <w:r w:rsidRPr="00BB0DD9" w:rsidR="003949E6">
        <w:rPr>
          <w:sz w:val="24"/>
        </w:rPr>
        <w:t xml:space="preserve">for </w:t>
      </w:r>
      <w:r w:rsidRPr="00BB0DD9">
        <w:rPr>
          <w:sz w:val="24"/>
        </w:rPr>
        <w:t>key items), telephone interviewers will seek to obtain more complete responses</w:t>
      </w:r>
      <w:r w:rsidRPr="00BB0DD9" w:rsidR="002E789F">
        <w:rPr>
          <w:sz w:val="24"/>
        </w:rPr>
        <w:t xml:space="preserve">. </w:t>
      </w:r>
      <w:r w:rsidRPr="00BB0DD9" w:rsidR="00FC6F7B">
        <w:rPr>
          <w:sz w:val="24"/>
        </w:rPr>
        <w:t>Telephone interviews will be conducted only by Census Bureau interviewers</w:t>
      </w:r>
      <w:r w:rsidRPr="00BB0DD9" w:rsidR="00A17FD5">
        <w:rPr>
          <w:sz w:val="24"/>
        </w:rPr>
        <w:t xml:space="preserve"> </w:t>
      </w:r>
      <w:r w:rsidRPr="00BB0DD9">
        <w:rPr>
          <w:sz w:val="24"/>
        </w:rPr>
        <w:t xml:space="preserve">who have received training in </w:t>
      </w:r>
      <w:r w:rsidRPr="00BB0DD9" w:rsidR="00FC6F7B">
        <w:rPr>
          <w:sz w:val="24"/>
        </w:rPr>
        <w:t xml:space="preserve">general </w:t>
      </w:r>
      <w:r w:rsidRPr="00BB0DD9">
        <w:rPr>
          <w:sz w:val="24"/>
        </w:rPr>
        <w:t xml:space="preserve">telephone interview techniques </w:t>
      </w:r>
      <w:r w:rsidRPr="00BB0DD9" w:rsidR="00FC6F7B">
        <w:rPr>
          <w:sz w:val="24"/>
        </w:rPr>
        <w:t xml:space="preserve">as well as </w:t>
      </w:r>
      <w:r w:rsidRPr="00BB0DD9">
        <w:rPr>
          <w:sz w:val="24"/>
        </w:rPr>
        <w:t xml:space="preserve">specific training </w:t>
      </w:r>
      <w:r w:rsidRPr="00BB0DD9" w:rsidR="00FC6F7B">
        <w:rPr>
          <w:sz w:val="24"/>
        </w:rPr>
        <w:t>for</w:t>
      </w:r>
      <w:r w:rsidRPr="00BB0DD9">
        <w:rPr>
          <w:sz w:val="24"/>
        </w:rPr>
        <w:t xml:space="preserve"> SSOCS</w:t>
      </w:r>
      <w:r w:rsidRPr="00BB0DD9" w:rsidR="00FC6F7B">
        <w:rPr>
          <w:sz w:val="24"/>
        </w:rPr>
        <w:t xml:space="preserve">. </w:t>
      </w:r>
      <w:r w:rsidRPr="00BB0DD9">
        <w:rPr>
          <w:sz w:val="24"/>
        </w:rPr>
        <w:t xml:space="preserve">After data retrieval is completed, a questionnaire must have </w:t>
      </w:r>
      <w:r w:rsidRPr="00BB0DD9" w:rsidR="00FB3B3E">
        <w:rPr>
          <w:sz w:val="24"/>
        </w:rPr>
        <w:t>approximately</w:t>
      </w:r>
      <w:r w:rsidRPr="00BB0DD9">
        <w:rPr>
          <w:sz w:val="24"/>
        </w:rPr>
        <w:t xml:space="preserve"> 60 percent of all items and </w:t>
      </w:r>
      <w:r w:rsidRPr="00BB0DD9" w:rsidR="00FB3B3E">
        <w:rPr>
          <w:sz w:val="24"/>
        </w:rPr>
        <w:t>approximately</w:t>
      </w:r>
      <w:r w:rsidRPr="00BB0DD9">
        <w:rPr>
          <w:sz w:val="24"/>
        </w:rPr>
        <w:t xml:space="preserve"> </w:t>
      </w:r>
      <w:r w:rsidR="003554DA">
        <w:rPr>
          <w:sz w:val="24"/>
        </w:rPr>
        <w:t>76</w:t>
      </w:r>
      <w:r w:rsidRPr="00BB0DD9" w:rsidR="003554DA">
        <w:rPr>
          <w:sz w:val="24"/>
        </w:rPr>
        <w:t xml:space="preserve"> </w:t>
      </w:r>
      <w:r w:rsidRPr="00BB0DD9">
        <w:rPr>
          <w:sz w:val="24"/>
        </w:rPr>
        <w:t xml:space="preserve">percent of all </w:t>
      </w:r>
      <w:r w:rsidRPr="00BB0DD9" w:rsidR="0030487E">
        <w:rPr>
          <w:sz w:val="24"/>
        </w:rPr>
        <w:t>critical</w:t>
      </w:r>
      <w:r w:rsidRPr="00BB0DD9">
        <w:rPr>
          <w:sz w:val="24"/>
        </w:rPr>
        <w:t xml:space="preserve"> items completed to be considered valid for inclusion in the dataset</w:t>
      </w:r>
      <w:r w:rsidRPr="00BB0DD9" w:rsidR="002E789F">
        <w:rPr>
          <w:sz w:val="24"/>
        </w:rPr>
        <w:t xml:space="preserve">. </w:t>
      </w:r>
      <w:r w:rsidRPr="00BB0DD9">
        <w:rPr>
          <w:sz w:val="24"/>
        </w:rPr>
        <w:t>Responses of “don’t know”</w:t>
      </w:r>
      <w:r w:rsidRPr="00BB0DD9" w:rsidR="001202B9">
        <w:rPr>
          <w:sz w:val="24"/>
        </w:rPr>
        <w:t xml:space="preserve"> (which only apply to item</w:t>
      </w:r>
      <w:r w:rsidR="007B2841">
        <w:rPr>
          <w:sz w:val="24"/>
        </w:rPr>
        <w:t>s 5 and 20 on SSOCS:2022</w:t>
      </w:r>
      <w:r w:rsidRPr="00BB0DD9" w:rsidR="001202B9">
        <w:rPr>
          <w:sz w:val="24"/>
        </w:rPr>
        <w:t>)</w:t>
      </w:r>
      <w:r w:rsidRPr="00BB0DD9">
        <w:rPr>
          <w:sz w:val="24"/>
        </w:rPr>
        <w:t xml:space="preserve"> will not be considered as valid responses when counting the number of items completed</w:t>
      </w:r>
      <w:r w:rsidRPr="00BB0DD9" w:rsidR="002E789F">
        <w:rPr>
          <w:sz w:val="24"/>
        </w:rPr>
        <w:t>.</w:t>
      </w:r>
    </w:p>
    <w:p w:rsidRPr="00BB0DD9" w:rsidR="00AA7A29" w:rsidP="001B301E" w:rsidRDefault="00AA7A29" w14:paraId="61C5AEA2" w14:textId="77777777">
      <w:pPr>
        <w:pStyle w:val="Heading3"/>
      </w:pPr>
      <w:r w:rsidRPr="00BB0DD9">
        <w:t>Endorsements</w:t>
      </w:r>
    </w:p>
    <w:p w:rsidRPr="00BB0DD9" w:rsidR="004030F4" w:rsidP="00E103F7" w:rsidRDefault="00AA7A29" w14:paraId="07AD770F" w14:textId="39A2DA71">
      <w:pPr>
        <w:pStyle w:val="Footer"/>
        <w:spacing w:after="120"/>
        <w:rPr>
          <w:rFonts w:ascii="Times New Roman" w:hAnsi="Times New Roman"/>
          <w:b w:val="0"/>
          <w:sz w:val="24"/>
          <w:szCs w:val="24"/>
        </w:rPr>
      </w:pPr>
      <w:r w:rsidRPr="00BB0DD9">
        <w:rPr>
          <w:rFonts w:ascii="Times New Roman" w:hAnsi="Times New Roman"/>
          <w:b w:val="0"/>
          <w:sz w:val="24"/>
          <w:szCs w:val="24"/>
        </w:rPr>
        <w:t>To further increase the perceived legitimacy of the survey and thus improve the response rate,</w:t>
      </w:r>
      <w:r w:rsidRPr="00BB0DD9" w:rsidR="0013774D">
        <w:rPr>
          <w:rFonts w:ascii="Times New Roman" w:hAnsi="Times New Roman"/>
          <w:b w:val="0"/>
          <w:sz w:val="24"/>
          <w:szCs w:val="24"/>
        </w:rPr>
        <w:t xml:space="preserve"> Census will solicit endorsement from the </w:t>
      </w:r>
      <w:r w:rsidRPr="00BB0DD9" w:rsidR="00146F81">
        <w:rPr>
          <w:rFonts w:ascii="Times New Roman" w:hAnsi="Times New Roman"/>
          <w:b w:val="0"/>
          <w:sz w:val="24"/>
          <w:szCs w:val="24"/>
        </w:rPr>
        <w:t xml:space="preserve">following </w:t>
      </w:r>
      <w:r w:rsidRPr="00BB0DD9" w:rsidR="0013774D">
        <w:rPr>
          <w:rFonts w:ascii="Times New Roman" w:hAnsi="Times New Roman"/>
          <w:b w:val="0"/>
          <w:sz w:val="24"/>
          <w:szCs w:val="24"/>
        </w:rPr>
        <w:t xml:space="preserve">agencies and </w:t>
      </w:r>
      <w:r w:rsidRPr="00BB0DD9" w:rsidR="00146F81">
        <w:rPr>
          <w:rFonts w:ascii="Times New Roman" w:hAnsi="Times New Roman"/>
          <w:b w:val="0"/>
          <w:sz w:val="24"/>
          <w:szCs w:val="24"/>
        </w:rPr>
        <w:t>organizations</w:t>
      </w:r>
      <w:r w:rsidRPr="00BB0DD9" w:rsidR="00A64410">
        <w:rPr>
          <w:rFonts w:ascii="Times New Roman" w:hAnsi="Times New Roman"/>
          <w:b w:val="0"/>
          <w:sz w:val="24"/>
          <w:szCs w:val="24"/>
        </w:rPr>
        <w:t>:</w:t>
      </w:r>
    </w:p>
    <w:p w:rsidRPr="00BB0DD9" w:rsidR="0030487E" w:rsidP="003608A3" w:rsidRDefault="00AA7A29" w14:paraId="0329494D" w14:textId="19CDCFE6">
      <w:pPr>
        <w:pStyle w:val="BodyText"/>
        <w:numPr>
          <w:ilvl w:val="0"/>
          <w:numId w:val="18"/>
        </w:numPr>
        <w:spacing w:after="0"/>
        <w:ind w:left="720"/>
      </w:pPr>
      <w:r w:rsidRPr="00BB0DD9">
        <w:t>American Association of School Administrators</w:t>
      </w:r>
    </w:p>
    <w:p w:rsidRPr="00BB0DD9" w:rsidR="007C6F40" w:rsidP="003608A3" w:rsidRDefault="0030487E" w14:paraId="61EDD421" w14:textId="77777777">
      <w:pPr>
        <w:pStyle w:val="BodyText"/>
        <w:numPr>
          <w:ilvl w:val="0"/>
          <w:numId w:val="18"/>
        </w:numPr>
        <w:spacing w:after="0"/>
        <w:ind w:left="720"/>
      </w:pPr>
      <w:r w:rsidRPr="00BB0DD9">
        <w:t>American Federation of Teachers</w:t>
      </w:r>
    </w:p>
    <w:p w:rsidRPr="00BB0DD9" w:rsidR="007C6F40" w:rsidP="003608A3" w:rsidRDefault="0030487E" w14:paraId="7BEFE8ED" w14:textId="6D4903E8">
      <w:pPr>
        <w:pStyle w:val="BodyText"/>
        <w:numPr>
          <w:ilvl w:val="0"/>
          <w:numId w:val="18"/>
        </w:numPr>
        <w:spacing w:after="0"/>
        <w:ind w:left="720"/>
      </w:pPr>
      <w:r w:rsidRPr="00BB0DD9">
        <w:t>American School Counselors Association</w:t>
      </w:r>
    </w:p>
    <w:p w:rsidRPr="00BB0DD9" w:rsidR="009B15C2" w:rsidP="009B15C2" w:rsidRDefault="009B15C2" w14:paraId="6D618042" w14:textId="77777777">
      <w:pPr>
        <w:pStyle w:val="BodyText"/>
        <w:numPr>
          <w:ilvl w:val="0"/>
          <w:numId w:val="18"/>
        </w:numPr>
        <w:spacing w:after="0"/>
        <w:ind w:left="720"/>
      </w:pPr>
      <w:r w:rsidRPr="00BB0DD9">
        <w:t>Association for Middle Level Education</w:t>
      </w:r>
    </w:p>
    <w:p w:rsidRPr="00BB0DD9" w:rsidR="0030487E" w:rsidP="003608A3" w:rsidRDefault="0030487E" w14:paraId="3DC7D55E" w14:textId="04187B2E">
      <w:pPr>
        <w:pStyle w:val="BodyText"/>
        <w:numPr>
          <w:ilvl w:val="0"/>
          <w:numId w:val="18"/>
        </w:numPr>
        <w:spacing w:after="0"/>
        <w:ind w:left="720"/>
      </w:pPr>
      <w:r w:rsidRPr="00BB0DD9">
        <w:t>Association of American Educators</w:t>
      </w:r>
    </w:p>
    <w:p w:rsidRPr="00BB0DD9" w:rsidR="00A64410" w:rsidP="00A64410" w:rsidRDefault="00A64410" w14:paraId="6B08B43E" w14:textId="77777777">
      <w:pPr>
        <w:pStyle w:val="BodyText"/>
        <w:numPr>
          <w:ilvl w:val="0"/>
          <w:numId w:val="18"/>
        </w:numPr>
        <w:spacing w:after="0"/>
        <w:ind w:left="720"/>
      </w:pPr>
      <w:r w:rsidRPr="00BB0DD9">
        <w:t>Center for Prevention of School Violence</w:t>
      </w:r>
    </w:p>
    <w:p w:rsidRPr="00BB0DD9" w:rsidR="00A64410" w:rsidP="00A64410" w:rsidRDefault="00A64410" w14:paraId="47F79BB2" w14:textId="77777777">
      <w:pPr>
        <w:pStyle w:val="BodyText"/>
        <w:numPr>
          <w:ilvl w:val="0"/>
          <w:numId w:val="18"/>
        </w:numPr>
        <w:spacing w:after="0"/>
        <w:ind w:left="720"/>
      </w:pPr>
      <w:r w:rsidRPr="00BB0DD9">
        <w:t>Center for School Mental Health</w:t>
      </w:r>
    </w:p>
    <w:p w:rsidRPr="00BB0DD9" w:rsidR="007C6F40" w:rsidP="004D77C7" w:rsidRDefault="00172CB5" w14:paraId="6743DB19" w14:textId="77777777">
      <w:pPr>
        <w:pStyle w:val="BodyText"/>
        <w:numPr>
          <w:ilvl w:val="0"/>
          <w:numId w:val="18"/>
        </w:numPr>
        <w:spacing w:after="0"/>
        <w:ind w:left="720"/>
      </w:pPr>
      <w:r w:rsidRPr="00BB0DD9">
        <w:t>Council of Chief State School Officers</w:t>
      </w:r>
    </w:p>
    <w:p w:rsidRPr="00BB0DD9" w:rsidR="00146F81" w:rsidP="003608A3" w:rsidRDefault="00146F81" w14:paraId="313949A4" w14:textId="77777777">
      <w:pPr>
        <w:pStyle w:val="BodyText"/>
        <w:numPr>
          <w:ilvl w:val="0"/>
          <w:numId w:val="18"/>
        </w:numPr>
        <w:spacing w:after="0"/>
        <w:ind w:left="720"/>
      </w:pPr>
      <w:r w:rsidRPr="00BB0DD9">
        <w:t>Education Northwest</w:t>
      </w:r>
    </w:p>
    <w:p w:rsidRPr="00BB0DD9" w:rsidR="007C6F40" w:rsidP="003608A3" w:rsidRDefault="00AA7A29" w14:paraId="7DCAE035" w14:textId="77777777">
      <w:pPr>
        <w:pStyle w:val="BodyText"/>
        <w:numPr>
          <w:ilvl w:val="0"/>
          <w:numId w:val="18"/>
        </w:numPr>
        <w:spacing w:after="0"/>
        <w:ind w:left="720"/>
      </w:pPr>
      <w:r w:rsidRPr="00BB0DD9">
        <w:t>National Association of Elementary School Principals</w:t>
      </w:r>
    </w:p>
    <w:p w:rsidRPr="00BB0DD9" w:rsidR="00F14025" w:rsidP="003608A3" w:rsidRDefault="00F14025" w14:paraId="6B0843F8" w14:textId="77777777">
      <w:pPr>
        <w:pStyle w:val="BodyText"/>
        <w:numPr>
          <w:ilvl w:val="0"/>
          <w:numId w:val="18"/>
        </w:numPr>
        <w:spacing w:after="0"/>
        <w:ind w:left="720"/>
      </w:pPr>
      <w:r w:rsidRPr="00BB0DD9">
        <w:t>National Association of School Psychologists</w:t>
      </w:r>
    </w:p>
    <w:p w:rsidRPr="00BB0DD9" w:rsidR="00013359" w:rsidP="003608A3" w:rsidRDefault="003739F2" w14:paraId="37245E88" w14:textId="22B122B1">
      <w:pPr>
        <w:pStyle w:val="BodyText"/>
        <w:numPr>
          <w:ilvl w:val="0"/>
          <w:numId w:val="18"/>
        </w:numPr>
        <w:spacing w:after="0"/>
        <w:ind w:left="720"/>
      </w:pPr>
      <w:r w:rsidRPr="00BB0DD9">
        <w:t>National Association of School Resource Officers</w:t>
      </w:r>
    </w:p>
    <w:p w:rsidRPr="00BB0DD9" w:rsidR="00A64410" w:rsidP="00A64410" w:rsidRDefault="00A64410" w14:paraId="2E780F29" w14:textId="77777777">
      <w:pPr>
        <w:pStyle w:val="BodyText"/>
        <w:numPr>
          <w:ilvl w:val="0"/>
          <w:numId w:val="18"/>
        </w:numPr>
        <w:spacing w:after="0"/>
        <w:ind w:left="720"/>
      </w:pPr>
      <w:r w:rsidRPr="00BB0DD9">
        <w:t>National Association of School Safety and Law Enforcement Officers</w:t>
      </w:r>
    </w:p>
    <w:p w:rsidRPr="00BB0DD9" w:rsidR="00172CB5" w:rsidP="003608A3" w:rsidRDefault="00172CB5" w14:paraId="094B4E5E" w14:textId="77777777">
      <w:pPr>
        <w:pStyle w:val="BodyText"/>
        <w:numPr>
          <w:ilvl w:val="0"/>
          <w:numId w:val="18"/>
        </w:numPr>
        <w:spacing w:after="0"/>
        <w:ind w:left="720"/>
      </w:pPr>
      <w:r w:rsidRPr="00BB0DD9">
        <w:t>National Association of Secondary School Principals</w:t>
      </w:r>
    </w:p>
    <w:p w:rsidRPr="00BB0DD9" w:rsidR="00172CB5" w:rsidP="003608A3" w:rsidRDefault="00172CB5" w14:paraId="290A2027" w14:textId="77777777">
      <w:pPr>
        <w:pStyle w:val="BodyText"/>
        <w:numPr>
          <w:ilvl w:val="0"/>
          <w:numId w:val="18"/>
        </w:numPr>
        <w:spacing w:after="0"/>
        <w:ind w:left="720"/>
      </w:pPr>
      <w:r w:rsidRPr="00BB0DD9">
        <w:t>National Association of State Boards of Education</w:t>
      </w:r>
    </w:p>
    <w:p w:rsidRPr="00BB0DD9" w:rsidR="007C6F40" w:rsidP="003608A3" w:rsidRDefault="00172CB5" w14:paraId="04802DE5" w14:textId="4ED43B71">
      <w:pPr>
        <w:pStyle w:val="BodyText"/>
        <w:numPr>
          <w:ilvl w:val="0"/>
          <w:numId w:val="18"/>
        </w:numPr>
        <w:spacing w:after="0"/>
        <w:ind w:left="720"/>
      </w:pPr>
      <w:r w:rsidRPr="00BB0DD9">
        <w:t>National PTA</w:t>
      </w:r>
    </w:p>
    <w:p w:rsidRPr="00BB0DD9" w:rsidR="00A64410" w:rsidP="00A64410" w:rsidRDefault="00A64410" w14:paraId="78C3F454" w14:textId="77777777">
      <w:pPr>
        <w:pStyle w:val="BodyText"/>
        <w:numPr>
          <w:ilvl w:val="0"/>
          <w:numId w:val="18"/>
        </w:numPr>
        <w:spacing w:after="0"/>
        <w:ind w:left="720"/>
      </w:pPr>
      <w:r w:rsidRPr="00BB0DD9">
        <w:t>National School Boards Association</w:t>
      </w:r>
    </w:p>
    <w:p w:rsidRPr="00BB0DD9" w:rsidR="00172CB5" w:rsidP="003608A3" w:rsidRDefault="00172CB5" w14:paraId="446D66BC" w14:textId="28F551EE">
      <w:pPr>
        <w:pStyle w:val="BodyText"/>
        <w:numPr>
          <w:ilvl w:val="0"/>
          <w:numId w:val="18"/>
        </w:numPr>
        <w:spacing w:after="0"/>
        <w:ind w:left="720"/>
      </w:pPr>
      <w:r w:rsidRPr="00BB0DD9">
        <w:t>National School Safety Center</w:t>
      </w:r>
    </w:p>
    <w:p w:rsidRPr="00BB0DD9" w:rsidR="00A64410" w:rsidP="00A64410" w:rsidRDefault="00A64410" w14:paraId="5EF71F7A" w14:textId="77777777">
      <w:pPr>
        <w:pStyle w:val="BodyText"/>
        <w:numPr>
          <w:ilvl w:val="0"/>
          <w:numId w:val="18"/>
        </w:numPr>
        <w:spacing w:after="0"/>
        <w:ind w:left="720"/>
      </w:pPr>
      <w:r w:rsidRPr="00BB0DD9">
        <w:lastRenderedPageBreak/>
        <w:t>Police Executive Research Forum</w:t>
      </w:r>
    </w:p>
    <w:p w:rsidRPr="00BB0DD9" w:rsidR="00A64410" w:rsidP="003608A3" w:rsidRDefault="00A64410" w14:paraId="22A9CE97" w14:textId="77777777">
      <w:pPr>
        <w:pStyle w:val="BodyText"/>
        <w:numPr>
          <w:ilvl w:val="0"/>
          <w:numId w:val="18"/>
        </w:numPr>
        <w:spacing w:after="0"/>
        <w:ind w:left="720"/>
      </w:pPr>
      <w:r w:rsidRPr="00BB0DD9">
        <w:t>Safe Schools Initiative Division</w:t>
      </w:r>
    </w:p>
    <w:p w:rsidRPr="00BB0DD9" w:rsidR="00172CB5" w:rsidP="003608A3" w:rsidRDefault="00172CB5" w14:paraId="340B0B25" w14:textId="76C946B0">
      <w:pPr>
        <w:pStyle w:val="BodyText"/>
        <w:numPr>
          <w:ilvl w:val="0"/>
          <w:numId w:val="18"/>
        </w:numPr>
        <w:spacing w:after="0"/>
        <w:ind w:left="720"/>
      </w:pPr>
      <w:r w:rsidRPr="00BB0DD9">
        <w:t>School Safety Advocacy Council</w:t>
      </w:r>
    </w:p>
    <w:p w:rsidRPr="00BB0DD9" w:rsidR="00F14025" w:rsidP="00840296" w:rsidRDefault="00F14025" w14:paraId="26B763E8" w14:textId="77777777">
      <w:pPr>
        <w:pStyle w:val="BodyText"/>
        <w:numPr>
          <w:ilvl w:val="0"/>
          <w:numId w:val="18"/>
        </w:numPr>
        <w:spacing w:after="0"/>
        <w:ind w:left="720"/>
      </w:pPr>
      <w:r w:rsidRPr="00BB0DD9">
        <w:t>School Social Work Association of America</w:t>
      </w:r>
    </w:p>
    <w:p w:rsidRPr="00BB0DD9" w:rsidR="00A64410" w:rsidP="00A64410" w:rsidRDefault="00F14025" w14:paraId="1043A319" w14:textId="77777777">
      <w:pPr>
        <w:pStyle w:val="BodyText"/>
        <w:numPr>
          <w:ilvl w:val="0"/>
          <w:numId w:val="18"/>
        </w:numPr>
        <w:spacing w:after="0"/>
        <w:ind w:left="720"/>
      </w:pPr>
      <w:r w:rsidRPr="00BB0DD9">
        <w:t>UCLA Center for Mental Health in the Schools</w:t>
      </w:r>
      <w:r w:rsidRPr="00BB0DD9" w:rsidR="00A64410">
        <w:t xml:space="preserve"> </w:t>
      </w:r>
    </w:p>
    <w:p w:rsidRPr="00BB0DD9" w:rsidR="00A64410" w:rsidP="00A64410" w:rsidRDefault="00A64410" w14:paraId="2170B09B" w14:textId="3882E2CD">
      <w:pPr>
        <w:pStyle w:val="BodyText"/>
        <w:numPr>
          <w:ilvl w:val="0"/>
          <w:numId w:val="18"/>
        </w:numPr>
        <w:spacing w:after="0"/>
        <w:ind w:left="720"/>
      </w:pPr>
      <w:r w:rsidRPr="00BB0DD9">
        <w:t>University of Arkansas Criminal Justice Institute</w:t>
      </w:r>
    </w:p>
    <w:p w:rsidRPr="00BB0DD9" w:rsidR="00D60793" w:rsidP="00BB0DD9" w:rsidRDefault="00D60793" w14:paraId="42BBC3D9" w14:textId="77777777">
      <w:pPr>
        <w:pStyle w:val="BodyText"/>
        <w:spacing w:after="0"/>
      </w:pPr>
    </w:p>
    <w:p w:rsidRPr="00BB0DD9" w:rsidR="00AA7A29" w:rsidP="00614D39" w:rsidRDefault="00AA7A29" w14:paraId="33335FF4" w14:textId="4CA5B7FC">
      <w:pPr>
        <w:pStyle w:val="Heading2"/>
        <w:jc w:val="left"/>
      </w:pPr>
      <w:bookmarkStart w:name="_Toc411895534" w:id="20"/>
      <w:bookmarkStart w:name="_Toc3478476" w:id="21"/>
      <w:bookmarkStart w:name="_Toc45701403" w:id="22"/>
      <w:r w:rsidRPr="00BB0DD9">
        <w:t>B</w:t>
      </w:r>
      <w:r w:rsidRPr="00BB0DD9" w:rsidR="00CD4B5C">
        <w:t>4</w:t>
      </w:r>
      <w:r w:rsidRPr="00BB0DD9" w:rsidR="002E789F">
        <w:t xml:space="preserve">. </w:t>
      </w:r>
      <w:r w:rsidRPr="00BB0DD9">
        <w:t>Tests of Procedures</w:t>
      </w:r>
      <w:bookmarkEnd w:id="20"/>
      <w:bookmarkEnd w:id="21"/>
    </w:p>
    <w:bookmarkEnd w:id="22"/>
    <w:p w:rsidRPr="00BB0DD9" w:rsidR="00F57D16" w:rsidP="001B301E" w:rsidRDefault="00F57D16" w14:paraId="2997F691" w14:textId="2D49D71C">
      <w:pPr>
        <w:pStyle w:val="Heading3"/>
      </w:pPr>
      <w:r w:rsidRPr="00BB0DD9">
        <w:t>Cognitive Testing</w:t>
      </w:r>
    </w:p>
    <w:p w:rsidRPr="00BB0DD9" w:rsidR="00F53019" w:rsidP="00BB0DD9" w:rsidRDefault="00DB608E" w14:paraId="6BDF9214" w14:textId="2C60C6D3">
      <w:pPr>
        <w:pStyle w:val="BodyText"/>
      </w:pPr>
      <w:r w:rsidRPr="00BB0DD9">
        <w:t xml:space="preserve">As part of the </w:t>
      </w:r>
      <w:r w:rsidRPr="00BB0DD9" w:rsidR="00012E83">
        <w:t xml:space="preserve">development of </w:t>
      </w:r>
      <w:r w:rsidRPr="00BB0DD9" w:rsidR="007E4669">
        <w:t>SSOCS:20</w:t>
      </w:r>
      <w:r w:rsidRPr="00BB0DD9" w:rsidR="00D96496">
        <w:t>22</w:t>
      </w:r>
      <w:r w:rsidRPr="00BB0DD9">
        <w:t>, c</w:t>
      </w:r>
      <w:r w:rsidRPr="00BB0DD9" w:rsidR="00830DCD">
        <w:t xml:space="preserve">ognitive testing </w:t>
      </w:r>
      <w:r w:rsidRPr="00BB0DD9" w:rsidR="00D96496">
        <w:t xml:space="preserve">will be </w:t>
      </w:r>
      <w:r w:rsidRPr="00BB0DD9" w:rsidR="00FA7A1A">
        <w:t xml:space="preserve">conducted </w:t>
      </w:r>
      <w:r w:rsidRPr="00BB0DD9" w:rsidR="00830DCD">
        <w:t>with</w:t>
      </w:r>
      <w:r w:rsidRPr="00BB0DD9" w:rsidR="00D96496">
        <w:t xml:space="preserve"> school</w:t>
      </w:r>
      <w:r w:rsidR="00C305AA">
        <w:t xml:space="preserve"> </w:t>
      </w:r>
      <w:r w:rsidRPr="00BB0DD9">
        <w:t xml:space="preserve">administrators </w:t>
      </w:r>
      <w:r w:rsidRPr="00BB0DD9" w:rsidR="00FC6F7B">
        <w:t xml:space="preserve">during </w:t>
      </w:r>
      <w:r w:rsidRPr="00BB0DD9">
        <w:t xml:space="preserve">the </w:t>
      </w:r>
      <w:r w:rsidR="007B2841">
        <w:t xml:space="preserve">winter and </w:t>
      </w:r>
      <w:r w:rsidRPr="00BB0DD9" w:rsidR="00D96496">
        <w:t xml:space="preserve">spring of 2021. </w:t>
      </w:r>
      <w:r w:rsidRPr="00BB0DD9" w:rsidR="002869F6">
        <w:t>Th</w:t>
      </w:r>
      <w:r w:rsidRPr="00BB0DD9" w:rsidR="00625D1D">
        <w:t>e</w:t>
      </w:r>
      <w:r w:rsidRPr="00BB0DD9" w:rsidR="002869F6">
        <w:t xml:space="preserve"> cognitive testing</w:t>
      </w:r>
      <w:r w:rsidRPr="00BB0DD9" w:rsidR="00D96496">
        <w:t xml:space="preserve"> will</w:t>
      </w:r>
      <w:r w:rsidRPr="00BB0DD9" w:rsidR="002869F6">
        <w:t xml:space="preserve"> concentrate on new items</w:t>
      </w:r>
      <w:r w:rsidRPr="00BB0DD9" w:rsidR="00D96496">
        <w:t xml:space="preserve"> pertaining to the COVID-19 pandemic that caused widespread school closures</w:t>
      </w:r>
      <w:r w:rsidRPr="00BB0DD9" w:rsidR="003E2C31">
        <w:t xml:space="preserve">, and significant changes to school policies and disruptions to their delivery of instruction to students in 2020 and 2021. The new COVID-19 pandemic questions included in attachment B of this submission may </w:t>
      </w:r>
      <w:r w:rsidR="00C305AA">
        <w:t xml:space="preserve">be </w:t>
      </w:r>
      <w:r w:rsidRPr="00BB0DD9" w:rsidR="003E2C31">
        <w:t>revised in a later change request depending on the findings from the forthcoming cognitive testing</w:t>
      </w:r>
      <w:r w:rsidRPr="00BB0DD9" w:rsidR="00F53019">
        <w:t>.</w:t>
      </w:r>
    </w:p>
    <w:p w:rsidRPr="00BB0DD9" w:rsidR="00AA7A29" w:rsidP="00614D39" w:rsidRDefault="00AA7A29" w14:paraId="5141F0A2" w14:textId="5949ABC3">
      <w:pPr>
        <w:pStyle w:val="Heading2"/>
        <w:jc w:val="left"/>
      </w:pPr>
      <w:bookmarkStart w:name="_Toc45701410" w:id="23"/>
      <w:bookmarkStart w:name="_Toc411895535" w:id="24"/>
      <w:bookmarkStart w:name="_Toc3478477" w:id="25"/>
      <w:r w:rsidRPr="00BB0DD9">
        <w:t>B</w:t>
      </w:r>
      <w:r w:rsidRPr="00BB0DD9" w:rsidR="002F3B9E">
        <w:t>5</w:t>
      </w:r>
      <w:r w:rsidRPr="00BB0DD9" w:rsidR="002E789F">
        <w:t xml:space="preserve">. </w:t>
      </w:r>
      <w:r w:rsidRPr="00BB0DD9">
        <w:t>Individuals Responsible for Study Design and Performance</w:t>
      </w:r>
      <w:bookmarkEnd w:id="23"/>
      <w:bookmarkEnd w:id="24"/>
      <w:bookmarkEnd w:id="25"/>
    </w:p>
    <w:p w:rsidRPr="00BB0DD9" w:rsidR="009B15C2" w:rsidP="009B15C2" w:rsidRDefault="00381E5A" w14:paraId="755C94BA" w14:textId="470E7F66">
      <w:pPr>
        <w:spacing w:after="120"/>
      </w:pPr>
      <w:r w:rsidRPr="00BB0DD9">
        <w:t xml:space="preserve">Several </w:t>
      </w:r>
      <w:r w:rsidRPr="00BB0DD9" w:rsidR="009B15C2">
        <w:t>key staff responsible for the study design and performance of SSOCS:</w:t>
      </w:r>
      <w:r w:rsidRPr="00BB0DD9" w:rsidR="00A64410">
        <w:t>2022</w:t>
      </w:r>
      <w:r w:rsidRPr="00BB0DD9">
        <w:t>. They</w:t>
      </w:r>
      <w:r w:rsidRPr="00BB0DD9" w:rsidR="00A64410">
        <w:t xml:space="preserve"> </w:t>
      </w:r>
      <w:r w:rsidRPr="00BB0DD9" w:rsidR="009B15C2">
        <w:t>are:</w:t>
      </w:r>
    </w:p>
    <w:p w:rsidRPr="00BB0DD9" w:rsidR="009B15C2" w:rsidP="009B15C2" w:rsidRDefault="009B15C2" w14:paraId="7BC29948" w14:textId="77777777">
      <w:pPr>
        <w:numPr>
          <w:ilvl w:val="0"/>
          <w:numId w:val="19"/>
        </w:numPr>
      </w:pPr>
      <w:r w:rsidRPr="00BB0DD9">
        <w:t>Rachel Hansen, Project Director, National Center for Education Statistics</w:t>
      </w:r>
    </w:p>
    <w:p w:rsidRPr="00BB0DD9" w:rsidR="009B15C2" w:rsidP="009B15C2" w:rsidRDefault="009B15C2" w14:paraId="737F46C7" w14:textId="77777777">
      <w:pPr>
        <w:numPr>
          <w:ilvl w:val="0"/>
          <w:numId w:val="19"/>
        </w:numPr>
      </w:pPr>
      <w:r w:rsidRPr="00BB0DD9">
        <w:t>Jana Kemp, American Institutes for Research</w:t>
      </w:r>
    </w:p>
    <w:p w:rsidR="009B15C2" w:rsidP="009B15C2" w:rsidRDefault="009B15C2" w14:paraId="35AC8BEB" w14:textId="0E4B1937">
      <w:pPr>
        <w:numPr>
          <w:ilvl w:val="0"/>
          <w:numId w:val="19"/>
        </w:numPr>
      </w:pPr>
      <w:r w:rsidRPr="00BB0DD9">
        <w:t>Michael Jackson, American Institutes for Research</w:t>
      </w:r>
    </w:p>
    <w:p w:rsidR="00C305AA" w:rsidP="009B15C2" w:rsidRDefault="00C305AA" w14:paraId="721306D4" w14:textId="358AC022">
      <w:pPr>
        <w:numPr>
          <w:ilvl w:val="0"/>
          <w:numId w:val="19"/>
        </w:numPr>
      </w:pPr>
      <w:r>
        <w:t>Riley Burr, American Institutes for Research</w:t>
      </w:r>
    </w:p>
    <w:p w:rsidR="00C305AA" w:rsidP="009B15C2" w:rsidRDefault="00C305AA" w14:paraId="26F9B065" w14:textId="12A526AA">
      <w:pPr>
        <w:numPr>
          <w:ilvl w:val="0"/>
          <w:numId w:val="19"/>
        </w:numPr>
      </w:pPr>
      <w:r>
        <w:t>Talia Kaatz, American Institutes for Research</w:t>
      </w:r>
    </w:p>
    <w:p w:rsidRPr="00BB0DD9" w:rsidR="00C305AA" w:rsidP="009B15C2" w:rsidRDefault="00C305AA" w14:paraId="38C0A218" w14:textId="47D0F13F">
      <w:pPr>
        <w:numPr>
          <w:ilvl w:val="0"/>
          <w:numId w:val="19"/>
        </w:numPr>
      </w:pPr>
      <w:r>
        <w:t>Ke Wang, American Institutes for Research</w:t>
      </w:r>
    </w:p>
    <w:p w:rsidRPr="00BB0DD9" w:rsidR="009B15C2" w:rsidP="009B15C2" w:rsidRDefault="009B15C2" w14:paraId="3604A554" w14:textId="77777777">
      <w:pPr>
        <w:numPr>
          <w:ilvl w:val="0"/>
          <w:numId w:val="19"/>
        </w:numPr>
      </w:pPr>
      <w:r w:rsidRPr="00BB0DD9">
        <w:t>Shawna Cox, U.S. Census Bureau</w:t>
      </w:r>
    </w:p>
    <w:p w:rsidRPr="00BB0DD9" w:rsidR="009B15C2" w:rsidP="009B15C2" w:rsidRDefault="009B15C2" w14:paraId="6B47500B" w14:textId="77777777">
      <w:pPr>
        <w:numPr>
          <w:ilvl w:val="0"/>
          <w:numId w:val="19"/>
        </w:numPr>
      </w:pPr>
      <w:r w:rsidRPr="00BB0DD9">
        <w:t>Walter Holmes, U.S. Census Bureau</w:t>
      </w:r>
    </w:p>
    <w:p w:rsidRPr="00BB0DD9" w:rsidR="009B15C2" w:rsidP="009B15C2" w:rsidRDefault="009B15C2" w14:paraId="2C1B9FA8" w14:textId="77777777">
      <w:pPr>
        <w:numPr>
          <w:ilvl w:val="0"/>
          <w:numId w:val="19"/>
        </w:numPr>
      </w:pPr>
      <w:r w:rsidRPr="00BB0DD9">
        <w:t>Kombo Gbondo Tugbawa, U.S. Census Bureau</w:t>
      </w:r>
    </w:p>
    <w:p w:rsidRPr="00BB0DD9" w:rsidR="009B15C2" w:rsidP="009B15C2" w:rsidRDefault="009B15C2" w14:paraId="3AC8BB69" w14:textId="77777777">
      <w:pPr>
        <w:numPr>
          <w:ilvl w:val="0"/>
          <w:numId w:val="19"/>
        </w:numPr>
      </w:pPr>
      <w:r w:rsidRPr="00BB0DD9">
        <w:t>Aaron Gilary, U.S. Census Bureau</w:t>
      </w:r>
    </w:p>
    <w:p w:rsidR="009B15C2" w:rsidP="009B15C2" w:rsidRDefault="009B15C2" w14:paraId="41CA7AA5" w14:textId="17B85C9B">
      <w:pPr>
        <w:numPr>
          <w:ilvl w:val="0"/>
          <w:numId w:val="19"/>
        </w:numPr>
      </w:pPr>
      <w:r w:rsidRPr="00BB0DD9">
        <w:t>Alfred Meier, U.S. Census Bureau</w:t>
      </w:r>
    </w:p>
    <w:p w:rsidRPr="00BB0DD9" w:rsidR="007B2841" w:rsidP="009B15C2" w:rsidRDefault="007B2841" w14:paraId="16C55285" w14:textId="54C15E60">
      <w:pPr>
        <w:numPr>
          <w:ilvl w:val="0"/>
          <w:numId w:val="19"/>
        </w:numPr>
      </w:pPr>
      <w:r>
        <w:t>Dillon Simon, U.S. Census Bureau</w:t>
      </w:r>
    </w:p>
    <w:p w:rsidRPr="00D30B90" w:rsidR="00E02EDF" w:rsidP="009B15C2" w:rsidRDefault="00E02EDF" w14:paraId="19CD92F7" w14:textId="2EF48344">
      <w:pPr>
        <w:ind w:left="720"/>
      </w:pPr>
    </w:p>
    <w:sectPr w:rsidRPr="00D30B90" w:rsidR="00E02EDF" w:rsidSect="008B7011">
      <w:footerReference w:type="default" r:id="rId16"/>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547C" w14:textId="77777777" w:rsidR="000C349F" w:rsidRDefault="000C349F">
      <w:r>
        <w:separator/>
      </w:r>
    </w:p>
  </w:endnote>
  <w:endnote w:type="continuationSeparator" w:id="0">
    <w:p w14:paraId="6CAB1B7B" w14:textId="77777777" w:rsidR="000C349F" w:rsidRDefault="000C349F">
      <w:r>
        <w:continuationSeparator/>
      </w:r>
    </w:p>
  </w:endnote>
  <w:endnote w:type="continuationNotice" w:id="1">
    <w:p w14:paraId="6843B5A8" w14:textId="77777777" w:rsidR="000C349F" w:rsidRDefault="000C3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95427F" w:rsidRDefault="00954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95427F" w:rsidRDefault="0095427F">
    <w:pPr>
      <w:pStyle w:val="Footer"/>
      <w:rPr>
        <w:rStyle w:val="PageNumber"/>
      </w:rPr>
    </w:pPr>
  </w:p>
  <w:p w14:paraId="7C61F5D9" w14:textId="77777777" w:rsidR="0095427F" w:rsidRDefault="00954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95427F" w:rsidRDefault="00954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95427F" w:rsidRDefault="00954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95427F" w:rsidRDefault="00954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95427F" w:rsidRDefault="0095427F">
    <w:pPr>
      <w:pStyle w:val="Footer"/>
      <w:rPr>
        <w:rStyle w:val="PageNumber"/>
      </w:rPr>
    </w:pPr>
  </w:p>
  <w:p w14:paraId="591AF236" w14:textId="77777777" w:rsidR="0095427F" w:rsidRDefault="009542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95427F" w:rsidRDefault="00954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95427F" w:rsidRDefault="0095427F">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95427F" w:rsidRPr="00F905B6" w:rsidRDefault="0095427F"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F1CF" w14:textId="77777777" w:rsidR="000C349F" w:rsidRDefault="000C349F">
      <w:r>
        <w:separator/>
      </w:r>
    </w:p>
  </w:footnote>
  <w:footnote w:type="continuationSeparator" w:id="0">
    <w:p w14:paraId="0484AD92" w14:textId="77777777" w:rsidR="000C349F" w:rsidRDefault="000C349F">
      <w:r>
        <w:continuationSeparator/>
      </w:r>
    </w:p>
  </w:footnote>
  <w:footnote w:type="continuationNotice" w:id="1">
    <w:p w14:paraId="2A14A391" w14:textId="77777777" w:rsidR="000C349F" w:rsidRDefault="000C349F"/>
  </w:footnote>
  <w:footnote w:id="2">
    <w:p w14:paraId="2A5EA788" w14:textId="38CC093C" w:rsidR="0095427F" w:rsidRDefault="0095427F" w:rsidP="0095427F">
      <w:pPr>
        <w:pStyle w:val="FootnoteText"/>
        <w:ind w:left="90" w:hanging="90"/>
      </w:pPr>
      <w:r>
        <w:rPr>
          <w:rStyle w:val="FootnoteReference"/>
        </w:rPr>
        <w:footnoteRef/>
      </w:r>
      <w:r>
        <w:t xml:space="preserve"> Sampled schools</w:t>
      </w:r>
      <w:r w:rsidRPr="00854218">
        <w:t xml:space="preserve"> that are in districts which do not allow gifts or payments to employees will not receive</w:t>
      </w:r>
      <w:r>
        <w:t xml:space="preserve"> a cash incentive.</w:t>
      </w:r>
    </w:p>
  </w:footnote>
  <w:footnote w:id="3">
    <w:p w14:paraId="0C5E6CCA" w14:textId="3078154C" w:rsidR="001D0CE4" w:rsidRDefault="001D0CE4" w:rsidP="001D0CE4">
      <w:pPr>
        <w:pStyle w:val="FootnoteText"/>
        <w:ind w:left="90" w:hanging="90"/>
      </w:pPr>
      <w:r>
        <w:rPr>
          <w:rStyle w:val="FootnoteReference"/>
        </w:rPr>
        <w:footnoteRef/>
      </w:r>
      <w:r>
        <w:t xml:space="preserve"> Sampled schools</w:t>
      </w:r>
      <w:r w:rsidRPr="00854218">
        <w:t xml:space="preserve"> that are in districts which do not allow gifts or payments to employees will not receive</w:t>
      </w:r>
      <w:r>
        <w:t xml:space="preserve"> a cash incentive, and they will receive contact materials with the </w:t>
      </w:r>
      <w:r w:rsidRPr="00854218">
        <w:t>incentive language</w:t>
      </w:r>
      <w:r>
        <w:t xml:space="preserve"> removed.</w:t>
      </w:r>
    </w:p>
    <w:p w14:paraId="5FDA16FB" w14:textId="1D803E87" w:rsidR="001D0CE4" w:rsidRDefault="001D0C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95427F" w:rsidRDefault="00954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95427F" w:rsidRDefault="00954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FFC"/>
    <w:multiLevelType w:val="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2"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4925"/>
    <w:rsid w:val="00005B83"/>
    <w:rsid w:val="0000777A"/>
    <w:rsid w:val="00010A3A"/>
    <w:rsid w:val="00012E83"/>
    <w:rsid w:val="00013359"/>
    <w:rsid w:val="000135F4"/>
    <w:rsid w:val="0001470A"/>
    <w:rsid w:val="000149D3"/>
    <w:rsid w:val="00017730"/>
    <w:rsid w:val="00017D5C"/>
    <w:rsid w:val="00017FDD"/>
    <w:rsid w:val="000205B2"/>
    <w:rsid w:val="00021178"/>
    <w:rsid w:val="00021549"/>
    <w:rsid w:val="0002708C"/>
    <w:rsid w:val="00030217"/>
    <w:rsid w:val="000309E3"/>
    <w:rsid w:val="00035715"/>
    <w:rsid w:val="00036B5A"/>
    <w:rsid w:val="00036E49"/>
    <w:rsid w:val="00037C5A"/>
    <w:rsid w:val="0004185E"/>
    <w:rsid w:val="000433F6"/>
    <w:rsid w:val="00044767"/>
    <w:rsid w:val="0005407D"/>
    <w:rsid w:val="000553FC"/>
    <w:rsid w:val="00055CB5"/>
    <w:rsid w:val="00055D14"/>
    <w:rsid w:val="000560AA"/>
    <w:rsid w:val="000620B1"/>
    <w:rsid w:val="00063815"/>
    <w:rsid w:val="00066082"/>
    <w:rsid w:val="000667B4"/>
    <w:rsid w:val="000668E0"/>
    <w:rsid w:val="00067A39"/>
    <w:rsid w:val="00072C9D"/>
    <w:rsid w:val="00073497"/>
    <w:rsid w:val="00073BC4"/>
    <w:rsid w:val="0007449C"/>
    <w:rsid w:val="00074EFD"/>
    <w:rsid w:val="00075DFB"/>
    <w:rsid w:val="00076C7A"/>
    <w:rsid w:val="000774E3"/>
    <w:rsid w:val="00080DA9"/>
    <w:rsid w:val="000835F6"/>
    <w:rsid w:val="00085AE7"/>
    <w:rsid w:val="0008700C"/>
    <w:rsid w:val="00094896"/>
    <w:rsid w:val="00095975"/>
    <w:rsid w:val="0009601D"/>
    <w:rsid w:val="000968DF"/>
    <w:rsid w:val="000A0E45"/>
    <w:rsid w:val="000A0FAD"/>
    <w:rsid w:val="000A15CC"/>
    <w:rsid w:val="000A2134"/>
    <w:rsid w:val="000A2622"/>
    <w:rsid w:val="000A4EA8"/>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349F"/>
    <w:rsid w:val="000C41DE"/>
    <w:rsid w:val="000C4815"/>
    <w:rsid w:val="000C58A5"/>
    <w:rsid w:val="000C60D7"/>
    <w:rsid w:val="000C65AC"/>
    <w:rsid w:val="000C7146"/>
    <w:rsid w:val="000C7857"/>
    <w:rsid w:val="000D01F1"/>
    <w:rsid w:val="000D06AF"/>
    <w:rsid w:val="000D34CE"/>
    <w:rsid w:val="000D4EF9"/>
    <w:rsid w:val="000D7263"/>
    <w:rsid w:val="000D7AE2"/>
    <w:rsid w:val="000D7BED"/>
    <w:rsid w:val="000E0C92"/>
    <w:rsid w:val="000E13AF"/>
    <w:rsid w:val="000E2165"/>
    <w:rsid w:val="000E27D3"/>
    <w:rsid w:val="000E2CD9"/>
    <w:rsid w:val="000E54E4"/>
    <w:rsid w:val="000F4035"/>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5AE"/>
    <w:rsid w:val="00146F81"/>
    <w:rsid w:val="00152DC6"/>
    <w:rsid w:val="00154E74"/>
    <w:rsid w:val="00155597"/>
    <w:rsid w:val="001570C7"/>
    <w:rsid w:val="00161223"/>
    <w:rsid w:val="00161BB1"/>
    <w:rsid w:val="00162030"/>
    <w:rsid w:val="00162EC1"/>
    <w:rsid w:val="00164DAB"/>
    <w:rsid w:val="00167242"/>
    <w:rsid w:val="00170026"/>
    <w:rsid w:val="00170580"/>
    <w:rsid w:val="00172CB5"/>
    <w:rsid w:val="00174079"/>
    <w:rsid w:val="001740C1"/>
    <w:rsid w:val="00174E45"/>
    <w:rsid w:val="00174FAB"/>
    <w:rsid w:val="001761CE"/>
    <w:rsid w:val="00176E6A"/>
    <w:rsid w:val="001779FC"/>
    <w:rsid w:val="00180C6F"/>
    <w:rsid w:val="00180CA8"/>
    <w:rsid w:val="00181129"/>
    <w:rsid w:val="001814E7"/>
    <w:rsid w:val="00182854"/>
    <w:rsid w:val="0018404A"/>
    <w:rsid w:val="0018443B"/>
    <w:rsid w:val="00186326"/>
    <w:rsid w:val="0018727B"/>
    <w:rsid w:val="001916F9"/>
    <w:rsid w:val="00193470"/>
    <w:rsid w:val="00193AE2"/>
    <w:rsid w:val="00193C47"/>
    <w:rsid w:val="00197A37"/>
    <w:rsid w:val="001A4784"/>
    <w:rsid w:val="001A4CCC"/>
    <w:rsid w:val="001A5CC6"/>
    <w:rsid w:val="001A6856"/>
    <w:rsid w:val="001A7566"/>
    <w:rsid w:val="001A756B"/>
    <w:rsid w:val="001A7BEE"/>
    <w:rsid w:val="001A7D20"/>
    <w:rsid w:val="001B0D2B"/>
    <w:rsid w:val="001B24A8"/>
    <w:rsid w:val="001B301E"/>
    <w:rsid w:val="001B40AC"/>
    <w:rsid w:val="001B524F"/>
    <w:rsid w:val="001C1DDC"/>
    <w:rsid w:val="001C1FF3"/>
    <w:rsid w:val="001C21B6"/>
    <w:rsid w:val="001C3BA0"/>
    <w:rsid w:val="001D0CE4"/>
    <w:rsid w:val="001D230B"/>
    <w:rsid w:val="001D4FD9"/>
    <w:rsid w:val="001D5523"/>
    <w:rsid w:val="001D554D"/>
    <w:rsid w:val="001D5EA5"/>
    <w:rsid w:val="001E006A"/>
    <w:rsid w:val="001E3B5E"/>
    <w:rsid w:val="001E4AAF"/>
    <w:rsid w:val="001E4DC5"/>
    <w:rsid w:val="001E6C42"/>
    <w:rsid w:val="001E6E41"/>
    <w:rsid w:val="001F00DF"/>
    <w:rsid w:val="001F403E"/>
    <w:rsid w:val="001F6E5B"/>
    <w:rsid w:val="001F7446"/>
    <w:rsid w:val="002029DE"/>
    <w:rsid w:val="00204BAE"/>
    <w:rsid w:val="002057A1"/>
    <w:rsid w:val="002063B9"/>
    <w:rsid w:val="00207B70"/>
    <w:rsid w:val="00210367"/>
    <w:rsid w:val="002107AA"/>
    <w:rsid w:val="00214B8B"/>
    <w:rsid w:val="00214C26"/>
    <w:rsid w:val="00214C54"/>
    <w:rsid w:val="00220543"/>
    <w:rsid w:val="002268FA"/>
    <w:rsid w:val="00226E91"/>
    <w:rsid w:val="00230ADE"/>
    <w:rsid w:val="00231CAF"/>
    <w:rsid w:val="00231E29"/>
    <w:rsid w:val="0023233D"/>
    <w:rsid w:val="00232DD3"/>
    <w:rsid w:val="00233B39"/>
    <w:rsid w:val="00233FA2"/>
    <w:rsid w:val="00235E82"/>
    <w:rsid w:val="0023703A"/>
    <w:rsid w:val="00237535"/>
    <w:rsid w:val="0024040F"/>
    <w:rsid w:val="002413A4"/>
    <w:rsid w:val="0024413E"/>
    <w:rsid w:val="002441B5"/>
    <w:rsid w:val="00244213"/>
    <w:rsid w:val="00244289"/>
    <w:rsid w:val="002457C8"/>
    <w:rsid w:val="00245FFB"/>
    <w:rsid w:val="002471A6"/>
    <w:rsid w:val="00253CCD"/>
    <w:rsid w:val="00254825"/>
    <w:rsid w:val="00254904"/>
    <w:rsid w:val="00254D27"/>
    <w:rsid w:val="002555ED"/>
    <w:rsid w:val="002558BF"/>
    <w:rsid w:val="00255DB9"/>
    <w:rsid w:val="00256829"/>
    <w:rsid w:val="002579F3"/>
    <w:rsid w:val="002614B9"/>
    <w:rsid w:val="002639BF"/>
    <w:rsid w:val="00264663"/>
    <w:rsid w:val="002655B1"/>
    <w:rsid w:val="00266830"/>
    <w:rsid w:val="00271CB4"/>
    <w:rsid w:val="00272C64"/>
    <w:rsid w:val="00274200"/>
    <w:rsid w:val="00275760"/>
    <w:rsid w:val="00275BC9"/>
    <w:rsid w:val="002775C7"/>
    <w:rsid w:val="00277639"/>
    <w:rsid w:val="00282F0A"/>
    <w:rsid w:val="002845F8"/>
    <w:rsid w:val="0028485A"/>
    <w:rsid w:val="00285BBC"/>
    <w:rsid w:val="002869F6"/>
    <w:rsid w:val="00290549"/>
    <w:rsid w:val="00290A67"/>
    <w:rsid w:val="00291A54"/>
    <w:rsid w:val="00291AF7"/>
    <w:rsid w:val="0029416D"/>
    <w:rsid w:val="00294A4C"/>
    <w:rsid w:val="00294FA0"/>
    <w:rsid w:val="00295AD7"/>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6B85"/>
    <w:rsid w:val="002D2444"/>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3A8F"/>
    <w:rsid w:val="0030487E"/>
    <w:rsid w:val="00307A8C"/>
    <w:rsid w:val="00307C92"/>
    <w:rsid w:val="0031118A"/>
    <w:rsid w:val="00311233"/>
    <w:rsid w:val="003134E1"/>
    <w:rsid w:val="0031475C"/>
    <w:rsid w:val="00315EE6"/>
    <w:rsid w:val="003172EB"/>
    <w:rsid w:val="00317C25"/>
    <w:rsid w:val="0032222B"/>
    <w:rsid w:val="0032357D"/>
    <w:rsid w:val="003269AF"/>
    <w:rsid w:val="0032713B"/>
    <w:rsid w:val="00330216"/>
    <w:rsid w:val="00330B41"/>
    <w:rsid w:val="003311C6"/>
    <w:rsid w:val="00336841"/>
    <w:rsid w:val="00337076"/>
    <w:rsid w:val="0034069B"/>
    <w:rsid w:val="0034113B"/>
    <w:rsid w:val="00342FAE"/>
    <w:rsid w:val="0034311E"/>
    <w:rsid w:val="00343868"/>
    <w:rsid w:val="0034431B"/>
    <w:rsid w:val="003445FE"/>
    <w:rsid w:val="003450DE"/>
    <w:rsid w:val="003454B3"/>
    <w:rsid w:val="003455E2"/>
    <w:rsid w:val="00350174"/>
    <w:rsid w:val="00350690"/>
    <w:rsid w:val="00351CC3"/>
    <w:rsid w:val="00352267"/>
    <w:rsid w:val="00354CF2"/>
    <w:rsid w:val="003554DA"/>
    <w:rsid w:val="00355F16"/>
    <w:rsid w:val="00357AD6"/>
    <w:rsid w:val="00360021"/>
    <w:rsid w:val="003608A3"/>
    <w:rsid w:val="0036199F"/>
    <w:rsid w:val="00361CEB"/>
    <w:rsid w:val="00362B0B"/>
    <w:rsid w:val="003644E4"/>
    <w:rsid w:val="00364B6E"/>
    <w:rsid w:val="0036500B"/>
    <w:rsid w:val="00365574"/>
    <w:rsid w:val="00365FBF"/>
    <w:rsid w:val="00365FD5"/>
    <w:rsid w:val="0036654B"/>
    <w:rsid w:val="0036740E"/>
    <w:rsid w:val="00371012"/>
    <w:rsid w:val="00372353"/>
    <w:rsid w:val="003739F2"/>
    <w:rsid w:val="00373BBA"/>
    <w:rsid w:val="0037406E"/>
    <w:rsid w:val="0037559F"/>
    <w:rsid w:val="00375C35"/>
    <w:rsid w:val="00375F5B"/>
    <w:rsid w:val="003760D6"/>
    <w:rsid w:val="00376256"/>
    <w:rsid w:val="00381A50"/>
    <w:rsid w:val="00381E5A"/>
    <w:rsid w:val="00381ED2"/>
    <w:rsid w:val="00383FF7"/>
    <w:rsid w:val="0038724F"/>
    <w:rsid w:val="003901B0"/>
    <w:rsid w:val="00390EF1"/>
    <w:rsid w:val="0039138E"/>
    <w:rsid w:val="003949E6"/>
    <w:rsid w:val="00395485"/>
    <w:rsid w:val="003A01E6"/>
    <w:rsid w:val="003A1EAA"/>
    <w:rsid w:val="003A3F04"/>
    <w:rsid w:val="003A5BD3"/>
    <w:rsid w:val="003A6104"/>
    <w:rsid w:val="003A7693"/>
    <w:rsid w:val="003B16C7"/>
    <w:rsid w:val="003B446F"/>
    <w:rsid w:val="003B4F19"/>
    <w:rsid w:val="003B5EF3"/>
    <w:rsid w:val="003B6D84"/>
    <w:rsid w:val="003B6F23"/>
    <w:rsid w:val="003C0214"/>
    <w:rsid w:val="003C0E47"/>
    <w:rsid w:val="003C27CC"/>
    <w:rsid w:val="003C6085"/>
    <w:rsid w:val="003C701A"/>
    <w:rsid w:val="003D0F9B"/>
    <w:rsid w:val="003D1B23"/>
    <w:rsid w:val="003D30B9"/>
    <w:rsid w:val="003D3E02"/>
    <w:rsid w:val="003D430B"/>
    <w:rsid w:val="003D6594"/>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3A9"/>
    <w:rsid w:val="00411563"/>
    <w:rsid w:val="00411E94"/>
    <w:rsid w:val="00413B01"/>
    <w:rsid w:val="00414C90"/>
    <w:rsid w:val="0041574D"/>
    <w:rsid w:val="0041594C"/>
    <w:rsid w:val="004159F4"/>
    <w:rsid w:val="0041744B"/>
    <w:rsid w:val="004176C2"/>
    <w:rsid w:val="00417FDF"/>
    <w:rsid w:val="0042048B"/>
    <w:rsid w:val="004223EC"/>
    <w:rsid w:val="004256F9"/>
    <w:rsid w:val="004265D4"/>
    <w:rsid w:val="00426C37"/>
    <w:rsid w:val="0043340C"/>
    <w:rsid w:val="004377E0"/>
    <w:rsid w:val="00442C22"/>
    <w:rsid w:val="00446452"/>
    <w:rsid w:val="00446B4C"/>
    <w:rsid w:val="00446D51"/>
    <w:rsid w:val="00447BDF"/>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69B9"/>
    <w:rsid w:val="0049740D"/>
    <w:rsid w:val="004A0162"/>
    <w:rsid w:val="004A1D74"/>
    <w:rsid w:val="004A2CE6"/>
    <w:rsid w:val="004A4D90"/>
    <w:rsid w:val="004A4FC4"/>
    <w:rsid w:val="004A6B94"/>
    <w:rsid w:val="004B189F"/>
    <w:rsid w:val="004B2CF6"/>
    <w:rsid w:val="004B3CAC"/>
    <w:rsid w:val="004C0A1B"/>
    <w:rsid w:val="004C1775"/>
    <w:rsid w:val="004C28B0"/>
    <w:rsid w:val="004C3821"/>
    <w:rsid w:val="004C3CFA"/>
    <w:rsid w:val="004C4A93"/>
    <w:rsid w:val="004D069A"/>
    <w:rsid w:val="004D0F2A"/>
    <w:rsid w:val="004D25BC"/>
    <w:rsid w:val="004D40E7"/>
    <w:rsid w:val="004D4147"/>
    <w:rsid w:val="004D5D77"/>
    <w:rsid w:val="004D5F8E"/>
    <w:rsid w:val="004D6EDE"/>
    <w:rsid w:val="004D77C7"/>
    <w:rsid w:val="004D7CDD"/>
    <w:rsid w:val="004E1D31"/>
    <w:rsid w:val="004E5ADE"/>
    <w:rsid w:val="004F0323"/>
    <w:rsid w:val="004F07BE"/>
    <w:rsid w:val="004F15F6"/>
    <w:rsid w:val="004F645C"/>
    <w:rsid w:val="004F675D"/>
    <w:rsid w:val="004F67BE"/>
    <w:rsid w:val="004F7032"/>
    <w:rsid w:val="00502ECC"/>
    <w:rsid w:val="005033D5"/>
    <w:rsid w:val="005049A3"/>
    <w:rsid w:val="005058BB"/>
    <w:rsid w:val="005061F5"/>
    <w:rsid w:val="005067A1"/>
    <w:rsid w:val="0050759B"/>
    <w:rsid w:val="00507913"/>
    <w:rsid w:val="00507BBF"/>
    <w:rsid w:val="005120BA"/>
    <w:rsid w:val="0051329B"/>
    <w:rsid w:val="005136DE"/>
    <w:rsid w:val="00513C9A"/>
    <w:rsid w:val="00516190"/>
    <w:rsid w:val="0052273B"/>
    <w:rsid w:val="00523994"/>
    <w:rsid w:val="00523FCE"/>
    <w:rsid w:val="00525297"/>
    <w:rsid w:val="00525C03"/>
    <w:rsid w:val="005261F5"/>
    <w:rsid w:val="00527182"/>
    <w:rsid w:val="005306FA"/>
    <w:rsid w:val="0053112A"/>
    <w:rsid w:val="00533D17"/>
    <w:rsid w:val="00537558"/>
    <w:rsid w:val="0054046F"/>
    <w:rsid w:val="005406C6"/>
    <w:rsid w:val="00540B9D"/>
    <w:rsid w:val="00542CA4"/>
    <w:rsid w:val="00543770"/>
    <w:rsid w:val="00543B79"/>
    <w:rsid w:val="00544B1F"/>
    <w:rsid w:val="00547C58"/>
    <w:rsid w:val="005514D3"/>
    <w:rsid w:val="0055177C"/>
    <w:rsid w:val="00554251"/>
    <w:rsid w:val="005542A5"/>
    <w:rsid w:val="00556C29"/>
    <w:rsid w:val="00557999"/>
    <w:rsid w:val="00557DF3"/>
    <w:rsid w:val="00563998"/>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69C5"/>
    <w:rsid w:val="005B6AC1"/>
    <w:rsid w:val="005C0DCE"/>
    <w:rsid w:val="005C2163"/>
    <w:rsid w:val="005C4046"/>
    <w:rsid w:val="005C4B4E"/>
    <w:rsid w:val="005D18DD"/>
    <w:rsid w:val="005D24A4"/>
    <w:rsid w:val="005D36BA"/>
    <w:rsid w:val="005D49EA"/>
    <w:rsid w:val="005D7745"/>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4D39"/>
    <w:rsid w:val="006170E0"/>
    <w:rsid w:val="00617B07"/>
    <w:rsid w:val="006225C7"/>
    <w:rsid w:val="00623A97"/>
    <w:rsid w:val="006247E0"/>
    <w:rsid w:val="006247E8"/>
    <w:rsid w:val="00625D1D"/>
    <w:rsid w:val="0063415B"/>
    <w:rsid w:val="00634275"/>
    <w:rsid w:val="00634443"/>
    <w:rsid w:val="00634B30"/>
    <w:rsid w:val="006355CB"/>
    <w:rsid w:val="006356D8"/>
    <w:rsid w:val="00635FDD"/>
    <w:rsid w:val="006368EE"/>
    <w:rsid w:val="00642EB3"/>
    <w:rsid w:val="00643FEE"/>
    <w:rsid w:val="00644B2C"/>
    <w:rsid w:val="0064551D"/>
    <w:rsid w:val="00645938"/>
    <w:rsid w:val="006525A0"/>
    <w:rsid w:val="00652FDD"/>
    <w:rsid w:val="00655025"/>
    <w:rsid w:val="00661121"/>
    <w:rsid w:val="006620DD"/>
    <w:rsid w:val="00663364"/>
    <w:rsid w:val="00664ED8"/>
    <w:rsid w:val="006655F3"/>
    <w:rsid w:val="00665E9C"/>
    <w:rsid w:val="0066673A"/>
    <w:rsid w:val="00666AF5"/>
    <w:rsid w:val="0067015D"/>
    <w:rsid w:val="006704C9"/>
    <w:rsid w:val="006707FA"/>
    <w:rsid w:val="0067135B"/>
    <w:rsid w:val="00672874"/>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0700"/>
    <w:rsid w:val="006A2939"/>
    <w:rsid w:val="006A7BFD"/>
    <w:rsid w:val="006B07F2"/>
    <w:rsid w:val="006B5903"/>
    <w:rsid w:val="006B6FAB"/>
    <w:rsid w:val="006C0415"/>
    <w:rsid w:val="006C11DE"/>
    <w:rsid w:val="006C1B78"/>
    <w:rsid w:val="006C3842"/>
    <w:rsid w:val="006C397D"/>
    <w:rsid w:val="006C3A64"/>
    <w:rsid w:val="006C4854"/>
    <w:rsid w:val="006C4B4A"/>
    <w:rsid w:val="006C4C3E"/>
    <w:rsid w:val="006C5F67"/>
    <w:rsid w:val="006C78F6"/>
    <w:rsid w:val="006D5B87"/>
    <w:rsid w:val="006D6AB5"/>
    <w:rsid w:val="006D6E09"/>
    <w:rsid w:val="006D7201"/>
    <w:rsid w:val="006D79E5"/>
    <w:rsid w:val="006E0B55"/>
    <w:rsid w:val="006E2DF4"/>
    <w:rsid w:val="006E3831"/>
    <w:rsid w:val="006E5DAF"/>
    <w:rsid w:val="006E5E05"/>
    <w:rsid w:val="006F129B"/>
    <w:rsid w:val="006F167D"/>
    <w:rsid w:val="006F40B8"/>
    <w:rsid w:val="006F6260"/>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40B9F"/>
    <w:rsid w:val="007412FF"/>
    <w:rsid w:val="0074199D"/>
    <w:rsid w:val="00745F8D"/>
    <w:rsid w:val="007461D8"/>
    <w:rsid w:val="00750632"/>
    <w:rsid w:val="00754E3A"/>
    <w:rsid w:val="0075554B"/>
    <w:rsid w:val="00755F57"/>
    <w:rsid w:val="00761322"/>
    <w:rsid w:val="00761CCE"/>
    <w:rsid w:val="00764AC8"/>
    <w:rsid w:val="00766366"/>
    <w:rsid w:val="00770564"/>
    <w:rsid w:val="007731B3"/>
    <w:rsid w:val="00774973"/>
    <w:rsid w:val="00776F57"/>
    <w:rsid w:val="00777F5E"/>
    <w:rsid w:val="00780CF6"/>
    <w:rsid w:val="00782FA9"/>
    <w:rsid w:val="00782FD2"/>
    <w:rsid w:val="00783592"/>
    <w:rsid w:val="007854FD"/>
    <w:rsid w:val="00786D99"/>
    <w:rsid w:val="00787310"/>
    <w:rsid w:val="007873B7"/>
    <w:rsid w:val="00787E7A"/>
    <w:rsid w:val="007905C1"/>
    <w:rsid w:val="00792FDE"/>
    <w:rsid w:val="00793E79"/>
    <w:rsid w:val="00795391"/>
    <w:rsid w:val="00796146"/>
    <w:rsid w:val="0079772E"/>
    <w:rsid w:val="007A3498"/>
    <w:rsid w:val="007A43B6"/>
    <w:rsid w:val="007A49DF"/>
    <w:rsid w:val="007A523B"/>
    <w:rsid w:val="007A60FB"/>
    <w:rsid w:val="007A6A08"/>
    <w:rsid w:val="007A6ACF"/>
    <w:rsid w:val="007B224D"/>
    <w:rsid w:val="007B2841"/>
    <w:rsid w:val="007B3D6F"/>
    <w:rsid w:val="007B56EB"/>
    <w:rsid w:val="007C1B9C"/>
    <w:rsid w:val="007C243D"/>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80062D"/>
    <w:rsid w:val="00801F02"/>
    <w:rsid w:val="008067EA"/>
    <w:rsid w:val="00810012"/>
    <w:rsid w:val="0081004D"/>
    <w:rsid w:val="00811EFA"/>
    <w:rsid w:val="00813A53"/>
    <w:rsid w:val="008143EA"/>
    <w:rsid w:val="00814AAD"/>
    <w:rsid w:val="00817B81"/>
    <w:rsid w:val="00817C1C"/>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2A0C"/>
    <w:rsid w:val="00884241"/>
    <w:rsid w:val="00884491"/>
    <w:rsid w:val="00884CA6"/>
    <w:rsid w:val="008852AA"/>
    <w:rsid w:val="0088777B"/>
    <w:rsid w:val="00891701"/>
    <w:rsid w:val="00891982"/>
    <w:rsid w:val="00891E6E"/>
    <w:rsid w:val="00892790"/>
    <w:rsid w:val="00892B7A"/>
    <w:rsid w:val="00893586"/>
    <w:rsid w:val="00895FA8"/>
    <w:rsid w:val="008A0855"/>
    <w:rsid w:val="008A0860"/>
    <w:rsid w:val="008A65D0"/>
    <w:rsid w:val="008A6C0F"/>
    <w:rsid w:val="008B02EC"/>
    <w:rsid w:val="008B3254"/>
    <w:rsid w:val="008B664E"/>
    <w:rsid w:val="008B7011"/>
    <w:rsid w:val="008C03C1"/>
    <w:rsid w:val="008C4715"/>
    <w:rsid w:val="008C4F04"/>
    <w:rsid w:val="008C7B33"/>
    <w:rsid w:val="008D1030"/>
    <w:rsid w:val="008D23EF"/>
    <w:rsid w:val="008D450E"/>
    <w:rsid w:val="008D45BC"/>
    <w:rsid w:val="008E1D60"/>
    <w:rsid w:val="008E2107"/>
    <w:rsid w:val="008E2E60"/>
    <w:rsid w:val="008E3AAA"/>
    <w:rsid w:val="008E4084"/>
    <w:rsid w:val="008E4DB1"/>
    <w:rsid w:val="008F010B"/>
    <w:rsid w:val="008F0398"/>
    <w:rsid w:val="008F1ADF"/>
    <w:rsid w:val="008F29AC"/>
    <w:rsid w:val="008F48C5"/>
    <w:rsid w:val="008F65DC"/>
    <w:rsid w:val="008F6D42"/>
    <w:rsid w:val="00900172"/>
    <w:rsid w:val="009010DC"/>
    <w:rsid w:val="00901512"/>
    <w:rsid w:val="00903E25"/>
    <w:rsid w:val="009041C7"/>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FBB"/>
    <w:rsid w:val="00945318"/>
    <w:rsid w:val="0094593B"/>
    <w:rsid w:val="00945B92"/>
    <w:rsid w:val="00946161"/>
    <w:rsid w:val="009474A7"/>
    <w:rsid w:val="00950E12"/>
    <w:rsid w:val="00951D72"/>
    <w:rsid w:val="0095427F"/>
    <w:rsid w:val="009543E8"/>
    <w:rsid w:val="00954BC3"/>
    <w:rsid w:val="0095579A"/>
    <w:rsid w:val="00955DD8"/>
    <w:rsid w:val="0095725F"/>
    <w:rsid w:val="00957734"/>
    <w:rsid w:val="00957C37"/>
    <w:rsid w:val="00957CAE"/>
    <w:rsid w:val="009615DE"/>
    <w:rsid w:val="00962AA4"/>
    <w:rsid w:val="009652EA"/>
    <w:rsid w:val="009656D9"/>
    <w:rsid w:val="00965F70"/>
    <w:rsid w:val="00966E31"/>
    <w:rsid w:val="00967CF7"/>
    <w:rsid w:val="00971D60"/>
    <w:rsid w:val="00971EA0"/>
    <w:rsid w:val="00972064"/>
    <w:rsid w:val="0097235F"/>
    <w:rsid w:val="00973613"/>
    <w:rsid w:val="00980FB3"/>
    <w:rsid w:val="00981595"/>
    <w:rsid w:val="009842D3"/>
    <w:rsid w:val="00984F21"/>
    <w:rsid w:val="009865E4"/>
    <w:rsid w:val="00987D34"/>
    <w:rsid w:val="00991BEB"/>
    <w:rsid w:val="0099207B"/>
    <w:rsid w:val="009925B1"/>
    <w:rsid w:val="009969A5"/>
    <w:rsid w:val="00997034"/>
    <w:rsid w:val="009A0F3D"/>
    <w:rsid w:val="009A43AC"/>
    <w:rsid w:val="009A4E82"/>
    <w:rsid w:val="009A610B"/>
    <w:rsid w:val="009B0F22"/>
    <w:rsid w:val="009B15C2"/>
    <w:rsid w:val="009B1ADC"/>
    <w:rsid w:val="009B2603"/>
    <w:rsid w:val="009B34FF"/>
    <w:rsid w:val="009B4894"/>
    <w:rsid w:val="009B5A21"/>
    <w:rsid w:val="009B5F32"/>
    <w:rsid w:val="009B6573"/>
    <w:rsid w:val="009C0892"/>
    <w:rsid w:val="009C0B5B"/>
    <w:rsid w:val="009C0E0A"/>
    <w:rsid w:val="009C25B9"/>
    <w:rsid w:val="009C2B29"/>
    <w:rsid w:val="009C2D7D"/>
    <w:rsid w:val="009C4ACA"/>
    <w:rsid w:val="009C624D"/>
    <w:rsid w:val="009C6868"/>
    <w:rsid w:val="009C7B89"/>
    <w:rsid w:val="009D0310"/>
    <w:rsid w:val="009D35D5"/>
    <w:rsid w:val="009D507E"/>
    <w:rsid w:val="009D51C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A2"/>
    <w:rsid w:val="00A26A35"/>
    <w:rsid w:val="00A301E2"/>
    <w:rsid w:val="00A33FFE"/>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87153"/>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307"/>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660"/>
    <w:rsid w:val="00B149B5"/>
    <w:rsid w:val="00B15139"/>
    <w:rsid w:val="00B15F44"/>
    <w:rsid w:val="00B1653D"/>
    <w:rsid w:val="00B17807"/>
    <w:rsid w:val="00B21424"/>
    <w:rsid w:val="00B21E6C"/>
    <w:rsid w:val="00B23F7E"/>
    <w:rsid w:val="00B264CA"/>
    <w:rsid w:val="00B305CB"/>
    <w:rsid w:val="00B3093D"/>
    <w:rsid w:val="00B31547"/>
    <w:rsid w:val="00B32F48"/>
    <w:rsid w:val="00B33A67"/>
    <w:rsid w:val="00B36B60"/>
    <w:rsid w:val="00B36B75"/>
    <w:rsid w:val="00B36CC1"/>
    <w:rsid w:val="00B378F1"/>
    <w:rsid w:val="00B42257"/>
    <w:rsid w:val="00B436E9"/>
    <w:rsid w:val="00B4691C"/>
    <w:rsid w:val="00B50DEC"/>
    <w:rsid w:val="00B5135E"/>
    <w:rsid w:val="00B521B1"/>
    <w:rsid w:val="00B521B4"/>
    <w:rsid w:val="00B52287"/>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C8"/>
    <w:rsid w:val="00B97825"/>
    <w:rsid w:val="00BA0D39"/>
    <w:rsid w:val="00BA1AC8"/>
    <w:rsid w:val="00BA269C"/>
    <w:rsid w:val="00BA6A6C"/>
    <w:rsid w:val="00BB0DD9"/>
    <w:rsid w:val="00BB404B"/>
    <w:rsid w:val="00BB4920"/>
    <w:rsid w:val="00BB4EB7"/>
    <w:rsid w:val="00BB5CD1"/>
    <w:rsid w:val="00BB5EDE"/>
    <w:rsid w:val="00BB7980"/>
    <w:rsid w:val="00BC10D8"/>
    <w:rsid w:val="00BC26DC"/>
    <w:rsid w:val="00BC39CE"/>
    <w:rsid w:val="00BC3DFE"/>
    <w:rsid w:val="00BC4161"/>
    <w:rsid w:val="00BC5537"/>
    <w:rsid w:val="00BC5630"/>
    <w:rsid w:val="00BC6008"/>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1A7A"/>
    <w:rsid w:val="00C03DDF"/>
    <w:rsid w:val="00C077DE"/>
    <w:rsid w:val="00C07E92"/>
    <w:rsid w:val="00C12EC2"/>
    <w:rsid w:val="00C14556"/>
    <w:rsid w:val="00C225C4"/>
    <w:rsid w:val="00C22911"/>
    <w:rsid w:val="00C258FC"/>
    <w:rsid w:val="00C305AA"/>
    <w:rsid w:val="00C30E6F"/>
    <w:rsid w:val="00C316D6"/>
    <w:rsid w:val="00C31E54"/>
    <w:rsid w:val="00C32876"/>
    <w:rsid w:val="00C328E3"/>
    <w:rsid w:val="00C32B3E"/>
    <w:rsid w:val="00C33309"/>
    <w:rsid w:val="00C36105"/>
    <w:rsid w:val="00C407A7"/>
    <w:rsid w:val="00C45108"/>
    <w:rsid w:val="00C50B5A"/>
    <w:rsid w:val="00C527FD"/>
    <w:rsid w:val="00C53D3B"/>
    <w:rsid w:val="00C5745A"/>
    <w:rsid w:val="00C5778C"/>
    <w:rsid w:val="00C62A38"/>
    <w:rsid w:val="00C63685"/>
    <w:rsid w:val="00C63C88"/>
    <w:rsid w:val="00C640D7"/>
    <w:rsid w:val="00C65EDA"/>
    <w:rsid w:val="00C660D5"/>
    <w:rsid w:val="00C66C70"/>
    <w:rsid w:val="00C67522"/>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56F1"/>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E51"/>
    <w:rsid w:val="00CE27F1"/>
    <w:rsid w:val="00CE3031"/>
    <w:rsid w:val="00CE542B"/>
    <w:rsid w:val="00CE5D41"/>
    <w:rsid w:val="00CE74FE"/>
    <w:rsid w:val="00CF3550"/>
    <w:rsid w:val="00CF5E5C"/>
    <w:rsid w:val="00CF6083"/>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632"/>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3526"/>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80730"/>
    <w:rsid w:val="00D817CB"/>
    <w:rsid w:val="00D81940"/>
    <w:rsid w:val="00D81B6C"/>
    <w:rsid w:val="00D82360"/>
    <w:rsid w:val="00D82A01"/>
    <w:rsid w:val="00D83305"/>
    <w:rsid w:val="00D839C4"/>
    <w:rsid w:val="00D84C79"/>
    <w:rsid w:val="00D85846"/>
    <w:rsid w:val="00D867EE"/>
    <w:rsid w:val="00D86F81"/>
    <w:rsid w:val="00D90E6D"/>
    <w:rsid w:val="00D92A51"/>
    <w:rsid w:val="00D92F4C"/>
    <w:rsid w:val="00D93513"/>
    <w:rsid w:val="00D935DD"/>
    <w:rsid w:val="00D93B24"/>
    <w:rsid w:val="00D94D0A"/>
    <w:rsid w:val="00D94D67"/>
    <w:rsid w:val="00D962ED"/>
    <w:rsid w:val="00D96496"/>
    <w:rsid w:val="00D96561"/>
    <w:rsid w:val="00DA00E9"/>
    <w:rsid w:val="00DA49BB"/>
    <w:rsid w:val="00DA4B23"/>
    <w:rsid w:val="00DA5830"/>
    <w:rsid w:val="00DA6D42"/>
    <w:rsid w:val="00DA735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52A4"/>
    <w:rsid w:val="00DF1EB6"/>
    <w:rsid w:val="00DF2BC1"/>
    <w:rsid w:val="00DF2CEF"/>
    <w:rsid w:val="00DF328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24DB"/>
    <w:rsid w:val="00E13263"/>
    <w:rsid w:val="00E13973"/>
    <w:rsid w:val="00E13C53"/>
    <w:rsid w:val="00E14139"/>
    <w:rsid w:val="00E14AC4"/>
    <w:rsid w:val="00E160CE"/>
    <w:rsid w:val="00E22317"/>
    <w:rsid w:val="00E23F40"/>
    <w:rsid w:val="00E25FE4"/>
    <w:rsid w:val="00E32F31"/>
    <w:rsid w:val="00E40422"/>
    <w:rsid w:val="00E40A2F"/>
    <w:rsid w:val="00E43EC5"/>
    <w:rsid w:val="00E4677B"/>
    <w:rsid w:val="00E46CF3"/>
    <w:rsid w:val="00E5179E"/>
    <w:rsid w:val="00E517A2"/>
    <w:rsid w:val="00E51C50"/>
    <w:rsid w:val="00E53E79"/>
    <w:rsid w:val="00E613A7"/>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283E"/>
    <w:rsid w:val="00EA414E"/>
    <w:rsid w:val="00EA63EE"/>
    <w:rsid w:val="00EA6E33"/>
    <w:rsid w:val="00EB033B"/>
    <w:rsid w:val="00EB106A"/>
    <w:rsid w:val="00EB19AD"/>
    <w:rsid w:val="00EB2527"/>
    <w:rsid w:val="00EB4703"/>
    <w:rsid w:val="00EB64F8"/>
    <w:rsid w:val="00EB752E"/>
    <w:rsid w:val="00EB7531"/>
    <w:rsid w:val="00EB7B58"/>
    <w:rsid w:val="00EC16AF"/>
    <w:rsid w:val="00EC196E"/>
    <w:rsid w:val="00EC1C5A"/>
    <w:rsid w:val="00EC26EE"/>
    <w:rsid w:val="00EC2FBC"/>
    <w:rsid w:val="00EC3090"/>
    <w:rsid w:val="00EC57E2"/>
    <w:rsid w:val="00EC6DA0"/>
    <w:rsid w:val="00ED057C"/>
    <w:rsid w:val="00ED1926"/>
    <w:rsid w:val="00ED21D4"/>
    <w:rsid w:val="00ED2755"/>
    <w:rsid w:val="00ED3852"/>
    <w:rsid w:val="00ED6199"/>
    <w:rsid w:val="00EE02E9"/>
    <w:rsid w:val="00EE2F9F"/>
    <w:rsid w:val="00EE7090"/>
    <w:rsid w:val="00EE7DFA"/>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512C7"/>
    <w:rsid w:val="00F51C0D"/>
    <w:rsid w:val="00F51C81"/>
    <w:rsid w:val="00F523A5"/>
    <w:rsid w:val="00F525C7"/>
    <w:rsid w:val="00F53019"/>
    <w:rsid w:val="00F535C1"/>
    <w:rsid w:val="00F53878"/>
    <w:rsid w:val="00F54794"/>
    <w:rsid w:val="00F5527C"/>
    <w:rsid w:val="00F557D0"/>
    <w:rsid w:val="00F57D16"/>
    <w:rsid w:val="00F618D0"/>
    <w:rsid w:val="00F62D03"/>
    <w:rsid w:val="00F63D52"/>
    <w:rsid w:val="00F66798"/>
    <w:rsid w:val="00F70AEE"/>
    <w:rsid w:val="00F7127D"/>
    <w:rsid w:val="00F71A18"/>
    <w:rsid w:val="00F71CA1"/>
    <w:rsid w:val="00F72438"/>
    <w:rsid w:val="00F72A99"/>
    <w:rsid w:val="00F75AC1"/>
    <w:rsid w:val="00F75E3C"/>
    <w:rsid w:val="00F76416"/>
    <w:rsid w:val="00F82B6D"/>
    <w:rsid w:val="00F843B0"/>
    <w:rsid w:val="00F85474"/>
    <w:rsid w:val="00F90338"/>
    <w:rsid w:val="00F904B9"/>
    <w:rsid w:val="00F905B6"/>
    <w:rsid w:val="00F91BD9"/>
    <w:rsid w:val="00F94F49"/>
    <w:rsid w:val="00F96EF8"/>
    <w:rsid w:val="00F977A7"/>
    <w:rsid w:val="00FA148B"/>
    <w:rsid w:val="00FA25AB"/>
    <w:rsid w:val="00FA3748"/>
    <w:rsid w:val="00FA618F"/>
    <w:rsid w:val="00FA7A1A"/>
    <w:rsid w:val="00FB1736"/>
    <w:rsid w:val="00FB1FCD"/>
    <w:rsid w:val="00FB2815"/>
    <w:rsid w:val="00FB2B0E"/>
    <w:rsid w:val="00FB3B3E"/>
    <w:rsid w:val="00FB4302"/>
    <w:rsid w:val="00FB5A4C"/>
    <w:rsid w:val="00FB60D0"/>
    <w:rsid w:val="00FB6522"/>
    <w:rsid w:val="00FC1ACE"/>
    <w:rsid w:val="00FC2E39"/>
    <w:rsid w:val="00FC393A"/>
    <w:rsid w:val="00FC408B"/>
    <w:rsid w:val="00FC4D28"/>
    <w:rsid w:val="00FC6F7B"/>
    <w:rsid w:val="00FD0F82"/>
    <w:rsid w:val="00FD685A"/>
    <w:rsid w:val="00FE203F"/>
    <w:rsid w:val="00FE4EE2"/>
    <w:rsid w:val="00FE5D94"/>
    <w:rsid w:val="00FE6A64"/>
    <w:rsid w:val="00FE75D4"/>
    <w:rsid w:val="00FE7B75"/>
    <w:rsid w:val="00FF0488"/>
    <w:rsid w:val="00FF1643"/>
    <w:rsid w:val="00FF1E92"/>
    <w:rsid w:val="00FF33C9"/>
    <w:rsid w:val="00FF4B6C"/>
    <w:rsid w:val="00FF55E4"/>
    <w:rsid w:val="00FF63B5"/>
    <w:rsid w:val="00FF6B0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Heading4"/>
    <w:next w:val="Normal"/>
    <w:link w:val="Heading3Char"/>
    <w:qFormat/>
    <w:rsid w:val="00FF63B5"/>
    <w:pPr>
      <w:spacing w:after="120" w:line="240" w:lineRule="auto"/>
      <w:jc w:val="left"/>
      <w:outlineLvl w:val="2"/>
    </w:pPr>
    <w:rPr>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FF63B5"/>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character" w:customStyle="1" w:styleId="street-address">
    <w:name w:val="street-address"/>
    <w:basedOn w:val="DefaultParagraphFont"/>
    <w:rsid w:val="00BC5537"/>
  </w:style>
  <w:style w:type="character" w:customStyle="1" w:styleId="citystatezip">
    <w:name w:val="citystatezip"/>
    <w:basedOn w:val="DefaultParagraphFont"/>
    <w:rsid w:val="00BC5537"/>
  </w:style>
  <w:style w:type="character" w:customStyle="1" w:styleId="locality">
    <w:name w:val="locality"/>
    <w:basedOn w:val="DefaultParagraphFont"/>
    <w:rsid w:val="00BC5537"/>
  </w:style>
  <w:style w:type="character" w:customStyle="1" w:styleId="region">
    <w:name w:val="region"/>
    <w:basedOn w:val="DefaultParagraphFont"/>
    <w:rsid w:val="00BC5537"/>
  </w:style>
  <w:style w:type="character" w:customStyle="1" w:styleId="postal-code">
    <w:name w:val="postal-code"/>
    <w:basedOn w:val="DefaultParagraphFont"/>
    <w:rsid w:val="00BC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32297</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9</cp:revision>
  <cp:lastPrinted>2009-04-16T18:07:00Z</cp:lastPrinted>
  <dcterms:created xsi:type="dcterms:W3CDTF">2021-01-29T20:50:00Z</dcterms:created>
  <dcterms:modified xsi:type="dcterms:W3CDTF">2021-07-15T18:25:00Z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