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3E6F" w:rsidP="00FD66F1" w:rsidRDefault="00FD66F1" w14:paraId="42D17A67" w14:textId="77777777">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P="00FD66F1" w:rsidRDefault="00674595" w14:paraId="7951A3A5"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FERC-519, Application under Federal Power Act Section 203</w:t>
      </w:r>
    </w:p>
    <w:p w:rsidRPr="00035845" w:rsidR="00A96B65" w:rsidP="00A96B65" w:rsidRDefault="00C87A96" w14:paraId="4BFFF62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Three-year approval for extension requested</w:t>
      </w:r>
    </w:p>
    <w:p w:rsidR="00FD66F1" w:rsidP="00FD66F1" w:rsidRDefault="001E37C1" w14:paraId="35938173" w14:textId="77777777">
      <w:pPr>
        <w:spacing w:after="0"/>
        <w:jc w:val="center"/>
        <w:rPr>
          <w:rFonts w:ascii="Times New Roman" w:hAnsi="Times New Roman" w:cs="Times New Roman"/>
          <w:sz w:val="24"/>
          <w:szCs w:val="24"/>
        </w:rPr>
      </w:pPr>
      <w:r>
        <w:rPr>
          <w:rFonts w:ascii="Times New Roman" w:hAnsi="Times New Roman" w:cs="Times New Roman"/>
          <w:sz w:val="24"/>
          <w:szCs w:val="24"/>
        </w:rPr>
        <w:tab/>
      </w:r>
    </w:p>
    <w:p w:rsidR="00A72E7B" w:rsidP="00FD66F1" w:rsidRDefault="00C87A96" w14:paraId="76D9EA99" w14:textId="5D101952">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w:t>
      </w:r>
      <w:r w:rsidR="000B17BB">
        <w:rPr>
          <w:rFonts w:ascii="Times New Roman" w:hAnsi="Times New Roman" w:cs="Times New Roman"/>
          <w:sz w:val="24"/>
          <w:szCs w:val="24"/>
        </w:rPr>
        <w:t>r</w:t>
      </w:r>
      <w:r>
        <w:rPr>
          <w:rFonts w:ascii="Times New Roman" w:hAnsi="Times New Roman" w:cs="Times New Roman"/>
          <w:sz w:val="24"/>
          <w:szCs w:val="24"/>
        </w:rPr>
        <w:t xml:space="preserve"> Commission) requests that the Office of Management and Budget (OMB</w:t>
      </w:r>
      <w:r w:rsidR="00C56B83">
        <w:rPr>
          <w:rFonts w:ascii="Times New Roman" w:hAnsi="Times New Roman" w:cs="Times New Roman"/>
          <w:sz w:val="24"/>
          <w:szCs w:val="24"/>
        </w:rPr>
        <w:t>)</w:t>
      </w:r>
      <w:r w:rsidR="00674595">
        <w:rPr>
          <w:rFonts w:ascii="Times New Roman" w:hAnsi="Times New Roman" w:cs="Times New Roman"/>
          <w:sz w:val="24"/>
          <w:szCs w:val="24"/>
        </w:rPr>
        <w:t xml:space="preserve"> review and approve the FERC-519</w:t>
      </w:r>
      <w:r>
        <w:rPr>
          <w:rFonts w:ascii="Times New Roman" w:hAnsi="Times New Roman" w:cs="Times New Roman"/>
          <w:sz w:val="24"/>
          <w:szCs w:val="24"/>
        </w:rPr>
        <w:t xml:space="preserve"> (</w:t>
      </w:r>
      <w:r w:rsidRPr="00674595" w:rsidR="00674595">
        <w:rPr>
          <w:rFonts w:ascii="Times New Roman" w:hAnsi="Times New Roman" w:cs="Times New Roman"/>
          <w:sz w:val="24"/>
          <w:szCs w:val="24"/>
        </w:rPr>
        <w:t>Application under Federal Power Act Section 203</w:t>
      </w:r>
      <w:r>
        <w:rPr>
          <w:rFonts w:ascii="Times New Roman" w:hAnsi="Times New Roman" w:cs="Times New Roman"/>
          <w:sz w:val="24"/>
          <w:szCs w:val="24"/>
        </w:rPr>
        <w:t>) information collection for a three-year period under OMB Control No. 1902-</w:t>
      </w:r>
      <w:r w:rsidR="00690299">
        <w:rPr>
          <w:rFonts w:ascii="Times New Roman" w:hAnsi="Times New Roman" w:cs="Times New Roman"/>
          <w:sz w:val="24"/>
          <w:szCs w:val="24"/>
        </w:rPr>
        <w:t>0082</w:t>
      </w:r>
      <w:r>
        <w:rPr>
          <w:rFonts w:ascii="Times New Roman" w:hAnsi="Times New Roman" w:cs="Times New Roman"/>
          <w:sz w:val="24"/>
          <w:szCs w:val="24"/>
        </w:rPr>
        <w:t>.</w:t>
      </w:r>
      <w:r w:rsidR="00CB00A0">
        <w:rPr>
          <w:rFonts w:ascii="Times New Roman" w:hAnsi="Times New Roman" w:cs="Times New Roman"/>
          <w:sz w:val="24"/>
          <w:szCs w:val="24"/>
        </w:rPr>
        <w:t xml:space="preserve"> </w:t>
      </w:r>
      <w:r w:rsidR="00CB00A0">
        <w:rPr>
          <w:rFonts w:ascii="Times New Roman" w:hAnsi="Times New Roman"/>
          <w:sz w:val="24"/>
          <w:szCs w:val="24"/>
        </w:rPr>
        <w:t>These requirements are part of the Commission’s regulations in 18 Code of Federal Regula</w:t>
      </w:r>
      <w:r w:rsidR="00C56B83">
        <w:rPr>
          <w:rFonts w:ascii="Times New Roman" w:hAnsi="Times New Roman"/>
          <w:sz w:val="24"/>
          <w:szCs w:val="24"/>
        </w:rPr>
        <w:t xml:space="preserve">tions (CFR) </w:t>
      </w:r>
      <w:r w:rsidR="00690299">
        <w:rPr>
          <w:rFonts w:ascii="Times New Roman" w:hAnsi="Times New Roman"/>
          <w:sz w:val="24"/>
          <w:szCs w:val="24"/>
        </w:rPr>
        <w:t>33</w:t>
      </w:r>
      <w:r w:rsidR="00C56B83">
        <w:rPr>
          <w:rFonts w:ascii="Times New Roman" w:hAnsi="Times New Roman"/>
          <w:sz w:val="24"/>
          <w:szCs w:val="24"/>
        </w:rPr>
        <w:t>.</w:t>
      </w:r>
    </w:p>
    <w:p w:rsidR="0002242D" w:rsidP="00FD66F1" w:rsidRDefault="0002242D" w14:paraId="2109D6E9" w14:textId="77777777">
      <w:pPr>
        <w:spacing w:after="0"/>
        <w:rPr>
          <w:rFonts w:ascii="Times New Roman" w:hAnsi="Times New Roman" w:cs="Times New Roman"/>
          <w:sz w:val="24"/>
          <w:szCs w:val="24"/>
        </w:rPr>
      </w:pPr>
    </w:p>
    <w:p w:rsidRPr="00EB3E6F" w:rsidR="00A72E7B" w:rsidP="00A72E7B" w:rsidRDefault="00A72E7B" w14:paraId="11866EB5"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P="00EB3E6F" w:rsidRDefault="00A72E7B" w14:paraId="6D51C2DC" w14:textId="77777777">
      <w:pPr>
        <w:spacing w:after="0"/>
        <w:rPr>
          <w:rFonts w:ascii="Times New Roman" w:hAnsi="Times New Roman" w:cs="Times New Roman"/>
          <w:sz w:val="24"/>
          <w:szCs w:val="24"/>
        </w:rPr>
      </w:pPr>
    </w:p>
    <w:p w:rsidRPr="00C85BCD" w:rsidR="00C85BCD" w:rsidP="00C85BCD" w:rsidRDefault="00C85BCD" w14:paraId="74AD5918" w14:textId="77777777">
      <w:pPr>
        <w:spacing w:after="0"/>
        <w:rPr>
          <w:rFonts w:ascii="Times New Roman" w:hAnsi="Times New Roman" w:cs="Times New Roman"/>
          <w:sz w:val="24"/>
          <w:szCs w:val="24"/>
        </w:rPr>
      </w:pPr>
      <w:r w:rsidRPr="00C85BCD">
        <w:rPr>
          <w:rFonts w:ascii="Times New Roman" w:hAnsi="Times New Roman" w:cs="Times New Roman"/>
          <w:sz w:val="24"/>
          <w:szCs w:val="24"/>
        </w:rPr>
        <w:t>According to Section 203 of the Federal Power Act (FPA)</w:t>
      </w:r>
      <w:r>
        <w:rPr>
          <w:rFonts w:ascii="Times New Roman" w:hAnsi="Times New Roman" w:cs="Times New Roman"/>
          <w:sz w:val="24"/>
          <w:szCs w:val="24"/>
        </w:rPr>
        <w:t xml:space="preserve">, </w:t>
      </w:r>
      <w:r w:rsidRPr="00C85BCD">
        <w:rPr>
          <w:rFonts w:ascii="Times New Roman" w:hAnsi="Times New Roman" w:cs="Times New Roman"/>
          <w:sz w:val="24"/>
          <w:szCs w:val="24"/>
        </w:rPr>
        <w:t>FERC approval is required for transactions</w:t>
      </w:r>
      <w:r w:rsidRPr="00C85BCD">
        <w:rPr>
          <w:rFonts w:ascii="Times New Roman" w:hAnsi="Times New Roman" w:cs="Times New Roman"/>
          <w:sz w:val="24"/>
          <w:szCs w:val="24"/>
          <w:vertAlign w:val="superscript"/>
        </w:rPr>
        <w:footnoteReference w:id="1"/>
      </w:r>
      <w:r w:rsidRPr="00C85BCD">
        <w:rPr>
          <w:rFonts w:ascii="Times New Roman" w:hAnsi="Times New Roman" w:cs="Times New Roman"/>
          <w:sz w:val="24"/>
          <w:szCs w:val="24"/>
        </w:rPr>
        <w:t xml:space="preserve"> in which a public utility disposes of jurisdictional facilities, merges such facilities with facilities owned by another person, or acquires the securities of another public utility.  Under the statute, FERC must find that the proposed transaction will be consistent with the public interest.  </w:t>
      </w:r>
    </w:p>
    <w:p w:rsidRPr="00F57E1B" w:rsidR="00F57E1B" w:rsidP="00F57E1B" w:rsidRDefault="00F57E1B" w14:paraId="3FA8C372" w14:textId="77777777">
      <w:pPr>
        <w:spacing w:after="0" w:line="240" w:lineRule="auto"/>
        <w:rPr>
          <w:rFonts w:ascii="Times New Roman" w:hAnsi="Times New Roman" w:eastAsia="Calibri" w:cs="Times New Roman"/>
          <w:sz w:val="26"/>
          <w:szCs w:val="26"/>
        </w:rPr>
      </w:pPr>
      <w:r w:rsidRPr="00F57E1B">
        <w:rPr>
          <w:rFonts w:ascii="Times New Roman" w:hAnsi="Times New Roman" w:eastAsia="Calibri" w:cs="Times New Roman"/>
          <w:sz w:val="26"/>
          <w:szCs w:val="26"/>
        </w:rPr>
        <w:t>On September 28, 2018, the President signed into law an amendment to section 203 of the Federal Power Act (FPA)</w:t>
      </w:r>
      <w:r w:rsidRPr="00F57E1B">
        <w:rPr>
          <w:rFonts w:ascii="Times New Roman" w:hAnsi="Times New Roman" w:eastAsia="Calibri" w:cs="Times New Roman"/>
          <w:sz w:val="26"/>
          <w:szCs w:val="26"/>
          <w:vertAlign w:val="superscript"/>
        </w:rPr>
        <w:footnoteReference w:id="2"/>
      </w:r>
      <w:r w:rsidRPr="00F57E1B">
        <w:rPr>
          <w:rFonts w:ascii="Times New Roman" w:hAnsi="Times New Roman" w:eastAsia="Calibri" w:cs="Times New Roman"/>
          <w:sz w:val="26"/>
          <w:szCs w:val="26"/>
        </w:rPr>
        <w:t xml:space="preserve"> implementing the following two changes that:  </w:t>
      </w:r>
    </w:p>
    <w:p w:rsidRPr="00F57E1B" w:rsidR="00F57E1B" w:rsidP="00F57E1B" w:rsidRDefault="00F57E1B" w14:paraId="485EBB03" w14:textId="77777777">
      <w:pPr>
        <w:numPr>
          <w:ilvl w:val="0"/>
          <w:numId w:val="9"/>
        </w:numPr>
        <w:spacing w:after="0" w:line="240" w:lineRule="auto"/>
        <w:contextualSpacing/>
        <w:rPr>
          <w:rFonts w:ascii="Times New Roman" w:hAnsi="Times New Roman" w:eastAsia="Calibri" w:cs="Times New Roman"/>
          <w:sz w:val="26"/>
          <w:szCs w:val="26"/>
        </w:rPr>
      </w:pPr>
      <w:r w:rsidRPr="00F57E1B">
        <w:rPr>
          <w:rFonts w:ascii="Times New Roman" w:hAnsi="Times New Roman" w:eastAsia="Calibri" w:cs="Times New Roman"/>
          <w:sz w:val="26"/>
          <w:szCs w:val="26"/>
        </w:rPr>
        <w:t>Revise section 203(a)(1)(B)</w:t>
      </w:r>
      <w:r w:rsidRPr="00F57E1B">
        <w:rPr>
          <w:rFonts w:ascii="Calibri" w:hAnsi="Calibri" w:eastAsia="Calibri" w:cs="Times New Roman"/>
          <w:b/>
          <w:vertAlign w:val="superscript"/>
        </w:rPr>
        <w:footnoteReference w:id="3"/>
      </w:r>
      <w:r w:rsidRPr="00F57E1B">
        <w:rPr>
          <w:rFonts w:ascii="Times New Roman" w:hAnsi="Times New Roman" w:eastAsia="Calibri" w:cs="Times New Roman"/>
          <w:sz w:val="26"/>
          <w:szCs w:val="26"/>
        </w:rPr>
        <w:t xml:space="preserve"> to establish a $10 million threshold for transactions requiring Commission approval under that section [which consequently reduces filings and burden]; and</w:t>
      </w:r>
    </w:p>
    <w:p w:rsidRPr="00F57E1B" w:rsidR="00F57E1B" w:rsidP="00F57E1B" w:rsidRDefault="00F57E1B" w14:paraId="753950AE" w14:textId="77777777">
      <w:pPr>
        <w:numPr>
          <w:ilvl w:val="0"/>
          <w:numId w:val="9"/>
        </w:numPr>
        <w:spacing w:after="0" w:line="240" w:lineRule="auto"/>
        <w:contextualSpacing/>
        <w:rPr>
          <w:rFonts w:ascii="Times New Roman" w:hAnsi="Times New Roman" w:eastAsia="Calibri" w:cs="Times New Roman"/>
          <w:sz w:val="26"/>
          <w:szCs w:val="26"/>
        </w:rPr>
      </w:pPr>
      <w:r w:rsidRPr="00F57E1B">
        <w:rPr>
          <w:rFonts w:ascii="Times New Roman" w:hAnsi="Times New Roman" w:eastAsia="Calibri" w:cs="Times New Roman"/>
          <w:sz w:val="26"/>
          <w:szCs w:val="26"/>
        </w:rPr>
        <w:t>Require the Commission to promulgate a rule, “[n]</w:t>
      </w:r>
      <w:proofErr w:type="spellStart"/>
      <w:r w:rsidRPr="00F57E1B">
        <w:rPr>
          <w:rFonts w:ascii="Times New Roman" w:hAnsi="Times New Roman" w:eastAsia="Calibri" w:cs="Times New Roman"/>
          <w:iCs/>
          <w:sz w:val="26"/>
          <w:szCs w:val="26"/>
        </w:rPr>
        <w:t>ot</w:t>
      </w:r>
      <w:proofErr w:type="spellEnd"/>
      <w:r w:rsidRPr="00F57E1B">
        <w:rPr>
          <w:rFonts w:ascii="Times New Roman" w:hAnsi="Times New Roman" w:eastAsia="Calibri" w:cs="Times New Roman"/>
          <w:iCs/>
          <w:sz w:val="26"/>
          <w:szCs w:val="26"/>
        </w:rPr>
        <w:t xml:space="preserve"> later than 180 days after the date of enactment of this paragraph,</w:t>
      </w:r>
      <w:r w:rsidRPr="00F57E1B">
        <w:rPr>
          <w:rFonts w:ascii="Times New Roman" w:hAnsi="Times New Roman" w:eastAsia="Calibri" w:cs="Times New Roman"/>
          <w:sz w:val="26"/>
          <w:szCs w:val="26"/>
        </w:rPr>
        <w:t>” that establishes a notification requirement for transactions valued between $1 million and $10 million that would have been subject to the Commission’s jurisdiction under section 203(a)(1)(B) absent the newly implemented $10 million threshold.</w:t>
      </w:r>
    </w:p>
    <w:p w:rsidRPr="00F57E1B" w:rsidR="00C85BCD" w:rsidP="00F57E1B" w:rsidRDefault="00F57E1B" w14:paraId="393FF291" w14:textId="1DD8E484">
      <w:pPr>
        <w:spacing w:after="0" w:line="240" w:lineRule="auto"/>
        <w:rPr>
          <w:rFonts w:ascii="Times New Roman" w:hAnsi="Times New Roman" w:eastAsia="Calibri" w:cs="Times New Roman"/>
          <w:sz w:val="26"/>
          <w:szCs w:val="26"/>
        </w:rPr>
      </w:pPr>
      <w:r w:rsidRPr="00F57E1B">
        <w:rPr>
          <w:rFonts w:ascii="Times New Roman" w:hAnsi="Times New Roman" w:eastAsia="Calibri" w:cs="Times New Roman"/>
          <w:sz w:val="26"/>
          <w:szCs w:val="26"/>
        </w:rPr>
        <w:t xml:space="preserve"> </w:t>
      </w:r>
    </w:p>
    <w:p w:rsidRPr="00C85BCD" w:rsidR="00C85BCD" w:rsidP="00C85BCD" w:rsidRDefault="00C85BCD" w14:paraId="65498076" w14:textId="63BB39DC">
      <w:pPr>
        <w:spacing w:after="0"/>
        <w:rPr>
          <w:rFonts w:ascii="Times New Roman" w:hAnsi="Times New Roman" w:cs="Times New Roman"/>
          <w:sz w:val="24"/>
          <w:szCs w:val="24"/>
        </w:rPr>
      </w:pPr>
      <w:r w:rsidRPr="00C85BCD">
        <w:rPr>
          <w:rFonts w:ascii="Times New Roman" w:hAnsi="Times New Roman" w:cs="Times New Roman"/>
          <w:sz w:val="24"/>
          <w:szCs w:val="24"/>
        </w:rPr>
        <w:t>The structure of the electric power industry has changed considerably with the advent of electric power generation deregulation and the enactment of the Energy Policy Act of 2005 (</w:t>
      </w:r>
      <w:proofErr w:type="spellStart"/>
      <w:r w:rsidRPr="00C85BCD">
        <w:rPr>
          <w:rFonts w:ascii="Times New Roman" w:hAnsi="Times New Roman" w:cs="Times New Roman"/>
          <w:sz w:val="24"/>
          <w:szCs w:val="24"/>
        </w:rPr>
        <w:t>EPAct</w:t>
      </w:r>
      <w:proofErr w:type="spellEnd"/>
      <w:r w:rsidRPr="00C85BCD">
        <w:rPr>
          <w:rFonts w:ascii="Times New Roman" w:hAnsi="Times New Roman" w:cs="Times New Roman"/>
          <w:sz w:val="24"/>
          <w:szCs w:val="24"/>
        </w:rPr>
        <w:t xml:space="preserve"> 2005).  The Commission has issued numerous rulemakings during this time in order to collect </w:t>
      </w:r>
      <w:r w:rsidRPr="00C85BCD">
        <w:rPr>
          <w:rFonts w:ascii="Times New Roman" w:hAnsi="Times New Roman" w:cs="Times New Roman"/>
          <w:sz w:val="24"/>
          <w:szCs w:val="24"/>
        </w:rPr>
        <w:lastRenderedPageBreak/>
        <w:t>the information needed to</w:t>
      </w:r>
      <w:r w:rsidR="00784942">
        <w:rPr>
          <w:rFonts w:ascii="Times New Roman" w:hAnsi="Times New Roman" w:cs="Times New Roman"/>
          <w:sz w:val="24"/>
          <w:szCs w:val="24"/>
        </w:rPr>
        <w:t xml:space="preserve"> guard against the exercise </w:t>
      </w:r>
      <w:r w:rsidRPr="00C85BCD">
        <w:rPr>
          <w:rFonts w:ascii="Times New Roman" w:hAnsi="Times New Roman" w:cs="Times New Roman"/>
          <w:sz w:val="24"/>
          <w:szCs w:val="24"/>
        </w:rPr>
        <w:t xml:space="preserve"> </w:t>
      </w:r>
      <w:r w:rsidR="00B462DC">
        <w:rPr>
          <w:rFonts w:ascii="Times New Roman" w:hAnsi="Times New Roman" w:cs="Times New Roman"/>
          <w:sz w:val="24"/>
          <w:szCs w:val="24"/>
        </w:rPr>
        <w:t xml:space="preserve">of </w:t>
      </w:r>
      <w:r w:rsidRPr="00C85BCD">
        <w:rPr>
          <w:rFonts w:ascii="Times New Roman" w:hAnsi="Times New Roman" w:cs="Times New Roman"/>
          <w:sz w:val="24"/>
          <w:szCs w:val="24"/>
        </w:rPr>
        <w:t>market power</w:t>
      </w:r>
      <w:r w:rsidR="00784942">
        <w:rPr>
          <w:rFonts w:ascii="Times New Roman" w:hAnsi="Times New Roman" w:cs="Times New Roman"/>
          <w:sz w:val="24"/>
          <w:szCs w:val="24"/>
        </w:rPr>
        <w:t xml:space="preserve">, to avoid adverse effects on public utility rates and regulatory effectiveness and to prevent cross-subsidization of non-utility associate companies by </w:t>
      </w:r>
      <w:proofErr w:type="spellStart"/>
      <w:r w:rsidR="00784942">
        <w:rPr>
          <w:rFonts w:ascii="Times New Roman" w:hAnsi="Times New Roman" w:cs="Times New Roman"/>
          <w:sz w:val="24"/>
          <w:szCs w:val="24"/>
        </w:rPr>
        <w:t>pubic</w:t>
      </w:r>
      <w:proofErr w:type="spellEnd"/>
      <w:r w:rsidR="00784942">
        <w:rPr>
          <w:rFonts w:ascii="Times New Roman" w:hAnsi="Times New Roman" w:cs="Times New Roman"/>
          <w:sz w:val="24"/>
          <w:szCs w:val="24"/>
        </w:rPr>
        <w:t xml:space="preserve"> utilities</w:t>
      </w:r>
      <w:r w:rsidRPr="00C85BCD">
        <w:rPr>
          <w:rFonts w:ascii="Times New Roman" w:hAnsi="Times New Roman" w:cs="Times New Roman"/>
          <w:sz w:val="24"/>
          <w:szCs w:val="24"/>
        </w:rPr>
        <w:t xml:space="preserve">.  </w:t>
      </w:r>
      <w:r w:rsidR="00784942">
        <w:rPr>
          <w:rFonts w:ascii="Times New Roman" w:hAnsi="Times New Roman" w:cs="Times New Roman"/>
          <w:sz w:val="24"/>
          <w:szCs w:val="24"/>
        </w:rPr>
        <w:t xml:space="preserve">Most of the information collected is necessary for the examination of potential market power and in determining any mitigation measures if it is found.  </w:t>
      </w:r>
      <w:r w:rsidRPr="00C85BCD">
        <w:rPr>
          <w:rFonts w:ascii="Times New Roman" w:hAnsi="Times New Roman" w:cs="Times New Roman"/>
          <w:sz w:val="24"/>
          <w:szCs w:val="24"/>
        </w:rPr>
        <w:t xml:space="preserve">Market power can be created or enhanced by mergers.  Mergers can eliminate a competitor from the market and concentrate control of generating assets.  Mergers can also enhance vertical market power, by giving the merged company a new or increased ability or incentive to restrict inputs to power production.  The Commission considers market power issues in reviewing applications for mergers or other jurisdictional acquisitions or dispositions of assets.  If a merger will create market power or enhance the applicant’s market power significantly, mitigation of these effects is required </w:t>
      </w:r>
      <w:proofErr w:type="gramStart"/>
      <w:r w:rsidRPr="00C85BCD">
        <w:rPr>
          <w:rFonts w:ascii="Times New Roman" w:hAnsi="Times New Roman" w:cs="Times New Roman"/>
          <w:sz w:val="24"/>
          <w:szCs w:val="24"/>
        </w:rPr>
        <w:t>in order to</w:t>
      </w:r>
      <w:proofErr w:type="gramEnd"/>
      <w:r w:rsidRPr="00C85BCD">
        <w:rPr>
          <w:rFonts w:ascii="Times New Roman" w:hAnsi="Times New Roman" w:cs="Times New Roman"/>
          <w:sz w:val="24"/>
          <w:szCs w:val="24"/>
        </w:rPr>
        <w:t xml:space="preserve"> ensure that the merger is consistent with the public interest.</w:t>
      </w:r>
    </w:p>
    <w:p w:rsidRPr="00C85BCD" w:rsidR="00C85BCD" w:rsidP="00C85BCD" w:rsidRDefault="00C85BCD" w14:paraId="4FD21C43" w14:textId="77777777">
      <w:pPr>
        <w:spacing w:after="0"/>
        <w:rPr>
          <w:rFonts w:ascii="Times New Roman" w:hAnsi="Times New Roman" w:cs="Times New Roman"/>
          <w:sz w:val="24"/>
          <w:szCs w:val="24"/>
        </w:rPr>
      </w:pPr>
    </w:p>
    <w:p w:rsidRPr="00EB3E6F" w:rsidR="00A72E7B" w:rsidP="00A72E7B" w:rsidRDefault="00EB3E6F" w14:paraId="4A9317AC"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P="00EB3E6F" w:rsidRDefault="00EB3E6F" w14:paraId="07FFF974" w14:textId="77777777">
      <w:pPr>
        <w:spacing w:after="0"/>
        <w:rPr>
          <w:rFonts w:ascii="Times New Roman" w:hAnsi="Times New Roman" w:cs="Times New Roman"/>
          <w:sz w:val="24"/>
          <w:szCs w:val="24"/>
        </w:rPr>
      </w:pPr>
    </w:p>
    <w:p w:rsidRPr="00C9359C" w:rsidR="00C9359C" w:rsidP="00C9359C" w:rsidRDefault="00C9359C" w14:paraId="02119410" w14:textId="76152ED8">
      <w:pPr>
        <w:spacing w:after="0"/>
        <w:rPr>
          <w:rFonts w:ascii="Times New Roman" w:hAnsi="Times New Roman" w:cs="Times New Roman"/>
          <w:sz w:val="24"/>
          <w:szCs w:val="24"/>
        </w:rPr>
      </w:pPr>
      <w:r w:rsidRPr="00C9359C">
        <w:rPr>
          <w:rFonts w:ascii="Times New Roman" w:hAnsi="Times New Roman" w:cs="Times New Roman"/>
          <w:sz w:val="24"/>
          <w:szCs w:val="24"/>
        </w:rPr>
        <w:t>The information collected und</w:t>
      </w:r>
      <w:r>
        <w:rPr>
          <w:rFonts w:ascii="Times New Roman" w:hAnsi="Times New Roman" w:cs="Times New Roman"/>
          <w:sz w:val="24"/>
          <w:szCs w:val="24"/>
        </w:rPr>
        <w:t>er the FERC-519 enables the Commission</w:t>
      </w:r>
      <w:r w:rsidRPr="00C9359C">
        <w:rPr>
          <w:rFonts w:ascii="Times New Roman" w:hAnsi="Times New Roman" w:cs="Times New Roman"/>
          <w:sz w:val="24"/>
          <w:szCs w:val="24"/>
        </w:rPr>
        <w:t xml:space="preserve"> to </w:t>
      </w:r>
      <w:r w:rsidR="00D970EC">
        <w:rPr>
          <w:rFonts w:ascii="Times New Roman" w:hAnsi="Times New Roman" w:cs="Times New Roman"/>
          <w:sz w:val="24"/>
          <w:szCs w:val="24"/>
        </w:rPr>
        <w:t>meet its statutory responsibilities regarding</w:t>
      </w:r>
      <w:r w:rsidRPr="00C9359C">
        <w:rPr>
          <w:rFonts w:ascii="Times New Roman" w:hAnsi="Times New Roman" w:cs="Times New Roman"/>
          <w:sz w:val="24"/>
          <w:szCs w:val="24"/>
        </w:rPr>
        <w:t xml:space="preserve"> public utility disposition, merger, consolidation of facilities, purchase</w:t>
      </w:r>
      <w:r>
        <w:rPr>
          <w:rFonts w:ascii="Times New Roman" w:hAnsi="Times New Roman" w:cs="Times New Roman"/>
          <w:sz w:val="24"/>
          <w:szCs w:val="24"/>
        </w:rPr>
        <w:t>,</w:t>
      </w:r>
      <w:r w:rsidRPr="00C9359C">
        <w:rPr>
          <w:rFonts w:ascii="Times New Roman" w:hAnsi="Times New Roman" w:cs="Times New Roman"/>
          <w:sz w:val="24"/>
          <w:szCs w:val="24"/>
        </w:rPr>
        <w:t xml:space="preserve"> or acquisition oversight and enforcement in accordance with the FPA as referenced above.  Without this information, FERC would be unable to </w:t>
      </w:r>
      <w:r w:rsidR="00D970EC">
        <w:rPr>
          <w:rFonts w:ascii="Times New Roman" w:hAnsi="Times New Roman" w:cs="Times New Roman"/>
          <w:sz w:val="24"/>
          <w:szCs w:val="24"/>
        </w:rPr>
        <w:t>meet these responsibilities</w:t>
      </w:r>
      <w:r w:rsidRPr="00C9359C">
        <w:rPr>
          <w:rFonts w:ascii="Times New Roman" w:hAnsi="Times New Roman" w:cs="Times New Roman"/>
          <w:sz w:val="24"/>
          <w:szCs w:val="24"/>
        </w:rPr>
        <w:t xml:space="preserve">. </w:t>
      </w:r>
    </w:p>
    <w:p w:rsidRPr="00C9359C" w:rsidR="00C9359C" w:rsidP="00C9359C" w:rsidRDefault="00C9359C" w14:paraId="7769D0C6" w14:textId="77777777">
      <w:pPr>
        <w:spacing w:after="0"/>
        <w:rPr>
          <w:rFonts w:ascii="Times New Roman" w:hAnsi="Times New Roman" w:cs="Times New Roman"/>
          <w:sz w:val="24"/>
          <w:szCs w:val="24"/>
        </w:rPr>
      </w:pPr>
    </w:p>
    <w:p w:rsidRPr="00C9359C" w:rsidR="00C9359C" w:rsidP="00C9359C" w:rsidRDefault="00C9359C" w14:paraId="5C99F13C" w14:textId="64FCEF57">
      <w:pPr>
        <w:spacing w:after="0"/>
        <w:rPr>
          <w:rFonts w:ascii="Times New Roman" w:hAnsi="Times New Roman" w:cs="Times New Roman"/>
          <w:sz w:val="24"/>
          <w:szCs w:val="24"/>
        </w:rPr>
      </w:pPr>
      <w:r>
        <w:rPr>
          <w:rFonts w:ascii="Times New Roman" w:hAnsi="Times New Roman" w:cs="Times New Roman"/>
          <w:sz w:val="24"/>
          <w:szCs w:val="24"/>
        </w:rPr>
        <w:t>The required</w:t>
      </w:r>
      <w:r w:rsidRPr="00C9359C">
        <w:rPr>
          <w:rFonts w:ascii="Times New Roman" w:hAnsi="Times New Roman" w:cs="Times New Roman"/>
          <w:sz w:val="24"/>
          <w:szCs w:val="24"/>
        </w:rPr>
        <w:t xml:space="preserve"> information includes descriptions of corporate attributes of the party or parties to the proposed transaction (</w:t>
      </w:r>
      <w:r>
        <w:rPr>
          <w:rFonts w:ascii="Times New Roman" w:hAnsi="Times New Roman" w:cs="Times New Roman"/>
          <w:sz w:val="24"/>
          <w:szCs w:val="24"/>
        </w:rPr>
        <w:t xml:space="preserve">e.g. </w:t>
      </w:r>
      <w:r w:rsidRPr="00C9359C">
        <w:rPr>
          <w:rFonts w:ascii="Times New Roman" w:hAnsi="Times New Roman" w:cs="Times New Roman"/>
          <w:sz w:val="24"/>
          <w:szCs w:val="24"/>
        </w:rPr>
        <w:t xml:space="preserve">a sale, lease, or other disposition, merger, or consolidation of facilities, or purchase of other acquisition of the securities of a public utility and the facilities or other property involved in the transaction), statements </w:t>
      </w:r>
      <w:r>
        <w:rPr>
          <w:rFonts w:ascii="Times New Roman" w:hAnsi="Times New Roman" w:cs="Times New Roman"/>
          <w:sz w:val="24"/>
          <w:szCs w:val="24"/>
        </w:rPr>
        <w:t>about</w:t>
      </w:r>
      <w:r w:rsidRPr="00C9359C">
        <w:rPr>
          <w:rFonts w:ascii="Times New Roman" w:hAnsi="Times New Roman" w:cs="Times New Roman"/>
          <w:sz w:val="24"/>
          <w:szCs w:val="24"/>
        </w:rPr>
        <w:t xml:space="preserve"> effect of the transaction</w:t>
      </w:r>
      <w:r>
        <w:rPr>
          <w:rFonts w:ascii="Times New Roman" w:hAnsi="Times New Roman" w:cs="Times New Roman"/>
          <w:sz w:val="24"/>
          <w:szCs w:val="24"/>
        </w:rPr>
        <w:t>, and the applicant’s proof</w:t>
      </w:r>
      <w:r w:rsidRPr="00C9359C">
        <w:rPr>
          <w:rFonts w:ascii="Times New Roman" w:hAnsi="Times New Roman" w:cs="Times New Roman"/>
          <w:sz w:val="24"/>
          <w:szCs w:val="24"/>
        </w:rPr>
        <w:t xml:space="preserve"> that the transaction will be consistent with the public interest.</w:t>
      </w:r>
    </w:p>
    <w:p w:rsidRPr="00C9359C" w:rsidR="00C9359C" w:rsidP="00C9359C" w:rsidRDefault="00C9359C" w14:paraId="70C0B0F5" w14:textId="77777777">
      <w:pPr>
        <w:spacing w:after="0"/>
        <w:rPr>
          <w:rFonts w:ascii="Times New Roman" w:hAnsi="Times New Roman" w:cs="Times New Roman"/>
          <w:sz w:val="24"/>
          <w:szCs w:val="24"/>
        </w:rPr>
      </w:pPr>
    </w:p>
    <w:p w:rsidRPr="00C9359C" w:rsidR="00C9359C" w:rsidP="00C9359C" w:rsidRDefault="00C9359C" w14:paraId="2B519899" w14:textId="7F3EAF84">
      <w:pPr>
        <w:spacing w:after="0"/>
        <w:rPr>
          <w:rFonts w:ascii="Times New Roman" w:hAnsi="Times New Roman" w:cs="Times New Roman"/>
          <w:sz w:val="24"/>
          <w:szCs w:val="24"/>
        </w:rPr>
      </w:pPr>
      <w:r w:rsidRPr="00C9359C">
        <w:rPr>
          <w:rFonts w:ascii="Times New Roman" w:hAnsi="Times New Roman" w:cs="Times New Roman"/>
          <w:sz w:val="24"/>
          <w:szCs w:val="24"/>
        </w:rPr>
        <w:t xml:space="preserve">This information collection is the minimum necessary to comply with the statutes.  The consequence of a failure to collect the specified data </w:t>
      </w:r>
      <w:r w:rsidR="00D970EC">
        <w:rPr>
          <w:rFonts w:ascii="Times New Roman" w:hAnsi="Times New Roman" w:cs="Times New Roman"/>
          <w:sz w:val="24"/>
          <w:szCs w:val="24"/>
        </w:rPr>
        <w:t>is</w:t>
      </w:r>
      <w:r w:rsidRPr="00C9359C">
        <w:rPr>
          <w:rFonts w:ascii="Times New Roman" w:hAnsi="Times New Roman" w:cs="Times New Roman"/>
          <w:sz w:val="24"/>
          <w:szCs w:val="24"/>
        </w:rPr>
        <w:t xml:space="preserve"> that the Commission would be prevented from determin</w:t>
      </w:r>
      <w:r w:rsidR="002A0DF1">
        <w:rPr>
          <w:rFonts w:ascii="Times New Roman" w:hAnsi="Times New Roman" w:cs="Times New Roman"/>
          <w:sz w:val="24"/>
          <w:szCs w:val="24"/>
        </w:rPr>
        <w:t>in</w:t>
      </w:r>
      <w:r w:rsidR="00D970EC">
        <w:rPr>
          <w:rFonts w:ascii="Times New Roman" w:hAnsi="Times New Roman" w:cs="Times New Roman"/>
          <w:sz w:val="24"/>
          <w:szCs w:val="24"/>
        </w:rPr>
        <w:t>g</w:t>
      </w:r>
      <w:r w:rsidR="000B17BB">
        <w:rPr>
          <w:rFonts w:ascii="Times New Roman" w:hAnsi="Times New Roman" w:cs="Times New Roman"/>
          <w:sz w:val="24"/>
          <w:szCs w:val="24"/>
        </w:rPr>
        <w:t xml:space="preserve">, within the </w:t>
      </w:r>
      <w:proofErr w:type="gramStart"/>
      <w:r w:rsidR="000B17BB">
        <w:rPr>
          <w:rFonts w:ascii="Times New Roman" w:hAnsi="Times New Roman" w:cs="Times New Roman"/>
          <w:sz w:val="24"/>
          <w:szCs w:val="24"/>
        </w:rPr>
        <w:t>time period</w:t>
      </w:r>
      <w:proofErr w:type="gramEnd"/>
      <w:r w:rsidR="000B17BB">
        <w:rPr>
          <w:rFonts w:ascii="Times New Roman" w:hAnsi="Times New Roman" w:cs="Times New Roman"/>
          <w:sz w:val="24"/>
          <w:szCs w:val="24"/>
        </w:rPr>
        <w:t xml:space="preserve"> required under the statute,</w:t>
      </w:r>
      <w:r w:rsidRPr="00C9359C">
        <w:rPr>
          <w:rFonts w:ascii="Times New Roman" w:hAnsi="Times New Roman" w:cs="Times New Roman"/>
          <w:sz w:val="24"/>
          <w:szCs w:val="24"/>
        </w:rPr>
        <w:t xml:space="preserve"> </w:t>
      </w:r>
      <w:r w:rsidR="00D970EC">
        <w:rPr>
          <w:rFonts w:ascii="Times New Roman" w:hAnsi="Times New Roman" w:cs="Times New Roman"/>
          <w:sz w:val="24"/>
          <w:szCs w:val="24"/>
        </w:rPr>
        <w:t xml:space="preserve">whether the proposed transaction </w:t>
      </w:r>
      <w:r w:rsidR="000B17BB">
        <w:rPr>
          <w:rFonts w:ascii="Times New Roman" w:hAnsi="Times New Roman" w:cs="Times New Roman"/>
          <w:sz w:val="24"/>
          <w:szCs w:val="24"/>
        </w:rPr>
        <w:t xml:space="preserve">was consistent with </w:t>
      </w:r>
      <w:r w:rsidRPr="00C9359C">
        <w:rPr>
          <w:rFonts w:ascii="Times New Roman" w:hAnsi="Times New Roman" w:cs="Times New Roman"/>
          <w:sz w:val="24"/>
          <w:szCs w:val="24"/>
        </w:rPr>
        <w:t>the public interest.  If this information were not collected, there would be no data available to determine whether violations of the law had occurred.</w:t>
      </w:r>
    </w:p>
    <w:p w:rsidRPr="00EB3E6F" w:rsidR="005635C0" w:rsidP="00EB3E6F" w:rsidRDefault="005635C0" w14:paraId="7457E724" w14:textId="77777777">
      <w:pPr>
        <w:spacing w:after="0"/>
        <w:rPr>
          <w:rFonts w:ascii="Times New Roman" w:hAnsi="Times New Roman" w:cs="Times New Roman"/>
          <w:sz w:val="24"/>
          <w:szCs w:val="24"/>
        </w:rPr>
      </w:pPr>
    </w:p>
    <w:p w:rsidRPr="00EB3E6F" w:rsidR="00EB3E6F" w:rsidP="00A72E7B" w:rsidRDefault="00EB3E6F" w14:paraId="6B4B4DCE"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rsidRDefault="00EB3E6F" w14:paraId="42F4D019" w14:textId="77777777">
      <w:pPr>
        <w:spacing w:after="0"/>
        <w:rPr>
          <w:rFonts w:ascii="Times New Roman" w:hAnsi="Times New Roman" w:cs="Times New Roman"/>
          <w:sz w:val="24"/>
          <w:szCs w:val="24"/>
        </w:rPr>
      </w:pPr>
    </w:p>
    <w:p w:rsidRPr="004C7FEF" w:rsidR="004C7FEF" w:rsidP="004C7FEF" w:rsidRDefault="004C7FEF" w14:paraId="44E01717" w14:textId="77777777">
      <w:pPr>
        <w:spacing w:after="0"/>
        <w:rPr>
          <w:rFonts w:ascii="Times New Roman" w:hAnsi="Times New Roman" w:cs="Times New Roman"/>
          <w:sz w:val="24"/>
          <w:szCs w:val="24"/>
        </w:rPr>
      </w:pPr>
      <w:r w:rsidRPr="004C7FEF">
        <w:rPr>
          <w:rFonts w:ascii="Times New Roman" w:hAnsi="Times New Roman" w:cs="Times New Roman"/>
          <w:sz w:val="24"/>
          <w:szCs w:val="24"/>
        </w:rPr>
        <w:t>The Commission enco</w:t>
      </w:r>
      <w:r>
        <w:rPr>
          <w:rFonts w:ascii="Times New Roman" w:hAnsi="Times New Roman" w:cs="Times New Roman"/>
          <w:sz w:val="24"/>
          <w:szCs w:val="24"/>
        </w:rPr>
        <w:t>urages electronic filing of FERC-519</w:t>
      </w:r>
      <w:r w:rsidRPr="004C7FEF">
        <w:rPr>
          <w:rFonts w:ascii="Times New Roman" w:hAnsi="Times New Roman" w:cs="Times New Roman"/>
          <w:sz w:val="24"/>
          <w:szCs w:val="24"/>
        </w:rPr>
        <w:t xml:space="preserve"> information through its web-based </w:t>
      </w:r>
      <w:proofErr w:type="spellStart"/>
      <w:r w:rsidRPr="004C7FEF">
        <w:rPr>
          <w:rFonts w:ascii="Times New Roman" w:hAnsi="Times New Roman" w:cs="Times New Roman"/>
          <w:sz w:val="24"/>
          <w:szCs w:val="24"/>
        </w:rPr>
        <w:t>eFiling</w:t>
      </w:r>
      <w:proofErr w:type="spellEnd"/>
      <w:r w:rsidRPr="004C7FEF">
        <w:rPr>
          <w:rFonts w:ascii="Times New Roman" w:hAnsi="Times New Roman" w:cs="Times New Roman"/>
          <w:sz w:val="24"/>
          <w:szCs w:val="24"/>
        </w:rPr>
        <w:t xml:space="preserve"> system.  Currently, all parts of this collection can be filed electronically.</w:t>
      </w:r>
    </w:p>
    <w:p w:rsidRPr="00EB3E6F" w:rsidR="00EB3E6F" w:rsidP="00EB3E6F" w:rsidRDefault="00EB3E6F" w14:paraId="63E2962F" w14:textId="77777777">
      <w:pPr>
        <w:spacing w:after="0"/>
        <w:rPr>
          <w:rFonts w:ascii="Times New Roman" w:hAnsi="Times New Roman" w:cs="Times New Roman"/>
          <w:sz w:val="24"/>
          <w:szCs w:val="24"/>
        </w:rPr>
      </w:pPr>
    </w:p>
    <w:p w:rsidRPr="00EB3E6F" w:rsidR="00EB3E6F" w:rsidP="00A72E7B" w:rsidRDefault="00EB3E6F" w14:paraId="06A8783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rsidRDefault="00EB3E6F" w14:paraId="0817D7F4" w14:textId="77777777">
      <w:pPr>
        <w:spacing w:after="0"/>
        <w:rPr>
          <w:rFonts w:ascii="Times New Roman" w:hAnsi="Times New Roman" w:cs="Times New Roman"/>
          <w:sz w:val="24"/>
          <w:szCs w:val="24"/>
        </w:rPr>
      </w:pPr>
    </w:p>
    <w:p w:rsidR="00EB3E6F" w:rsidP="00EB3E6F" w:rsidRDefault="004C7FEF" w14:paraId="15C4718D" w14:textId="5135CC3F">
      <w:pPr>
        <w:spacing w:after="0"/>
        <w:rPr>
          <w:rFonts w:ascii="Times New Roman" w:hAnsi="Times New Roman" w:cs="Times New Roman"/>
          <w:sz w:val="24"/>
          <w:szCs w:val="24"/>
        </w:rPr>
      </w:pPr>
      <w:r w:rsidRPr="004C7FEF">
        <w:rPr>
          <w:rFonts w:ascii="Times New Roman" w:hAnsi="Times New Roman" w:cs="Times New Roman"/>
          <w:sz w:val="24"/>
          <w:szCs w:val="24"/>
        </w:rPr>
        <w:t>Filing requirements are periodically reviewed as the OMB expiration dates for information collections occur or as the Commission deems necessary in carrying out its regulatory responsibilities under the FPA.  All Commission information collections are subject to analysis by Commission staff</w:t>
      </w:r>
      <w:r>
        <w:rPr>
          <w:rFonts w:ascii="Times New Roman" w:hAnsi="Times New Roman" w:cs="Times New Roman"/>
          <w:sz w:val="24"/>
          <w:szCs w:val="24"/>
        </w:rPr>
        <w:t xml:space="preserve"> and are examined for redundancies and duplication</w:t>
      </w:r>
      <w:r w:rsidRPr="004C7FEF">
        <w:rPr>
          <w:rFonts w:ascii="Times New Roman" w:hAnsi="Times New Roman" w:cs="Times New Roman"/>
          <w:sz w:val="24"/>
          <w:szCs w:val="24"/>
        </w:rPr>
        <w:t xml:space="preserve">.  There is no other source of this information.  </w:t>
      </w:r>
    </w:p>
    <w:p w:rsidRPr="00EB3E6F" w:rsidR="004C7FEF" w:rsidP="00EB3E6F" w:rsidRDefault="004C7FEF" w14:paraId="2C44F3C2" w14:textId="77777777">
      <w:pPr>
        <w:spacing w:after="0"/>
        <w:rPr>
          <w:rFonts w:ascii="Times New Roman" w:hAnsi="Times New Roman" w:cs="Times New Roman"/>
          <w:sz w:val="24"/>
          <w:szCs w:val="24"/>
        </w:rPr>
      </w:pPr>
    </w:p>
    <w:p w:rsidRPr="00EB3E6F" w:rsidR="00EB3E6F" w:rsidP="00A72E7B" w:rsidRDefault="00EB3E6F" w14:paraId="6C482287"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rsidRDefault="00EB3E6F" w14:paraId="26619912" w14:textId="77777777">
      <w:pPr>
        <w:spacing w:after="0"/>
        <w:rPr>
          <w:rFonts w:ascii="Times New Roman" w:hAnsi="Times New Roman" w:cs="Times New Roman"/>
          <w:sz w:val="24"/>
          <w:szCs w:val="24"/>
        </w:rPr>
      </w:pPr>
    </w:p>
    <w:p w:rsidR="00C65190" w:rsidP="00EB3E6F" w:rsidRDefault="00FE0D6C" w14:paraId="0939FCF7" w14:textId="4973A7B8">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The Commission collects t</w:t>
      </w:r>
      <w:r w:rsidRPr="004C7FEF" w:rsidR="004C7FEF">
        <w:rPr>
          <w:rFonts w:ascii="Times New Roman" w:hAnsi="Times New Roman" w:eastAsia="Times New Roman" w:cs="Times New Roman"/>
          <w:sz w:val="24"/>
          <w:szCs w:val="24"/>
        </w:rPr>
        <w:t>his information from l</w:t>
      </w:r>
      <w:r>
        <w:rPr>
          <w:rFonts w:ascii="Times New Roman" w:hAnsi="Times New Roman" w:eastAsia="Times New Roman" w:cs="Times New Roman"/>
          <w:sz w:val="24"/>
          <w:szCs w:val="24"/>
        </w:rPr>
        <w:t xml:space="preserve">arge </w:t>
      </w:r>
      <w:r w:rsidR="000B17BB">
        <w:rPr>
          <w:rFonts w:ascii="Times New Roman" w:hAnsi="Times New Roman" w:eastAsia="Times New Roman" w:cs="Times New Roman"/>
          <w:sz w:val="24"/>
          <w:szCs w:val="24"/>
        </w:rPr>
        <w:t xml:space="preserve">and small </w:t>
      </w:r>
      <w:r>
        <w:rPr>
          <w:rFonts w:ascii="Times New Roman" w:hAnsi="Times New Roman" w:eastAsia="Times New Roman" w:cs="Times New Roman"/>
          <w:sz w:val="24"/>
          <w:szCs w:val="24"/>
        </w:rPr>
        <w:t>public utilities.  The Commission</w:t>
      </w:r>
      <w:r w:rsidRPr="004C7FEF" w:rsidR="004C7FEF">
        <w:rPr>
          <w:rFonts w:ascii="Times New Roman" w:hAnsi="Times New Roman" w:eastAsia="Times New Roman" w:cs="Times New Roman"/>
          <w:sz w:val="24"/>
          <w:szCs w:val="24"/>
        </w:rPr>
        <w:t xml:space="preserve"> realizes that not all applications require the </w:t>
      </w:r>
      <w:r>
        <w:rPr>
          <w:rFonts w:ascii="Times New Roman" w:hAnsi="Times New Roman" w:eastAsia="Times New Roman" w:cs="Times New Roman"/>
          <w:sz w:val="24"/>
          <w:szCs w:val="24"/>
        </w:rPr>
        <w:t>same amount of information (e.g.</w:t>
      </w:r>
      <w:r w:rsidRPr="004C7FEF" w:rsidR="004C7FEF">
        <w:rPr>
          <w:rFonts w:ascii="Times New Roman" w:hAnsi="Times New Roman" w:eastAsia="Times New Roman" w:cs="Times New Roman"/>
          <w:sz w:val="24"/>
          <w:szCs w:val="24"/>
        </w:rPr>
        <w:t xml:space="preserve"> regarding an applicant’s organizational structure and business arrangement activities) to allow the Commission to evaluate whether the transaction is consistent with the public interest.  Applicants may request a waiver of specific sections and it </w:t>
      </w:r>
      <w:r w:rsidR="000B17BB">
        <w:rPr>
          <w:rFonts w:ascii="Times New Roman" w:hAnsi="Times New Roman" w:eastAsia="Times New Roman" w:cs="Times New Roman"/>
          <w:sz w:val="24"/>
          <w:szCs w:val="24"/>
        </w:rPr>
        <w:t xml:space="preserve">is </w:t>
      </w:r>
      <w:r w:rsidRPr="004C7FEF" w:rsidR="004C7FEF">
        <w:rPr>
          <w:rFonts w:ascii="Times New Roman" w:hAnsi="Times New Roman" w:eastAsia="Times New Roman" w:cs="Times New Roman"/>
          <w:sz w:val="24"/>
          <w:szCs w:val="24"/>
        </w:rPr>
        <w:t>granted given sufficient support.  For example, an applicant can seek waiver of the requirement in 18 CFR 33.2(c)(3) to provide organizational charts if the applicant is successful in demonstrating that the proposed transaction does not affect the corporate structure of any party to the transaction.</w:t>
      </w:r>
    </w:p>
    <w:p w:rsidRPr="00EB3E6F" w:rsidR="004C7FEF" w:rsidP="00EB3E6F" w:rsidRDefault="004C7FEF" w14:paraId="10AA56C4" w14:textId="77777777">
      <w:pPr>
        <w:spacing w:after="0"/>
        <w:rPr>
          <w:rFonts w:ascii="Times New Roman" w:hAnsi="Times New Roman" w:cs="Times New Roman"/>
          <w:sz w:val="24"/>
          <w:szCs w:val="24"/>
        </w:rPr>
      </w:pPr>
    </w:p>
    <w:p w:rsidRPr="00D80FBD" w:rsidR="00EB3E6F" w:rsidP="00A72E7B" w:rsidRDefault="00EB3E6F" w14:paraId="71CF582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rsidRDefault="00EB3E6F" w14:paraId="3A7667F3" w14:textId="77777777">
      <w:pPr>
        <w:spacing w:after="0"/>
        <w:rPr>
          <w:rFonts w:ascii="Times New Roman" w:hAnsi="Times New Roman" w:cs="Times New Roman"/>
          <w:sz w:val="24"/>
          <w:szCs w:val="24"/>
        </w:rPr>
      </w:pPr>
    </w:p>
    <w:p w:rsidR="00EB3E6F" w:rsidP="00EB3E6F" w:rsidRDefault="00FE0D6C" w14:paraId="6B7EB88E" w14:textId="60DE1A2C">
      <w:pPr>
        <w:spacing w:after="0"/>
        <w:rPr>
          <w:rFonts w:ascii="Times New Roman" w:hAnsi="Times New Roman" w:cs="Times New Roman"/>
          <w:sz w:val="24"/>
          <w:szCs w:val="24"/>
        </w:rPr>
      </w:pPr>
      <w:r>
        <w:rPr>
          <w:rFonts w:ascii="Times New Roman" w:hAnsi="Times New Roman" w:cs="Times New Roman"/>
          <w:sz w:val="24"/>
          <w:szCs w:val="24"/>
        </w:rPr>
        <w:t>FPA S</w:t>
      </w:r>
      <w:r w:rsidRPr="00FE0D6C">
        <w:rPr>
          <w:rFonts w:ascii="Times New Roman" w:hAnsi="Times New Roman" w:cs="Times New Roman"/>
          <w:sz w:val="24"/>
          <w:szCs w:val="24"/>
        </w:rPr>
        <w:t xml:space="preserve">ection 203 requires a filing </w:t>
      </w:r>
      <w:r w:rsidR="00E367E2">
        <w:rPr>
          <w:rFonts w:ascii="Times New Roman" w:hAnsi="Times New Roman" w:cs="Times New Roman"/>
          <w:sz w:val="24"/>
          <w:szCs w:val="24"/>
        </w:rPr>
        <w:t>on the occasion that</w:t>
      </w:r>
      <w:r w:rsidRPr="00FE0D6C">
        <w:rPr>
          <w:rFonts w:ascii="Times New Roman" w:hAnsi="Times New Roman" w:cs="Times New Roman"/>
          <w:sz w:val="24"/>
          <w:szCs w:val="24"/>
        </w:rPr>
        <w:t xml:space="preserve"> a public utility </w:t>
      </w:r>
      <w:r w:rsidR="000B17BB">
        <w:rPr>
          <w:rFonts w:ascii="Times New Roman" w:hAnsi="Times New Roman" w:cs="Times New Roman"/>
          <w:sz w:val="24"/>
          <w:szCs w:val="24"/>
        </w:rPr>
        <w:t xml:space="preserve">proposes to </w:t>
      </w:r>
      <w:r w:rsidRPr="00FE0D6C">
        <w:rPr>
          <w:rFonts w:ascii="Times New Roman" w:hAnsi="Times New Roman" w:cs="Times New Roman"/>
          <w:sz w:val="24"/>
          <w:szCs w:val="24"/>
        </w:rPr>
        <w:t>dispose of jurisdictional facilities, merge such facilities, or acquire the securities of another public utility.  If the collection w</w:t>
      </w:r>
      <w:r w:rsidR="000B17BB">
        <w:rPr>
          <w:rFonts w:ascii="Times New Roman" w:hAnsi="Times New Roman" w:cs="Times New Roman"/>
          <w:sz w:val="24"/>
          <w:szCs w:val="24"/>
        </w:rPr>
        <w:t>as</w:t>
      </w:r>
      <w:r w:rsidRPr="00FE0D6C">
        <w:rPr>
          <w:rFonts w:ascii="Times New Roman" w:hAnsi="Times New Roman" w:cs="Times New Roman"/>
          <w:sz w:val="24"/>
          <w:szCs w:val="24"/>
        </w:rPr>
        <w:t xml:space="preserve"> </w:t>
      </w:r>
      <w:r w:rsidR="000B17BB">
        <w:rPr>
          <w:rFonts w:ascii="Times New Roman" w:hAnsi="Times New Roman" w:cs="Times New Roman"/>
          <w:sz w:val="24"/>
          <w:szCs w:val="24"/>
        </w:rPr>
        <w:t xml:space="preserve">not </w:t>
      </w:r>
      <w:r w:rsidRPr="00FE0D6C">
        <w:rPr>
          <w:rFonts w:ascii="Times New Roman" w:hAnsi="Times New Roman" w:cs="Times New Roman"/>
          <w:sz w:val="24"/>
          <w:szCs w:val="24"/>
        </w:rPr>
        <w:t xml:space="preserve">conducted </w:t>
      </w:r>
      <w:r w:rsidR="000B17BB">
        <w:rPr>
          <w:rFonts w:ascii="Times New Roman" w:hAnsi="Times New Roman" w:cs="Times New Roman"/>
          <w:sz w:val="24"/>
          <w:szCs w:val="24"/>
        </w:rPr>
        <w:t xml:space="preserve">before the proposed transaction was </w:t>
      </w:r>
      <w:proofErr w:type="spellStart"/>
      <w:r w:rsidR="000B17BB">
        <w:rPr>
          <w:rFonts w:ascii="Times New Roman" w:hAnsi="Times New Roman" w:cs="Times New Roman"/>
          <w:sz w:val="24"/>
          <w:szCs w:val="24"/>
        </w:rPr>
        <w:t>consumated</w:t>
      </w:r>
      <w:proofErr w:type="spellEnd"/>
      <w:r w:rsidRPr="00FE0D6C">
        <w:rPr>
          <w:rFonts w:ascii="Times New Roman" w:hAnsi="Times New Roman" w:cs="Times New Roman"/>
          <w:sz w:val="24"/>
          <w:szCs w:val="24"/>
        </w:rPr>
        <w:t xml:space="preserve">, the Commission would be unable to perform its mandated oversight and review responsibilities with respect to facilities, </w:t>
      </w:r>
      <w:proofErr w:type="gramStart"/>
      <w:r w:rsidRPr="00FE0D6C">
        <w:rPr>
          <w:rFonts w:ascii="Times New Roman" w:hAnsi="Times New Roman" w:cs="Times New Roman"/>
          <w:sz w:val="24"/>
          <w:szCs w:val="24"/>
        </w:rPr>
        <w:t>mergers</w:t>
      </w:r>
      <w:proofErr w:type="gramEnd"/>
      <w:r w:rsidRPr="00FE0D6C">
        <w:rPr>
          <w:rFonts w:ascii="Times New Roman" w:hAnsi="Times New Roman" w:cs="Times New Roman"/>
          <w:sz w:val="24"/>
          <w:szCs w:val="24"/>
        </w:rPr>
        <w:t xml:space="preserve"> and securities transactions.</w:t>
      </w:r>
    </w:p>
    <w:p w:rsidRPr="00EB3E6F" w:rsidR="00FE0D6C" w:rsidP="00EB3E6F" w:rsidRDefault="00FE0D6C" w14:paraId="777B1346" w14:textId="77777777">
      <w:pPr>
        <w:spacing w:after="0"/>
        <w:rPr>
          <w:rFonts w:ascii="Times New Roman" w:hAnsi="Times New Roman" w:cs="Times New Roman"/>
          <w:sz w:val="24"/>
          <w:szCs w:val="24"/>
        </w:rPr>
      </w:pPr>
    </w:p>
    <w:p w:rsidRPr="00D80FBD" w:rsidR="00EB3E6F" w:rsidP="00A72E7B" w:rsidRDefault="00EB3E6F" w14:paraId="479F4FA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rsidRDefault="00EB3E6F" w14:paraId="45BF90CF" w14:textId="77777777">
      <w:pPr>
        <w:spacing w:after="0"/>
        <w:rPr>
          <w:rFonts w:ascii="Times New Roman" w:hAnsi="Times New Roman" w:cs="Times New Roman"/>
          <w:sz w:val="24"/>
          <w:szCs w:val="24"/>
        </w:rPr>
      </w:pPr>
    </w:p>
    <w:p w:rsidRPr="0010043B" w:rsidR="0010043B" w:rsidP="0010043B" w:rsidRDefault="008F180E" w14:paraId="6123388D" w14:textId="77777777">
      <w:pPr>
        <w:spacing w:after="0"/>
        <w:rPr>
          <w:rFonts w:ascii="Times New Roman" w:hAnsi="Times New Roman" w:cs="Times New Roman"/>
          <w:sz w:val="24"/>
          <w:szCs w:val="24"/>
        </w:rPr>
      </w:pPr>
      <w:r>
        <w:rPr>
          <w:rFonts w:ascii="Times New Roman" w:hAnsi="Times New Roman" w:cs="Times New Roman"/>
          <w:sz w:val="24"/>
          <w:szCs w:val="24"/>
        </w:rPr>
        <w:t>This collection does not have any special circumstances.</w:t>
      </w:r>
    </w:p>
    <w:p w:rsidRPr="00EB3E6F" w:rsidR="00EB3E6F" w:rsidP="00EB3E6F" w:rsidRDefault="00EB3E6F" w14:paraId="1F3D73E2" w14:textId="77777777">
      <w:pPr>
        <w:spacing w:after="0"/>
        <w:rPr>
          <w:rFonts w:ascii="Times New Roman" w:hAnsi="Times New Roman" w:cs="Times New Roman"/>
          <w:sz w:val="24"/>
          <w:szCs w:val="24"/>
        </w:rPr>
      </w:pPr>
    </w:p>
    <w:p w:rsidRPr="00D80FBD" w:rsidR="00EB3E6F" w:rsidP="00A72E7B" w:rsidRDefault="00EB3E6F" w14:paraId="139365D8"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rsidRDefault="00EB3E6F" w14:paraId="18B6C08D" w14:textId="77777777">
      <w:pPr>
        <w:spacing w:after="0"/>
        <w:rPr>
          <w:rFonts w:ascii="Times New Roman" w:hAnsi="Times New Roman" w:cs="Times New Roman"/>
          <w:sz w:val="24"/>
          <w:szCs w:val="24"/>
        </w:rPr>
      </w:pPr>
    </w:p>
    <w:p w:rsidR="0010043B" w:rsidP="00EB3E6F" w:rsidRDefault="0010043B" w14:paraId="360593BA" w14:textId="22AB2687">
      <w:pPr>
        <w:spacing w:after="0"/>
        <w:rPr>
          <w:rFonts w:ascii="Times New Roman" w:hAnsi="Times New Roman" w:cs="Times New Roman"/>
          <w:sz w:val="24"/>
          <w:szCs w:val="24"/>
        </w:rPr>
      </w:pPr>
      <w:r w:rsidRPr="006601E3">
        <w:rPr>
          <w:rFonts w:ascii="Times New Roman" w:hAnsi="Times New Roman" w:cs="Times New Roman"/>
          <w:sz w:val="24"/>
          <w:szCs w:val="24"/>
        </w:rPr>
        <w:lastRenderedPageBreak/>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w:t>
      </w:r>
      <w:r w:rsidR="00C75E77">
        <w:rPr>
          <w:rFonts w:ascii="Times New Roman" w:hAnsi="Times New Roman" w:cs="Times New Roman"/>
          <w:sz w:val="24"/>
          <w:szCs w:val="24"/>
        </w:rPr>
        <w:t xml:space="preserve">on </w:t>
      </w:r>
      <w:r w:rsidR="003D5E83">
        <w:rPr>
          <w:rFonts w:ascii="Times New Roman" w:hAnsi="Times New Roman" w:cs="Times New Roman"/>
          <w:sz w:val="24"/>
          <w:szCs w:val="24"/>
        </w:rPr>
        <w:t>11/</w:t>
      </w:r>
      <w:r w:rsidR="000A5059">
        <w:rPr>
          <w:rFonts w:ascii="Times New Roman" w:hAnsi="Times New Roman" w:cs="Times New Roman"/>
          <w:sz w:val="24"/>
          <w:szCs w:val="24"/>
        </w:rPr>
        <w:t>15</w:t>
      </w:r>
      <w:r w:rsidR="003D5E83">
        <w:rPr>
          <w:rFonts w:ascii="Times New Roman" w:hAnsi="Times New Roman" w:cs="Times New Roman"/>
          <w:sz w:val="24"/>
          <w:szCs w:val="24"/>
        </w:rPr>
        <w:t>/2021</w:t>
      </w:r>
      <w:r w:rsidR="00C75E77">
        <w:rPr>
          <w:rFonts w:ascii="Times New Roman" w:hAnsi="Times New Roman" w:cs="Times New Roman"/>
          <w:sz w:val="24"/>
          <w:szCs w:val="24"/>
        </w:rPr>
        <w:t xml:space="preserve"> </w:t>
      </w:r>
      <w:r>
        <w:rPr>
          <w:rFonts w:ascii="Times New Roman" w:hAnsi="Times New Roman" w:cs="Times New Roman"/>
          <w:sz w:val="24"/>
          <w:szCs w:val="24"/>
        </w:rPr>
        <w:t>and a 30-day notice</w:t>
      </w:r>
      <w:r w:rsidR="00457B8D">
        <w:rPr>
          <w:rStyle w:val="FootnoteReference"/>
          <w:rFonts w:ascii="Times New Roman" w:hAnsi="Times New Roman" w:cs="Times New Roman"/>
          <w:sz w:val="24"/>
          <w:szCs w:val="24"/>
        </w:rPr>
        <w:footnoteReference w:id="5"/>
      </w:r>
      <w:r w:rsidRPr="006601E3">
        <w:rPr>
          <w:rFonts w:ascii="Times New Roman" w:hAnsi="Times New Roman" w:cs="Times New Roman"/>
          <w:sz w:val="24"/>
          <w:szCs w:val="24"/>
        </w:rPr>
        <w:t xml:space="preserve"> </w:t>
      </w:r>
      <w:r w:rsidR="00457B8D">
        <w:rPr>
          <w:rFonts w:ascii="Times New Roman" w:hAnsi="Times New Roman" w:cs="Times New Roman"/>
          <w:sz w:val="24"/>
          <w:szCs w:val="24"/>
        </w:rPr>
        <w:t xml:space="preserve">on 2/7/2022 </w:t>
      </w:r>
      <w:r w:rsidR="00C75E77">
        <w:rPr>
          <w:rFonts w:ascii="Times New Roman" w:hAnsi="Times New Roman" w:cs="Times New Roman"/>
          <w:sz w:val="24"/>
          <w:szCs w:val="24"/>
        </w:rPr>
        <w:t>published in the federal register.</w:t>
      </w:r>
      <w:r w:rsidRPr="006601E3">
        <w:rPr>
          <w:rFonts w:ascii="Times New Roman" w:hAnsi="Times New Roman" w:cs="Times New Roman"/>
          <w:sz w:val="24"/>
          <w:szCs w:val="24"/>
        </w:rPr>
        <w:t xml:space="preserve"> </w:t>
      </w:r>
      <w:r w:rsidR="00436C4A">
        <w:rPr>
          <w:rFonts w:ascii="Times New Roman" w:hAnsi="Times New Roman" w:cs="Times New Roman"/>
          <w:sz w:val="24"/>
          <w:szCs w:val="24"/>
        </w:rPr>
        <w:t xml:space="preserve"> </w:t>
      </w:r>
      <w:r w:rsidRPr="006601E3">
        <w:rPr>
          <w:rFonts w:ascii="Times New Roman" w:hAnsi="Times New Roman" w:cs="Times New Roman"/>
          <w:sz w:val="24"/>
          <w:szCs w:val="24"/>
        </w:rPr>
        <w:t>Within the public notices, the Commission noted that it would be requesting a three-year extension of the public reporting burden.  The Commission received no comments from the public regarding this information collection.</w:t>
      </w:r>
    </w:p>
    <w:p w:rsidRPr="00EB3E6F" w:rsidR="00EB3E6F" w:rsidP="00EB3E6F" w:rsidRDefault="00EB3E6F" w14:paraId="0F010A62" w14:textId="77777777">
      <w:pPr>
        <w:spacing w:after="0"/>
        <w:rPr>
          <w:rFonts w:ascii="Times New Roman" w:hAnsi="Times New Roman" w:cs="Times New Roman"/>
          <w:sz w:val="24"/>
          <w:szCs w:val="24"/>
        </w:rPr>
      </w:pPr>
    </w:p>
    <w:p w:rsidRPr="00D80FBD" w:rsidR="00EB3E6F" w:rsidP="00A72E7B" w:rsidRDefault="00D80FBD" w14:paraId="35F813D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rsidRDefault="00D80FBD" w14:paraId="091DE877" w14:textId="77777777">
      <w:pPr>
        <w:spacing w:after="0"/>
        <w:rPr>
          <w:rFonts w:ascii="Times New Roman" w:hAnsi="Times New Roman" w:cs="Times New Roman"/>
          <w:sz w:val="24"/>
          <w:szCs w:val="24"/>
        </w:rPr>
      </w:pPr>
    </w:p>
    <w:p w:rsidR="00D80FBD" w:rsidP="00D80FBD" w:rsidRDefault="0010043B" w14:paraId="5B6BCA09" w14:textId="77777777">
      <w:pPr>
        <w:spacing w:after="0"/>
        <w:rPr>
          <w:rFonts w:ascii="Times New Roman" w:hAnsi="Times New Roman" w:cs="Times New Roman"/>
          <w:sz w:val="24"/>
          <w:szCs w:val="24"/>
        </w:rPr>
      </w:pPr>
      <w:r>
        <w:rPr>
          <w:rFonts w:ascii="Times New Roman" w:hAnsi="Times New Roman" w:cs="Times New Roman"/>
          <w:sz w:val="24"/>
          <w:szCs w:val="24"/>
        </w:rPr>
        <w:t>There are no payments or gift</w:t>
      </w:r>
      <w:r w:rsidR="001D3F15">
        <w:rPr>
          <w:rFonts w:ascii="Times New Roman" w:hAnsi="Times New Roman" w:cs="Times New Roman"/>
          <w:sz w:val="24"/>
          <w:szCs w:val="24"/>
        </w:rPr>
        <w:t>s to respondents in the FERC-519</w:t>
      </w:r>
      <w:r>
        <w:rPr>
          <w:rFonts w:ascii="Times New Roman" w:hAnsi="Times New Roman" w:cs="Times New Roman"/>
          <w:sz w:val="24"/>
          <w:szCs w:val="24"/>
        </w:rPr>
        <w:t xml:space="preserve"> requirements.</w:t>
      </w:r>
    </w:p>
    <w:p w:rsidRPr="00D80FBD" w:rsidR="0010043B" w:rsidP="00D80FBD" w:rsidRDefault="0010043B" w14:paraId="5132ACEF" w14:textId="77777777">
      <w:pPr>
        <w:spacing w:after="0"/>
        <w:rPr>
          <w:rFonts w:ascii="Times New Roman" w:hAnsi="Times New Roman" w:cs="Times New Roman"/>
          <w:sz w:val="24"/>
          <w:szCs w:val="24"/>
        </w:rPr>
      </w:pPr>
    </w:p>
    <w:p w:rsidRPr="00D80FBD" w:rsidR="00D80FBD" w:rsidP="00A72E7B" w:rsidRDefault="00D80FBD" w14:paraId="20213BB8"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rsidRDefault="00D80FBD" w14:paraId="35FCD517" w14:textId="77777777">
      <w:pPr>
        <w:spacing w:after="0"/>
        <w:rPr>
          <w:rFonts w:ascii="Times New Roman" w:hAnsi="Times New Roman" w:cs="Times New Roman"/>
          <w:sz w:val="24"/>
          <w:szCs w:val="24"/>
        </w:rPr>
      </w:pPr>
    </w:p>
    <w:p w:rsidR="0010043B" w:rsidP="0010043B" w:rsidRDefault="00441A0A" w14:paraId="3F87A5A1" w14:textId="44B32380">
      <w:pPr>
        <w:spacing w:after="0"/>
        <w:rPr>
          <w:rFonts w:ascii="Times New Roman" w:hAnsi="Times New Roman" w:cs="Times New Roman"/>
          <w:sz w:val="24"/>
          <w:szCs w:val="24"/>
        </w:rPr>
      </w:pPr>
      <w:r>
        <w:rPr>
          <w:rFonts w:ascii="Times New Roman" w:hAnsi="Times New Roman" w:cs="Times New Roman"/>
          <w:sz w:val="24"/>
          <w:szCs w:val="24"/>
        </w:rPr>
        <w:t>Most</w:t>
      </w:r>
      <w:r w:rsidRPr="006601E3" w:rsidR="0010043B">
        <w:rPr>
          <w:rFonts w:ascii="Times New Roman" w:hAnsi="Times New Roman" w:cs="Times New Roman"/>
          <w:sz w:val="24"/>
          <w:szCs w:val="24"/>
        </w:rPr>
        <w:t xml:space="preserve"> data </w:t>
      </w:r>
      <w:proofErr w:type="gramStart"/>
      <w:r>
        <w:rPr>
          <w:rFonts w:ascii="Times New Roman" w:hAnsi="Times New Roman" w:cs="Times New Roman"/>
          <w:sz w:val="24"/>
          <w:szCs w:val="24"/>
        </w:rPr>
        <w:t>is</w:t>
      </w:r>
      <w:proofErr w:type="gramEnd"/>
      <w:r w:rsidR="0010043B">
        <w:rPr>
          <w:rFonts w:ascii="Times New Roman" w:hAnsi="Times New Roman" w:cs="Times New Roman"/>
          <w:sz w:val="24"/>
          <w:szCs w:val="24"/>
        </w:rPr>
        <w:t xml:space="preserve"> public information</w:t>
      </w:r>
      <w:r w:rsidRPr="006601E3" w:rsidR="0010043B">
        <w:rPr>
          <w:rFonts w:ascii="Times New Roman" w:hAnsi="Times New Roman" w:cs="Times New Roman"/>
          <w:sz w:val="24"/>
          <w:szCs w:val="24"/>
        </w:rPr>
        <w:t xml:space="preserve"> and</w:t>
      </w:r>
      <w:r w:rsidR="0010043B">
        <w:rPr>
          <w:rFonts w:ascii="Times New Roman" w:hAnsi="Times New Roman" w:cs="Times New Roman"/>
          <w:sz w:val="24"/>
          <w:szCs w:val="24"/>
        </w:rPr>
        <w:t>,</w:t>
      </w:r>
      <w:r w:rsidRPr="006601E3" w:rsidR="0010043B">
        <w:rPr>
          <w:rFonts w:ascii="Times New Roman" w:hAnsi="Times New Roman" w:cs="Times New Roman"/>
          <w:sz w:val="24"/>
          <w:szCs w:val="24"/>
        </w:rPr>
        <w:t xml:space="preserve"> therefore</w:t>
      </w:r>
      <w:r w:rsidR="0010043B">
        <w:rPr>
          <w:rFonts w:ascii="Times New Roman" w:hAnsi="Times New Roman" w:cs="Times New Roman"/>
          <w:sz w:val="24"/>
          <w:szCs w:val="24"/>
        </w:rPr>
        <w:t>,</w:t>
      </w:r>
      <w:r w:rsidRPr="006601E3" w:rsidR="0010043B">
        <w:rPr>
          <w:rFonts w:ascii="Times New Roman" w:hAnsi="Times New Roman" w:cs="Times New Roman"/>
          <w:sz w:val="24"/>
          <w:szCs w:val="24"/>
        </w:rPr>
        <w:t xml:space="preserve"> not </w:t>
      </w:r>
      <w:r w:rsidR="0010043B">
        <w:rPr>
          <w:rFonts w:ascii="Times New Roman" w:hAnsi="Times New Roman" w:cs="Times New Roman"/>
          <w:sz w:val="24"/>
          <w:szCs w:val="24"/>
        </w:rPr>
        <w:t xml:space="preserve">confidential.  </w:t>
      </w:r>
      <w:r>
        <w:rPr>
          <w:rFonts w:ascii="Times New Roman" w:hAnsi="Times New Roman" w:cs="Times New Roman"/>
          <w:sz w:val="24"/>
          <w:szCs w:val="24"/>
        </w:rPr>
        <w:t xml:space="preserve">Frequently, however, some of the information is proprietary or commercially or competitively sensitive.  </w:t>
      </w:r>
      <w:r w:rsidR="0010043B">
        <w:rPr>
          <w:rFonts w:ascii="Times New Roman" w:hAnsi="Times New Roman" w:cs="Times New Roman"/>
          <w:sz w:val="24"/>
          <w:szCs w:val="24"/>
        </w:rPr>
        <w:t>A filer</w:t>
      </w:r>
      <w:r w:rsidRPr="006601E3" w:rsidR="0010043B">
        <w:rPr>
          <w:rFonts w:ascii="Times New Roman" w:hAnsi="Times New Roman" w:cs="Times New Roman"/>
          <w:sz w:val="24"/>
          <w:szCs w:val="24"/>
        </w:rPr>
        <w:t xml:space="preserve"> ma</w:t>
      </w:r>
      <w:r w:rsidR="0010043B">
        <w:rPr>
          <w:rFonts w:ascii="Times New Roman" w:hAnsi="Times New Roman" w:cs="Times New Roman"/>
          <w:sz w:val="24"/>
          <w:szCs w:val="24"/>
        </w:rPr>
        <w:t xml:space="preserve">y request (as allowed under the </w:t>
      </w:r>
      <w:r w:rsidRPr="006601E3" w:rsidR="0010043B">
        <w:rPr>
          <w:rFonts w:ascii="Times New Roman" w:hAnsi="Times New Roman" w:cs="Times New Roman"/>
          <w:sz w:val="24"/>
          <w:szCs w:val="24"/>
        </w:rPr>
        <w:t>Commission’s r</w:t>
      </w:r>
      <w:r w:rsidR="0010043B">
        <w:rPr>
          <w:rFonts w:ascii="Times New Roman" w:hAnsi="Times New Roman" w:cs="Times New Roman"/>
          <w:sz w:val="24"/>
          <w:szCs w:val="24"/>
        </w:rPr>
        <w:t>egulations at 18 CFR 388.112) confidential treatmen</w:t>
      </w:r>
      <w:r w:rsidR="001D3F15">
        <w:rPr>
          <w:rFonts w:ascii="Times New Roman" w:hAnsi="Times New Roman" w:cs="Times New Roman"/>
          <w:sz w:val="24"/>
          <w:szCs w:val="24"/>
        </w:rPr>
        <w:t xml:space="preserve">t of some or </w:t>
      </w:r>
      <w:proofErr w:type="gramStart"/>
      <w:r w:rsidR="001D3F15">
        <w:rPr>
          <w:rFonts w:ascii="Times New Roman" w:hAnsi="Times New Roman" w:cs="Times New Roman"/>
          <w:sz w:val="24"/>
          <w:szCs w:val="24"/>
        </w:rPr>
        <w:t>all of</w:t>
      </w:r>
      <w:proofErr w:type="gramEnd"/>
      <w:r w:rsidR="001D3F15">
        <w:rPr>
          <w:rFonts w:ascii="Times New Roman" w:hAnsi="Times New Roman" w:cs="Times New Roman"/>
          <w:sz w:val="24"/>
          <w:szCs w:val="24"/>
        </w:rPr>
        <w:t xml:space="preserve"> the FERC-519</w:t>
      </w:r>
      <w:r w:rsidRPr="006601E3" w:rsidR="0010043B">
        <w:rPr>
          <w:rFonts w:ascii="Times New Roman" w:hAnsi="Times New Roman" w:cs="Times New Roman"/>
          <w:sz w:val="24"/>
          <w:szCs w:val="24"/>
        </w:rPr>
        <w:t xml:space="preserve"> filing.  Each request for confidential treatment will be reviewed on a case-by-case basis.</w:t>
      </w:r>
    </w:p>
    <w:p w:rsidRPr="00D80FBD" w:rsidR="0010043B" w:rsidP="00D80FBD" w:rsidRDefault="0010043B" w14:paraId="51E9D5E6" w14:textId="77777777">
      <w:pPr>
        <w:spacing w:after="0"/>
        <w:rPr>
          <w:rFonts w:ascii="Times New Roman" w:hAnsi="Times New Roman" w:cs="Times New Roman"/>
          <w:sz w:val="24"/>
          <w:szCs w:val="24"/>
        </w:rPr>
      </w:pPr>
    </w:p>
    <w:p w:rsidRPr="00D80FBD" w:rsidR="00D80FBD" w:rsidP="00A72E7B" w:rsidRDefault="00D80FBD" w14:paraId="12BFAC2E"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B00A0">
        <w:rPr>
          <w:rFonts w:ascii="Times New Roman" w:hAnsi="Times New Roman"/>
          <w:b/>
          <w:sz w:val="24"/>
          <w:szCs w:val="24"/>
        </w:rPr>
        <w:t>, SUCH AS SEXUAL BEHAVIOR AND ATTITUDES, RELIGIOUS BELIEFS, AND OTHER MATTERS THAT ARE COMMONLY CONSIDERED PRIVATE.</w:t>
      </w:r>
    </w:p>
    <w:p w:rsidR="00D80FBD" w:rsidP="00D80FBD" w:rsidRDefault="00D80FBD" w14:paraId="5E3D0919" w14:textId="77777777">
      <w:pPr>
        <w:spacing w:after="0"/>
        <w:rPr>
          <w:rFonts w:ascii="Times New Roman" w:hAnsi="Times New Roman" w:cs="Times New Roman"/>
          <w:sz w:val="24"/>
          <w:szCs w:val="24"/>
        </w:rPr>
      </w:pPr>
    </w:p>
    <w:p w:rsidR="00D80FBD" w:rsidP="00D80FBD" w:rsidRDefault="0010043B" w14:paraId="6692DA3F" w14:textId="2765C842">
      <w:pPr>
        <w:spacing w:after="0"/>
        <w:rPr>
          <w:rFonts w:ascii="Times New Roman" w:hAnsi="Times New Roman" w:cs="Times New Roman"/>
          <w:sz w:val="24"/>
          <w:szCs w:val="24"/>
        </w:rPr>
      </w:pPr>
      <w:r>
        <w:rPr>
          <w:rFonts w:ascii="Times New Roman" w:hAnsi="Times New Roman" w:cs="Times New Roman"/>
          <w:sz w:val="24"/>
          <w:szCs w:val="24"/>
        </w:rPr>
        <w:t xml:space="preserve">There are no questions of </w:t>
      </w:r>
      <w:r w:rsidR="00441A0A">
        <w:rPr>
          <w:rFonts w:ascii="Times New Roman" w:hAnsi="Times New Roman" w:cs="Times New Roman"/>
          <w:sz w:val="24"/>
          <w:szCs w:val="24"/>
        </w:rPr>
        <w:t xml:space="preserve">such </w:t>
      </w:r>
      <w:r>
        <w:rPr>
          <w:rFonts w:ascii="Times New Roman" w:hAnsi="Times New Roman" w:cs="Times New Roman"/>
          <w:sz w:val="24"/>
          <w:szCs w:val="24"/>
        </w:rPr>
        <w:t>sensitive nat</w:t>
      </w:r>
      <w:r w:rsidR="001D3F15">
        <w:rPr>
          <w:rFonts w:ascii="Times New Roman" w:hAnsi="Times New Roman" w:cs="Times New Roman"/>
          <w:sz w:val="24"/>
          <w:szCs w:val="24"/>
        </w:rPr>
        <w:t>ure associated with the FERC-519</w:t>
      </w:r>
      <w:r>
        <w:rPr>
          <w:rFonts w:ascii="Times New Roman" w:hAnsi="Times New Roman" w:cs="Times New Roman"/>
          <w:sz w:val="24"/>
          <w:szCs w:val="24"/>
        </w:rPr>
        <w:t xml:space="preserve"> reporting requirements. </w:t>
      </w:r>
    </w:p>
    <w:p w:rsidRPr="00D80FBD" w:rsidR="0010043B" w:rsidP="00D80FBD" w:rsidRDefault="0010043B" w14:paraId="2ACB9EBF" w14:textId="77777777">
      <w:pPr>
        <w:spacing w:after="0"/>
        <w:rPr>
          <w:rFonts w:ascii="Times New Roman" w:hAnsi="Times New Roman" w:cs="Times New Roman"/>
          <w:sz w:val="24"/>
          <w:szCs w:val="24"/>
        </w:rPr>
      </w:pPr>
    </w:p>
    <w:p w:rsidRPr="00D80FBD" w:rsidR="00D80FBD" w:rsidP="00A72E7B" w:rsidRDefault="00D80FBD" w14:paraId="6095C28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P="00D80FBD" w:rsidRDefault="00D80FBD" w14:paraId="6C549746" w14:textId="77777777">
      <w:pPr>
        <w:spacing w:after="0"/>
        <w:rPr>
          <w:rFonts w:ascii="Times New Roman" w:hAnsi="Times New Roman" w:cs="Times New Roman"/>
          <w:sz w:val="24"/>
          <w:szCs w:val="24"/>
        </w:rPr>
      </w:pPr>
    </w:p>
    <w:p w:rsidR="00F100EB" w:rsidP="00D80FBD" w:rsidRDefault="00F100EB" w14:paraId="043C374B" w14:textId="77777777">
      <w:pPr>
        <w:spacing w:after="0"/>
        <w:rPr>
          <w:rFonts w:ascii="Times New Roman" w:hAnsi="Times New Roman" w:cs="Times New Roman"/>
          <w:sz w:val="24"/>
          <w:szCs w:val="24"/>
        </w:rPr>
      </w:pPr>
      <w:r>
        <w:rPr>
          <w:rFonts w:ascii="Times New Roman" w:hAnsi="Times New Roman" w:cs="Times New Roman"/>
          <w:sz w:val="24"/>
          <w:szCs w:val="24"/>
        </w:rPr>
        <w:t>The Commission estimates the Public R</w:t>
      </w:r>
      <w:r w:rsidR="001D3F15">
        <w:rPr>
          <w:rFonts w:ascii="Times New Roman" w:hAnsi="Times New Roman" w:cs="Times New Roman"/>
          <w:sz w:val="24"/>
          <w:szCs w:val="24"/>
        </w:rPr>
        <w:t>eporting burden for the FERC-519</w:t>
      </w:r>
      <w:r>
        <w:rPr>
          <w:rFonts w:ascii="Times New Roman" w:hAnsi="Times New Roman" w:cs="Times New Roman"/>
          <w:sz w:val="24"/>
          <w:szCs w:val="24"/>
        </w:rPr>
        <w:t xml:space="preserve"> information collection as follows:</w:t>
      </w:r>
    </w:p>
    <w:p w:rsidR="00F100EB" w:rsidP="00D80FBD" w:rsidRDefault="00F100EB" w14:paraId="1521EA14" w14:textId="77777777">
      <w:pPr>
        <w:spacing w:after="0"/>
        <w:rPr>
          <w:rFonts w:ascii="Times New Roman" w:hAnsi="Times New Roman" w:cs="Times New Roman"/>
          <w:sz w:val="24"/>
          <w:szCs w:val="24"/>
        </w:rPr>
      </w:pPr>
    </w:p>
    <w:tbl>
      <w:tblPr>
        <w:tblW w:w="5511"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12"/>
        <w:gridCol w:w="1632"/>
        <w:gridCol w:w="1531"/>
        <w:gridCol w:w="1404"/>
        <w:gridCol w:w="1385"/>
        <w:gridCol w:w="1711"/>
        <w:gridCol w:w="1531"/>
      </w:tblGrid>
      <w:tr w:rsidRPr="00B158CE" w:rsidR="00B158CE" w:rsidTr="00C05E29" w14:paraId="6745E72E" w14:textId="77777777">
        <w:trPr>
          <w:cantSplit/>
          <w:trHeight w:val="395"/>
        </w:trPr>
        <w:tc>
          <w:tcPr>
            <w:tcW w:w="5000" w:type="pct"/>
            <w:gridSpan w:val="7"/>
            <w:shd w:val="clear" w:color="auto" w:fill="D9D9D9"/>
          </w:tcPr>
          <w:p w:rsidRPr="00B158CE" w:rsidR="00B158CE" w:rsidP="00B158CE" w:rsidRDefault="00B158CE" w14:paraId="475D745D" w14:textId="77777777">
            <w:pPr>
              <w:spacing w:after="0" w:line="259" w:lineRule="auto"/>
              <w:jc w:val="center"/>
              <w:rPr>
                <w:rFonts w:ascii="Times New Roman" w:hAnsi="Times New Roman" w:eastAsia="Calibri" w:cs="Times New Roman"/>
                <w:b/>
                <w:sz w:val="24"/>
                <w:szCs w:val="24"/>
              </w:rPr>
            </w:pPr>
            <w:r w:rsidRPr="00B158CE">
              <w:rPr>
                <w:rFonts w:ascii="Times New Roman" w:hAnsi="Times New Roman" w:eastAsia="Calibri" w:cs="Times New Roman"/>
                <w:b/>
                <w:sz w:val="24"/>
                <w:szCs w:val="24"/>
              </w:rPr>
              <w:t>FERC-519: Application under Federal Power Act Section 203</w:t>
            </w:r>
          </w:p>
        </w:tc>
      </w:tr>
      <w:tr w:rsidRPr="00B158CE" w:rsidR="00B158CE" w:rsidTr="00C05E29" w14:paraId="34E7CFD9" w14:textId="77777777">
        <w:trPr>
          <w:cantSplit/>
          <w:trHeight w:val="1225"/>
        </w:trPr>
        <w:tc>
          <w:tcPr>
            <w:tcW w:w="539" w:type="pct"/>
            <w:shd w:val="clear" w:color="auto" w:fill="D9D9D9"/>
          </w:tcPr>
          <w:p w:rsidRPr="00B158CE" w:rsidR="00B158CE" w:rsidP="00B158CE" w:rsidRDefault="00B158CE" w14:paraId="7FC2AFEA" w14:textId="77777777">
            <w:pPr>
              <w:spacing w:after="0" w:line="259" w:lineRule="auto"/>
              <w:rPr>
                <w:rFonts w:ascii="Times New Roman" w:hAnsi="Times New Roman" w:eastAsia="Calibri" w:cs="Times New Roman"/>
                <w:b/>
                <w:sz w:val="24"/>
                <w:szCs w:val="24"/>
              </w:rPr>
            </w:pPr>
          </w:p>
        </w:tc>
        <w:tc>
          <w:tcPr>
            <w:tcW w:w="792" w:type="pct"/>
            <w:shd w:val="clear" w:color="auto" w:fill="D9D9D9"/>
            <w:vAlign w:val="bottom"/>
          </w:tcPr>
          <w:p w:rsidRPr="00B158CE" w:rsidR="00B158CE" w:rsidP="00B158CE" w:rsidRDefault="00B158CE" w14:paraId="6AE3ACE6"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Number of Respondents</w:t>
            </w:r>
            <w:r w:rsidRPr="00B158CE">
              <w:rPr>
                <w:rFonts w:ascii="Times New Roman" w:hAnsi="Times New Roman" w:eastAsia="Calibri" w:cs="Times New Roman"/>
                <w:b/>
                <w:sz w:val="24"/>
                <w:szCs w:val="24"/>
              </w:rPr>
              <w:br/>
              <w:t>(1)</w:t>
            </w:r>
          </w:p>
        </w:tc>
        <w:tc>
          <w:tcPr>
            <w:tcW w:w="743" w:type="pct"/>
            <w:shd w:val="clear" w:color="auto" w:fill="D9D9D9"/>
            <w:vAlign w:val="bottom"/>
          </w:tcPr>
          <w:p w:rsidRPr="00B158CE" w:rsidR="00B158CE" w:rsidP="00B158CE" w:rsidRDefault="00B158CE" w14:paraId="3B6CEE5D"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Annual Number of Responses per Respondent</w:t>
            </w:r>
          </w:p>
          <w:p w:rsidRPr="00B158CE" w:rsidR="00B158CE" w:rsidP="00B158CE" w:rsidRDefault="00B158CE" w14:paraId="5D013489"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(2)</w:t>
            </w:r>
          </w:p>
        </w:tc>
        <w:tc>
          <w:tcPr>
            <w:tcW w:w="681" w:type="pct"/>
            <w:shd w:val="clear" w:color="auto" w:fill="D9D9D9"/>
            <w:vAlign w:val="bottom"/>
          </w:tcPr>
          <w:p w:rsidRPr="00B158CE" w:rsidR="00B158CE" w:rsidP="00B158CE" w:rsidRDefault="00B158CE" w14:paraId="124941F1"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Total Number of Responses (</w:t>
            </w:r>
            <w:proofErr w:type="gramStart"/>
            <w:r w:rsidRPr="00B158CE">
              <w:rPr>
                <w:rFonts w:ascii="Times New Roman" w:hAnsi="Times New Roman" w:eastAsia="Calibri" w:cs="Times New Roman"/>
                <w:b/>
                <w:sz w:val="24"/>
                <w:szCs w:val="24"/>
              </w:rPr>
              <w:t>1)*</w:t>
            </w:r>
            <w:proofErr w:type="gramEnd"/>
            <w:r w:rsidRPr="00B158CE">
              <w:rPr>
                <w:rFonts w:ascii="Times New Roman" w:hAnsi="Times New Roman" w:eastAsia="Calibri" w:cs="Times New Roman"/>
                <w:b/>
                <w:sz w:val="24"/>
                <w:szCs w:val="24"/>
              </w:rPr>
              <w:t>(2)=(3)</w:t>
            </w:r>
          </w:p>
        </w:tc>
        <w:tc>
          <w:tcPr>
            <w:tcW w:w="672" w:type="pct"/>
            <w:shd w:val="clear" w:color="auto" w:fill="D9D9D9"/>
            <w:vAlign w:val="bottom"/>
          </w:tcPr>
          <w:p w:rsidRPr="00B158CE" w:rsidR="00B158CE" w:rsidP="00B158CE" w:rsidRDefault="00B158CE" w14:paraId="1F7369AF"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Average Burden &amp; Cost Per Response</w:t>
            </w:r>
          </w:p>
          <w:p w:rsidRPr="00B158CE" w:rsidR="00B158CE" w:rsidP="00B158CE" w:rsidRDefault="00B158CE" w14:paraId="29AA1BB8"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(4)</w:t>
            </w:r>
          </w:p>
        </w:tc>
        <w:tc>
          <w:tcPr>
            <w:tcW w:w="830" w:type="pct"/>
            <w:shd w:val="clear" w:color="auto" w:fill="D9D9D9"/>
            <w:vAlign w:val="bottom"/>
          </w:tcPr>
          <w:p w:rsidRPr="00B158CE" w:rsidR="00B158CE" w:rsidP="00B158CE" w:rsidRDefault="00B158CE" w14:paraId="7DF61DB5"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Total Annual Burden Hours (Total Annual Cost)</w:t>
            </w:r>
          </w:p>
          <w:p w:rsidRPr="00B158CE" w:rsidR="00B158CE" w:rsidP="00B158CE" w:rsidRDefault="00B158CE" w14:paraId="65DEADF9"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w:t>
            </w:r>
            <w:proofErr w:type="gramStart"/>
            <w:r w:rsidRPr="00B158CE">
              <w:rPr>
                <w:rFonts w:ascii="Times New Roman" w:hAnsi="Times New Roman" w:eastAsia="Calibri" w:cs="Times New Roman"/>
                <w:b/>
                <w:sz w:val="24"/>
                <w:szCs w:val="24"/>
              </w:rPr>
              <w:t>3)*</w:t>
            </w:r>
            <w:proofErr w:type="gramEnd"/>
            <w:r w:rsidRPr="00B158CE">
              <w:rPr>
                <w:rFonts w:ascii="Times New Roman" w:hAnsi="Times New Roman" w:eastAsia="Calibri" w:cs="Times New Roman"/>
                <w:b/>
                <w:sz w:val="24"/>
                <w:szCs w:val="24"/>
              </w:rPr>
              <w:t>(4)=(5)</w:t>
            </w:r>
          </w:p>
        </w:tc>
        <w:tc>
          <w:tcPr>
            <w:tcW w:w="743" w:type="pct"/>
            <w:shd w:val="clear" w:color="auto" w:fill="D9D9D9"/>
            <w:vAlign w:val="bottom"/>
          </w:tcPr>
          <w:p w:rsidRPr="00B158CE" w:rsidR="00B158CE" w:rsidP="00B158CE" w:rsidRDefault="00B158CE" w14:paraId="2AC5282A"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Cost per Respondent</w:t>
            </w:r>
          </w:p>
          <w:p w:rsidRPr="00B158CE" w:rsidR="00B158CE" w:rsidP="00B158CE" w:rsidRDefault="00B158CE" w14:paraId="68A28CA7"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 xml:space="preserve"> ($)</w:t>
            </w:r>
          </w:p>
          <w:p w:rsidRPr="00B158CE" w:rsidR="00B158CE" w:rsidP="00B158CE" w:rsidRDefault="00B158CE" w14:paraId="3EFAC1C1" w14:textId="77777777">
            <w:pPr>
              <w:spacing w:after="0" w:line="259" w:lineRule="auto"/>
              <w:rPr>
                <w:rFonts w:ascii="Times New Roman" w:hAnsi="Times New Roman" w:eastAsia="Calibri" w:cs="Times New Roman"/>
                <w:b/>
                <w:sz w:val="24"/>
                <w:szCs w:val="24"/>
              </w:rPr>
            </w:pPr>
            <w:r w:rsidRPr="00B158CE">
              <w:rPr>
                <w:rFonts w:ascii="Times New Roman" w:hAnsi="Times New Roman" w:eastAsia="Calibri" w:cs="Times New Roman"/>
                <w:b/>
                <w:sz w:val="24"/>
                <w:szCs w:val="24"/>
              </w:rPr>
              <w:t>(</w:t>
            </w:r>
            <w:proofErr w:type="gramStart"/>
            <w:r w:rsidRPr="00B158CE">
              <w:rPr>
                <w:rFonts w:ascii="Times New Roman" w:hAnsi="Times New Roman" w:eastAsia="Calibri" w:cs="Times New Roman"/>
                <w:b/>
                <w:sz w:val="24"/>
                <w:szCs w:val="24"/>
              </w:rPr>
              <w:t>5)÷</w:t>
            </w:r>
            <w:proofErr w:type="gramEnd"/>
            <w:r w:rsidRPr="00B158CE">
              <w:rPr>
                <w:rFonts w:ascii="Times New Roman" w:hAnsi="Times New Roman" w:eastAsia="Calibri" w:cs="Times New Roman"/>
                <w:b/>
                <w:sz w:val="24"/>
                <w:szCs w:val="24"/>
              </w:rPr>
              <w:t>(1)</w:t>
            </w:r>
          </w:p>
        </w:tc>
      </w:tr>
      <w:tr w:rsidRPr="00B158CE" w:rsidR="00B158CE" w:rsidTr="00B158CE" w14:paraId="664E97BA" w14:textId="77777777">
        <w:trPr>
          <w:cantSplit/>
          <w:trHeight w:val="1475"/>
        </w:trPr>
        <w:tc>
          <w:tcPr>
            <w:tcW w:w="539" w:type="pct"/>
            <w:tcBorders>
              <w:top w:val="single" w:color="auto" w:sz="4" w:space="0"/>
              <w:left w:val="single" w:color="auto" w:sz="4" w:space="0"/>
              <w:bottom w:val="single" w:color="auto" w:sz="4" w:space="0"/>
              <w:right w:val="single" w:color="auto" w:sz="4" w:space="0"/>
            </w:tcBorders>
            <w:shd w:val="clear" w:color="auto" w:fill="auto"/>
            <w:vAlign w:val="bottom"/>
          </w:tcPr>
          <w:p w:rsidRPr="00B158CE" w:rsidR="00B158CE" w:rsidP="00B158CE" w:rsidRDefault="00B158CE" w14:paraId="3C1D7D4B" w14:textId="77777777">
            <w:pPr>
              <w:spacing w:after="0" w:line="259" w:lineRule="auto"/>
              <w:jc w:val="right"/>
              <w:rPr>
                <w:rFonts w:ascii="Times New Roman" w:hAnsi="Times New Roman" w:eastAsia="Calibri" w:cs="Times New Roman"/>
                <w:sz w:val="24"/>
                <w:szCs w:val="24"/>
              </w:rPr>
            </w:pPr>
            <w:r w:rsidRPr="00B158CE">
              <w:rPr>
                <w:rFonts w:ascii="Times New Roman" w:hAnsi="Times New Roman" w:eastAsia="Calibri" w:cs="Times New Roman"/>
                <w:sz w:val="24"/>
                <w:szCs w:val="24"/>
              </w:rPr>
              <w:t>FERC-519 (FPA Section 203 Filings)</w:t>
            </w:r>
            <w:r w:rsidRPr="00B158CE">
              <w:rPr>
                <w:rFonts w:ascii="Times New Roman" w:hAnsi="Times New Roman" w:eastAsia="Calibri" w:cs="Times New Roman"/>
                <w:b/>
                <w:sz w:val="24"/>
                <w:szCs w:val="24"/>
                <w:vertAlign w:val="superscript"/>
              </w:rPr>
              <w:footnoteReference w:id="6"/>
            </w:r>
          </w:p>
        </w:tc>
        <w:tc>
          <w:tcPr>
            <w:tcW w:w="792" w:type="pct"/>
            <w:tcBorders>
              <w:top w:val="single" w:color="auto" w:sz="4" w:space="0"/>
              <w:left w:val="single" w:color="auto" w:sz="4" w:space="0"/>
              <w:bottom w:val="single" w:color="auto" w:sz="4" w:space="0"/>
              <w:right w:val="single" w:color="auto" w:sz="4" w:space="0"/>
            </w:tcBorders>
            <w:shd w:val="clear" w:color="auto" w:fill="auto"/>
            <w:vAlign w:val="bottom"/>
          </w:tcPr>
          <w:p w:rsidRPr="00B158CE" w:rsidR="00B158CE" w:rsidP="00B158CE" w:rsidRDefault="00B158CE" w14:paraId="525C6855" w14:textId="0C8A7CD6">
            <w:pPr>
              <w:spacing w:after="0" w:line="259" w:lineRule="auto"/>
              <w:jc w:val="right"/>
              <w:rPr>
                <w:rFonts w:ascii="Times New Roman" w:hAnsi="Times New Roman" w:eastAsia="Calibri" w:cs="Times New Roman"/>
                <w:sz w:val="24"/>
                <w:szCs w:val="24"/>
              </w:rPr>
            </w:pPr>
            <w:r w:rsidRPr="00B158CE">
              <w:rPr>
                <w:rFonts w:ascii="Times New Roman" w:hAnsi="Times New Roman" w:eastAsia="Calibri" w:cs="Times New Roman"/>
                <w:sz w:val="24"/>
                <w:szCs w:val="24"/>
              </w:rPr>
              <w:t>13</w:t>
            </w:r>
            <w:r w:rsidR="00275FA7">
              <w:rPr>
                <w:rFonts w:ascii="Times New Roman" w:hAnsi="Times New Roman" w:eastAsia="Calibri" w:cs="Times New Roman"/>
                <w:sz w:val="24"/>
                <w:szCs w:val="24"/>
              </w:rPr>
              <w:t>4</w:t>
            </w:r>
          </w:p>
        </w:tc>
        <w:tc>
          <w:tcPr>
            <w:tcW w:w="743" w:type="pct"/>
            <w:tcBorders>
              <w:top w:val="single" w:color="auto" w:sz="4" w:space="0"/>
              <w:left w:val="single" w:color="auto" w:sz="4" w:space="0"/>
              <w:bottom w:val="single" w:color="auto" w:sz="4" w:space="0"/>
              <w:right w:val="single" w:color="auto" w:sz="4" w:space="0"/>
            </w:tcBorders>
            <w:shd w:val="clear" w:color="auto" w:fill="auto"/>
            <w:vAlign w:val="bottom"/>
          </w:tcPr>
          <w:p w:rsidRPr="00B158CE" w:rsidR="00B158CE" w:rsidP="00B158CE" w:rsidRDefault="00B158CE" w14:paraId="3E1B66A9" w14:textId="77777777">
            <w:pPr>
              <w:spacing w:after="0" w:line="259" w:lineRule="auto"/>
              <w:jc w:val="right"/>
              <w:rPr>
                <w:rFonts w:ascii="Times New Roman" w:hAnsi="Times New Roman" w:eastAsia="Calibri" w:cs="Times New Roman"/>
                <w:sz w:val="24"/>
                <w:szCs w:val="24"/>
              </w:rPr>
            </w:pPr>
            <w:r w:rsidRPr="00B158CE">
              <w:rPr>
                <w:rFonts w:ascii="Times New Roman" w:hAnsi="Times New Roman" w:eastAsia="Calibri" w:cs="Times New Roman"/>
                <w:sz w:val="24"/>
                <w:szCs w:val="24"/>
              </w:rPr>
              <w:t>1</w:t>
            </w:r>
          </w:p>
        </w:tc>
        <w:tc>
          <w:tcPr>
            <w:tcW w:w="681" w:type="pct"/>
            <w:tcBorders>
              <w:top w:val="single" w:color="auto" w:sz="4" w:space="0"/>
              <w:left w:val="single" w:color="auto" w:sz="4" w:space="0"/>
              <w:bottom w:val="single" w:color="auto" w:sz="4" w:space="0"/>
              <w:right w:val="single" w:color="auto" w:sz="4" w:space="0"/>
            </w:tcBorders>
            <w:shd w:val="clear" w:color="auto" w:fill="auto"/>
            <w:vAlign w:val="bottom"/>
          </w:tcPr>
          <w:p w:rsidRPr="00B158CE" w:rsidR="00B158CE" w:rsidP="00B158CE" w:rsidRDefault="00B158CE" w14:paraId="3C3E3CCF" w14:textId="3C3CA7BA">
            <w:pPr>
              <w:spacing w:after="0" w:line="259" w:lineRule="auto"/>
              <w:jc w:val="right"/>
              <w:rPr>
                <w:rFonts w:ascii="Times New Roman" w:hAnsi="Times New Roman" w:eastAsia="Calibri" w:cs="Times New Roman"/>
                <w:sz w:val="24"/>
                <w:szCs w:val="24"/>
              </w:rPr>
            </w:pPr>
            <w:r w:rsidRPr="00B158CE">
              <w:rPr>
                <w:rFonts w:ascii="Times New Roman" w:hAnsi="Times New Roman" w:eastAsia="Calibri" w:cs="Times New Roman"/>
                <w:sz w:val="24"/>
                <w:szCs w:val="24"/>
              </w:rPr>
              <w:t>13</w:t>
            </w:r>
            <w:r w:rsidR="00275FA7">
              <w:rPr>
                <w:rFonts w:ascii="Times New Roman" w:hAnsi="Times New Roman" w:eastAsia="Calibri" w:cs="Times New Roman"/>
                <w:sz w:val="24"/>
                <w:szCs w:val="24"/>
              </w:rPr>
              <w:t>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bottom"/>
          </w:tcPr>
          <w:p w:rsidRPr="00B158CE" w:rsidR="00B158CE" w:rsidP="00B158CE" w:rsidRDefault="00B158CE" w14:paraId="3AAF9BC1" w14:textId="77777777">
            <w:pPr>
              <w:spacing w:after="0" w:line="259" w:lineRule="auto"/>
              <w:jc w:val="right"/>
              <w:rPr>
                <w:rFonts w:ascii="Times New Roman" w:hAnsi="Times New Roman" w:eastAsia="Calibri" w:cs="Times New Roman"/>
                <w:sz w:val="24"/>
                <w:szCs w:val="24"/>
              </w:rPr>
            </w:pPr>
            <w:r w:rsidRPr="00B158CE">
              <w:rPr>
                <w:rFonts w:ascii="Times New Roman" w:hAnsi="Times New Roman" w:eastAsia="Calibri" w:cs="Times New Roman"/>
                <w:sz w:val="24"/>
                <w:szCs w:val="24"/>
              </w:rPr>
              <w:t>324.43 hr.</w:t>
            </w:r>
            <w:r w:rsidRPr="00B158CE">
              <w:rPr>
                <w:rFonts w:ascii="Times New Roman" w:hAnsi="Times New Roman" w:eastAsia="Calibri" w:cs="Times New Roman"/>
                <w:sz w:val="24"/>
                <w:szCs w:val="24"/>
                <w:vertAlign w:val="superscript"/>
              </w:rPr>
              <w:footnoteReference w:id="7"/>
            </w:r>
            <w:r w:rsidRPr="00B158CE">
              <w:rPr>
                <w:rFonts w:ascii="Times New Roman" w:hAnsi="Times New Roman" w:eastAsia="Calibri" w:cs="Times New Roman"/>
                <w:sz w:val="24"/>
                <w:szCs w:val="24"/>
              </w:rPr>
              <w:t xml:space="preserve">; </w:t>
            </w:r>
          </w:p>
          <w:p w:rsidRPr="00B158CE" w:rsidR="00B158CE" w:rsidP="00B158CE" w:rsidRDefault="00B158CE" w14:paraId="7DF70AAF" w14:textId="77777777">
            <w:pPr>
              <w:spacing w:after="0" w:line="259" w:lineRule="auto"/>
              <w:jc w:val="right"/>
              <w:rPr>
                <w:rFonts w:ascii="Times New Roman" w:hAnsi="Times New Roman" w:eastAsia="Calibri" w:cs="Times New Roman"/>
                <w:sz w:val="24"/>
                <w:szCs w:val="24"/>
              </w:rPr>
            </w:pPr>
            <w:r w:rsidRPr="00B158CE">
              <w:rPr>
                <w:rFonts w:ascii="Times New Roman" w:hAnsi="Times New Roman" w:eastAsia="Calibri" w:cs="Times New Roman"/>
                <w:sz w:val="24"/>
                <w:szCs w:val="24"/>
              </w:rPr>
              <w:t>$28,225.41</w:t>
            </w:r>
          </w:p>
        </w:tc>
        <w:tc>
          <w:tcPr>
            <w:tcW w:w="830" w:type="pct"/>
            <w:tcBorders>
              <w:top w:val="single" w:color="auto" w:sz="4" w:space="0"/>
              <w:left w:val="single" w:color="auto" w:sz="4" w:space="0"/>
              <w:bottom w:val="single" w:color="auto" w:sz="4" w:space="0"/>
              <w:right w:val="single" w:color="auto" w:sz="4" w:space="0"/>
            </w:tcBorders>
            <w:shd w:val="clear" w:color="auto" w:fill="auto"/>
            <w:vAlign w:val="bottom"/>
          </w:tcPr>
          <w:p w:rsidRPr="00B158CE" w:rsidR="00B158CE" w:rsidP="00B158CE" w:rsidRDefault="00B158CE" w14:paraId="0961D809" w14:textId="55E9AA27">
            <w:pPr>
              <w:spacing w:after="0" w:line="259" w:lineRule="auto"/>
              <w:jc w:val="right"/>
              <w:rPr>
                <w:rFonts w:ascii="Times New Roman" w:hAnsi="Times New Roman" w:eastAsia="Calibri" w:cs="Times New Roman"/>
                <w:sz w:val="24"/>
                <w:szCs w:val="24"/>
              </w:rPr>
            </w:pPr>
            <w:r w:rsidRPr="00B158CE">
              <w:rPr>
                <w:rFonts w:ascii="Times New Roman" w:hAnsi="Times New Roman" w:eastAsia="Calibri" w:cs="Times New Roman"/>
                <w:sz w:val="24"/>
                <w:szCs w:val="24"/>
              </w:rPr>
              <w:t>4</w:t>
            </w:r>
            <w:r w:rsidR="00275FA7">
              <w:rPr>
                <w:rFonts w:ascii="Times New Roman" w:hAnsi="Times New Roman" w:eastAsia="Calibri" w:cs="Times New Roman"/>
                <w:sz w:val="24"/>
                <w:szCs w:val="24"/>
              </w:rPr>
              <w:t>3</w:t>
            </w:r>
            <w:r w:rsidRPr="00B158CE">
              <w:rPr>
                <w:rFonts w:ascii="Times New Roman" w:hAnsi="Times New Roman" w:eastAsia="Calibri" w:cs="Times New Roman"/>
                <w:sz w:val="24"/>
                <w:szCs w:val="24"/>
              </w:rPr>
              <w:t>,</w:t>
            </w:r>
            <w:r w:rsidR="00275FA7">
              <w:rPr>
                <w:rFonts w:ascii="Times New Roman" w:hAnsi="Times New Roman" w:eastAsia="Calibri" w:cs="Times New Roman"/>
                <w:sz w:val="24"/>
                <w:szCs w:val="24"/>
              </w:rPr>
              <w:t>473</w:t>
            </w:r>
            <w:r w:rsidRPr="00B158CE">
              <w:rPr>
                <w:rFonts w:ascii="Times New Roman" w:hAnsi="Times New Roman" w:eastAsia="Calibri" w:cs="Times New Roman"/>
                <w:sz w:val="24"/>
                <w:szCs w:val="24"/>
              </w:rPr>
              <w:t>.</w:t>
            </w:r>
            <w:r w:rsidR="00275FA7">
              <w:rPr>
                <w:rFonts w:ascii="Times New Roman" w:hAnsi="Times New Roman" w:eastAsia="Calibri" w:cs="Times New Roman"/>
                <w:sz w:val="24"/>
                <w:szCs w:val="24"/>
              </w:rPr>
              <w:t>62</w:t>
            </w:r>
            <w:r w:rsidRPr="00B158CE">
              <w:rPr>
                <w:rFonts w:ascii="Times New Roman" w:hAnsi="Times New Roman" w:eastAsia="Calibri" w:cs="Times New Roman"/>
                <w:sz w:val="24"/>
                <w:szCs w:val="24"/>
              </w:rPr>
              <w:t xml:space="preserve"> hrs.; $3,</w:t>
            </w:r>
            <w:r w:rsidR="00275FA7">
              <w:rPr>
                <w:rFonts w:ascii="Times New Roman" w:hAnsi="Times New Roman" w:eastAsia="Calibri" w:cs="Times New Roman"/>
                <w:sz w:val="24"/>
                <w:szCs w:val="24"/>
              </w:rPr>
              <w:t>782</w:t>
            </w:r>
            <w:r w:rsidRPr="00B158CE">
              <w:rPr>
                <w:rFonts w:ascii="Times New Roman" w:hAnsi="Times New Roman" w:eastAsia="Calibri" w:cs="Times New Roman"/>
                <w:sz w:val="24"/>
                <w:szCs w:val="24"/>
              </w:rPr>
              <w:t>,</w:t>
            </w:r>
            <w:r w:rsidR="00275FA7">
              <w:rPr>
                <w:rFonts w:ascii="Times New Roman" w:hAnsi="Times New Roman" w:eastAsia="Calibri" w:cs="Times New Roman"/>
                <w:sz w:val="24"/>
                <w:szCs w:val="24"/>
              </w:rPr>
              <w:t>204</w:t>
            </w:r>
            <w:r w:rsidRPr="00B158CE">
              <w:rPr>
                <w:rFonts w:ascii="Times New Roman" w:hAnsi="Times New Roman" w:eastAsia="Calibri" w:cs="Times New Roman"/>
                <w:sz w:val="24"/>
                <w:szCs w:val="24"/>
              </w:rPr>
              <w:t>.</w:t>
            </w:r>
            <w:r w:rsidR="00275FA7">
              <w:rPr>
                <w:rFonts w:ascii="Times New Roman" w:hAnsi="Times New Roman" w:eastAsia="Calibri" w:cs="Times New Roman"/>
                <w:sz w:val="24"/>
                <w:szCs w:val="24"/>
              </w:rPr>
              <w:t>94</w:t>
            </w:r>
          </w:p>
        </w:tc>
        <w:tc>
          <w:tcPr>
            <w:tcW w:w="743" w:type="pct"/>
            <w:shd w:val="clear" w:color="auto" w:fill="auto"/>
            <w:vAlign w:val="bottom"/>
          </w:tcPr>
          <w:p w:rsidRPr="00B158CE" w:rsidR="00B158CE" w:rsidP="00B158CE" w:rsidRDefault="00B158CE" w14:paraId="09A97982" w14:textId="77777777">
            <w:pPr>
              <w:spacing w:after="0" w:line="259" w:lineRule="auto"/>
              <w:jc w:val="right"/>
              <w:rPr>
                <w:rFonts w:ascii="Times New Roman" w:hAnsi="Times New Roman" w:eastAsia="Calibri" w:cs="Times New Roman"/>
                <w:sz w:val="24"/>
                <w:szCs w:val="24"/>
              </w:rPr>
            </w:pPr>
          </w:p>
          <w:p w:rsidRPr="00B158CE" w:rsidR="00B158CE" w:rsidP="00B158CE" w:rsidRDefault="00B158CE" w14:paraId="45A73875" w14:textId="77777777">
            <w:pPr>
              <w:spacing w:after="0" w:line="259" w:lineRule="auto"/>
              <w:jc w:val="right"/>
              <w:rPr>
                <w:rFonts w:ascii="Times New Roman" w:hAnsi="Times New Roman" w:eastAsia="Calibri" w:cs="Times New Roman"/>
                <w:sz w:val="24"/>
                <w:szCs w:val="24"/>
              </w:rPr>
            </w:pPr>
          </w:p>
          <w:p w:rsidRPr="00B158CE" w:rsidR="00B158CE" w:rsidP="00B158CE" w:rsidRDefault="00B158CE" w14:paraId="3B2DBE3D" w14:textId="77777777">
            <w:pPr>
              <w:spacing w:after="0" w:line="259" w:lineRule="auto"/>
              <w:jc w:val="right"/>
              <w:rPr>
                <w:rFonts w:ascii="Times New Roman" w:hAnsi="Times New Roman" w:eastAsia="Calibri" w:cs="Times New Roman"/>
                <w:sz w:val="24"/>
                <w:szCs w:val="24"/>
              </w:rPr>
            </w:pPr>
          </w:p>
          <w:p w:rsidRPr="00B158CE" w:rsidR="00B158CE" w:rsidP="00B158CE" w:rsidRDefault="00B158CE" w14:paraId="64E80CEA" w14:textId="77777777">
            <w:pPr>
              <w:spacing w:after="0" w:line="259" w:lineRule="auto"/>
              <w:jc w:val="right"/>
              <w:rPr>
                <w:rFonts w:ascii="Times New Roman" w:hAnsi="Times New Roman" w:eastAsia="Calibri" w:cs="Times New Roman"/>
                <w:sz w:val="24"/>
                <w:szCs w:val="24"/>
              </w:rPr>
            </w:pPr>
          </w:p>
          <w:p w:rsidRPr="00B158CE" w:rsidR="00B158CE" w:rsidP="00B158CE" w:rsidRDefault="00B158CE" w14:paraId="35445648" w14:textId="77777777">
            <w:pPr>
              <w:spacing w:after="0" w:line="259" w:lineRule="auto"/>
              <w:jc w:val="right"/>
              <w:rPr>
                <w:rFonts w:ascii="Times New Roman" w:hAnsi="Times New Roman" w:eastAsia="Calibri" w:cs="Times New Roman"/>
                <w:sz w:val="24"/>
                <w:szCs w:val="24"/>
              </w:rPr>
            </w:pPr>
          </w:p>
          <w:p w:rsidRPr="00B158CE" w:rsidR="00B158CE" w:rsidP="00B158CE" w:rsidRDefault="00B158CE" w14:paraId="19AEE9DE" w14:textId="77777777">
            <w:pPr>
              <w:spacing w:after="0" w:line="259" w:lineRule="auto"/>
              <w:jc w:val="right"/>
              <w:rPr>
                <w:rFonts w:ascii="Times New Roman" w:hAnsi="Times New Roman" w:eastAsia="Calibri" w:cs="Times New Roman"/>
                <w:sz w:val="24"/>
                <w:szCs w:val="24"/>
              </w:rPr>
            </w:pPr>
            <w:r w:rsidRPr="00B158CE">
              <w:rPr>
                <w:rFonts w:ascii="Times New Roman" w:hAnsi="Times New Roman" w:eastAsia="Calibri" w:cs="Times New Roman"/>
                <w:sz w:val="24"/>
                <w:szCs w:val="24"/>
              </w:rPr>
              <w:t>$28,225.41</w:t>
            </w:r>
          </w:p>
        </w:tc>
      </w:tr>
    </w:tbl>
    <w:p w:rsidRPr="00D80FBD" w:rsidR="00612641" w:rsidP="00D80FBD" w:rsidRDefault="00612641" w14:paraId="40F10689" w14:textId="77777777">
      <w:pPr>
        <w:spacing w:after="0"/>
        <w:rPr>
          <w:rFonts w:ascii="Times New Roman" w:hAnsi="Times New Roman" w:cs="Times New Roman"/>
          <w:sz w:val="24"/>
          <w:szCs w:val="24"/>
        </w:rPr>
      </w:pPr>
    </w:p>
    <w:p w:rsidRPr="00414F32" w:rsidR="00D80FBD" w:rsidP="00A72E7B" w:rsidRDefault="00E636D7" w14:paraId="79948EB5"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rsidRDefault="00E636D7" w14:paraId="5333A6E5" w14:textId="77777777">
      <w:pPr>
        <w:spacing w:after="0"/>
        <w:rPr>
          <w:rFonts w:ascii="Times New Roman" w:hAnsi="Times New Roman" w:cs="Times New Roman"/>
          <w:sz w:val="24"/>
          <w:szCs w:val="24"/>
        </w:rPr>
      </w:pPr>
    </w:p>
    <w:p w:rsidR="00F100EB" w:rsidP="00F100EB" w:rsidRDefault="00F100EB" w14:paraId="7F9683AB" w14:textId="77777777">
      <w:pPr>
        <w:spacing w:after="0"/>
        <w:rPr>
          <w:rFonts w:ascii="Times New Roman" w:hAnsi="Times New Roman" w:cs="Times New Roman"/>
          <w:sz w:val="24"/>
          <w:szCs w:val="24"/>
        </w:rPr>
      </w:pPr>
      <w:r w:rsidRPr="006601E3">
        <w:rPr>
          <w:rFonts w:ascii="Times New Roman" w:hAnsi="Times New Roman" w:cs="Times New Roman"/>
          <w:sz w:val="24"/>
          <w:szCs w:val="24"/>
        </w:rPr>
        <w:t xml:space="preserve">There are no capital or start-up costs associated with this collection.  </w:t>
      </w:r>
      <w:proofErr w:type="gramStart"/>
      <w:r w:rsidRPr="006601E3">
        <w:rPr>
          <w:rFonts w:ascii="Times New Roman" w:hAnsi="Times New Roman" w:cs="Times New Roman"/>
          <w:sz w:val="24"/>
          <w:szCs w:val="24"/>
        </w:rPr>
        <w:t>All of</w:t>
      </w:r>
      <w:proofErr w:type="gramEnd"/>
      <w:r w:rsidRPr="006601E3">
        <w:rPr>
          <w:rFonts w:ascii="Times New Roman" w:hAnsi="Times New Roman" w:cs="Times New Roman"/>
          <w:sz w:val="24"/>
          <w:szCs w:val="24"/>
        </w:rPr>
        <w:t xml:space="preserve"> the costs are associated with the burden hours and accounted for in Question #12.</w:t>
      </w:r>
    </w:p>
    <w:p w:rsidRPr="00E636D7" w:rsidR="00E636D7" w:rsidP="00E636D7" w:rsidRDefault="00E636D7" w14:paraId="4C462737" w14:textId="77777777">
      <w:pPr>
        <w:spacing w:after="0"/>
        <w:rPr>
          <w:rFonts w:ascii="Times New Roman" w:hAnsi="Times New Roman" w:cs="Times New Roman"/>
          <w:sz w:val="24"/>
          <w:szCs w:val="24"/>
        </w:rPr>
      </w:pPr>
    </w:p>
    <w:p w:rsidRPr="00414F32" w:rsidR="00E636D7" w:rsidP="00A72E7B" w:rsidRDefault="00A276F5" w14:paraId="3A5B38A1"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P="00A276F5" w:rsidRDefault="00A276F5" w14:paraId="5898558C" w14:textId="77777777">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F100EB" w:rsidR="00F45A35" w:rsidTr="000A05F2" w14:paraId="0D9A79C5" w14:textId="77777777">
        <w:tc>
          <w:tcPr>
            <w:tcW w:w="3182" w:type="dxa"/>
            <w:shd w:val="clear" w:color="auto" w:fill="CCCCCC"/>
          </w:tcPr>
          <w:p w:rsidRPr="00F100EB" w:rsidR="00F45A35" w:rsidP="000A05F2" w:rsidRDefault="00F45A35" w14:paraId="31AE0111" w14:textId="77777777">
            <w:pPr>
              <w:spacing w:after="0" w:line="240" w:lineRule="auto"/>
              <w:rPr>
                <w:rFonts w:ascii="Times New Roman" w:hAnsi="Times New Roman" w:cs="Times New Roman"/>
                <w:sz w:val="24"/>
                <w:szCs w:val="24"/>
              </w:rPr>
            </w:pPr>
          </w:p>
        </w:tc>
        <w:tc>
          <w:tcPr>
            <w:tcW w:w="3201" w:type="dxa"/>
            <w:shd w:val="clear" w:color="auto" w:fill="CCCCCC"/>
          </w:tcPr>
          <w:p w:rsidRPr="00F100EB" w:rsidR="00F45A35" w:rsidP="000A05F2" w:rsidRDefault="00F45A35" w14:paraId="7B6BC69C" w14:textId="603F319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Approximate </w:t>
            </w:r>
            <w:r w:rsidRPr="00F100EB">
              <w:rPr>
                <w:rFonts w:ascii="Times New Roman" w:hAnsi="Times New Roman" w:cs="Times New Roman"/>
                <w:b/>
                <w:sz w:val="24"/>
                <w:szCs w:val="24"/>
              </w:rPr>
              <w:t>Number of Employees (FTEs)</w:t>
            </w:r>
          </w:p>
        </w:tc>
        <w:tc>
          <w:tcPr>
            <w:tcW w:w="2995" w:type="dxa"/>
            <w:shd w:val="clear" w:color="auto" w:fill="CCCCCC"/>
          </w:tcPr>
          <w:p w:rsidRPr="00F100EB" w:rsidR="00F45A35" w:rsidP="000A05F2" w:rsidRDefault="00F45A35" w14:paraId="70AF3BEA" w14:textId="77777777">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Estimated Annual Federal Cost</w:t>
            </w:r>
          </w:p>
        </w:tc>
      </w:tr>
      <w:tr w:rsidRPr="00F100EB" w:rsidR="00F45A35" w:rsidTr="000A05F2" w14:paraId="6010AB40" w14:textId="77777777">
        <w:tc>
          <w:tcPr>
            <w:tcW w:w="3182" w:type="dxa"/>
            <w:shd w:val="clear" w:color="auto" w:fill="auto"/>
          </w:tcPr>
          <w:p w:rsidRPr="00F100EB" w:rsidR="00F45A35" w:rsidP="000A05F2" w:rsidRDefault="00F45A35" w14:paraId="7A3E347C" w14:textId="77777777">
            <w:pPr>
              <w:spacing w:after="0" w:line="240" w:lineRule="auto"/>
              <w:rPr>
                <w:rFonts w:ascii="Times New Roman" w:hAnsi="Times New Roman" w:cs="Times New Roman"/>
                <w:sz w:val="24"/>
                <w:szCs w:val="24"/>
              </w:rPr>
            </w:pPr>
            <w:r w:rsidRPr="00F100EB">
              <w:rPr>
                <w:rFonts w:ascii="Times New Roman" w:hAnsi="Times New Roman" w:cs="Times New Roman"/>
                <w:sz w:val="24"/>
                <w:szCs w:val="24"/>
              </w:rPr>
              <w:t>Analysis and Processing of filings</w:t>
            </w:r>
            <w:r w:rsidRPr="00F100EB">
              <w:rPr>
                <w:rFonts w:ascii="Times New Roman" w:hAnsi="Times New Roman" w:cs="Times New Roman"/>
                <w:sz w:val="24"/>
                <w:szCs w:val="24"/>
                <w:vertAlign w:val="superscript"/>
              </w:rPr>
              <w:footnoteReference w:id="8"/>
            </w:r>
          </w:p>
        </w:tc>
        <w:tc>
          <w:tcPr>
            <w:tcW w:w="3201" w:type="dxa"/>
            <w:tcBorders>
              <w:bottom w:val="single" w:color="auto" w:sz="4" w:space="0"/>
            </w:tcBorders>
            <w:shd w:val="clear" w:color="auto" w:fill="auto"/>
            <w:vAlign w:val="center"/>
          </w:tcPr>
          <w:p w:rsidRPr="003E5825" w:rsidR="00F45A35" w:rsidP="000A05F2" w:rsidRDefault="00F45A35" w14:paraId="3F70628C"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8.058</w:t>
            </w:r>
          </w:p>
        </w:tc>
        <w:tc>
          <w:tcPr>
            <w:tcW w:w="2995" w:type="dxa"/>
            <w:shd w:val="clear" w:color="auto" w:fill="auto"/>
            <w:vAlign w:val="center"/>
          </w:tcPr>
          <w:p w:rsidRPr="003E5825" w:rsidR="00F45A35" w:rsidP="000A05F2" w:rsidRDefault="00C76A4E" w14:paraId="5581651B" w14:textId="04CC611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C16666">
              <w:rPr>
                <w:rFonts w:ascii="Times New Roman" w:hAnsi="Times New Roman" w:cs="Times New Roman"/>
                <w:sz w:val="24"/>
                <w:szCs w:val="24"/>
              </w:rPr>
              <w:t>456,104.77</w:t>
            </w:r>
          </w:p>
        </w:tc>
      </w:tr>
      <w:tr w:rsidRPr="00F100EB" w:rsidR="00F45A35" w:rsidTr="000A05F2" w14:paraId="110370B3" w14:textId="77777777">
        <w:tc>
          <w:tcPr>
            <w:tcW w:w="3182" w:type="dxa"/>
            <w:shd w:val="clear" w:color="auto" w:fill="auto"/>
          </w:tcPr>
          <w:p w:rsidRPr="00F100EB" w:rsidR="00F45A35" w:rsidP="000A05F2" w:rsidRDefault="00F45A35" w14:paraId="7A86AC69" w14:textId="77777777">
            <w:pPr>
              <w:rPr>
                <w:rFonts w:ascii="Times New Roman" w:hAnsi="Times New Roman"/>
              </w:rPr>
            </w:pPr>
            <w:r w:rsidRPr="00F100EB">
              <w:rPr>
                <w:rFonts w:ascii="Times New Roman" w:hAnsi="Times New Roman" w:cs="Times New Roman"/>
                <w:sz w:val="24"/>
                <w:szCs w:val="24"/>
              </w:rPr>
              <w:t>PRA</w:t>
            </w:r>
            <w:r w:rsidRPr="00F100EB">
              <w:rPr>
                <w:rFonts w:ascii="Times New Roman" w:hAnsi="Times New Roman" w:cs="Times New Roman"/>
                <w:sz w:val="24"/>
                <w:szCs w:val="24"/>
                <w:vertAlign w:val="superscript"/>
              </w:rPr>
              <w:footnoteReference w:id="9"/>
            </w:r>
            <w:r w:rsidRPr="00F100EB">
              <w:rPr>
                <w:rFonts w:ascii="Times New Roman" w:hAnsi="Times New Roman" w:cs="Times New Roman"/>
                <w:sz w:val="24"/>
                <w:szCs w:val="24"/>
              </w:rPr>
              <w:t xml:space="preserve"> Administrative Cost</w:t>
            </w:r>
            <w:r w:rsidRPr="00F100EB">
              <w:rPr>
                <w:rFonts w:ascii="Times New Roman" w:hAnsi="Times New Roman"/>
                <w:sz w:val="26"/>
                <w:szCs w:val="26"/>
                <w:vertAlign w:val="superscript"/>
              </w:rPr>
              <w:footnoteReference w:id="10"/>
            </w:r>
            <w:r w:rsidRPr="00F100EB">
              <w:rPr>
                <w:rFonts w:ascii="Times New Roman" w:hAnsi="Times New Roman"/>
              </w:rPr>
              <w:t xml:space="preserve"> </w:t>
            </w:r>
          </w:p>
        </w:tc>
        <w:tc>
          <w:tcPr>
            <w:tcW w:w="3201" w:type="dxa"/>
            <w:vMerge w:val="restart"/>
            <w:shd w:val="clear" w:color="auto" w:fill="D9D9D9" w:themeFill="background1" w:themeFillShade="D9"/>
            <w:vAlign w:val="center"/>
          </w:tcPr>
          <w:p w:rsidRPr="00F100EB" w:rsidR="00F45A35" w:rsidP="000A05F2" w:rsidRDefault="00F45A35" w14:paraId="1B912325"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Pr="00F100EB" w:rsidR="00F45A35" w:rsidP="000A05F2" w:rsidRDefault="00F45A35" w14:paraId="29FE049B" w14:textId="3F40C68C">
            <w:pPr>
              <w:spacing w:after="0" w:line="240" w:lineRule="auto"/>
              <w:jc w:val="right"/>
              <w:rPr>
                <w:rFonts w:ascii="Times New Roman" w:hAnsi="Times New Roman" w:cs="Times New Roman"/>
                <w:sz w:val="24"/>
                <w:szCs w:val="24"/>
              </w:rPr>
            </w:pPr>
            <w:r w:rsidRPr="00F100EB">
              <w:rPr>
                <w:rFonts w:ascii="Times New Roman" w:hAnsi="Times New Roman" w:cs="Times New Roman"/>
                <w:sz w:val="24"/>
                <w:szCs w:val="24"/>
              </w:rPr>
              <w:t>$</w:t>
            </w:r>
            <w:r w:rsidR="00C16666">
              <w:rPr>
                <w:rFonts w:ascii="Times New Roman" w:hAnsi="Times New Roman" w:cs="Times New Roman"/>
                <w:sz w:val="24"/>
                <w:szCs w:val="24"/>
              </w:rPr>
              <w:t>8,279</w:t>
            </w:r>
          </w:p>
        </w:tc>
      </w:tr>
      <w:tr w:rsidRPr="00F100EB" w:rsidR="00F45A35" w:rsidTr="000A05F2" w14:paraId="7D166D39" w14:textId="77777777">
        <w:tc>
          <w:tcPr>
            <w:tcW w:w="3182" w:type="dxa"/>
            <w:shd w:val="clear" w:color="auto" w:fill="auto"/>
          </w:tcPr>
          <w:p w:rsidRPr="00F100EB" w:rsidR="00F45A35" w:rsidP="000A05F2" w:rsidRDefault="00F45A35" w14:paraId="4C0733F5" w14:textId="77777777">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Pr="00F100EB" w:rsidR="00F45A35" w:rsidP="000A05F2" w:rsidRDefault="00F45A35" w14:paraId="4B6108EF"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Pr="00F100EB" w:rsidR="00F45A35" w:rsidP="000A05F2" w:rsidRDefault="00C76A4E" w14:paraId="64A084E0" w14:textId="1A69C99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C16666">
              <w:rPr>
                <w:rFonts w:ascii="Times New Roman" w:hAnsi="Times New Roman" w:cs="Times New Roman"/>
                <w:sz w:val="24"/>
                <w:szCs w:val="24"/>
              </w:rPr>
              <w:t>4</w:t>
            </w:r>
            <w:r w:rsidR="00370E84">
              <w:rPr>
                <w:rFonts w:ascii="Times New Roman" w:hAnsi="Times New Roman" w:cs="Times New Roman"/>
                <w:sz w:val="24"/>
                <w:szCs w:val="24"/>
              </w:rPr>
              <w:t>64</w:t>
            </w:r>
            <w:r w:rsidR="00C16666">
              <w:rPr>
                <w:rFonts w:ascii="Times New Roman" w:hAnsi="Times New Roman" w:cs="Times New Roman"/>
                <w:sz w:val="24"/>
                <w:szCs w:val="24"/>
              </w:rPr>
              <w:t>,</w:t>
            </w:r>
            <w:r w:rsidR="00370E84">
              <w:rPr>
                <w:rFonts w:ascii="Times New Roman" w:hAnsi="Times New Roman" w:cs="Times New Roman"/>
                <w:sz w:val="24"/>
                <w:szCs w:val="24"/>
              </w:rPr>
              <w:t>383</w:t>
            </w:r>
            <w:r w:rsidR="00C16666">
              <w:rPr>
                <w:rFonts w:ascii="Times New Roman" w:hAnsi="Times New Roman" w:cs="Times New Roman"/>
                <w:sz w:val="24"/>
                <w:szCs w:val="24"/>
              </w:rPr>
              <w:t>.77</w:t>
            </w:r>
          </w:p>
        </w:tc>
      </w:tr>
    </w:tbl>
    <w:p w:rsidRPr="00A276F5" w:rsidR="00A276F5" w:rsidP="00A276F5" w:rsidRDefault="00A276F5" w14:paraId="0D7415CD" w14:textId="77777777">
      <w:pPr>
        <w:spacing w:after="0"/>
        <w:rPr>
          <w:rFonts w:ascii="Times New Roman" w:hAnsi="Times New Roman" w:cs="Times New Roman"/>
          <w:sz w:val="24"/>
          <w:szCs w:val="24"/>
        </w:rPr>
      </w:pPr>
    </w:p>
    <w:p w:rsidRPr="00414F32" w:rsidR="00A276F5" w:rsidP="00A72E7B" w:rsidRDefault="00A276F5" w14:paraId="3975060E"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REASONS FOR CHANGES IN BURDEN INCLUDING THE NEED FOR ANY INCREASE</w:t>
      </w:r>
    </w:p>
    <w:p w:rsidR="00A276F5" w:rsidP="00A276F5" w:rsidRDefault="00A276F5" w14:paraId="597623D9" w14:textId="77777777">
      <w:pPr>
        <w:spacing w:after="0"/>
        <w:rPr>
          <w:rFonts w:ascii="Times New Roman" w:hAnsi="Times New Roman" w:cs="Times New Roman"/>
          <w:sz w:val="24"/>
          <w:szCs w:val="24"/>
        </w:rPr>
      </w:pPr>
    </w:p>
    <w:p w:rsidR="00F100EB" w:rsidP="00612641" w:rsidRDefault="00417DCB" w14:paraId="244A10BA" w14:textId="7707CD0E">
      <w:pPr>
        <w:spacing w:after="0"/>
        <w:rPr>
          <w:rFonts w:ascii="Times New Roman" w:hAnsi="Times New Roman" w:cs="Times New Roman"/>
          <w:sz w:val="24"/>
          <w:szCs w:val="24"/>
        </w:rPr>
      </w:pPr>
      <w:r>
        <w:rPr>
          <w:rFonts w:ascii="Times New Roman" w:hAnsi="Times New Roman" w:cs="Times New Roman"/>
          <w:sz w:val="24"/>
          <w:szCs w:val="24"/>
        </w:rPr>
        <w:t xml:space="preserve">The annual number of responses changes from year to year depending on industry merger, </w:t>
      </w:r>
      <w:proofErr w:type="gramStart"/>
      <w:r>
        <w:rPr>
          <w:rFonts w:ascii="Times New Roman" w:hAnsi="Times New Roman" w:cs="Times New Roman"/>
          <w:sz w:val="24"/>
          <w:szCs w:val="24"/>
        </w:rPr>
        <w:t>acquisition</w:t>
      </w:r>
      <w:proofErr w:type="gramEnd"/>
      <w:r>
        <w:rPr>
          <w:rFonts w:ascii="Times New Roman" w:hAnsi="Times New Roman" w:cs="Times New Roman"/>
          <w:sz w:val="24"/>
          <w:szCs w:val="24"/>
        </w:rPr>
        <w:t xml:space="preserve"> and disposition activity</w:t>
      </w:r>
      <w:r w:rsidR="00F100EB">
        <w:rPr>
          <w:rFonts w:ascii="Times New Roman" w:hAnsi="Times New Roman" w:cs="Times New Roman"/>
          <w:sz w:val="24"/>
          <w:szCs w:val="24"/>
        </w:rPr>
        <w:t xml:space="preserve">.  </w:t>
      </w:r>
      <w:r w:rsidR="002A0DF1">
        <w:rPr>
          <w:rFonts w:ascii="Times New Roman" w:hAnsi="Times New Roman" w:cs="Times New Roman"/>
          <w:sz w:val="24"/>
          <w:szCs w:val="24"/>
        </w:rPr>
        <w:t xml:space="preserve">The </w:t>
      </w:r>
      <w:r w:rsidR="007F3573">
        <w:rPr>
          <w:rFonts w:ascii="Times New Roman" w:hAnsi="Times New Roman" w:cs="Times New Roman"/>
          <w:sz w:val="24"/>
          <w:szCs w:val="24"/>
        </w:rPr>
        <w:t xml:space="preserve">reduction in </w:t>
      </w:r>
      <w:r w:rsidR="002A0DF1">
        <w:rPr>
          <w:rFonts w:ascii="Times New Roman" w:hAnsi="Times New Roman" w:cs="Times New Roman"/>
          <w:sz w:val="24"/>
          <w:szCs w:val="24"/>
        </w:rPr>
        <w:t xml:space="preserve">responses </w:t>
      </w:r>
      <w:proofErr w:type="gramStart"/>
      <w:r w:rsidR="002A0DF1">
        <w:rPr>
          <w:rFonts w:ascii="Times New Roman" w:hAnsi="Times New Roman" w:cs="Times New Roman"/>
          <w:sz w:val="24"/>
          <w:szCs w:val="24"/>
        </w:rPr>
        <w:t>are</w:t>
      </w:r>
      <w:proofErr w:type="gramEnd"/>
      <w:r w:rsidR="002A0DF1">
        <w:rPr>
          <w:rFonts w:ascii="Times New Roman" w:hAnsi="Times New Roman" w:cs="Times New Roman"/>
          <w:sz w:val="24"/>
          <w:szCs w:val="24"/>
        </w:rPr>
        <w:t xml:space="preserve"> based on industry activity</w:t>
      </w:r>
      <w:r w:rsidR="000E778E">
        <w:rPr>
          <w:rFonts w:ascii="Times New Roman" w:hAnsi="Times New Roman" w:cs="Times New Roman"/>
          <w:sz w:val="24"/>
          <w:szCs w:val="24"/>
        </w:rPr>
        <w:t xml:space="preserve"> and submittals to FERC</w:t>
      </w:r>
      <w:r w:rsidR="002A0DF1">
        <w:rPr>
          <w:rFonts w:ascii="Times New Roman" w:hAnsi="Times New Roman" w:cs="Times New Roman"/>
          <w:sz w:val="24"/>
          <w:szCs w:val="24"/>
        </w:rPr>
        <w:t>; the reporting requirements have not changed.</w:t>
      </w:r>
      <w:r w:rsidR="0041431F">
        <w:rPr>
          <w:rFonts w:ascii="Times New Roman" w:hAnsi="Times New Roman" w:cs="Times New Roman"/>
          <w:sz w:val="24"/>
          <w:szCs w:val="24"/>
        </w:rPr>
        <w:t xml:space="preserve">  The number of responses reduced from 141 to 134.</w:t>
      </w:r>
    </w:p>
    <w:p w:rsidR="00C01698" w:rsidP="00A276F5" w:rsidRDefault="00C01698" w14:paraId="487081B1" w14:textId="77777777">
      <w:pPr>
        <w:spacing w:after="0"/>
        <w:rPr>
          <w:rFonts w:ascii="Times New Roman" w:hAnsi="Times New Roman" w:cs="Times New Roman"/>
          <w:sz w:val="24"/>
          <w:szCs w:val="2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D80FBD" w:rsidR="003649F4" w:rsidTr="003E5825" w14:paraId="26EFDD7C" w14:textId="77777777">
        <w:trPr>
          <w:trHeight w:val="870"/>
        </w:trPr>
        <w:tc>
          <w:tcPr>
            <w:tcW w:w="2679" w:type="dxa"/>
            <w:shd w:val="clear" w:color="auto" w:fill="D9D9D9"/>
            <w:vAlign w:val="bottom"/>
          </w:tcPr>
          <w:p w:rsidRPr="00D80FBD" w:rsidR="003649F4" w:rsidP="003E5825" w:rsidRDefault="003649F4" w14:paraId="1F2C4024"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3202D2">
              <w:rPr>
                <w:rFonts w:ascii="Times New Roman" w:hAnsi="Times New Roman" w:cs="Times New Roman"/>
                <w:b/>
                <w:sz w:val="24"/>
                <w:szCs w:val="24"/>
              </w:rPr>
              <w:t>519</w:t>
            </w:r>
          </w:p>
        </w:tc>
        <w:tc>
          <w:tcPr>
            <w:tcW w:w="1461" w:type="dxa"/>
            <w:shd w:val="clear" w:color="auto" w:fill="D9D9D9"/>
            <w:vAlign w:val="bottom"/>
          </w:tcPr>
          <w:p w:rsidRPr="00D80FBD" w:rsidR="003649F4" w:rsidP="003E5825" w:rsidRDefault="003649F4" w14:paraId="7FA55A93"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Pr="00D80FBD" w:rsidR="003649F4" w:rsidP="003E5825" w:rsidRDefault="003649F4" w14:paraId="0590ADC5"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Pr="00D80FBD" w:rsidR="003649F4" w:rsidP="003E5825" w:rsidRDefault="003649F4" w14:paraId="1A67157E"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Pr="00D80FBD" w:rsidR="003649F4" w:rsidP="003E5825" w:rsidRDefault="003649F4" w14:paraId="7FB03BB7"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Pr="00D80FBD" w:rsidR="003649F4" w:rsidTr="003E5825" w14:paraId="4400F2F3" w14:textId="77777777">
        <w:trPr>
          <w:trHeight w:val="591"/>
        </w:trPr>
        <w:tc>
          <w:tcPr>
            <w:tcW w:w="2679" w:type="dxa"/>
            <w:shd w:val="clear" w:color="auto" w:fill="auto"/>
          </w:tcPr>
          <w:p w:rsidRPr="00D80FBD" w:rsidR="003649F4" w:rsidP="003E5825" w:rsidRDefault="003649F4" w14:paraId="5B109737" w14:textId="7777777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Pr="00D80FBD" w:rsidR="003649F4" w:rsidP="003E5825" w:rsidRDefault="003202D2" w14:paraId="26860986" w14:textId="1A23A07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C24B15">
              <w:rPr>
                <w:rFonts w:ascii="Times New Roman" w:hAnsi="Times New Roman" w:cs="Times New Roman"/>
                <w:sz w:val="24"/>
                <w:szCs w:val="24"/>
              </w:rPr>
              <w:t>3</w:t>
            </w:r>
            <w:r w:rsidR="003677DB">
              <w:rPr>
                <w:rFonts w:ascii="Times New Roman" w:hAnsi="Times New Roman" w:cs="Times New Roman"/>
                <w:sz w:val="24"/>
                <w:szCs w:val="24"/>
              </w:rPr>
              <w:t>4</w:t>
            </w:r>
          </w:p>
        </w:tc>
        <w:tc>
          <w:tcPr>
            <w:tcW w:w="1620" w:type="dxa"/>
            <w:shd w:val="clear" w:color="auto" w:fill="auto"/>
            <w:vAlign w:val="center"/>
          </w:tcPr>
          <w:p w:rsidRPr="00D80FBD" w:rsidR="003649F4" w:rsidP="003E5825" w:rsidRDefault="003202D2" w14:paraId="7F282CC6" w14:textId="317357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C24B15">
              <w:rPr>
                <w:rFonts w:ascii="Times New Roman" w:hAnsi="Times New Roman" w:cs="Times New Roman"/>
                <w:sz w:val="24"/>
                <w:szCs w:val="24"/>
              </w:rPr>
              <w:t>41</w:t>
            </w:r>
          </w:p>
        </w:tc>
        <w:tc>
          <w:tcPr>
            <w:tcW w:w="1800" w:type="dxa"/>
            <w:shd w:val="clear" w:color="auto" w:fill="auto"/>
            <w:vAlign w:val="center"/>
          </w:tcPr>
          <w:p w:rsidRPr="00D80FBD" w:rsidR="003649F4" w:rsidP="00C24B15" w:rsidRDefault="00C24B15" w14:paraId="434A92A1" w14:textId="6D3874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677DB">
              <w:rPr>
                <w:rFonts w:ascii="Times New Roman" w:hAnsi="Times New Roman" w:cs="Times New Roman"/>
                <w:sz w:val="24"/>
                <w:szCs w:val="24"/>
              </w:rPr>
              <w:t>7</w:t>
            </w:r>
          </w:p>
        </w:tc>
        <w:tc>
          <w:tcPr>
            <w:tcW w:w="1800" w:type="dxa"/>
            <w:shd w:val="clear" w:color="auto" w:fill="auto"/>
            <w:vAlign w:val="center"/>
          </w:tcPr>
          <w:p w:rsidRPr="00D80FBD" w:rsidR="003649F4" w:rsidP="003E5825" w:rsidRDefault="003649F4" w14:paraId="1EE7F724"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Pr="00D80FBD" w:rsidR="003649F4" w:rsidTr="003E5825" w14:paraId="6DCDFBB8" w14:textId="77777777">
        <w:trPr>
          <w:trHeight w:val="575"/>
        </w:trPr>
        <w:tc>
          <w:tcPr>
            <w:tcW w:w="2679" w:type="dxa"/>
            <w:shd w:val="clear" w:color="auto" w:fill="auto"/>
          </w:tcPr>
          <w:p w:rsidRPr="00D80FBD" w:rsidR="003649F4" w:rsidP="003E5825" w:rsidRDefault="003649F4" w14:paraId="73752A11" w14:textId="7777777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Pr="00D80FBD" w:rsidR="003649F4" w:rsidP="003E5825" w:rsidRDefault="00C24B15" w14:paraId="70DBCD8D" w14:textId="1FD94E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3677DB">
              <w:rPr>
                <w:rFonts w:ascii="Times New Roman" w:hAnsi="Times New Roman" w:cs="Times New Roman"/>
                <w:sz w:val="24"/>
                <w:szCs w:val="24"/>
              </w:rPr>
              <w:t>3,474</w:t>
            </w:r>
          </w:p>
        </w:tc>
        <w:tc>
          <w:tcPr>
            <w:tcW w:w="1620" w:type="dxa"/>
            <w:shd w:val="clear" w:color="auto" w:fill="auto"/>
            <w:vAlign w:val="center"/>
          </w:tcPr>
          <w:p w:rsidRPr="00D80FBD" w:rsidR="003649F4" w:rsidP="003E5825" w:rsidRDefault="003202D2" w14:paraId="3B699255" w14:textId="4C3CC1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C24B15">
              <w:rPr>
                <w:rFonts w:ascii="Times New Roman" w:hAnsi="Times New Roman" w:cs="Times New Roman"/>
                <w:sz w:val="24"/>
                <w:szCs w:val="24"/>
              </w:rPr>
              <w:t>5,744</w:t>
            </w:r>
          </w:p>
        </w:tc>
        <w:tc>
          <w:tcPr>
            <w:tcW w:w="1800" w:type="dxa"/>
            <w:shd w:val="clear" w:color="auto" w:fill="auto"/>
            <w:vAlign w:val="center"/>
          </w:tcPr>
          <w:p w:rsidRPr="00D80FBD" w:rsidR="003649F4" w:rsidP="003E5825" w:rsidRDefault="003677DB" w14:paraId="5C1FA74F" w14:textId="387BCB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-2,270</w:t>
            </w:r>
          </w:p>
        </w:tc>
        <w:tc>
          <w:tcPr>
            <w:tcW w:w="1800" w:type="dxa"/>
            <w:shd w:val="clear" w:color="auto" w:fill="auto"/>
            <w:vAlign w:val="center"/>
          </w:tcPr>
          <w:p w:rsidRPr="00D80FBD" w:rsidR="003649F4" w:rsidP="003E5825" w:rsidRDefault="003649F4" w14:paraId="45627923"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Pr="00D80FBD" w:rsidR="003649F4" w:rsidTr="003E5825" w14:paraId="1571165B" w14:textId="77777777">
        <w:trPr>
          <w:trHeight w:val="295"/>
        </w:trPr>
        <w:tc>
          <w:tcPr>
            <w:tcW w:w="2679" w:type="dxa"/>
            <w:tcBorders>
              <w:bottom w:val="single" w:color="auto" w:sz="4" w:space="0"/>
            </w:tcBorders>
            <w:shd w:val="clear" w:color="auto" w:fill="auto"/>
          </w:tcPr>
          <w:p w:rsidRPr="00D80FBD" w:rsidR="003649F4" w:rsidP="003E5825" w:rsidRDefault="003649F4" w14:paraId="123EB10A" w14:textId="7777777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color="auto" w:sz="4" w:space="0"/>
            </w:tcBorders>
            <w:shd w:val="clear" w:color="auto" w:fill="auto"/>
            <w:vAlign w:val="center"/>
          </w:tcPr>
          <w:p w:rsidRPr="00D80FBD" w:rsidR="003649F4" w:rsidP="003E5825" w:rsidRDefault="003649F4" w14:paraId="0A1A9564"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620" w:type="dxa"/>
            <w:tcBorders>
              <w:bottom w:val="single" w:color="auto" w:sz="4" w:space="0"/>
            </w:tcBorders>
            <w:shd w:val="clear" w:color="auto" w:fill="auto"/>
            <w:vAlign w:val="center"/>
          </w:tcPr>
          <w:p w:rsidRPr="00D80FBD" w:rsidR="003649F4" w:rsidP="003E5825" w:rsidRDefault="003649F4" w14:paraId="38E1DF1E"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color="auto" w:sz="4" w:space="0"/>
            </w:tcBorders>
            <w:shd w:val="clear" w:color="auto" w:fill="auto"/>
            <w:vAlign w:val="center"/>
          </w:tcPr>
          <w:p w:rsidRPr="00D80FBD" w:rsidR="003649F4" w:rsidP="003E5825" w:rsidRDefault="003649F4" w14:paraId="4C3947CE"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color="auto" w:sz="4" w:space="0"/>
            </w:tcBorders>
            <w:shd w:val="clear" w:color="auto" w:fill="auto"/>
            <w:vAlign w:val="center"/>
          </w:tcPr>
          <w:p w:rsidRPr="00D80FBD" w:rsidR="003649F4" w:rsidP="003E5825" w:rsidRDefault="003649F4" w14:paraId="4C8495BB"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r>
    </w:tbl>
    <w:p w:rsidRPr="00A276F5" w:rsidR="00970FE4" w:rsidP="00A276F5" w:rsidRDefault="00970FE4" w14:paraId="2E73585B" w14:textId="77777777">
      <w:pPr>
        <w:spacing w:after="0"/>
        <w:rPr>
          <w:rFonts w:ascii="Times New Roman" w:hAnsi="Times New Roman" w:cs="Times New Roman"/>
          <w:sz w:val="24"/>
          <w:szCs w:val="24"/>
        </w:rPr>
      </w:pPr>
    </w:p>
    <w:p w:rsidRPr="00414F32" w:rsidR="00A276F5" w:rsidP="00A72E7B" w:rsidRDefault="00414F32" w14:paraId="1A1176D9"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rsidRDefault="00414F32" w14:paraId="2B0929DE" w14:textId="77777777">
      <w:pPr>
        <w:spacing w:after="0"/>
        <w:rPr>
          <w:rFonts w:ascii="Times New Roman" w:hAnsi="Times New Roman" w:cs="Times New Roman"/>
          <w:sz w:val="24"/>
          <w:szCs w:val="24"/>
        </w:rPr>
      </w:pPr>
    </w:p>
    <w:p w:rsidR="003649F4" w:rsidP="003649F4" w:rsidRDefault="003649F4" w14:paraId="1997E49F" w14:textId="77777777">
      <w:pPr>
        <w:spacing w:after="0"/>
        <w:rPr>
          <w:rFonts w:ascii="Times New Roman" w:hAnsi="Times New Roman" w:cs="Times New Roman"/>
          <w:sz w:val="24"/>
          <w:szCs w:val="24"/>
        </w:rPr>
      </w:pPr>
      <w:r w:rsidRPr="002A5AC8">
        <w:rPr>
          <w:rFonts w:ascii="Times New Roman" w:hAnsi="Times New Roman" w:cs="Times New Roman"/>
          <w:sz w:val="24"/>
          <w:szCs w:val="24"/>
        </w:rPr>
        <w:t>There are no tabulations, statistical analysis, or publications of informatio</w:t>
      </w:r>
      <w:r w:rsidR="003202D2">
        <w:rPr>
          <w:rFonts w:ascii="Times New Roman" w:hAnsi="Times New Roman" w:cs="Times New Roman"/>
          <w:sz w:val="24"/>
          <w:szCs w:val="24"/>
        </w:rPr>
        <w:t>n planned for the FERC-519</w:t>
      </w:r>
      <w:r w:rsidRPr="002A5AC8">
        <w:rPr>
          <w:rFonts w:ascii="Times New Roman" w:hAnsi="Times New Roman" w:cs="Times New Roman"/>
          <w:sz w:val="24"/>
          <w:szCs w:val="24"/>
        </w:rPr>
        <w:t xml:space="preserve"> information collection.  The Commission intends to use the data for regulatory purposes only.</w:t>
      </w:r>
    </w:p>
    <w:p w:rsidRPr="00414F32" w:rsidR="00414F32" w:rsidP="00414F32" w:rsidRDefault="00414F32" w14:paraId="732A595D" w14:textId="77777777">
      <w:pPr>
        <w:spacing w:after="0"/>
        <w:rPr>
          <w:rFonts w:ascii="Times New Roman" w:hAnsi="Times New Roman" w:cs="Times New Roman"/>
          <w:sz w:val="24"/>
          <w:szCs w:val="24"/>
        </w:rPr>
      </w:pPr>
    </w:p>
    <w:p w:rsidRPr="00414F32" w:rsidR="00414F32" w:rsidP="00A72E7B" w:rsidRDefault="00414F32" w14:paraId="3AB32811"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rsidRDefault="00414F32" w14:paraId="0614E195" w14:textId="77777777">
      <w:pPr>
        <w:spacing w:after="0"/>
        <w:rPr>
          <w:rFonts w:ascii="Times New Roman" w:hAnsi="Times New Roman" w:cs="Times New Roman"/>
          <w:sz w:val="24"/>
          <w:szCs w:val="24"/>
        </w:rPr>
      </w:pPr>
    </w:p>
    <w:p w:rsidRPr="00C24B15" w:rsidR="00C24B15" w:rsidP="00C24B15" w:rsidRDefault="00C24B15" w14:paraId="63803002" w14:textId="77777777">
      <w:pPr>
        <w:spacing w:after="0" w:line="240" w:lineRule="auto"/>
        <w:rPr>
          <w:rFonts w:ascii="Times New Roman" w:hAnsi="Times New Roman" w:eastAsia="Calibri" w:cs="Times New Roman"/>
          <w:sz w:val="24"/>
          <w:szCs w:val="24"/>
        </w:rPr>
      </w:pPr>
      <w:r w:rsidRPr="00C24B15">
        <w:rPr>
          <w:rFonts w:ascii="Times New Roman" w:hAnsi="Times New Roman" w:eastAsia="Calibri" w:cs="Times New Roman"/>
          <w:sz w:val="24"/>
          <w:szCs w:val="24"/>
        </w:rPr>
        <w:t xml:space="preserve">The expiration date is displayed in a table posted on ferc.gov at </w:t>
      </w:r>
      <w:hyperlink w:history="1" r:id="rId12">
        <w:r w:rsidRPr="00C24B15">
          <w:rPr>
            <w:rFonts w:ascii="Times New Roman" w:hAnsi="Times New Roman" w:eastAsia="Calibri" w:cs="Times New Roman"/>
            <w:color w:val="0000FF"/>
            <w:sz w:val="24"/>
            <w:szCs w:val="24"/>
            <w:u w:val="single"/>
          </w:rPr>
          <w:t>https://www.ferc.gov/information-collections</w:t>
        </w:r>
      </w:hyperlink>
      <w:r w:rsidRPr="00C24B15">
        <w:rPr>
          <w:rFonts w:ascii="Times New Roman" w:hAnsi="Times New Roman" w:eastAsia="Calibri" w:cs="Times New Roman"/>
          <w:color w:val="0000FF"/>
          <w:sz w:val="24"/>
          <w:szCs w:val="24"/>
          <w:u w:val="single"/>
        </w:rPr>
        <w:t>.</w:t>
      </w:r>
    </w:p>
    <w:p w:rsidRPr="00414F32" w:rsidR="00414F32" w:rsidP="00414F32" w:rsidRDefault="00414F32" w14:paraId="374FB82A" w14:textId="77777777">
      <w:pPr>
        <w:spacing w:after="0"/>
        <w:rPr>
          <w:rFonts w:ascii="Times New Roman" w:hAnsi="Times New Roman" w:cs="Times New Roman"/>
          <w:sz w:val="24"/>
          <w:szCs w:val="24"/>
        </w:rPr>
      </w:pPr>
    </w:p>
    <w:p w:rsidR="00414F32" w:rsidP="00A72E7B" w:rsidRDefault="00414F32" w14:paraId="08590006"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P="0057700F" w:rsidRDefault="0057700F" w14:paraId="596294B5" w14:textId="77777777">
      <w:pPr>
        <w:spacing w:after="0"/>
        <w:rPr>
          <w:rFonts w:ascii="Times New Roman" w:hAnsi="Times New Roman" w:cs="Times New Roman"/>
          <w:b/>
          <w:sz w:val="24"/>
          <w:szCs w:val="24"/>
        </w:rPr>
      </w:pPr>
    </w:p>
    <w:p w:rsidRPr="007A2F92" w:rsidR="003649F4" w:rsidP="003649F4" w:rsidRDefault="003649F4" w14:paraId="35EFDC3D" w14:textId="77777777">
      <w:pPr>
        <w:spacing w:after="0"/>
        <w:rPr>
          <w:rFonts w:ascii="Times New Roman" w:hAnsi="Times New Roman" w:cs="Times New Roman"/>
          <w:sz w:val="24"/>
          <w:szCs w:val="24"/>
        </w:rPr>
      </w:pPr>
      <w:r w:rsidRPr="002A5AC8">
        <w:rPr>
          <w:rFonts w:ascii="Times New Roman" w:hAnsi="Times New Roman" w:cs="Times New Roman"/>
          <w:sz w:val="24"/>
          <w:szCs w:val="24"/>
        </w:rPr>
        <w:t>The Commission will not be using statistical survey methodology for this information collection.</w:t>
      </w:r>
    </w:p>
    <w:p w:rsidRPr="007A2F92" w:rsidR="00414F32" w:rsidP="007A2F92" w:rsidRDefault="00414F32" w14:paraId="4DE0ECFF" w14:textId="77777777">
      <w:pPr>
        <w:spacing w:after="0"/>
        <w:rPr>
          <w:rFonts w:ascii="Times New Roman" w:hAnsi="Times New Roman" w:cs="Times New Roman"/>
          <w:sz w:val="24"/>
          <w:szCs w:val="24"/>
        </w:rPr>
      </w:pPr>
    </w:p>
    <w:sectPr w:rsidRPr="007A2F92" w:rsidR="00414F3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C1B27" w14:textId="77777777" w:rsidR="00697785" w:rsidRDefault="00697785" w:rsidP="00FD66F1">
      <w:pPr>
        <w:spacing w:after="0" w:line="240" w:lineRule="auto"/>
      </w:pPr>
      <w:r>
        <w:separator/>
      </w:r>
    </w:p>
  </w:endnote>
  <w:endnote w:type="continuationSeparator" w:id="0">
    <w:p w14:paraId="64753478" w14:textId="77777777" w:rsidR="00697785" w:rsidRDefault="0069778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411206"/>
      <w:docPartObj>
        <w:docPartGallery w:val="Page Numbers (Bottom of Page)"/>
        <w:docPartUnique/>
      </w:docPartObj>
    </w:sdtPr>
    <w:sdtEndPr>
      <w:rPr>
        <w:noProof/>
      </w:rPr>
    </w:sdtEndPr>
    <w:sdtContent>
      <w:p w14:paraId="0F7E6692" w14:textId="77777777" w:rsidR="008F180E" w:rsidRDefault="008F180E">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E5358F">
          <w:rPr>
            <w:rFonts w:ascii="Times New Roman" w:hAnsi="Times New Roman" w:cs="Times New Roman"/>
            <w:noProof/>
          </w:rPr>
          <w:t>5</w:t>
        </w:r>
        <w:r w:rsidRPr="000A75C0">
          <w:rPr>
            <w:rFonts w:ascii="Times New Roman" w:hAnsi="Times New Roman" w:cs="Times New Roman"/>
            <w:noProof/>
          </w:rPr>
          <w:fldChar w:fldCharType="end"/>
        </w:r>
      </w:p>
    </w:sdtContent>
  </w:sdt>
  <w:p w14:paraId="7F3199D2" w14:textId="77777777" w:rsidR="008F180E" w:rsidRDefault="008F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70B55" w14:textId="77777777" w:rsidR="00697785" w:rsidRDefault="00697785" w:rsidP="00FD66F1">
      <w:pPr>
        <w:spacing w:after="0" w:line="240" w:lineRule="auto"/>
      </w:pPr>
      <w:r>
        <w:separator/>
      </w:r>
    </w:p>
  </w:footnote>
  <w:footnote w:type="continuationSeparator" w:id="0">
    <w:p w14:paraId="4E55AE2A" w14:textId="77777777" w:rsidR="00697785" w:rsidRDefault="00697785" w:rsidP="00FD66F1">
      <w:pPr>
        <w:spacing w:after="0" w:line="240" w:lineRule="auto"/>
      </w:pPr>
      <w:r>
        <w:continuationSeparator/>
      </w:r>
    </w:p>
  </w:footnote>
  <w:footnote w:id="1">
    <w:p w14:paraId="3D5430A8" w14:textId="0D85A2A4" w:rsidR="00C85BCD" w:rsidRPr="005D697B" w:rsidRDefault="00C85BCD" w:rsidP="00C85BCD">
      <w:pPr>
        <w:pStyle w:val="FootnoteText"/>
        <w:rPr>
          <w:sz w:val="24"/>
          <w:szCs w:val="24"/>
        </w:rPr>
      </w:pPr>
      <w:r w:rsidRPr="005D697B">
        <w:rPr>
          <w:rStyle w:val="FootnoteReference"/>
          <w:sz w:val="24"/>
          <w:szCs w:val="24"/>
          <w:vertAlign w:val="superscript"/>
        </w:rPr>
        <w:footnoteRef/>
      </w:r>
      <w:r w:rsidRPr="005D697B">
        <w:rPr>
          <w:sz w:val="24"/>
          <w:szCs w:val="24"/>
        </w:rPr>
        <w:t xml:space="preserve"> </w:t>
      </w:r>
      <w:r w:rsidR="000B17BB" w:rsidRPr="005D697B">
        <w:rPr>
          <w:sz w:val="24"/>
          <w:szCs w:val="24"/>
        </w:rPr>
        <w:t>Prior</w:t>
      </w:r>
      <w:r w:rsidRPr="005D697B">
        <w:rPr>
          <w:sz w:val="24"/>
          <w:szCs w:val="24"/>
        </w:rPr>
        <w:t xml:space="preserve"> approval of transactions </w:t>
      </w:r>
      <w:r w:rsidR="000B17BB" w:rsidRPr="005D697B">
        <w:rPr>
          <w:sz w:val="24"/>
          <w:szCs w:val="24"/>
        </w:rPr>
        <w:t xml:space="preserve">by FERC </w:t>
      </w:r>
      <w:r w:rsidRPr="005D697B">
        <w:rPr>
          <w:sz w:val="24"/>
          <w:szCs w:val="24"/>
        </w:rPr>
        <w:t xml:space="preserve">is required if the value of the facilities </w:t>
      </w:r>
      <w:r w:rsidR="000B17BB" w:rsidRPr="005D697B">
        <w:rPr>
          <w:sz w:val="24"/>
          <w:szCs w:val="24"/>
        </w:rPr>
        <w:t xml:space="preserve">or securities </w:t>
      </w:r>
      <w:r w:rsidRPr="005D697B">
        <w:rPr>
          <w:sz w:val="24"/>
          <w:szCs w:val="24"/>
        </w:rPr>
        <w:t>exceeds $</w:t>
      </w:r>
      <w:r w:rsidR="00784942" w:rsidRPr="005D697B">
        <w:rPr>
          <w:sz w:val="24"/>
          <w:szCs w:val="24"/>
        </w:rPr>
        <w:t>10 million</w:t>
      </w:r>
      <w:r w:rsidRPr="005D697B">
        <w:rPr>
          <w:sz w:val="24"/>
          <w:szCs w:val="24"/>
        </w:rPr>
        <w:t>.</w:t>
      </w:r>
    </w:p>
  </w:footnote>
  <w:footnote w:id="2">
    <w:p w14:paraId="4FC5E487" w14:textId="77777777" w:rsidR="00F57E1B" w:rsidRPr="005D697B" w:rsidRDefault="00F57E1B" w:rsidP="00F57E1B">
      <w:pPr>
        <w:pStyle w:val="FootnoteText"/>
        <w:rPr>
          <w:sz w:val="24"/>
          <w:szCs w:val="24"/>
        </w:rPr>
      </w:pPr>
      <w:r w:rsidRPr="005D697B">
        <w:rPr>
          <w:rStyle w:val="FootnoteReference"/>
          <w:sz w:val="24"/>
          <w:szCs w:val="24"/>
        </w:rPr>
        <w:footnoteRef/>
      </w:r>
      <w:r w:rsidRPr="005D697B">
        <w:rPr>
          <w:sz w:val="24"/>
          <w:szCs w:val="24"/>
        </w:rPr>
        <w:t xml:space="preserve"> Pub. L. No. 115-247, 132 Stat. 3152 “An Act to amend section 203 of the Federal Power Act” (Act)</w:t>
      </w:r>
    </w:p>
  </w:footnote>
  <w:footnote w:id="3">
    <w:p w14:paraId="75DCFF48" w14:textId="77777777" w:rsidR="00F57E1B" w:rsidRPr="005D697B" w:rsidRDefault="00F57E1B" w:rsidP="00F57E1B">
      <w:pPr>
        <w:pStyle w:val="FootnoteText"/>
        <w:rPr>
          <w:sz w:val="24"/>
          <w:szCs w:val="24"/>
        </w:rPr>
      </w:pPr>
      <w:r w:rsidRPr="005D697B">
        <w:rPr>
          <w:rStyle w:val="FootnoteReference"/>
          <w:sz w:val="24"/>
          <w:szCs w:val="24"/>
          <w:vertAlign w:val="superscript"/>
        </w:rPr>
        <w:footnoteRef/>
      </w:r>
      <w:r w:rsidRPr="005D697B">
        <w:rPr>
          <w:sz w:val="24"/>
          <w:szCs w:val="24"/>
        </w:rPr>
        <w:t xml:space="preserve"> Section 203(a)(1)(B) grants the Commission’s jurisdiction over mergers and consolidations (i.e., acquisitions), as opposed to other forms of corporate dispositions.  Prior to the new legislation, there was no dollar limit associated with mergers or consolidations that would come under the Commission’s jurisdiction, and the new legislation addressed that by adding a $10 million threshold.     </w:t>
      </w:r>
    </w:p>
  </w:footnote>
  <w:footnote w:id="4">
    <w:p w14:paraId="61DB81A9" w14:textId="4739702F" w:rsidR="008F180E" w:rsidRPr="005D697B" w:rsidRDefault="008F180E" w:rsidP="0010043B">
      <w:pPr>
        <w:pStyle w:val="FootnoteText"/>
        <w:rPr>
          <w:sz w:val="24"/>
          <w:szCs w:val="24"/>
        </w:rPr>
      </w:pPr>
      <w:r w:rsidRPr="005D697B">
        <w:rPr>
          <w:rStyle w:val="FootnoteReference"/>
          <w:sz w:val="24"/>
          <w:szCs w:val="24"/>
        </w:rPr>
        <w:footnoteRef/>
      </w:r>
      <w:r w:rsidR="00E367E2" w:rsidRPr="005D697B">
        <w:rPr>
          <w:sz w:val="24"/>
          <w:szCs w:val="24"/>
        </w:rPr>
        <w:t xml:space="preserve"> </w:t>
      </w:r>
      <w:r w:rsidR="003D5E83" w:rsidRPr="005D697B">
        <w:rPr>
          <w:sz w:val="24"/>
          <w:szCs w:val="24"/>
        </w:rPr>
        <w:t>86 FR 63010</w:t>
      </w:r>
    </w:p>
  </w:footnote>
  <w:footnote w:id="5">
    <w:p w14:paraId="1AF1DC11" w14:textId="23AD6123" w:rsidR="00457B8D" w:rsidRPr="00457B8D" w:rsidRDefault="00457B8D">
      <w:pPr>
        <w:pStyle w:val="FootnoteText"/>
        <w:rPr>
          <w:sz w:val="24"/>
          <w:szCs w:val="24"/>
        </w:rPr>
      </w:pPr>
      <w:r w:rsidRPr="00457B8D">
        <w:rPr>
          <w:rStyle w:val="FootnoteReference"/>
          <w:sz w:val="24"/>
          <w:szCs w:val="24"/>
        </w:rPr>
        <w:footnoteRef/>
      </w:r>
      <w:r w:rsidRPr="00457B8D">
        <w:rPr>
          <w:sz w:val="24"/>
          <w:szCs w:val="24"/>
        </w:rPr>
        <w:t xml:space="preserve"> </w:t>
      </w:r>
      <w:r>
        <w:rPr>
          <w:sz w:val="24"/>
          <w:szCs w:val="24"/>
        </w:rPr>
        <w:t>87 FR 6860</w:t>
      </w:r>
    </w:p>
  </w:footnote>
  <w:footnote w:id="6">
    <w:p w14:paraId="701FAF9B" w14:textId="77777777" w:rsidR="00B158CE" w:rsidRPr="005D697B" w:rsidRDefault="00B158CE" w:rsidP="00B158CE">
      <w:pPr>
        <w:pStyle w:val="FootnoteText"/>
        <w:rPr>
          <w:sz w:val="24"/>
          <w:szCs w:val="24"/>
        </w:rPr>
      </w:pPr>
      <w:r w:rsidRPr="005D697B">
        <w:rPr>
          <w:rStyle w:val="FootnoteReference"/>
          <w:sz w:val="24"/>
          <w:szCs w:val="24"/>
        </w:rPr>
        <w:footnoteRef/>
      </w:r>
      <w:r w:rsidRPr="005D697B">
        <w:rPr>
          <w:sz w:val="24"/>
          <w:szCs w:val="24"/>
          <w:vertAlign w:val="superscript"/>
        </w:rPr>
        <w:t xml:space="preserve"> </w:t>
      </w:r>
      <w:r w:rsidRPr="005D697B">
        <w:rPr>
          <w:sz w:val="24"/>
          <w:szCs w:val="24"/>
        </w:rPr>
        <w:t>Commission staff estimates that approximately 26 section 203 filings will change from full section 203 filings to the notification filing described above and will take one burden hour to complete.  The number of respondents and responses is based on Commission staff’s estimate that 13 percent of the approximately 200 section 203 filings received will be affected. This represents a significant reduction in burden hours.</w:t>
      </w:r>
    </w:p>
    <w:p w14:paraId="0AA0C2E0" w14:textId="77777777" w:rsidR="00B158CE" w:rsidRPr="005D697B" w:rsidRDefault="00B158CE" w:rsidP="00B158CE">
      <w:pPr>
        <w:pStyle w:val="FootnoteText"/>
        <w:rPr>
          <w:sz w:val="24"/>
          <w:szCs w:val="24"/>
        </w:rPr>
      </w:pPr>
    </w:p>
  </w:footnote>
  <w:footnote w:id="7">
    <w:p w14:paraId="5460BEB3" w14:textId="77777777" w:rsidR="00B158CE" w:rsidRPr="005D697B" w:rsidRDefault="00B158CE" w:rsidP="00B158CE">
      <w:pPr>
        <w:pStyle w:val="FootnoteText"/>
        <w:rPr>
          <w:sz w:val="24"/>
          <w:szCs w:val="24"/>
        </w:rPr>
      </w:pPr>
      <w:r w:rsidRPr="005D697B">
        <w:rPr>
          <w:rStyle w:val="FootnoteReference"/>
          <w:sz w:val="24"/>
          <w:szCs w:val="24"/>
        </w:rPr>
        <w:footnoteRef/>
      </w:r>
      <w:r w:rsidRPr="005D697B">
        <w:rPr>
          <w:sz w:val="24"/>
          <w:szCs w:val="24"/>
        </w:rPr>
        <w:t xml:space="preserve"> With this amendment each of the 26 affected entities and their related filings (i.e., the entities that now only </w:t>
      </w:r>
      <w:proofErr w:type="gramStart"/>
      <w:r w:rsidRPr="005D697B">
        <w:rPr>
          <w:sz w:val="24"/>
          <w:szCs w:val="24"/>
        </w:rPr>
        <w:t>have to</w:t>
      </w:r>
      <w:proofErr w:type="gramEnd"/>
      <w:r w:rsidRPr="005D697B">
        <w:rPr>
          <w:sz w:val="24"/>
          <w:szCs w:val="24"/>
        </w:rPr>
        <w:t xml:space="preserve"> file the section 203 notification filings) is reduced to 1 hour </w:t>
      </w:r>
    </w:p>
    <w:p w14:paraId="1E80C321" w14:textId="77777777" w:rsidR="00B158CE" w:rsidRPr="005D697B" w:rsidRDefault="00B158CE" w:rsidP="00B158CE">
      <w:pPr>
        <w:pStyle w:val="FootnoteText"/>
        <w:rPr>
          <w:sz w:val="24"/>
          <w:szCs w:val="24"/>
        </w:rPr>
      </w:pPr>
    </w:p>
  </w:footnote>
  <w:footnote w:id="8">
    <w:p w14:paraId="60691A77" w14:textId="1355C8BC" w:rsidR="00F45A35" w:rsidRPr="005D697B" w:rsidRDefault="00F45A35" w:rsidP="00F45A35">
      <w:pPr>
        <w:pStyle w:val="FootnoteText"/>
        <w:rPr>
          <w:sz w:val="24"/>
          <w:szCs w:val="24"/>
        </w:rPr>
      </w:pPr>
      <w:r w:rsidRPr="005D697B">
        <w:rPr>
          <w:rStyle w:val="FootnoteReference"/>
          <w:sz w:val="24"/>
          <w:szCs w:val="24"/>
        </w:rPr>
        <w:footnoteRef/>
      </w:r>
      <w:r w:rsidRPr="005D697B">
        <w:rPr>
          <w:sz w:val="24"/>
          <w:szCs w:val="24"/>
        </w:rPr>
        <w:t xml:space="preserve"> Based upon 20</w:t>
      </w:r>
      <w:r w:rsidR="00992457" w:rsidRPr="005D697B">
        <w:rPr>
          <w:sz w:val="24"/>
          <w:szCs w:val="24"/>
        </w:rPr>
        <w:t>21</w:t>
      </w:r>
      <w:r w:rsidR="00C621B7" w:rsidRPr="005D697B">
        <w:rPr>
          <w:sz w:val="24"/>
          <w:szCs w:val="24"/>
        </w:rPr>
        <w:t xml:space="preserve"> </w:t>
      </w:r>
      <w:r w:rsidRPr="005D697B">
        <w:rPr>
          <w:sz w:val="24"/>
          <w:szCs w:val="24"/>
        </w:rPr>
        <w:t>FTE average salary plus benefits ($1</w:t>
      </w:r>
      <w:r w:rsidR="00992457" w:rsidRPr="005D697B">
        <w:rPr>
          <w:sz w:val="24"/>
          <w:szCs w:val="24"/>
        </w:rPr>
        <w:t>80,703</w:t>
      </w:r>
      <w:r w:rsidRPr="005D697B">
        <w:rPr>
          <w:sz w:val="24"/>
          <w:szCs w:val="24"/>
        </w:rPr>
        <w:t>) and approximately 8.058 FTEs per year</w:t>
      </w:r>
    </w:p>
  </w:footnote>
  <w:footnote w:id="9">
    <w:p w14:paraId="3B2943B0" w14:textId="77777777" w:rsidR="00F45A35" w:rsidRPr="005D697B" w:rsidRDefault="00F45A35" w:rsidP="00F45A35">
      <w:pPr>
        <w:pStyle w:val="FootnoteText"/>
        <w:rPr>
          <w:sz w:val="24"/>
          <w:szCs w:val="24"/>
        </w:rPr>
      </w:pPr>
      <w:r w:rsidRPr="005D697B">
        <w:rPr>
          <w:rStyle w:val="FootnoteReference"/>
          <w:sz w:val="24"/>
          <w:szCs w:val="24"/>
        </w:rPr>
        <w:footnoteRef/>
      </w:r>
      <w:r w:rsidRPr="005D697B">
        <w:rPr>
          <w:sz w:val="24"/>
          <w:szCs w:val="24"/>
        </w:rPr>
        <w:t xml:space="preserve"> Paperwork Reduction Act of 1995</w:t>
      </w:r>
    </w:p>
  </w:footnote>
  <w:footnote w:id="10">
    <w:p w14:paraId="39168577" w14:textId="77777777" w:rsidR="00F45A35" w:rsidRPr="005D697B" w:rsidRDefault="00F45A35" w:rsidP="00F45A35">
      <w:pPr>
        <w:pStyle w:val="FootnoteText"/>
        <w:rPr>
          <w:sz w:val="24"/>
          <w:szCs w:val="24"/>
        </w:rPr>
      </w:pPr>
      <w:r w:rsidRPr="005D697B">
        <w:rPr>
          <w:rStyle w:val="FootnoteReference"/>
          <w:sz w:val="24"/>
          <w:szCs w:val="24"/>
        </w:rPr>
        <w:footnoteRef/>
      </w:r>
      <w:r w:rsidRPr="005D697B">
        <w:rPr>
          <w:sz w:val="24"/>
          <w:szCs w:val="24"/>
        </w:rPr>
        <w:t xml:space="preserve"> 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9DAC" w14:textId="77777777" w:rsidR="008F180E" w:rsidRDefault="00674595">
    <w:pPr>
      <w:pStyle w:val="Header"/>
    </w:pPr>
    <w:r>
      <w:rPr>
        <w:rFonts w:ascii="Times New Roman" w:hAnsi="Times New Roman" w:cs="Times New Roman"/>
        <w:sz w:val="24"/>
        <w:szCs w:val="24"/>
      </w:rPr>
      <w:t>FERC-519</w:t>
    </w:r>
    <w:r w:rsidR="008F180E">
      <w:rPr>
        <w:rFonts w:ascii="Times New Roman" w:hAnsi="Times New Roman" w:cs="Times New Roman"/>
        <w:sz w:val="24"/>
        <w:szCs w:val="24"/>
      </w:rPr>
      <w:t xml:space="preserve"> (OMB Control No. </w:t>
    </w:r>
    <w:r>
      <w:rPr>
        <w:rFonts w:ascii="Times New Roman" w:hAnsi="Times New Roman" w:cs="Times New Roman"/>
        <w:sz w:val="24"/>
        <w:szCs w:val="24"/>
      </w:rPr>
      <w:t>1902-0082</w:t>
    </w:r>
    <w:r w:rsidR="008F180E">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622D"/>
    <w:multiLevelType w:val="hybridMultilevel"/>
    <w:tmpl w:val="62386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A83007"/>
    <w:multiLevelType w:val="hybridMultilevel"/>
    <w:tmpl w:val="968A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36E649CB"/>
    <w:multiLevelType w:val="hybridMultilevel"/>
    <w:tmpl w:val="6C7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E3DDA"/>
    <w:multiLevelType w:val="hybridMultilevel"/>
    <w:tmpl w:val="127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F2792"/>
    <w:multiLevelType w:val="hybridMultilevel"/>
    <w:tmpl w:val="917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4"/>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F1"/>
    <w:rsid w:val="0002242D"/>
    <w:rsid w:val="00035845"/>
    <w:rsid w:val="0003797A"/>
    <w:rsid w:val="00052636"/>
    <w:rsid w:val="00074DC8"/>
    <w:rsid w:val="000A5059"/>
    <w:rsid w:val="000A75C0"/>
    <w:rsid w:val="000B0C37"/>
    <w:rsid w:val="000B17BB"/>
    <w:rsid w:val="000E778E"/>
    <w:rsid w:val="0010043B"/>
    <w:rsid w:val="00143103"/>
    <w:rsid w:val="001658E9"/>
    <w:rsid w:val="00166487"/>
    <w:rsid w:val="00181727"/>
    <w:rsid w:val="00185730"/>
    <w:rsid w:val="00193A42"/>
    <w:rsid w:val="001C353A"/>
    <w:rsid w:val="001D3F15"/>
    <w:rsid w:val="001E37C1"/>
    <w:rsid w:val="00234AA7"/>
    <w:rsid w:val="0026674D"/>
    <w:rsid w:val="00275FA7"/>
    <w:rsid w:val="00296CB9"/>
    <w:rsid w:val="002A0DF1"/>
    <w:rsid w:val="002B13E2"/>
    <w:rsid w:val="002B7C14"/>
    <w:rsid w:val="003202D2"/>
    <w:rsid w:val="00320610"/>
    <w:rsid w:val="00333E03"/>
    <w:rsid w:val="00355BF5"/>
    <w:rsid w:val="003649F4"/>
    <w:rsid w:val="003677DB"/>
    <w:rsid w:val="00370E84"/>
    <w:rsid w:val="003869DA"/>
    <w:rsid w:val="0039511C"/>
    <w:rsid w:val="003D5E83"/>
    <w:rsid w:val="003E5825"/>
    <w:rsid w:val="0041431F"/>
    <w:rsid w:val="00414F32"/>
    <w:rsid w:val="00417DCB"/>
    <w:rsid w:val="00424073"/>
    <w:rsid w:val="00436C4A"/>
    <w:rsid w:val="00441A0A"/>
    <w:rsid w:val="00457B8D"/>
    <w:rsid w:val="004C4C89"/>
    <w:rsid w:val="004C7FEF"/>
    <w:rsid w:val="004F6977"/>
    <w:rsid w:val="00500436"/>
    <w:rsid w:val="00522F69"/>
    <w:rsid w:val="0053287C"/>
    <w:rsid w:val="005635C0"/>
    <w:rsid w:val="00571C5E"/>
    <w:rsid w:val="0057700F"/>
    <w:rsid w:val="00590C05"/>
    <w:rsid w:val="005A2792"/>
    <w:rsid w:val="005B3BBA"/>
    <w:rsid w:val="005B77CE"/>
    <w:rsid w:val="005D697B"/>
    <w:rsid w:val="005F1C3C"/>
    <w:rsid w:val="005F5FE3"/>
    <w:rsid w:val="00612641"/>
    <w:rsid w:val="006166FA"/>
    <w:rsid w:val="00641A9A"/>
    <w:rsid w:val="00664BC0"/>
    <w:rsid w:val="00674595"/>
    <w:rsid w:val="00690136"/>
    <w:rsid w:val="00690299"/>
    <w:rsid w:val="00697785"/>
    <w:rsid w:val="00773AEB"/>
    <w:rsid w:val="00784942"/>
    <w:rsid w:val="00787670"/>
    <w:rsid w:val="007A2F92"/>
    <w:rsid w:val="007B3BD8"/>
    <w:rsid w:val="007E28A0"/>
    <w:rsid w:val="007E7C0F"/>
    <w:rsid w:val="007F3573"/>
    <w:rsid w:val="00843C1E"/>
    <w:rsid w:val="008619E1"/>
    <w:rsid w:val="00876F75"/>
    <w:rsid w:val="008A21A4"/>
    <w:rsid w:val="008B703B"/>
    <w:rsid w:val="008C288D"/>
    <w:rsid w:val="008E70CD"/>
    <w:rsid w:val="008F180E"/>
    <w:rsid w:val="00913A8B"/>
    <w:rsid w:val="00924215"/>
    <w:rsid w:val="00925369"/>
    <w:rsid w:val="00970FE4"/>
    <w:rsid w:val="00984879"/>
    <w:rsid w:val="00992457"/>
    <w:rsid w:val="009D2C9B"/>
    <w:rsid w:val="009E1190"/>
    <w:rsid w:val="00A03162"/>
    <w:rsid w:val="00A276F5"/>
    <w:rsid w:val="00A72E7B"/>
    <w:rsid w:val="00A73B19"/>
    <w:rsid w:val="00A96A17"/>
    <w:rsid w:val="00A96B65"/>
    <w:rsid w:val="00AD3DE5"/>
    <w:rsid w:val="00B158CE"/>
    <w:rsid w:val="00B462DC"/>
    <w:rsid w:val="00B83390"/>
    <w:rsid w:val="00BA1C7D"/>
    <w:rsid w:val="00BA7C56"/>
    <w:rsid w:val="00C01698"/>
    <w:rsid w:val="00C16666"/>
    <w:rsid w:val="00C16A97"/>
    <w:rsid w:val="00C24B15"/>
    <w:rsid w:val="00C510DD"/>
    <w:rsid w:val="00C56B83"/>
    <w:rsid w:val="00C621B7"/>
    <w:rsid w:val="00C65190"/>
    <w:rsid w:val="00C75E77"/>
    <w:rsid w:val="00C76A4E"/>
    <w:rsid w:val="00C85BCD"/>
    <w:rsid w:val="00C87A96"/>
    <w:rsid w:val="00C9359C"/>
    <w:rsid w:val="00CA495F"/>
    <w:rsid w:val="00CA59C3"/>
    <w:rsid w:val="00CB00A0"/>
    <w:rsid w:val="00D80FBD"/>
    <w:rsid w:val="00D970EC"/>
    <w:rsid w:val="00DC4E36"/>
    <w:rsid w:val="00DE0DA4"/>
    <w:rsid w:val="00E11CA6"/>
    <w:rsid w:val="00E14565"/>
    <w:rsid w:val="00E20612"/>
    <w:rsid w:val="00E367E2"/>
    <w:rsid w:val="00E5358F"/>
    <w:rsid w:val="00E636D7"/>
    <w:rsid w:val="00E87A4F"/>
    <w:rsid w:val="00EA52F5"/>
    <w:rsid w:val="00EB3E6F"/>
    <w:rsid w:val="00ED5560"/>
    <w:rsid w:val="00F02464"/>
    <w:rsid w:val="00F04E8D"/>
    <w:rsid w:val="00F100EB"/>
    <w:rsid w:val="00F12DC2"/>
    <w:rsid w:val="00F152DF"/>
    <w:rsid w:val="00F45A35"/>
    <w:rsid w:val="00F57E1B"/>
    <w:rsid w:val="00FD66F1"/>
    <w:rsid w:val="00FE0D6C"/>
    <w:rsid w:val="00FE5136"/>
    <w:rsid w:val="00FE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7141C3"/>
  <w15:docId w15:val="{53F3CB4F-2D2B-49C2-B52A-7D97CFFA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1 Ch"/>
    <w:basedOn w:val="Normal"/>
    <w:link w:val="FootnoteTextChar1"/>
    <w:semiHidden/>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843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6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rc.gov/information-collec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p:properties xmlns:p="http://schemas.microsoft.com/office/2006/metadata/properties" xmlns:xsi="http://www.w3.org/2001/XMLSchema-instance">
  <documentManagement>
    <Date xmlns="d6eefc7d-9817-4fa6-84d5-3bc009be21b8">2014-08-25T00:00:00-04:00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519</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IC14-14</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E8F0E-2673-4272-99E7-CD8660E52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76CAA-31F4-4832-9E5B-552E50C1E57E}">
  <ds:schemaRefs>
    <ds:schemaRef ds:uri="http://schemas.openxmlformats.org/officeDocument/2006/bibliography"/>
  </ds:schemaRefs>
</ds:datastoreItem>
</file>

<file path=customXml/itemProps3.xml><?xml version="1.0" encoding="utf-8"?>
<ds:datastoreItem xmlns:ds="http://schemas.openxmlformats.org/officeDocument/2006/customXml" ds:itemID="{C6906BCA-ABF0-4E0A-83FE-9258A37EC51C}">
  <ds:schemaRefs>
    <ds:schemaRef ds:uri="http://schemas.microsoft.com/office/2006/metadata/customXsn"/>
  </ds:schemaRefs>
</ds:datastoreItem>
</file>

<file path=customXml/itemProps4.xml><?xml version="1.0" encoding="utf-8"?>
<ds:datastoreItem xmlns:ds="http://schemas.openxmlformats.org/officeDocument/2006/customXml" ds:itemID="{DC3A4479-0543-455B-A152-110FB41B2830}">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d6eefc7d-9817-4fa6-84d5-3bc009be21b8"/>
    <ds:schemaRef ds:uri="http://www.w3.org/XML/1998/namespace"/>
  </ds:schemaRefs>
</ds:datastoreItem>
</file>

<file path=customXml/itemProps5.xml><?xml version="1.0" encoding="utf-8"?>
<ds:datastoreItem xmlns:ds="http://schemas.openxmlformats.org/officeDocument/2006/customXml" ds:itemID="{D9C6C5CF-3CE0-47E8-B44B-CB4D7C85D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Kayla Williams</cp:lastModifiedBy>
  <cp:revision>7</cp:revision>
  <dcterms:created xsi:type="dcterms:W3CDTF">2022-02-01T14:22:00Z</dcterms:created>
  <dcterms:modified xsi:type="dcterms:W3CDTF">2022-02-07T19:51:00Z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Order">
    <vt:r8>296500</vt:r8>
  </property>
</Properties>
</file>