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1332599">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9E7B5F">
        <w:t>2</w:t>
      </w:r>
      <w:r w:rsidRPr="00413FDE" w:rsidR="00613169">
        <w:t>-000</w:t>
      </w:r>
      <w:r w:rsidRPr="00413FDE">
        <w:t>]</w:t>
      </w:r>
    </w:p>
    <w:p w:rsidR="00A2604E" w:rsidP="00A2604E" w:rsidRDefault="00A2604E" w14:paraId="4D16FE54" w14:textId="77777777"/>
    <w:p w:rsidR="00A2604E" w:rsidP="00A2604E" w:rsidRDefault="00A2604E" w14:paraId="0627AE31" w14:textId="00750EAA">
      <w:pPr>
        <w:jc w:val="center"/>
      </w:pPr>
      <w:r>
        <w:t>COMMISSION INFORMATION COLLECTION ACTIVITIES (FERC-</w:t>
      </w:r>
      <w:r w:rsidR="00D82DD3">
        <w:t>519</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6759AE" w:rsidP="007E0402" w:rsidRDefault="007E0402" w14:paraId="561791E3" w14:textId="18D16F48">
      <w:pPr>
        <w:jc w:val="center"/>
      </w:pPr>
      <w:r w:rsidRPr="007E0402">
        <w:t>(February 1, 2022)</w:t>
      </w:r>
    </w:p>
    <w:p w:rsidRPr="007E0402" w:rsidR="007E0402" w:rsidP="007E0402" w:rsidRDefault="007E0402" w14:paraId="35A6CFCF"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2AA0B4A7">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w:t>
      </w:r>
      <w:bookmarkStart w:name="_Hlk68526471" w:id="1"/>
      <w:bookmarkStart w:name="_Hlk72925791" w:id="2"/>
      <w:r w:rsidRPr="00BE7A16" w:rsidR="00D82DD3">
        <w:rPr>
          <w:szCs w:val="26"/>
        </w:rPr>
        <w:t>FERC-</w:t>
      </w:r>
      <w:r w:rsidR="00D82DD3">
        <w:rPr>
          <w:szCs w:val="26"/>
        </w:rPr>
        <w:t>519</w:t>
      </w:r>
      <w:r w:rsidRPr="00BE7A16" w:rsidR="00D82DD3">
        <w:rPr>
          <w:szCs w:val="26"/>
        </w:rPr>
        <w:t xml:space="preserve">, </w:t>
      </w:r>
      <w:bookmarkEnd w:id="1"/>
      <w:bookmarkEnd w:id="2"/>
      <w:r w:rsidRPr="00BE7A16" w:rsidR="00D82DD3">
        <w:rPr>
          <w:rFonts w:eastAsiaTheme="minorHAnsi"/>
          <w:szCs w:val="26"/>
        </w:rPr>
        <w:t>(</w:t>
      </w:r>
      <w:r w:rsidR="00D82DD3">
        <w:rPr>
          <w:szCs w:val="26"/>
        </w:rPr>
        <w:t>Application under Federal Power Act Section 203</w:t>
      </w:r>
      <w:r w:rsidRPr="00BE7A16" w:rsidR="00D82DD3">
        <w:rPr>
          <w:rFonts w:eastAsiaTheme="minorHAnsi"/>
          <w:szCs w:val="26"/>
        </w:rPr>
        <w:t>)</w:t>
      </w:r>
      <w:r w:rsidR="00564ADB">
        <w:rPr>
          <w:rFonts w:eastAsiaTheme="minorHAnsi"/>
          <w:szCs w:val="26"/>
        </w:rPr>
        <w:t xml:space="preserve">, </w:t>
      </w:r>
      <w:r w:rsidRPr="00564ADB" w:rsidR="00564ADB">
        <w:rPr>
          <w:rFonts w:eastAsiaTheme="minorHAnsi"/>
          <w:szCs w:val="26"/>
        </w:rPr>
        <w:t>which will be submitted to the Office of Management and Budget (OMB) for review.</w:t>
      </w:r>
      <w:r w:rsidR="001A7665">
        <w:rPr>
          <w:rFonts w:eastAsiaTheme="minorHAnsi"/>
          <w:szCs w:val="26"/>
        </w:rPr>
        <w:t xml:space="preserve">  </w:t>
      </w:r>
      <w:bookmarkStart w:name="_Hlk92266693" w:id="3"/>
    </w:p>
    <w:bookmarkEnd w:id="3"/>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2DBE2B25">
      <w:pPr>
        <w:spacing w:line="480" w:lineRule="auto"/>
      </w:pPr>
      <w:r w:rsidRPr="00524164">
        <w:rPr>
          <w:b/>
        </w:rPr>
        <w:t>ADDRESSES:</w:t>
      </w:r>
      <w:r w:rsidRPr="00524164">
        <w:t xml:space="preserve"> </w:t>
      </w:r>
      <w:r w:rsidRPr="00BB5EF5" w:rsidR="00564ADB">
        <w:rPr>
          <w:iCs/>
        </w:rPr>
        <w:t>Send written comments on FERC-</w:t>
      </w:r>
      <w:r w:rsidR="00D82DD3">
        <w:rPr>
          <w:iCs/>
        </w:rPr>
        <w:t>519</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D82DD3">
        <w:rPr>
          <w:iCs/>
        </w:rPr>
        <w:t>082</w:t>
      </w:r>
      <w:r w:rsidRPr="00BB5EF5" w:rsidR="00564ADB">
        <w:rPr>
          <w:iCs/>
        </w:rPr>
        <w:t>) in the subject line of your comments.  Comments</w:t>
      </w:r>
      <w:r w:rsidRPr="00BB5EF5" w:rsidR="00564ADB">
        <w:t xml:space="preserve"> should be sent </w:t>
      </w:r>
      <w:bookmarkStart w:name="_Hlk35891527" w:id="4"/>
      <w:r w:rsidRPr="00BB5EF5" w:rsidR="00564ADB">
        <w:t xml:space="preserve">within 30 days of publication of this </w:t>
      </w:r>
      <w:proofErr w:type="gramStart"/>
      <w:r w:rsidRPr="00BB5EF5" w:rsidR="00564ADB">
        <w:t>notice  to</w:t>
      </w:r>
      <w:proofErr w:type="gramEnd"/>
      <w:r w:rsidRPr="00BB5EF5" w:rsidR="00564ADB">
        <w:t xml:space="preserve"> </w:t>
      </w:r>
      <w:bookmarkStart w:name="_Hlk38028221" w:id="5"/>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4"/>
      <w:bookmarkEnd w:id="5"/>
    </w:p>
    <w:p w:rsidRPr="00BB5EF5" w:rsidR="00564ADB" w:rsidP="00564ADB" w:rsidRDefault="00564ADB" w14:paraId="7F9E2910" w14:textId="308D246E">
      <w:pPr>
        <w:spacing w:line="480" w:lineRule="auto"/>
      </w:pPr>
      <w:r w:rsidRPr="00BB5EF5">
        <w:t>Please submit copies of your comments to the Commission.  You may submit copies of your comments (identified by Docket No. IC2</w:t>
      </w:r>
      <w:r w:rsidR="00EA0E8C">
        <w:t>2</w:t>
      </w:r>
      <w:r w:rsidRPr="00BB5EF5">
        <w:t>-</w:t>
      </w:r>
      <w:r w:rsidR="00186EC5">
        <w:t>2</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lastRenderedPageBreak/>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6"/>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7"/>
      <w:r w:rsidRPr="00BB5EF5">
        <w:t>must be formatted and filed in accordance with submission guidelines at</w:t>
      </w:r>
      <w:bookmarkEnd w:id="7"/>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6"/>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D82DD3" w:rsidR="00D82DD3" w:rsidP="00D82DD3" w:rsidRDefault="000F3BC3" w14:paraId="4971867B" w14:textId="466837B5">
      <w:pPr>
        <w:spacing w:line="480" w:lineRule="auto"/>
        <w:rPr>
          <w:szCs w:val="26"/>
        </w:rPr>
      </w:pPr>
      <w:r w:rsidRPr="000F3BC3">
        <w:rPr>
          <w:b/>
          <w:szCs w:val="26"/>
        </w:rPr>
        <w:lastRenderedPageBreak/>
        <w:t>SUPPLEMENTARY INFORMATION:</w:t>
      </w:r>
      <w:r w:rsidRPr="000F3BC3">
        <w:rPr>
          <w:szCs w:val="26"/>
        </w:rPr>
        <w:t xml:space="preserve">  </w:t>
      </w:r>
    </w:p>
    <w:p w:rsidRPr="00BE7A16" w:rsidR="00D82DD3" w:rsidP="00D82DD3" w:rsidRDefault="00D82DD3" w14:paraId="2340F04E" w14:textId="77777777">
      <w:pPr>
        <w:spacing w:line="480" w:lineRule="auto"/>
        <w:rPr>
          <w:szCs w:val="26"/>
        </w:rPr>
      </w:pPr>
      <w:r w:rsidRPr="00BE7A16">
        <w:rPr>
          <w:i/>
          <w:iCs/>
          <w:szCs w:val="26"/>
        </w:rPr>
        <w:t>Title:</w:t>
      </w:r>
      <w:r w:rsidRPr="00BE7A16">
        <w:rPr>
          <w:rFonts w:eastAsiaTheme="minorHAnsi"/>
          <w:szCs w:val="26"/>
        </w:rPr>
        <w:t xml:space="preserve"> </w:t>
      </w:r>
      <w:r w:rsidRPr="00BE7A16">
        <w:rPr>
          <w:szCs w:val="26"/>
        </w:rPr>
        <w:t>FERC-</w:t>
      </w:r>
      <w:r>
        <w:rPr>
          <w:szCs w:val="26"/>
        </w:rPr>
        <w:t>519</w:t>
      </w:r>
      <w:r w:rsidRPr="00BE7A16">
        <w:rPr>
          <w:szCs w:val="26"/>
        </w:rPr>
        <w:t xml:space="preserve">, </w:t>
      </w:r>
      <w:r>
        <w:rPr>
          <w:szCs w:val="26"/>
        </w:rPr>
        <w:t>Application under Federal Power Act Section 203</w:t>
      </w:r>
      <w:r>
        <w:rPr>
          <w:rStyle w:val="FootnoteReference"/>
        </w:rPr>
        <w:footnoteReference w:id="2"/>
      </w:r>
    </w:p>
    <w:p w:rsidR="00D82DD3" w:rsidP="00D82DD3" w:rsidRDefault="00D82DD3" w14:paraId="0D4FAF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1902-0</w:t>
      </w:r>
      <w:r>
        <w:rPr>
          <w:szCs w:val="26"/>
        </w:rPr>
        <w:t>082</w:t>
      </w:r>
    </w:p>
    <w:p w:rsidR="00D82DD3" w:rsidP="00D82DD3" w:rsidRDefault="00D82DD3" w14:paraId="3487780E" w14:textId="77777777">
      <w:pPr>
        <w:spacing w:after="160" w:line="480" w:lineRule="auto"/>
        <w:rPr>
          <w:rFonts w:eastAsiaTheme="minorHAnsi"/>
          <w:szCs w:val="26"/>
        </w:rPr>
      </w:pPr>
      <w:r w:rsidRPr="00970063">
        <w:rPr>
          <w:i/>
          <w:szCs w:val="26"/>
        </w:rPr>
        <w:t>Type of Request:</w:t>
      </w:r>
      <w:r w:rsidRPr="00970063">
        <w:rPr>
          <w:szCs w:val="26"/>
        </w:rPr>
        <w:t xml:space="preserve"> Three-year extension of the FERC-5</w:t>
      </w:r>
      <w:r>
        <w:rPr>
          <w:szCs w:val="26"/>
        </w:rPr>
        <w:t>19</w:t>
      </w:r>
      <w:r w:rsidRPr="00970063">
        <w:rPr>
          <w:szCs w:val="26"/>
        </w:rPr>
        <w:t xml:space="preserve"> information collection requirements with no changes to the current reporting requirements. </w:t>
      </w:r>
      <w:r>
        <w:rPr>
          <w:rFonts w:eastAsiaTheme="minorHAnsi"/>
          <w:szCs w:val="26"/>
        </w:rPr>
        <w:t>The Commission issued a 60-day notice on November 15, 2021 (86 FR 63010) requesting public comments; no comments were received.</w:t>
      </w:r>
    </w:p>
    <w:p w:rsidRPr="00D82DD3" w:rsidR="00D82DD3" w:rsidP="00D82DD3" w:rsidRDefault="00D82DD3" w14:paraId="2DBEBB64" w14:textId="0119F7A8">
      <w:pPr>
        <w:spacing w:after="160" w:line="480" w:lineRule="auto"/>
        <w:rPr>
          <w:rFonts w:eastAsiaTheme="minorHAnsi"/>
          <w:szCs w:val="26"/>
        </w:rPr>
      </w:pPr>
      <w:r w:rsidRPr="00342537">
        <w:rPr>
          <w:i/>
          <w:szCs w:val="26"/>
        </w:rPr>
        <w:t>Abstract:</w:t>
      </w:r>
      <w:r w:rsidRPr="00342537">
        <w:rPr>
          <w:szCs w:val="26"/>
        </w:rPr>
        <w:t xml:space="preserve"> </w:t>
      </w:r>
      <w:r w:rsidRPr="004D7789">
        <w:rPr>
          <w:szCs w:val="26"/>
        </w:rPr>
        <w:t>The Commission require</w:t>
      </w:r>
      <w:r>
        <w:rPr>
          <w:szCs w:val="26"/>
        </w:rPr>
        <w:t xml:space="preserve">s that </w:t>
      </w:r>
      <w:r w:rsidRPr="00706A16">
        <w:rPr>
          <w:szCs w:val="26"/>
        </w:rPr>
        <w:t xml:space="preserve">public utility </w:t>
      </w:r>
      <w:r>
        <w:rPr>
          <w:szCs w:val="26"/>
        </w:rPr>
        <w:t xml:space="preserve">officers </w:t>
      </w:r>
      <w:r w:rsidRPr="00706A16">
        <w:rPr>
          <w:szCs w:val="26"/>
        </w:rPr>
        <w:t xml:space="preserve">must seek authorization under amended section 203(a)(1)(B) of the Federal Power Act (FPA) to merge or consolidate, directly or indirectly, its facilities subject to the jurisdiction of the Commission, or any part thereof, with the facilities of any other person, or any part thereof, that are subject to the jurisdiction of the Commission and have a value </w:t>
      </w:r>
      <w:proofErr w:type="gramStart"/>
      <w:r w:rsidRPr="00706A16">
        <w:rPr>
          <w:szCs w:val="26"/>
        </w:rPr>
        <w:t>in excess of</w:t>
      </w:r>
      <w:proofErr w:type="gramEnd"/>
      <w:r w:rsidRPr="00706A16">
        <w:rPr>
          <w:szCs w:val="26"/>
        </w:rPr>
        <w:t xml:space="preserve"> $10 million, by any means whatsoever. In addition, as required by the Act, the Commission establishes a requirement to submit a notification filing for mergers or consolidations by a public utility if the facilities to be acquired have a value </w:t>
      </w:r>
      <w:proofErr w:type="gramStart"/>
      <w:r w:rsidRPr="00706A16">
        <w:rPr>
          <w:szCs w:val="26"/>
        </w:rPr>
        <w:t>in excess of</w:t>
      </w:r>
      <w:proofErr w:type="gramEnd"/>
      <w:r w:rsidRPr="00706A16">
        <w:rPr>
          <w:szCs w:val="26"/>
        </w:rPr>
        <w:t xml:space="preserve"> $1 million and such public utility is not required to secure Commission authorization under amended section 203(a)(1)(B). The information collected under the FERC-519 enables the Commission to meet its statutory responsibilities regarding public utility disposition, merger, consolidation of facilities, purchase, or acquisition oversight and </w:t>
      </w:r>
      <w:r w:rsidRPr="00706A16">
        <w:rPr>
          <w:szCs w:val="26"/>
        </w:rPr>
        <w:lastRenderedPageBreak/>
        <w:t xml:space="preserve">enforcement in accordance with the FPA as referenced above. </w:t>
      </w:r>
      <w:r w:rsidR="00B80940">
        <w:rPr>
          <w:szCs w:val="26"/>
        </w:rPr>
        <w:t xml:space="preserve"> </w:t>
      </w:r>
      <w:r w:rsidRPr="00706A16">
        <w:rPr>
          <w:szCs w:val="26"/>
        </w:rPr>
        <w:t>The required information includes descriptions of corporate attributes of the party or parties to the proposed transaction (</w:t>
      </w:r>
      <w:proofErr w:type="gramStart"/>
      <w:r w:rsidRPr="00706A16">
        <w:rPr>
          <w:szCs w:val="26"/>
        </w:rPr>
        <w:t>e.g.</w:t>
      </w:r>
      <w:proofErr w:type="gramEnd"/>
      <w:r w:rsidRPr="00706A16">
        <w:rPr>
          <w:szCs w:val="26"/>
        </w:rPr>
        <w:t xml:space="preserve"> a sale, lease, or other disposition, merger, or consolidation of facilities, or purchase of other acquisition of the securities of a public utility and the facilities or other property involved in the transaction), statements about effect of the transaction, and the applicant's proof that the transaction will be consistent with the public interest.</w:t>
      </w:r>
      <w:r>
        <w:rPr>
          <w:szCs w:val="26"/>
        </w:rPr>
        <w:t xml:space="preserve"> </w:t>
      </w:r>
      <w:r w:rsidRPr="004D7789">
        <w:rPr>
          <w:szCs w:val="26"/>
        </w:rPr>
        <w:t xml:space="preserve">It will enable the Commission to meet its statutory responsibilities regarding its FPA section 203 oversight of public utility dispositions, mergers, or consolidation of facilities, and associated oversight and enforcement responsibilities under the FPA as referenced above.  The required information to be collected in the notification filing (established by the addition of 18 CFR Part 33.12) for certain transactions includes descriptions of corporate attributes of the party or parties to the transaction and the facilities involved.  </w:t>
      </w:r>
      <w:r>
        <w:rPr>
          <w:szCs w:val="26"/>
        </w:rPr>
        <w:t>FPA section 203 requires a filing on the occasion that a public utility proposes to dispose of jurisdictional facilities, merge such facilities, or acquire the securities of another public utility. Public Utilities consist of:</w:t>
      </w:r>
    </w:p>
    <w:p w:rsidRPr="00C32FB9" w:rsidR="00D82DD3" w:rsidP="00D82DD3" w:rsidRDefault="00D82DD3" w14:paraId="0927A8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Corporate;</w:t>
      </w:r>
      <w:proofErr w:type="gramEnd"/>
    </w:p>
    <w:p w:rsidRPr="00C32FB9" w:rsidR="00D82DD3" w:rsidP="00D82DD3" w:rsidRDefault="00D82DD3" w14:paraId="5176E5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Information Technology </w:t>
      </w:r>
      <w:proofErr w:type="gramStart"/>
      <w:r w:rsidRPr="00C32FB9">
        <w:rPr>
          <w:szCs w:val="26"/>
        </w:rPr>
        <w:t>Management;</w:t>
      </w:r>
      <w:proofErr w:type="gramEnd"/>
    </w:p>
    <w:p w:rsidRPr="00C32FB9" w:rsidR="00D82DD3" w:rsidP="00D82DD3" w:rsidRDefault="00D82DD3" w14:paraId="595BAE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General </w:t>
      </w:r>
      <w:proofErr w:type="gramStart"/>
      <w:r w:rsidRPr="00C32FB9">
        <w:rPr>
          <w:szCs w:val="26"/>
        </w:rPr>
        <w:t>Accounting;</w:t>
      </w:r>
      <w:proofErr w:type="gramEnd"/>
    </w:p>
    <w:p w:rsidRPr="00C32FB9" w:rsidR="00D82DD3" w:rsidP="00D82DD3" w:rsidRDefault="00D82DD3" w14:paraId="2D42AF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Personnel and </w:t>
      </w:r>
      <w:proofErr w:type="gramStart"/>
      <w:r w:rsidRPr="00C32FB9">
        <w:rPr>
          <w:szCs w:val="26"/>
        </w:rPr>
        <w:t>Payroll;</w:t>
      </w:r>
      <w:proofErr w:type="gramEnd"/>
    </w:p>
    <w:p w:rsidRPr="00C32FB9" w:rsidR="00D82DD3" w:rsidP="00D82DD3" w:rsidRDefault="00D82DD3" w14:paraId="725E5D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Transportation;</w:t>
      </w:r>
      <w:proofErr w:type="gramEnd"/>
    </w:p>
    <w:p w:rsidRPr="00C32FB9" w:rsidR="00D82DD3" w:rsidP="00D82DD3" w:rsidRDefault="00D82DD3" w14:paraId="2934F8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Tariffs and </w:t>
      </w:r>
      <w:proofErr w:type="gramStart"/>
      <w:r w:rsidRPr="00C32FB9">
        <w:rPr>
          <w:szCs w:val="26"/>
        </w:rPr>
        <w:t>Rates;</w:t>
      </w:r>
      <w:proofErr w:type="gramEnd"/>
    </w:p>
    <w:p w:rsidRPr="00C32FB9" w:rsidR="00D82DD3" w:rsidP="00D82DD3" w:rsidRDefault="00D82DD3" w14:paraId="7033BE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lastRenderedPageBreak/>
        <w:t>•</w:t>
      </w:r>
      <w:r w:rsidRPr="00C32FB9">
        <w:rPr>
          <w:szCs w:val="26"/>
        </w:rPr>
        <w:tab/>
      </w:r>
      <w:proofErr w:type="gramStart"/>
      <w:r w:rsidRPr="00C32FB9">
        <w:rPr>
          <w:szCs w:val="26"/>
        </w:rPr>
        <w:t>Insurance;</w:t>
      </w:r>
      <w:proofErr w:type="gramEnd"/>
    </w:p>
    <w:p w:rsidRPr="00C32FB9" w:rsidR="00D82DD3" w:rsidP="00D82DD3" w:rsidRDefault="00D82DD3" w14:paraId="0C1AC9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Operations and </w:t>
      </w:r>
      <w:proofErr w:type="gramStart"/>
      <w:r w:rsidRPr="00C32FB9">
        <w:rPr>
          <w:szCs w:val="26"/>
        </w:rPr>
        <w:t>Maintenance;</w:t>
      </w:r>
      <w:proofErr w:type="gramEnd"/>
    </w:p>
    <w:p w:rsidRPr="00C32FB9" w:rsidR="00D82DD3" w:rsidP="00D82DD3" w:rsidRDefault="00D82DD3" w14:paraId="7AA7A9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Plant and </w:t>
      </w:r>
      <w:proofErr w:type="gramStart"/>
      <w:r w:rsidRPr="00C32FB9">
        <w:rPr>
          <w:szCs w:val="26"/>
        </w:rPr>
        <w:t>Depreciation;</w:t>
      </w:r>
      <w:proofErr w:type="gramEnd"/>
    </w:p>
    <w:p w:rsidRPr="00C32FB9" w:rsidR="00D82DD3" w:rsidP="00D82DD3" w:rsidRDefault="00D82DD3" w14:paraId="0D2F48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Purchase and </w:t>
      </w:r>
      <w:proofErr w:type="gramStart"/>
      <w:r w:rsidRPr="00C32FB9">
        <w:rPr>
          <w:szCs w:val="26"/>
        </w:rPr>
        <w:t>Stores;</w:t>
      </w:r>
      <w:proofErr w:type="gramEnd"/>
    </w:p>
    <w:p w:rsidRPr="00C32FB9" w:rsidR="00D82DD3" w:rsidP="00D82DD3" w:rsidRDefault="00D82DD3" w14:paraId="69FE7C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Revenue Accounting and </w:t>
      </w:r>
      <w:proofErr w:type="gramStart"/>
      <w:r w:rsidRPr="00C32FB9">
        <w:rPr>
          <w:szCs w:val="26"/>
        </w:rPr>
        <w:t>Collection;</w:t>
      </w:r>
      <w:proofErr w:type="gramEnd"/>
    </w:p>
    <w:p w:rsidRPr="00C32FB9" w:rsidR="00D82DD3" w:rsidP="00D82DD3" w:rsidRDefault="00D82DD3" w14:paraId="62F80E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Tax;</w:t>
      </w:r>
      <w:proofErr w:type="gramEnd"/>
    </w:p>
    <w:p w:rsidRPr="00C32FB9" w:rsidR="00D82DD3" w:rsidP="00D82DD3" w:rsidRDefault="00D82DD3" w14:paraId="6141F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Treasury; and</w:t>
      </w:r>
    </w:p>
    <w:p w:rsidRPr="004D7789" w:rsidR="00D82DD3" w:rsidP="00D82DD3" w:rsidRDefault="00D82DD3" w14:paraId="3AC4A7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Miscellaneous.</w:t>
      </w:r>
      <w:r>
        <w:rPr>
          <w:szCs w:val="26"/>
        </w:rPr>
        <w:t xml:space="preserve"> </w:t>
      </w:r>
    </w:p>
    <w:p w:rsidRPr="00342537" w:rsidR="00D82DD3" w:rsidP="00D82DD3" w:rsidRDefault="00D82DD3" w14:paraId="256C5A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 xml:space="preserve">Type of Respondents: </w:t>
      </w:r>
      <w:r w:rsidRPr="00385FC5">
        <w:rPr>
          <w:szCs w:val="26"/>
        </w:rPr>
        <w:t>Public utility officers</w:t>
      </w:r>
      <w:r>
        <w:rPr>
          <w:szCs w:val="26"/>
        </w:rPr>
        <w:t xml:space="preserve"> regulated by the FPA</w:t>
      </w:r>
      <w:r w:rsidRPr="00342537">
        <w:rPr>
          <w:szCs w:val="26"/>
        </w:rPr>
        <w:t xml:space="preserve"> </w:t>
      </w:r>
    </w:p>
    <w:p w:rsidR="00D82DD3" w:rsidP="00D82DD3" w:rsidRDefault="00D82DD3" w14:paraId="48C9E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342537">
        <w:rPr>
          <w:b/>
          <w:i/>
          <w:szCs w:val="26"/>
          <w:vertAlign w:val="superscript"/>
        </w:rPr>
        <w:footnoteReference w:id="3"/>
      </w:r>
      <w:r w:rsidRPr="00342537">
        <w:rPr>
          <w:i/>
          <w:szCs w:val="26"/>
        </w:rPr>
        <w:t xml:space="preserve">: </w:t>
      </w:r>
      <w:r w:rsidRPr="00342537">
        <w:rPr>
          <w:szCs w:val="26"/>
        </w:rPr>
        <w:t>The Commission estimates the total annual burden and cost</w:t>
      </w:r>
      <w:r w:rsidRPr="00342537">
        <w:rPr>
          <w:b/>
          <w:szCs w:val="26"/>
          <w:vertAlign w:val="superscript"/>
        </w:rPr>
        <w:footnoteReference w:id="4"/>
      </w:r>
      <w:r w:rsidRPr="00342537">
        <w:rPr>
          <w:szCs w:val="26"/>
          <w:vertAlign w:val="superscript"/>
        </w:rPr>
        <w:t xml:space="preserve"> </w:t>
      </w:r>
      <w:r w:rsidRPr="00342537">
        <w:rPr>
          <w:szCs w:val="26"/>
        </w:rPr>
        <w:t>for this information collection as follows:</w:t>
      </w:r>
    </w:p>
    <w:tbl>
      <w:tblPr>
        <w:tblW w:w="551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1"/>
        <w:gridCol w:w="1632"/>
        <w:gridCol w:w="1531"/>
        <w:gridCol w:w="1404"/>
        <w:gridCol w:w="1386"/>
        <w:gridCol w:w="1711"/>
        <w:gridCol w:w="1531"/>
      </w:tblGrid>
      <w:tr w:rsidRPr="00AA1630" w:rsidR="00D82DD3" w:rsidTr="00C05E29" w14:paraId="4781B8BD" w14:textId="77777777">
        <w:trPr>
          <w:cantSplit/>
          <w:trHeight w:val="395"/>
        </w:trPr>
        <w:tc>
          <w:tcPr>
            <w:tcW w:w="5000" w:type="pct"/>
            <w:gridSpan w:val="7"/>
            <w:shd w:val="clear" w:color="auto" w:fill="D9D9D9"/>
          </w:tcPr>
          <w:p w:rsidRPr="00AA1630" w:rsidR="00D82DD3" w:rsidP="00C05E29" w:rsidRDefault="00D82DD3" w14:paraId="05451D4D" w14:textId="77777777">
            <w:pPr>
              <w:spacing w:line="259" w:lineRule="auto"/>
              <w:jc w:val="center"/>
              <w:rPr>
                <w:rFonts w:eastAsiaTheme="minorHAnsi"/>
                <w:b/>
                <w:szCs w:val="26"/>
              </w:rPr>
            </w:pPr>
            <w:r>
              <w:rPr>
                <w:rFonts w:eastAsiaTheme="minorHAnsi"/>
                <w:b/>
                <w:szCs w:val="26"/>
              </w:rPr>
              <w:t xml:space="preserve">FERC-519: </w:t>
            </w:r>
            <w:r w:rsidRPr="008D2AE7">
              <w:rPr>
                <w:rFonts w:eastAsiaTheme="minorHAnsi"/>
                <w:b/>
                <w:szCs w:val="26"/>
              </w:rPr>
              <w:t>Application under Federal Power Act Section 203</w:t>
            </w:r>
          </w:p>
        </w:tc>
      </w:tr>
      <w:tr w:rsidRPr="00AA1630" w:rsidR="00D82DD3" w:rsidTr="00C05E29" w14:paraId="1B9F3607" w14:textId="77777777">
        <w:trPr>
          <w:cantSplit/>
          <w:trHeight w:val="1225"/>
        </w:trPr>
        <w:tc>
          <w:tcPr>
            <w:tcW w:w="539" w:type="pct"/>
            <w:shd w:val="clear" w:color="auto" w:fill="D9D9D9"/>
          </w:tcPr>
          <w:p w:rsidRPr="00AA1630" w:rsidR="00D82DD3" w:rsidP="00C05E29" w:rsidRDefault="00D82DD3" w14:paraId="5698F31D" w14:textId="77777777">
            <w:pPr>
              <w:spacing w:line="259" w:lineRule="auto"/>
              <w:rPr>
                <w:rFonts w:eastAsiaTheme="minorHAnsi"/>
                <w:b/>
                <w:szCs w:val="26"/>
              </w:rPr>
            </w:pPr>
          </w:p>
        </w:tc>
        <w:tc>
          <w:tcPr>
            <w:tcW w:w="792" w:type="pct"/>
            <w:shd w:val="clear" w:color="auto" w:fill="D9D9D9"/>
            <w:vAlign w:val="bottom"/>
          </w:tcPr>
          <w:p w:rsidRPr="00AA1630" w:rsidR="00D82DD3" w:rsidP="00C05E29" w:rsidRDefault="00D82DD3" w14:paraId="44B3922D" w14:textId="77777777">
            <w:pPr>
              <w:spacing w:line="259" w:lineRule="auto"/>
              <w:rPr>
                <w:rFonts w:eastAsiaTheme="minorHAnsi"/>
                <w:b/>
                <w:szCs w:val="26"/>
              </w:rPr>
            </w:pPr>
            <w:r w:rsidRPr="00AA1630">
              <w:rPr>
                <w:rFonts w:eastAsiaTheme="minorHAnsi"/>
                <w:b/>
                <w:szCs w:val="26"/>
              </w:rPr>
              <w:t>Number of Respondents</w:t>
            </w:r>
            <w:r w:rsidRPr="00AA1630">
              <w:rPr>
                <w:rFonts w:eastAsiaTheme="minorHAnsi"/>
                <w:b/>
                <w:szCs w:val="26"/>
              </w:rPr>
              <w:br/>
              <w:t>(1)</w:t>
            </w:r>
          </w:p>
        </w:tc>
        <w:tc>
          <w:tcPr>
            <w:tcW w:w="743" w:type="pct"/>
            <w:shd w:val="clear" w:color="auto" w:fill="D9D9D9"/>
            <w:vAlign w:val="bottom"/>
          </w:tcPr>
          <w:p w:rsidRPr="00AA1630" w:rsidR="00D82DD3" w:rsidP="00C05E29" w:rsidRDefault="00D82DD3" w14:paraId="37FB9EBE" w14:textId="77777777">
            <w:pPr>
              <w:spacing w:line="259" w:lineRule="auto"/>
              <w:rPr>
                <w:rFonts w:eastAsiaTheme="minorHAnsi"/>
                <w:b/>
                <w:szCs w:val="26"/>
              </w:rPr>
            </w:pPr>
            <w:r w:rsidRPr="00AA1630">
              <w:rPr>
                <w:rFonts w:eastAsiaTheme="minorHAnsi"/>
                <w:b/>
                <w:szCs w:val="26"/>
              </w:rPr>
              <w:t>Annual Number of Responses per Respondent</w:t>
            </w:r>
          </w:p>
          <w:p w:rsidRPr="00AA1630" w:rsidR="00D82DD3" w:rsidP="00C05E29" w:rsidRDefault="00D82DD3" w14:paraId="4B05A30F" w14:textId="77777777">
            <w:pPr>
              <w:spacing w:line="259" w:lineRule="auto"/>
              <w:rPr>
                <w:rFonts w:eastAsiaTheme="minorHAnsi"/>
                <w:b/>
                <w:szCs w:val="26"/>
              </w:rPr>
            </w:pPr>
            <w:r w:rsidRPr="00AA1630">
              <w:rPr>
                <w:rFonts w:eastAsiaTheme="minorHAnsi"/>
                <w:b/>
                <w:szCs w:val="26"/>
              </w:rPr>
              <w:t>(2)</w:t>
            </w:r>
          </w:p>
        </w:tc>
        <w:tc>
          <w:tcPr>
            <w:tcW w:w="681" w:type="pct"/>
            <w:shd w:val="clear" w:color="auto" w:fill="D9D9D9"/>
            <w:vAlign w:val="bottom"/>
          </w:tcPr>
          <w:p w:rsidRPr="00AA1630" w:rsidR="00D82DD3" w:rsidP="00C05E29" w:rsidRDefault="00D82DD3" w14:paraId="324D4D98" w14:textId="77777777">
            <w:pPr>
              <w:spacing w:line="259" w:lineRule="auto"/>
              <w:rPr>
                <w:rFonts w:eastAsiaTheme="minorHAnsi"/>
                <w:b/>
                <w:szCs w:val="26"/>
              </w:rPr>
            </w:pPr>
            <w:r w:rsidRPr="00AA1630">
              <w:rPr>
                <w:rFonts w:eastAsiaTheme="minorHAnsi"/>
                <w:b/>
                <w:szCs w:val="26"/>
              </w:rPr>
              <w:t>Total Number of Responses (</w:t>
            </w:r>
            <w:proofErr w:type="gramStart"/>
            <w:r w:rsidRPr="00AA1630">
              <w:rPr>
                <w:rFonts w:eastAsiaTheme="minorHAnsi"/>
                <w:b/>
                <w:szCs w:val="26"/>
              </w:rPr>
              <w:t>1)*</w:t>
            </w:r>
            <w:proofErr w:type="gramEnd"/>
            <w:r w:rsidRPr="00AA1630">
              <w:rPr>
                <w:rFonts w:eastAsiaTheme="minorHAnsi"/>
                <w:b/>
                <w:szCs w:val="26"/>
              </w:rPr>
              <w:t>(2)=(3)</w:t>
            </w:r>
          </w:p>
        </w:tc>
        <w:tc>
          <w:tcPr>
            <w:tcW w:w="672" w:type="pct"/>
            <w:shd w:val="clear" w:color="auto" w:fill="D9D9D9"/>
            <w:vAlign w:val="bottom"/>
          </w:tcPr>
          <w:p w:rsidRPr="00AA1630" w:rsidR="00D82DD3" w:rsidP="00C05E29" w:rsidRDefault="00D82DD3" w14:paraId="5AA67D36" w14:textId="77777777">
            <w:pPr>
              <w:spacing w:line="259" w:lineRule="auto"/>
              <w:rPr>
                <w:rFonts w:eastAsiaTheme="minorHAnsi"/>
                <w:b/>
                <w:szCs w:val="26"/>
              </w:rPr>
            </w:pPr>
            <w:r w:rsidRPr="00AA1630">
              <w:rPr>
                <w:rFonts w:eastAsiaTheme="minorHAnsi"/>
                <w:b/>
                <w:szCs w:val="26"/>
              </w:rPr>
              <w:t>Average Burden &amp; Cost Per Response</w:t>
            </w:r>
          </w:p>
          <w:p w:rsidRPr="00AA1630" w:rsidR="00D82DD3" w:rsidP="00C05E29" w:rsidRDefault="00D82DD3" w14:paraId="401E54E9" w14:textId="77777777">
            <w:pPr>
              <w:spacing w:line="259" w:lineRule="auto"/>
              <w:rPr>
                <w:rFonts w:eastAsiaTheme="minorHAnsi"/>
                <w:b/>
                <w:szCs w:val="26"/>
              </w:rPr>
            </w:pPr>
            <w:r w:rsidRPr="00AA1630">
              <w:rPr>
                <w:rFonts w:eastAsiaTheme="minorHAnsi"/>
                <w:b/>
                <w:szCs w:val="26"/>
              </w:rPr>
              <w:t>(4)</w:t>
            </w:r>
          </w:p>
        </w:tc>
        <w:tc>
          <w:tcPr>
            <w:tcW w:w="830" w:type="pct"/>
            <w:shd w:val="clear" w:color="auto" w:fill="D9D9D9"/>
            <w:vAlign w:val="bottom"/>
          </w:tcPr>
          <w:p w:rsidRPr="00AA1630" w:rsidR="00D82DD3" w:rsidP="00C05E29" w:rsidRDefault="00D82DD3" w14:paraId="66AC55BE" w14:textId="77777777">
            <w:pPr>
              <w:spacing w:line="259" w:lineRule="auto"/>
              <w:rPr>
                <w:rFonts w:eastAsiaTheme="minorHAnsi"/>
                <w:b/>
                <w:szCs w:val="26"/>
              </w:rPr>
            </w:pPr>
            <w:r w:rsidRPr="00AA1630">
              <w:rPr>
                <w:rFonts w:eastAsiaTheme="minorHAnsi"/>
                <w:b/>
                <w:szCs w:val="26"/>
              </w:rPr>
              <w:t>Total Annual Burden Hours (Total Annual Cost)</w:t>
            </w:r>
          </w:p>
          <w:p w:rsidRPr="00AA1630" w:rsidR="00D82DD3" w:rsidP="00C05E29" w:rsidRDefault="00D82DD3" w14:paraId="7C6257D3" w14:textId="77777777">
            <w:pPr>
              <w:spacing w:line="259" w:lineRule="auto"/>
              <w:rPr>
                <w:rFonts w:eastAsiaTheme="minorHAnsi"/>
                <w:b/>
                <w:szCs w:val="26"/>
              </w:rPr>
            </w:pPr>
            <w:r w:rsidRPr="00AA1630">
              <w:rPr>
                <w:rFonts w:eastAsiaTheme="minorHAnsi"/>
                <w:b/>
                <w:szCs w:val="26"/>
              </w:rPr>
              <w:t>(</w:t>
            </w:r>
            <w:proofErr w:type="gramStart"/>
            <w:r w:rsidRPr="00AA1630">
              <w:rPr>
                <w:rFonts w:eastAsiaTheme="minorHAnsi"/>
                <w:b/>
                <w:szCs w:val="26"/>
              </w:rPr>
              <w:t>3)*</w:t>
            </w:r>
            <w:proofErr w:type="gramEnd"/>
            <w:r w:rsidRPr="00AA1630">
              <w:rPr>
                <w:rFonts w:eastAsiaTheme="minorHAnsi"/>
                <w:b/>
                <w:szCs w:val="26"/>
              </w:rPr>
              <w:t>(4)=(5)</w:t>
            </w:r>
          </w:p>
        </w:tc>
        <w:tc>
          <w:tcPr>
            <w:tcW w:w="743" w:type="pct"/>
            <w:shd w:val="clear" w:color="auto" w:fill="D9D9D9"/>
            <w:vAlign w:val="bottom"/>
          </w:tcPr>
          <w:p w:rsidRPr="00AA1630" w:rsidR="00D82DD3" w:rsidP="00C05E29" w:rsidRDefault="00D82DD3" w14:paraId="63D038E1" w14:textId="77777777">
            <w:pPr>
              <w:spacing w:line="259" w:lineRule="auto"/>
              <w:rPr>
                <w:rFonts w:eastAsiaTheme="minorHAnsi"/>
                <w:b/>
                <w:szCs w:val="26"/>
              </w:rPr>
            </w:pPr>
            <w:r w:rsidRPr="00AA1630">
              <w:rPr>
                <w:rFonts w:eastAsiaTheme="minorHAnsi"/>
                <w:b/>
                <w:szCs w:val="26"/>
              </w:rPr>
              <w:t>Cost per Respondent</w:t>
            </w:r>
          </w:p>
          <w:p w:rsidRPr="00AA1630" w:rsidR="00D82DD3" w:rsidP="00C05E29" w:rsidRDefault="00D82DD3" w14:paraId="4622FA10" w14:textId="77777777">
            <w:pPr>
              <w:spacing w:line="259" w:lineRule="auto"/>
              <w:rPr>
                <w:rFonts w:eastAsiaTheme="minorHAnsi"/>
                <w:b/>
                <w:szCs w:val="26"/>
              </w:rPr>
            </w:pPr>
            <w:r w:rsidRPr="00AA1630">
              <w:rPr>
                <w:rFonts w:eastAsiaTheme="minorHAnsi"/>
                <w:b/>
                <w:szCs w:val="26"/>
              </w:rPr>
              <w:t xml:space="preserve"> ($)</w:t>
            </w:r>
          </w:p>
          <w:p w:rsidRPr="00AA1630" w:rsidR="00D82DD3" w:rsidP="00C05E29" w:rsidRDefault="00D82DD3" w14:paraId="46E007FC" w14:textId="77777777">
            <w:pPr>
              <w:spacing w:line="259" w:lineRule="auto"/>
              <w:rPr>
                <w:rFonts w:eastAsiaTheme="minorHAnsi"/>
                <w:b/>
                <w:szCs w:val="26"/>
              </w:rPr>
            </w:pPr>
            <w:r w:rsidRPr="00AA1630">
              <w:rPr>
                <w:rFonts w:eastAsiaTheme="minorHAnsi"/>
                <w:b/>
                <w:szCs w:val="26"/>
              </w:rPr>
              <w:t>(</w:t>
            </w:r>
            <w:proofErr w:type="gramStart"/>
            <w:r w:rsidRPr="00AA1630">
              <w:rPr>
                <w:rFonts w:eastAsiaTheme="minorHAnsi"/>
                <w:b/>
                <w:szCs w:val="26"/>
              </w:rPr>
              <w:t>5)÷</w:t>
            </w:r>
            <w:proofErr w:type="gramEnd"/>
            <w:r w:rsidRPr="00AA1630">
              <w:rPr>
                <w:rFonts w:eastAsiaTheme="minorHAnsi"/>
                <w:b/>
                <w:szCs w:val="26"/>
              </w:rPr>
              <w:t>(1)</w:t>
            </w:r>
          </w:p>
        </w:tc>
      </w:tr>
      <w:tr w:rsidRPr="00AA1630" w:rsidR="00D82DD3" w:rsidTr="00D82DD3" w14:paraId="3A48A04F" w14:textId="77777777">
        <w:trPr>
          <w:cantSplit/>
          <w:trHeight w:val="1907"/>
        </w:trPr>
        <w:tc>
          <w:tcPr>
            <w:tcW w:w="539"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82DD3" w14:paraId="45E85819" w14:textId="77777777">
            <w:pPr>
              <w:spacing w:line="259" w:lineRule="auto"/>
              <w:jc w:val="right"/>
              <w:rPr>
                <w:rFonts w:eastAsiaTheme="minorHAnsi"/>
                <w:szCs w:val="26"/>
              </w:rPr>
            </w:pPr>
            <w:r w:rsidRPr="00AA1630">
              <w:rPr>
                <w:rFonts w:eastAsiaTheme="minorHAnsi"/>
                <w:szCs w:val="26"/>
              </w:rPr>
              <w:lastRenderedPageBreak/>
              <w:t>FERC-519 (FPA Section 203 Filings)</w:t>
            </w:r>
            <w:r w:rsidRPr="00AA1630">
              <w:rPr>
                <w:rFonts w:eastAsiaTheme="minorHAnsi"/>
                <w:b/>
                <w:szCs w:val="26"/>
                <w:vertAlign w:val="superscript"/>
              </w:rPr>
              <w:footnoteReference w:id="5"/>
            </w:r>
          </w:p>
        </w:tc>
        <w:tc>
          <w:tcPr>
            <w:tcW w:w="792"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82DD3" w14:paraId="7D88A1B4" w14:textId="269C6490">
            <w:pPr>
              <w:spacing w:line="259" w:lineRule="auto"/>
              <w:jc w:val="right"/>
              <w:rPr>
                <w:rFonts w:eastAsiaTheme="minorHAnsi"/>
                <w:szCs w:val="26"/>
              </w:rPr>
            </w:pPr>
            <w:r>
              <w:rPr>
                <w:rFonts w:eastAsiaTheme="minorHAnsi"/>
                <w:szCs w:val="26"/>
              </w:rPr>
              <w:t>13</w:t>
            </w:r>
            <w:r w:rsidR="00DE7058">
              <w:rPr>
                <w:rFonts w:eastAsiaTheme="minorHAnsi"/>
                <w:szCs w:val="26"/>
              </w:rPr>
              <w:t>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82DD3" w14:paraId="7DB0626F" w14:textId="77777777">
            <w:pPr>
              <w:spacing w:line="259" w:lineRule="auto"/>
              <w:jc w:val="right"/>
              <w:rPr>
                <w:rFonts w:eastAsiaTheme="minorHAnsi"/>
                <w:szCs w:val="26"/>
              </w:rPr>
            </w:pPr>
            <w:r w:rsidRPr="00AA1630">
              <w:rPr>
                <w:rFonts w:eastAsiaTheme="minorHAnsi"/>
                <w:szCs w:val="26"/>
              </w:rPr>
              <w:t>1</w:t>
            </w:r>
          </w:p>
        </w:tc>
        <w:tc>
          <w:tcPr>
            <w:tcW w:w="681"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82DD3" w14:paraId="72BD39D4" w14:textId="722E8A60">
            <w:pPr>
              <w:spacing w:line="259" w:lineRule="auto"/>
              <w:jc w:val="right"/>
              <w:rPr>
                <w:rFonts w:eastAsiaTheme="minorHAnsi"/>
                <w:szCs w:val="26"/>
              </w:rPr>
            </w:pPr>
            <w:r>
              <w:rPr>
                <w:rFonts w:eastAsiaTheme="minorHAnsi"/>
                <w:szCs w:val="26"/>
              </w:rPr>
              <w:t>13</w:t>
            </w:r>
            <w:r w:rsidR="00DE7058">
              <w:rPr>
                <w:rFonts w:eastAsiaTheme="minorHAnsi"/>
                <w:szCs w:val="26"/>
              </w:rPr>
              <w:t>4</w:t>
            </w:r>
          </w:p>
        </w:tc>
        <w:tc>
          <w:tcPr>
            <w:tcW w:w="672"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82DD3" w14:paraId="60605D72" w14:textId="77777777">
            <w:pPr>
              <w:spacing w:line="259" w:lineRule="auto"/>
              <w:jc w:val="right"/>
              <w:rPr>
                <w:rFonts w:eastAsiaTheme="minorHAnsi"/>
                <w:szCs w:val="26"/>
              </w:rPr>
            </w:pPr>
            <w:r>
              <w:rPr>
                <w:rFonts w:eastAsiaTheme="minorHAnsi"/>
                <w:szCs w:val="26"/>
              </w:rPr>
              <w:t>324.43</w:t>
            </w:r>
            <w:r w:rsidRPr="00AA1630">
              <w:rPr>
                <w:rFonts w:eastAsiaTheme="minorHAnsi"/>
                <w:szCs w:val="26"/>
              </w:rPr>
              <w:t xml:space="preserve"> hr.</w:t>
            </w:r>
            <w:r w:rsidRPr="00AA1630">
              <w:rPr>
                <w:rFonts w:eastAsiaTheme="minorHAnsi"/>
                <w:szCs w:val="26"/>
                <w:vertAlign w:val="superscript"/>
              </w:rPr>
              <w:footnoteReference w:id="6"/>
            </w:r>
            <w:r w:rsidRPr="00AA1630">
              <w:rPr>
                <w:rFonts w:eastAsiaTheme="minorHAnsi"/>
                <w:szCs w:val="26"/>
              </w:rPr>
              <w:t xml:space="preserve">; </w:t>
            </w:r>
          </w:p>
          <w:p w:rsidRPr="00AA1630" w:rsidR="00D82DD3" w:rsidP="00C05E29" w:rsidRDefault="00D82DD3" w14:paraId="6BEDB9C0" w14:textId="77777777">
            <w:pPr>
              <w:spacing w:line="259" w:lineRule="auto"/>
              <w:jc w:val="right"/>
              <w:rPr>
                <w:rFonts w:eastAsiaTheme="minorHAnsi"/>
                <w:szCs w:val="26"/>
              </w:rPr>
            </w:pPr>
            <w:r w:rsidRPr="00AA1630">
              <w:rPr>
                <w:rFonts w:eastAsiaTheme="minorHAnsi"/>
                <w:szCs w:val="26"/>
              </w:rPr>
              <w:t>$</w:t>
            </w:r>
            <w:r>
              <w:rPr>
                <w:rFonts w:eastAsiaTheme="minorHAnsi"/>
                <w:szCs w:val="26"/>
              </w:rPr>
              <w:t>28,225.41</w:t>
            </w:r>
          </w:p>
        </w:tc>
        <w:tc>
          <w:tcPr>
            <w:tcW w:w="830"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D82DD3" w:rsidP="00C05E29" w:rsidRDefault="00DE7058" w14:paraId="19FBE4B4" w14:textId="0888B2A2">
            <w:pPr>
              <w:spacing w:line="259" w:lineRule="auto"/>
              <w:jc w:val="right"/>
              <w:rPr>
                <w:rFonts w:eastAsiaTheme="minorHAnsi"/>
                <w:szCs w:val="26"/>
              </w:rPr>
            </w:pPr>
            <w:r w:rsidRPr="00DE7058">
              <w:rPr>
                <w:rFonts w:eastAsiaTheme="minorHAnsi"/>
                <w:szCs w:val="26"/>
              </w:rPr>
              <w:t>43,473.62 hrs.; $3,782,204.94</w:t>
            </w:r>
          </w:p>
        </w:tc>
        <w:tc>
          <w:tcPr>
            <w:tcW w:w="743" w:type="pct"/>
            <w:shd w:val="clear" w:color="auto" w:fill="auto"/>
            <w:vAlign w:val="bottom"/>
          </w:tcPr>
          <w:p w:rsidRPr="00AA1630" w:rsidR="00D82DD3" w:rsidP="00C05E29" w:rsidRDefault="00D82DD3" w14:paraId="6F817ADF" w14:textId="77777777">
            <w:pPr>
              <w:spacing w:line="259" w:lineRule="auto"/>
              <w:jc w:val="right"/>
              <w:rPr>
                <w:rFonts w:eastAsiaTheme="minorHAnsi"/>
                <w:szCs w:val="26"/>
              </w:rPr>
            </w:pPr>
          </w:p>
          <w:p w:rsidRPr="00AA1630" w:rsidR="00D82DD3" w:rsidP="00C05E29" w:rsidRDefault="00D82DD3" w14:paraId="5553A0AA" w14:textId="77777777">
            <w:pPr>
              <w:spacing w:line="259" w:lineRule="auto"/>
              <w:jc w:val="right"/>
              <w:rPr>
                <w:rFonts w:eastAsiaTheme="minorHAnsi"/>
                <w:szCs w:val="26"/>
              </w:rPr>
            </w:pPr>
          </w:p>
          <w:p w:rsidRPr="00AA1630" w:rsidR="00D82DD3" w:rsidP="00C05E29" w:rsidRDefault="00D82DD3" w14:paraId="04478A14" w14:textId="77777777">
            <w:pPr>
              <w:spacing w:line="259" w:lineRule="auto"/>
              <w:jc w:val="right"/>
              <w:rPr>
                <w:rFonts w:eastAsiaTheme="minorHAnsi"/>
                <w:szCs w:val="26"/>
              </w:rPr>
            </w:pPr>
          </w:p>
          <w:p w:rsidRPr="00AA1630" w:rsidR="00D82DD3" w:rsidP="00C05E29" w:rsidRDefault="00D82DD3" w14:paraId="4788DF75" w14:textId="77777777">
            <w:pPr>
              <w:spacing w:line="259" w:lineRule="auto"/>
              <w:jc w:val="right"/>
              <w:rPr>
                <w:rFonts w:eastAsiaTheme="minorHAnsi"/>
                <w:szCs w:val="26"/>
              </w:rPr>
            </w:pPr>
          </w:p>
          <w:p w:rsidRPr="00AA1630" w:rsidR="00D82DD3" w:rsidP="00C05E29" w:rsidRDefault="00D82DD3" w14:paraId="68F15C33" w14:textId="77777777">
            <w:pPr>
              <w:spacing w:line="259" w:lineRule="auto"/>
              <w:jc w:val="right"/>
              <w:rPr>
                <w:rFonts w:eastAsiaTheme="minorHAnsi"/>
                <w:szCs w:val="26"/>
              </w:rPr>
            </w:pPr>
          </w:p>
          <w:p w:rsidRPr="00AA1630" w:rsidR="00D82DD3" w:rsidP="00C05E29" w:rsidRDefault="00D82DD3" w14:paraId="0E6B026C" w14:textId="77777777">
            <w:pPr>
              <w:spacing w:line="259" w:lineRule="auto"/>
              <w:jc w:val="right"/>
              <w:rPr>
                <w:rFonts w:eastAsiaTheme="minorHAnsi"/>
                <w:szCs w:val="26"/>
              </w:rPr>
            </w:pPr>
            <w:r w:rsidRPr="00AA1630">
              <w:rPr>
                <w:rFonts w:eastAsiaTheme="minorHAnsi"/>
                <w:szCs w:val="26"/>
              </w:rPr>
              <w:t>$</w:t>
            </w:r>
            <w:r>
              <w:rPr>
                <w:rFonts w:eastAsiaTheme="minorHAnsi"/>
                <w:szCs w:val="26"/>
              </w:rPr>
              <w:t>28,225.41</w:t>
            </w:r>
          </w:p>
        </w:tc>
      </w:tr>
    </w:tbl>
    <w:p w:rsidR="009E7B5F" w:rsidP="002906E5" w:rsidRDefault="009E7B5F" w14:paraId="6B5768F7" w14:textId="77777777">
      <w:pPr>
        <w:autoSpaceDE w:val="0"/>
        <w:autoSpaceDN w:val="0"/>
        <w:adjustRightInd w:val="0"/>
        <w:spacing w:line="480" w:lineRule="auto"/>
        <w:rPr>
          <w:i/>
        </w:rPr>
      </w:pPr>
    </w:p>
    <w:p w:rsidR="00881405" w:rsidP="002906E5" w:rsidRDefault="00AE1F12" w14:paraId="40735770" w14:textId="341A2DAF">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8ACA" w14:textId="77777777" w:rsidR="00286C5A" w:rsidRDefault="00286C5A" w:rsidP="00B01B16">
      <w:r>
        <w:separator/>
      </w:r>
    </w:p>
  </w:endnote>
  <w:endnote w:type="continuationSeparator" w:id="0">
    <w:p w14:paraId="3E09440A" w14:textId="77777777" w:rsidR="00286C5A" w:rsidRDefault="00286C5A" w:rsidP="00B01B16">
      <w:r>
        <w:continuationSeparator/>
      </w:r>
    </w:p>
  </w:endnote>
  <w:endnote w:type="continuationNotice" w:id="1">
    <w:p w14:paraId="5A89BB2B" w14:textId="77777777" w:rsidR="00286C5A" w:rsidRDefault="0028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31229" w14:textId="77777777" w:rsidR="00286C5A" w:rsidRDefault="00286C5A" w:rsidP="00B01B16">
      <w:r>
        <w:separator/>
      </w:r>
    </w:p>
  </w:footnote>
  <w:footnote w:type="continuationSeparator" w:id="0">
    <w:p w14:paraId="6C3C2A09" w14:textId="77777777" w:rsidR="00286C5A" w:rsidRDefault="00286C5A" w:rsidP="00B01B16">
      <w:r>
        <w:continuationSeparator/>
      </w:r>
    </w:p>
  </w:footnote>
  <w:footnote w:type="continuationNotice" w:id="1">
    <w:p w14:paraId="48EA8F65" w14:textId="77777777" w:rsidR="00286C5A" w:rsidRDefault="00286C5A"/>
  </w:footnote>
  <w:footnote w:id="2">
    <w:p w14:paraId="0F3ABD96" w14:textId="77777777" w:rsidR="00D82DD3" w:rsidRPr="001B134D" w:rsidRDefault="00D82DD3" w:rsidP="00D82DD3">
      <w:pPr>
        <w:pStyle w:val="FootnoteText"/>
        <w:rPr>
          <w:sz w:val="26"/>
          <w:szCs w:val="26"/>
        </w:rPr>
      </w:pPr>
      <w:r w:rsidRPr="001B134D">
        <w:rPr>
          <w:rStyle w:val="FootnoteReference"/>
        </w:rPr>
        <w:footnoteRef/>
      </w:r>
      <w:r w:rsidRPr="001B134D">
        <w:rPr>
          <w:sz w:val="26"/>
          <w:szCs w:val="26"/>
        </w:rPr>
        <w:t xml:space="preserve"> 16 USC 824b</w:t>
      </w:r>
    </w:p>
  </w:footnote>
  <w:footnote w:id="3">
    <w:p w14:paraId="5B87D086" w14:textId="77777777" w:rsidR="00D82DD3" w:rsidRPr="00010429" w:rsidRDefault="00D82DD3" w:rsidP="00D82DD3">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045784E4" w14:textId="77777777" w:rsidR="00D82DD3" w:rsidRPr="00010429" w:rsidRDefault="00D82DD3" w:rsidP="00D82DD3">
      <w:pPr>
        <w:pStyle w:val="FootnoteText"/>
        <w:rPr>
          <w:sz w:val="26"/>
          <w:szCs w:val="26"/>
        </w:rPr>
      </w:pPr>
    </w:p>
  </w:footnote>
  <w:footnote w:id="4">
    <w:p w14:paraId="2C91DAFF" w14:textId="77777777" w:rsidR="00D82DD3" w:rsidRPr="00010429" w:rsidRDefault="00D82DD3" w:rsidP="00D82DD3">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w:t>
      </w:r>
      <w:r>
        <w:rPr>
          <w:sz w:val="26"/>
          <w:szCs w:val="26"/>
        </w:rPr>
        <w:t>19</w:t>
      </w:r>
      <w:r w:rsidRPr="00010429">
        <w:rPr>
          <w:sz w:val="26"/>
          <w:szCs w:val="26"/>
        </w:rPr>
        <w:t xml:space="preserve"> are approximately the same as the Commission’s average cost.  The FERC 20</w:t>
      </w:r>
      <w:r>
        <w:rPr>
          <w:sz w:val="26"/>
          <w:szCs w:val="26"/>
        </w:rPr>
        <w:t>21</w:t>
      </w:r>
      <w:r w:rsidRPr="00010429">
        <w:rPr>
          <w:sz w:val="26"/>
          <w:szCs w:val="26"/>
        </w:rPr>
        <w:t xml:space="preserve"> average salary plus benefits for one FERC full-time equivalent (FTE) is $1</w:t>
      </w:r>
      <w:r>
        <w:rPr>
          <w:sz w:val="26"/>
          <w:szCs w:val="26"/>
        </w:rPr>
        <w:t>80,703</w:t>
      </w:r>
      <w:r w:rsidRPr="00010429">
        <w:rPr>
          <w:sz w:val="26"/>
          <w:szCs w:val="26"/>
        </w:rPr>
        <w:t>/year (or $8</w:t>
      </w:r>
      <w:r>
        <w:rPr>
          <w:sz w:val="26"/>
          <w:szCs w:val="26"/>
        </w:rPr>
        <w:t>7</w:t>
      </w:r>
      <w:r w:rsidRPr="00010429">
        <w:rPr>
          <w:sz w:val="26"/>
          <w:szCs w:val="26"/>
        </w:rPr>
        <w:t xml:space="preserve">.00/hour).  </w:t>
      </w:r>
    </w:p>
    <w:p w14:paraId="728B3D01" w14:textId="77777777" w:rsidR="00D82DD3" w:rsidRPr="00010429" w:rsidRDefault="00D82DD3" w:rsidP="00D82DD3">
      <w:pPr>
        <w:pStyle w:val="FootnoteText"/>
        <w:rPr>
          <w:sz w:val="26"/>
          <w:szCs w:val="26"/>
        </w:rPr>
      </w:pPr>
    </w:p>
  </w:footnote>
  <w:footnote w:id="5">
    <w:p w14:paraId="62B03D6E" w14:textId="77777777" w:rsidR="00D82DD3" w:rsidRDefault="00D82DD3" w:rsidP="00D82DD3">
      <w:pPr>
        <w:pStyle w:val="FootnoteText"/>
        <w:rPr>
          <w:sz w:val="26"/>
          <w:szCs w:val="26"/>
        </w:rPr>
      </w:pPr>
      <w:r w:rsidRPr="00EA1CB5">
        <w:rPr>
          <w:rStyle w:val="FootnoteReference"/>
        </w:rPr>
        <w:footnoteRef/>
      </w:r>
      <w:r w:rsidRPr="00EA1CB5">
        <w:rPr>
          <w:sz w:val="26"/>
          <w:szCs w:val="26"/>
          <w:vertAlign w:val="superscript"/>
        </w:rPr>
        <w:t xml:space="preserve"> </w:t>
      </w:r>
      <w:r w:rsidRPr="00375F6B">
        <w:rPr>
          <w:sz w:val="26"/>
          <w:szCs w:val="26"/>
        </w:rPr>
        <w:t xml:space="preserve">Commission staff estimates that approximately </w:t>
      </w:r>
      <w:r>
        <w:rPr>
          <w:sz w:val="26"/>
          <w:szCs w:val="26"/>
        </w:rPr>
        <w:t>26 s</w:t>
      </w:r>
      <w:r w:rsidRPr="00375F6B">
        <w:rPr>
          <w:sz w:val="26"/>
          <w:szCs w:val="26"/>
        </w:rPr>
        <w:t>ection 203</w:t>
      </w:r>
      <w:r>
        <w:rPr>
          <w:sz w:val="26"/>
          <w:szCs w:val="26"/>
        </w:rPr>
        <w:t xml:space="preserve"> filings will change from full s</w:t>
      </w:r>
      <w:r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w:t>
      </w:r>
      <w:r>
        <w:rPr>
          <w:sz w:val="26"/>
          <w:szCs w:val="26"/>
        </w:rPr>
        <w:t>lings received will be affected. This</w:t>
      </w:r>
      <w:r w:rsidRPr="00375F6B">
        <w:rPr>
          <w:sz w:val="26"/>
          <w:szCs w:val="26"/>
        </w:rPr>
        <w:t xml:space="preserve"> represents a significant reduction in burden hours.</w:t>
      </w:r>
    </w:p>
    <w:p w14:paraId="1E319EB9" w14:textId="77777777" w:rsidR="00D82DD3" w:rsidRPr="00375F6B" w:rsidRDefault="00D82DD3" w:rsidP="00D82DD3">
      <w:pPr>
        <w:pStyle w:val="FootnoteText"/>
        <w:rPr>
          <w:sz w:val="26"/>
          <w:szCs w:val="26"/>
        </w:rPr>
      </w:pPr>
    </w:p>
  </w:footnote>
  <w:footnote w:id="6">
    <w:p w14:paraId="70A2D90D" w14:textId="0650CA89" w:rsidR="00D82DD3" w:rsidRPr="00375F6B" w:rsidRDefault="00D82DD3" w:rsidP="00D82DD3">
      <w:pPr>
        <w:pStyle w:val="FootnoteText"/>
        <w:rPr>
          <w:sz w:val="26"/>
          <w:szCs w:val="26"/>
        </w:rPr>
      </w:pPr>
      <w:r w:rsidRPr="00EA1CB5">
        <w:rPr>
          <w:rStyle w:val="FootnoteReference"/>
        </w:rPr>
        <w:footnoteRef/>
      </w:r>
      <w:r w:rsidRPr="00375F6B">
        <w:rPr>
          <w:sz w:val="26"/>
          <w:szCs w:val="26"/>
        </w:rPr>
        <w:t xml:space="preserve"> With this amendment each </w:t>
      </w:r>
      <w:r>
        <w:rPr>
          <w:sz w:val="26"/>
          <w:szCs w:val="26"/>
        </w:rPr>
        <w:t xml:space="preserve">of the 26 affected entities and their related filings (i.e., the entities that now only </w:t>
      </w:r>
      <w:proofErr w:type="gramStart"/>
      <w:r>
        <w:rPr>
          <w:sz w:val="26"/>
          <w:szCs w:val="26"/>
        </w:rPr>
        <w:t>have to</w:t>
      </w:r>
      <w:proofErr w:type="gramEnd"/>
      <w:r>
        <w:rPr>
          <w:sz w:val="26"/>
          <w:szCs w:val="26"/>
        </w:rPr>
        <w:t xml:space="preserve"> file the section 203 notification filings) </w:t>
      </w:r>
      <w:r w:rsidRPr="00375F6B">
        <w:rPr>
          <w:sz w:val="26"/>
          <w:szCs w:val="26"/>
        </w:rPr>
        <w:t>is reduce</w:t>
      </w:r>
      <w:r>
        <w:rPr>
          <w:sz w:val="26"/>
          <w:szCs w:val="26"/>
        </w:rPr>
        <w:t>d</w:t>
      </w:r>
      <w:r w:rsidRPr="00375F6B">
        <w:rPr>
          <w:sz w:val="26"/>
          <w:szCs w:val="26"/>
        </w:rPr>
        <w:t xml:space="preserve"> to 1 hour</w:t>
      </w:r>
      <w:r w:rsidR="007E0402">
        <w:rPr>
          <w:sz w:val="26"/>
          <w:szCs w:val="26"/>
        </w:rPr>
        <w:t>.</w:t>
      </w:r>
      <w:r w:rsidRPr="00375F6B">
        <w:rPr>
          <w:sz w:val="26"/>
          <w:szCs w:val="26"/>
        </w:rPr>
        <w:t xml:space="preserve"> </w:t>
      </w:r>
    </w:p>
    <w:p w14:paraId="326DAA41" w14:textId="77777777" w:rsidR="00D82DD3" w:rsidRPr="00375F6B" w:rsidRDefault="00D82DD3" w:rsidP="00D82DD3">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48F0BB93" w:rsidR="00C80D25" w:rsidRDefault="00C80D25">
        <w:pPr>
          <w:pStyle w:val="Header"/>
        </w:pPr>
        <w:r w:rsidRPr="00D954AE">
          <w:t xml:space="preserve">Docket </w:t>
        </w:r>
        <w:r w:rsidRPr="00E74313">
          <w:t>No. IC2</w:t>
        </w:r>
        <w:r w:rsidR="0066458B" w:rsidRPr="00E74313">
          <w:t>2-</w:t>
        </w:r>
        <w:r w:rsidR="009E7B5F">
          <w:t>2</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2096"/>
    <w:rsid w:val="00265B23"/>
    <w:rsid w:val="00266431"/>
    <w:rsid w:val="00286C5A"/>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44362"/>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D503F"/>
    <w:rsid w:val="004E44F8"/>
    <w:rsid w:val="004E683E"/>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58B"/>
    <w:rsid w:val="00664931"/>
    <w:rsid w:val="006670C8"/>
    <w:rsid w:val="006759AE"/>
    <w:rsid w:val="006841A7"/>
    <w:rsid w:val="00687348"/>
    <w:rsid w:val="00693721"/>
    <w:rsid w:val="00694C22"/>
    <w:rsid w:val="006963BC"/>
    <w:rsid w:val="006970F4"/>
    <w:rsid w:val="006A171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C7760"/>
    <w:rsid w:val="007D02D8"/>
    <w:rsid w:val="007E0402"/>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D7"/>
    <w:rsid w:val="00B556C9"/>
    <w:rsid w:val="00B60113"/>
    <w:rsid w:val="00B6081E"/>
    <w:rsid w:val="00B61016"/>
    <w:rsid w:val="00B624EB"/>
    <w:rsid w:val="00B71BAA"/>
    <w:rsid w:val="00B76A1F"/>
    <w:rsid w:val="00B806DD"/>
    <w:rsid w:val="00B80940"/>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DD3"/>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DE7058"/>
    <w:rsid w:val="00E03D2D"/>
    <w:rsid w:val="00E12A7A"/>
    <w:rsid w:val="00E2306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24A764AB-3390-462F-88D4-21AE894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2022-02-07T19:35:00Z</dcterms:created>
  <dcterms:modified xsi:type="dcterms:W3CDTF">2022-02-07T19:35:00Z</dcterms:modified>
  <cp:category/>
  <dc:identifier/>
  <cp:contentStatus/>
  <cp:version/>
</cp:coreProperties>
</file>