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2EC1" w:rsidR="009D6B6D" w:rsidP="001D2EC1" w:rsidRDefault="001D2EC1" w14:paraId="3A102789" w14:textId="77777777">
      <w:pPr>
        <w:widowControl/>
        <w:tabs>
          <w:tab w:val="center" w:pos="5040"/>
        </w:tabs>
        <w:jc w:val="center"/>
      </w:pPr>
      <w:r w:rsidRPr="001D2EC1">
        <w:t>Supporting Statement for</w:t>
      </w:r>
    </w:p>
    <w:p w:rsidR="00BA1049" w:rsidP="001D2EC1" w:rsidRDefault="00891C89" w14:paraId="0159F728" w14:textId="77777777">
      <w:pPr>
        <w:widowControl/>
        <w:tabs>
          <w:tab w:val="center" w:pos="5040"/>
        </w:tabs>
        <w:jc w:val="center"/>
        <w:rPr>
          <w:b/>
        </w:rPr>
      </w:pPr>
      <w:r>
        <w:rPr>
          <w:b/>
          <w:bCs/>
        </w:rPr>
        <w:t xml:space="preserve">FERC Form </w:t>
      </w:r>
      <w:r w:rsidRPr="001D2EC1" w:rsidR="009D6B6D">
        <w:rPr>
          <w:b/>
          <w:bCs/>
        </w:rPr>
        <w:t>556,</w:t>
      </w:r>
      <w:r w:rsidRPr="00380C05" w:rsidR="00BA1049">
        <w:rPr>
          <w:rStyle w:val="FootnoteReference"/>
          <w:b/>
          <w:bCs/>
          <w:vertAlign w:val="superscript"/>
        </w:rPr>
        <w:footnoteReference w:id="1"/>
      </w:r>
      <w:r w:rsidRPr="00380C05" w:rsidR="009D6B6D">
        <w:rPr>
          <w:b/>
          <w:bCs/>
          <w:vertAlign w:val="superscript"/>
        </w:rPr>
        <w:t xml:space="preserve"> </w:t>
      </w:r>
      <w:r w:rsidRPr="001D2EC1" w:rsidR="009D6B6D">
        <w:rPr>
          <w:b/>
        </w:rPr>
        <w:t xml:space="preserve">Certification of Qualifying Facility (QF) Status </w:t>
      </w:r>
    </w:p>
    <w:p w:rsidRPr="001D2EC1" w:rsidR="009D6B6D" w:rsidP="001D2EC1" w:rsidRDefault="009D6B6D" w14:paraId="3A10278A" w14:textId="32721F85">
      <w:pPr>
        <w:widowControl/>
        <w:tabs>
          <w:tab w:val="center" w:pos="5040"/>
        </w:tabs>
        <w:jc w:val="center"/>
        <w:rPr>
          <w:b/>
        </w:rPr>
      </w:pPr>
      <w:r w:rsidRPr="001D2EC1">
        <w:rPr>
          <w:b/>
        </w:rPr>
        <w:t>for a Small Power Produ</w:t>
      </w:r>
      <w:r w:rsidRPr="001D2EC1" w:rsidR="005F62ED">
        <w:rPr>
          <w:b/>
        </w:rPr>
        <w:t xml:space="preserve">ction or </w:t>
      </w:r>
      <w:r w:rsidR="00724E39">
        <w:rPr>
          <w:b/>
        </w:rPr>
        <w:t>Co-generation</w:t>
      </w:r>
      <w:r w:rsidRPr="001D2EC1" w:rsidR="005F62ED">
        <w:rPr>
          <w:b/>
        </w:rPr>
        <w:t xml:space="preserve"> Facility</w:t>
      </w:r>
    </w:p>
    <w:p w:rsidRPr="001D2EC1" w:rsidR="009D6B6D" w:rsidP="001D2EC1" w:rsidRDefault="009D6B6D" w14:paraId="3A10278B" w14:textId="77777777">
      <w:pPr>
        <w:widowControl/>
        <w:tabs>
          <w:tab w:val="center" w:pos="5040"/>
        </w:tabs>
        <w:jc w:val="center"/>
      </w:pPr>
    </w:p>
    <w:p w:rsidR="009D6B6D" w:rsidP="001D2EC1" w:rsidRDefault="009D6B6D" w14:paraId="3A10278C" w14:textId="4F378593">
      <w:pPr>
        <w:widowControl/>
      </w:pPr>
      <w:r w:rsidRPr="001D2EC1">
        <w:rPr>
          <w:bCs/>
        </w:rPr>
        <w:t xml:space="preserve">The Federal Energy Regulatory Commission (Commission or FERC) requests that the Office of Management and Budget (OMB) review and approve </w:t>
      </w:r>
      <w:r w:rsidRPr="00380C05" w:rsidR="00891C89">
        <w:rPr>
          <w:bCs/>
        </w:rPr>
        <w:t xml:space="preserve">FERC Form </w:t>
      </w:r>
      <w:r w:rsidRPr="00380C05">
        <w:rPr>
          <w:bCs/>
        </w:rPr>
        <w:t>556</w:t>
      </w:r>
      <w:r w:rsidRPr="00380C05" w:rsidR="005D6791">
        <w:rPr>
          <w:bCs/>
        </w:rPr>
        <w:t>,</w:t>
      </w:r>
      <w:r w:rsidRPr="00380C05" w:rsidR="00E32773">
        <w:rPr>
          <w:bCs/>
        </w:rPr>
        <w:t xml:space="preserve"> </w:t>
      </w:r>
      <w:r w:rsidRPr="00380C05">
        <w:rPr>
          <w:bCs/>
        </w:rPr>
        <w:t xml:space="preserve">Certification of Qualifying Facility (QF) Status for a Small Power Production or </w:t>
      </w:r>
      <w:r w:rsidR="00724E39">
        <w:rPr>
          <w:bCs/>
        </w:rPr>
        <w:t>Co-generation</w:t>
      </w:r>
      <w:r w:rsidRPr="00380C05">
        <w:rPr>
          <w:bCs/>
        </w:rPr>
        <w:t xml:space="preserve"> Facility</w:t>
      </w:r>
      <w:r w:rsidRPr="001D2EC1" w:rsidR="0035481D">
        <w:rPr>
          <w:bCs/>
        </w:rPr>
        <w:t xml:space="preserve"> (OMB Control No. 1902-0075</w:t>
      </w:r>
      <w:r w:rsidRPr="001D2EC1" w:rsidR="00E32773">
        <w:rPr>
          <w:bCs/>
        </w:rPr>
        <w:t>)</w:t>
      </w:r>
      <w:r w:rsidRPr="001D2EC1" w:rsidR="005D6791">
        <w:rPr>
          <w:bCs/>
        </w:rPr>
        <w:t>,</w:t>
      </w:r>
      <w:r w:rsidRPr="001D2EC1" w:rsidR="00E32773">
        <w:rPr>
          <w:bCs/>
        </w:rPr>
        <w:t xml:space="preserve"> for a three-</w:t>
      </w:r>
      <w:r w:rsidRPr="001D2EC1">
        <w:rPr>
          <w:bCs/>
        </w:rPr>
        <w:t xml:space="preserve">year period.  </w:t>
      </w:r>
      <w:r w:rsidR="00891C89">
        <w:rPr>
          <w:bCs/>
        </w:rPr>
        <w:t xml:space="preserve">FERC Form </w:t>
      </w:r>
      <w:r w:rsidRPr="001D2EC1">
        <w:rPr>
          <w:bCs/>
        </w:rPr>
        <w:t>556</w:t>
      </w:r>
      <w:r w:rsidRPr="001D2EC1">
        <w:t xml:space="preserve"> is an existing data collection </w:t>
      </w:r>
      <w:r w:rsidRPr="001D2EC1" w:rsidR="00F528CE">
        <w:t xml:space="preserve">of </w:t>
      </w:r>
      <w:r w:rsidR="00891C89">
        <w:t xml:space="preserve">FERC Form </w:t>
      </w:r>
      <w:r w:rsidRPr="001D2EC1" w:rsidR="00F528CE">
        <w:t xml:space="preserve">556 </w:t>
      </w:r>
      <w:r w:rsidRPr="001D2EC1">
        <w:t>and</w:t>
      </w:r>
      <w:r w:rsidRPr="001D2EC1" w:rsidR="00F528CE">
        <w:t xml:space="preserve"> a</w:t>
      </w:r>
      <w:r w:rsidRPr="001D2EC1">
        <w:t xml:space="preserve"> reporting requirement in 18 Code of Federal Regulations (CFR) </w:t>
      </w:r>
      <w:r w:rsidR="001D2EC1">
        <w:t>Section 131.80 and</w:t>
      </w:r>
      <w:r w:rsidRPr="001D2EC1">
        <w:t xml:space="preserve"> Part 292</w:t>
      </w:r>
      <w:r w:rsidR="00607701">
        <w:t>, with no changes to the requirements</w:t>
      </w:r>
      <w:r w:rsidRPr="001D2EC1">
        <w:t>.</w:t>
      </w:r>
    </w:p>
    <w:p w:rsidRPr="001D2EC1" w:rsidR="009D6B6D" w:rsidP="001D2EC1" w:rsidRDefault="009D6B6D" w14:paraId="3A10278D" w14:textId="77777777">
      <w:pPr>
        <w:widowControl/>
      </w:pPr>
    </w:p>
    <w:p w:rsidRPr="001D2EC1" w:rsidR="009D6B6D" w:rsidP="001D2EC1" w:rsidRDefault="009D6B6D" w14:paraId="3A10278E" w14:textId="77777777">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rsidRPr="001D2EC1" w:rsidR="009D6B6D" w:rsidP="001D2EC1" w:rsidRDefault="009D6B6D" w14:paraId="3A10278F" w14:textId="77777777">
      <w:pPr>
        <w:widowControl/>
        <w:ind w:left="1440"/>
        <w:rPr>
          <w:b/>
        </w:rPr>
      </w:pPr>
    </w:p>
    <w:p w:rsidRPr="001D2EC1" w:rsidR="009D6B6D" w:rsidP="001D2EC1" w:rsidRDefault="009D6B6D" w14:paraId="3A102790" w14:textId="77777777">
      <w:r w:rsidRPr="001D2EC1">
        <w:t xml:space="preserve">The Commission is obligated by statute to regulate key economic aspects of the electric, natural gas and oil industries.  </w:t>
      </w:r>
    </w:p>
    <w:p w:rsidRPr="001D2EC1" w:rsidR="009D6B6D" w:rsidP="001D2EC1" w:rsidRDefault="009D6B6D" w14:paraId="3A102791" w14:textId="77777777"/>
    <w:p w:rsidRPr="001D2EC1" w:rsidR="009D6B6D" w:rsidP="001D2EC1" w:rsidRDefault="00891C89" w14:paraId="3A102792" w14:textId="123A804E">
      <w:pPr>
        <w:widowControl/>
      </w:pPr>
      <w:r>
        <w:t xml:space="preserve">FERC Form </w:t>
      </w:r>
      <w:r w:rsidRPr="001D2EC1" w:rsidR="009D6B6D">
        <w:t>556 is required to implement Sections 201 and 210 of the Public Utility Regulatory Policies Act of 1978</w:t>
      </w:r>
      <w:r w:rsidRPr="001D2EC1" w:rsidR="009D6B6D">
        <w:rPr>
          <w:rStyle w:val="FootnoteReference"/>
          <w:vertAlign w:val="superscript"/>
        </w:rPr>
        <w:footnoteReference w:id="2"/>
      </w:r>
      <w:r w:rsidRPr="001D2EC1" w:rsidR="009D6B6D">
        <w:t xml:space="preserve"> (PURPA).  FERC is authorized</w:t>
      </w:r>
      <w:r w:rsidRPr="001D2EC1" w:rsidR="00957DA2">
        <w:t>, under those sections,</w:t>
      </w:r>
      <w:r w:rsidRPr="001D2EC1" w:rsidR="009D6B6D">
        <w:t xml:space="preserve"> to encourage </w:t>
      </w:r>
      <w:r w:rsidR="00724E39">
        <w:t>co-generation</w:t>
      </w:r>
      <w:r w:rsidRPr="001D2EC1" w:rsidR="009D6B6D">
        <w:t xml:space="preserve"> and small power production and to prescribe such rules as necessary in order to carry out the statutory directives.  </w:t>
      </w:r>
    </w:p>
    <w:p w:rsidRPr="001D2EC1" w:rsidR="009D6B6D" w:rsidP="001D2EC1" w:rsidRDefault="009D6B6D" w14:paraId="3A102793" w14:textId="77777777">
      <w:pPr>
        <w:widowControl/>
      </w:pPr>
    </w:p>
    <w:p w:rsidRPr="001D2EC1" w:rsidR="009D6B6D" w:rsidP="001D2EC1" w:rsidRDefault="009D6B6D" w14:paraId="3A102794" w14:textId="3EBA93FE">
      <w:pPr>
        <w:widowControl/>
      </w:pPr>
      <w:r w:rsidRPr="001D2EC1">
        <w:t xml:space="preserve">A primary statutory objective is efficient use of energy resources by </w:t>
      </w:r>
      <w:r w:rsidR="00724E39">
        <w:t>co-generation</w:t>
      </w:r>
      <w:r w:rsidRPr="001D2EC1">
        <w:t xml:space="preserve"> facilities</w:t>
      </w:r>
      <w:r w:rsidRPr="001D2EC1" w:rsidR="00AC0958">
        <w:t>,</w:t>
      </w:r>
      <w:r w:rsidRPr="001D2EC1">
        <w:t xml:space="preserve"> which make use of reject</w:t>
      </w:r>
      <w:r w:rsidR="00B24C97">
        <w:t>ed</w:t>
      </w:r>
      <w:r w:rsidRPr="001D2EC1">
        <w:t xml:space="preserve"> heat associated with commercial or industrial processes, and by small power production facilities</w:t>
      </w:r>
      <w:r w:rsidRPr="001D2EC1" w:rsidR="00AC0958">
        <w:t>,</w:t>
      </w:r>
      <w:r w:rsidRPr="001D2EC1">
        <w:t xml:space="preserve"> which use renewable resources</w:t>
      </w:r>
      <w:r w:rsidRPr="001D2EC1" w:rsidR="00907A71">
        <w:t xml:space="preserve"> and waste</w:t>
      </w:r>
      <w:r w:rsidRPr="001D2EC1">
        <w:t xml:space="preserve">.  PURPA, through establishment of various regulatory benefits, encourages the development of small power production facilities and </w:t>
      </w:r>
      <w:r w:rsidR="00724E39">
        <w:t>co-generation</w:t>
      </w:r>
      <w:r w:rsidRPr="001D2EC1">
        <w:t xml:space="preserve"> facilities </w:t>
      </w:r>
      <w:r w:rsidRPr="001D2EC1" w:rsidR="00C3086A">
        <w:t>that</w:t>
      </w:r>
      <w:r w:rsidRPr="001D2EC1">
        <w:t xml:space="preserve"> meet certain technical and corporate criteria.  Facilities that meet these criteria are called Qualifying Facilities</w:t>
      </w:r>
      <w:r w:rsidRPr="001D2EC1" w:rsidR="0075420C">
        <w:t>,</w:t>
      </w:r>
      <w:r w:rsidRPr="001D2EC1">
        <w:t xml:space="preserve"> or QFs.</w:t>
      </w:r>
    </w:p>
    <w:p w:rsidRPr="001D2EC1" w:rsidR="009D6B6D" w:rsidP="001D2EC1" w:rsidRDefault="009D6B6D" w14:paraId="3A102795" w14:textId="77777777">
      <w:pPr>
        <w:pStyle w:val="FERCparanumber"/>
        <w:numPr>
          <w:ilvl w:val="0"/>
          <w:numId w:val="0"/>
        </w:numPr>
        <w:rPr>
          <w:sz w:val="24"/>
        </w:rPr>
      </w:pPr>
    </w:p>
    <w:p w:rsidRPr="001D2EC1" w:rsidR="009D6B6D" w:rsidP="001D2EC1" w:rsidRDefault="009D6B6D" w14:paraId="3A102796" w14:textId="44EF0473">
      <w:pPr>
        <w:widowControl/>
      </w:pPr>
      <w:r w:rsidRPr="001D2EC1">
        <w:t xml:space="preserve">The Commission’s regulations in 18 CFR Part 292 specify: a) the certification procedures which must be followed by owners or operators of small power production and </w:t>
      </w:r>
      <w:r w:rsidR="00724E39">
        <w:t>co-generation</w:t>
      </w:r>
      <w:r w:rsidRPr="001D2EC1">
        <w:t xml:space="preserve"> facilities; b) the criteria which must be met; c) the information which must be submitted to FERC in order to obtain qualifying status; d) the PURPA benefits which are available to QFs to encourage small power production and </w:t>
      </w:r>
      <w:r w:rsidR="00724E39">
        <w:t>co-generation</w:t>
      </w:r>
      <w:r w:rsidRPr="001D2EC1">
        <w:t>; and e) the requirements pertaining to PURPA implementation plans regarding the transaction obligations that electric utilities have with respect to QFs.</w:t>
      </w:r>
    </w:p>
    <w:p w:rsidRPr="001D2EC1" w:rsidR="009D6B6D" w:rsidP="001D2EC1" w:rsidRDefault="009D6B6D" w14:paraId="3A102797" w14:textId="77777777">
      <w:pPr>
        <w:widowControl/>
      </w:pPr>
    </w:p>
    <w:p w:rsidRPr="001D2EC1" w:rsidR="009D6B6D" w:rsidP="001D2EC1" w:rsidRDefault="009D6B6D" w14:paraId="3A102798" w14:textId="77777777">
      <w:pPr>
        <w:widowControl/>
      </w:pPr>
      <w:r w:rsidRPr="001D2EC1">
        <w:t xml:space="preserve">18 CFR Part 292 </w:t>
      </w:r>
      <w:r w:rsidRPr="001D2EC1" w:rsidR="00C97FEE">
        <w:t>requires</w:t>
      </w:r>
      <w:r w:rsidRPr="001D2EC1">
        <w:t xml:space="preserve"> electric utilities to:</w:t>
      </w:r>
    </w:p>
    <w:p w:rsidRPr="001D2EC1" w:rsidR="009D6B6D" w:rsidP="001D2EC1" w:rsidRDefault="009D6B6D" w14:paraId="3A102799" w14:textId="77777777">
      <w:pPr>
        <w:widowControl/>
      </w:pPr>
    </w:p>
    <w:p w:rsidRPr="001D2EC1" w:rsidR="009D6B6D" w:rsidP="00607701" w:rsidRDefault="009D6B6D" w14:paraId="3A10279A" w14:textId="77777777">
      <w:pPr>
        <w:widowControl/>
        <w:numPr>
          <w:ilvl w:val="0"/>
          <w:numId w:val="6"/>
        </w:numPr>
        <w:tabs>
          <w:tab w:val="clear" w:pos="720"/>
          <w:tab w:val="num" w:pos="1080"/>
        </w:tabs>
        <w:ind w:left="1080"/>
      </w:pPr>
      <w:r w:rsidRPr="001D2EC1">
        <w:t>purchase energy and capacity from QFs</w:t>
      </w:r>
      <w:r w:rsidRPr="001D2EC1" w:rsidR="001922FC">
        <w:t>, with such purchases</w:t>
      </w:r>
      <w:r w:rsidRPr="001D2EC1">
        <w:t xml:space="preserve"> priced on the basis of the avoided cost of the power that is displaced by the QF power (i.e., the incremental cost to the purchasing utility if it had generated the displaced power </w:t>
      </w:r>
      <w:r w:rsidRPr="001D2EC1" w:rsidR="001922FC">
        <w:t xml:space="preserve">itself </w:t>
      </w:r>
      <w:r w:rsidRPr="001D2EC1">
        <w:t xml:space="preserve">or purchased it from another source); </w:t>
      </w:r>
    </w:p>
    <w:p w:rsidRPr="001D2EC1" w:rsidR="009D6B6D" w:rsidP="00607701" w:rsidRDefault="009D6B6D" w14:paraId="3A10279B" w14:textId="77777777">
      <w:pPr>
        <w:widowControl/>
        <w:numPr>
          <w:ilvl w:val="0"/>
          <w:numId w:val="6"/>
        </w:numPr>
        <w:tabs>
          <w:tab w:val="clear" w:pos="720"/>
          <w:tab w:val="num" w:pos="1080"/>
        </w:tabs>
        <w:ind w:left="1080"/>
      </w:pPr>
      <w:r w:rsidRPr="001D2EC1">
        <w:lastRenderedPageBreak/>
        <w:t xml:space="preserve">sell backup, maintenance and other power services to QFs; </w:t>
      </w:r>
    </w:p>
    <w:p w:rsidRPr="001D2EC1" w:rsidR="009D6B6D" w:rsidP="00607701" w:rsidRDefault="009D6B6D" w14:paraId="3A10279C" w14:textId="77777777">
      <w:pPr>
        <w:widowControl/>
        <w:numPr>
          <w:ilvl w:val="0"/>
          <w:numId w:val="6"/>
        </w:numPr>
        <w:tabs>
          <w:tab w:val="clear" w:pos="720"/>
          <w:tab w:val="num" w:pos="1080"/>
        </w:tabs>
        <w:ind w:left="1080"/>
      </w:pPr>
      <w:r w:rsidRPr="001D2EC1">
        <w:t>provide interconnection and transmission services</w:t>
      </w:r>
      <w:r w:rsidRPr="001D2EC1" w:rsidR="001922FC">
        <w:t xml:space="preserve"> to QFs</w:t>
      </w:r>
      <w:r w:rsidRPr="001D2EC1">
        <w:t xml:space="preserve">; </w:t>
      </w:r>
    </w:p>
    <w:p w:rsidRPr="001D2EC1" w:rsidR="009D6B6D" w:rsidP="00607701" w:rsidRDefault="009D6B6D" w14:paraId="3A10279D" w14:textId="77777777">
      <w:pPr>
        <w:widowControl/>
        <w:numPr>
          <w:ilvl w:val="0"/>
          <w:numId w:val="6"/>
        </w:numPr>
        <w:tabs>
          <w:tab w:val="clear" w:pos="720"/>
          <w:tab w:val="num" w:pos="1080"/>
        </w:tabs>
        <w:ind w:left="1080"/>
      </w:pPr>
      <w:r w:rsidRPr="001D2EC1">
        <w:t xml:space="preserve">operate in “parallel” </w:t>
      </w:r>
      <w:r w:rsidRPr="001D2EC1" w:rsidR="001922FC">
        <w:t xml:space="preserve">with </w:t>
      </w:r>
      <w:r w:rsidRPr="001D2EC1">
        <w:t>QFs so that they may be electrically synchronized with electric utility grids; and</w:t>
      </w:r>
      <w:r w:rsidRPr="001D2EC1" w:rsidR="005D6791">
        <w:t>,</w:t>
      </w:r>
    </w:p>
    <w:p w:rsidRPr="001D2EC1" w:rsidR="009D6B6D" w:rsidP="00607701" w:rsidRDefault="009D6B6D" w14:paraId="3A10279E" w14:textId="77777777">
      <w:pPr>
        <w:widowControl/>
        <w:numPr>
          <w:ilvl w:val="0"/>
          <w:numId w:val="6"/>
        </w:numPr>
        <w:tabs>
          <w:tab w:val="clear" w:pos="720"/>
          <w:tab w:val="num" w:pos="1080"/>
        </w:tabs>
        <w:ind w:left="1080"/>
      </w:pPr>
      <w:r w:rsidRPr="001D2EC1">
        <w:t>make avoided cost information and system capacity needs</w:t>
      </w:r>
      <w:r w:rsidRPr="001D2EC1" w:rsidR="00C3086A">
        <w:t xml:space="preserve"> available to the public</w:t>
      </w:r>
      <w:r w:rsidRPr="001D2EC1">
        <w:t>.</w:t>
      </w:r>
    </w:p>
    <w:p w:rsidRPr="001D2EC1" w:rsidR="009D6B6D" w:rsidP="001D2EC1" w:rsidRDefault="009D6B6D" w14:paraId="3A10279F" w14:textId="77777777">
      <w:pPr>
        <w:widowControl/>
      </w:pPr>
    </w:p>
    <w:p w:rsidRPr="001D2EC1" w:rsidR="009D6B6D" w:rsidP="001D2EC1" w:rsidRDefault="009D6B6D" w14:paraId="3A1027A0" w14:textId="322EFE5C">
      <w:r w:rsidRPr="001D2EC1">
        <w:t>In 18 CFR Part 292, the Commission</w:t>
      </w:r>
      <w:r w:rsidRPr="001D2EC1" w:rsidR="001922FC">
        <w:t xml:space="preserve"> also</w:t>
      </w:r>
      <w:r w:rsidRPr="001D2EC1">
        <w:t xml:space="preserve"> exempts QFs from certain corporate, accounting, reporting</w:t>
      </w:r>
      <w:r w:rsidRPr="001D2EC1" w:rsidR="00C3086A">
        <w:t>,</w:t>
      </w:r>
      <w:r w:rsidRPr="001D2EC1">
        <w:t xml:space="preserve"> and rate regulation requirements</w:t>
      </w:r>
      <w:r w:rsidRPr="001D2EC1" w:rsidR="001922FC">
        <w:t xml:space="preserve"> of the Federal Power Act</w:t>
      </w:r>
      <w:r w:rsidR="00256A3B">
        <w:t xml:space="preserve"> (FPA)</w:t>
      </w:r>
      <w:r w:rsidRPr="001D2EC1">
        <w:t>, certain state laws</w:t>
      </w:r>
      <w:r w:rsidR="00256A3B">
        <w:t>,</w:t>
      </w:r>
      <w:r w:rsidRPr="001D2EC1">
        <w:t xml:space="preserve"> and the Public Utility Holding Company Act of 2005</w:t>
      </w:r>
      <w:r w:rsidR="00256A3B">
        <w:t xml:space="preserve"> (PUHCA)</w:t>
      </w:r>
      <w:r w:rsidRPr="001D2EC1">
        <w:t>.</w:t>
      </w:r>
    </w:p>
    <w:p w:rsidRPr="001D2EC1" w:rsidR="009D6B6D" w:rsidP="001D2EC1" w:rsidRDefault="00AC0958" w14:paraId="3A1027A1" w14:textId="77777777">
      <w:pPr>
        <w:tabs>
          <w:tab w:val="left" w:pos="8188"/>
        </w:tabs>
      </w:pPr>
      <w:r w:rsidRPr="001D2EC1">
        <w:tab/>
      </w:r>
    </w:p>
    <w:p w:rsidRPr="001D2EC1" w:rsidR="00B24C97" w:rsidP="00B24C97" w:rsidRDefault="009D6B6D" w14:paraId="46581722" w14:textId="7AEE652D">
      <w:pPr>
        <w:pStyle w:val="FERCparanumber"/>
        <w:numPr>
          <w:ilvl w:val="0"/>
          <w:numId w:val="0"/>
        </w:numPr>
        <w:tabs>
          <w:tab w:val="left" w:pos="810"/>
          <w:tab w:val="left" w:pos="4860"/>
        </w:tabs>
        <w:rPr>
          <w:sz w:val="24"/>
        </w:rPr>
      </w:pPr>
      <w:r w:rsidRPr="001D2EC1">
        <w:rPr>
          <w:sz w:val="24"/>
        </w:rPr>
        <w:t>In Order No. 732</w:t>
      </w:r>
      <w:r w:rsidRPr="001D2EC1" w:rsidR="001922FC">
        <w:rPr>
          <w:rStyle w:val="FootnoteReference"/>
          <w:sz w:val="24"/>
          <w:vertAlign w:val="superscript"/>
        </w:rPr>
        <w:footnoteReference w:id="3"/>
      </w:r>
      <w:r w:rsidR="00D81C9E">
        <w:rPr>
          <w:sz w:val="24"/>
        </w:rPr>
        <w:t>,</w:t>
      </w:r>
      <w:r w:rsidRPr="001D2EC1">
        <w:rPr>
          <w:sz w:val="24"/>
        </w:rPr>
        <w:t xml:space="preserve"> </w:t>
      </w:r>
      <w:r w:rsidRPr="001D2EC1" w:rsidR="001922FC">
        <w:rPr>
          <w:sz w:val="24"/>
        </w:rPr>
        <w:t>amending its regulations</w:t>
      </w:r>
      <w:r w:rsidRPr="001D2EC1" w:rsidR="006A6928">
        <w:rPr>
          <w:sz w:val="24"/>
        </w:rPr>
        <w:t xml:space="preserve"> </w:t>
      </w:r>
      <w:r w:rsidRPr="001D2EC1" w:rsidR="00EF3C3F">
        <w:rPr>
          <w:sz w:val="24"/>
        </w:rPr>
        <w:t>after</w:t>
      </w:r>
      <w:r w:rsidRPr="001D2EC1" w:rsidR="006A6928">
        <w:rPr>
          <w:sz w:val="24"/>
        </w:rPr>
        <w:t xml:space="preserve"> the Energy Policy Act of 2005</w:t>
      </w:r>
      <w:r w:rsidRPr="001D2EC1" w:rsidR="001922FC">
        <w:rPr>
          <w:sz w:val="24"/>
        </w:rPr>
        <w:t xml:space="preserve">, </w:t>
      </w:r>
      <w:r w:rsidRPr="001D2EC1">
        <w:rPr>
          <w:sz w:val="24"/>
        </w:rPr>
        <w:t xml:space="preserve">FERC </w:t>
      </w:r>
      <w:r w:rsidR="008A38B5">
        <w:rPr>
          <w:sz w:val="24"/>
        </w:rPr>
        <w:t xml:space="preserve">revised FERC Form </w:t>
      </w:r>
      <w:r w:rsidRPr="001D2EC1" w:rsidR="006A6928">
        <w:rPr>
          <w:sz w:val="24"/>
        </w:rPr>
        <w:t xml:space="preserve">556.  </w:t>
      </w:r>
      <w:r w:rsidRPr="001D2EC1" w:rsidR="0075420C">
        <w:rPr>
          <w:sz w:val="24"/>
        </w:rPr>
        <w:t>The Commission</w:t>
      </w:r>
      <w:r w:rsidRPr="001D2EC1" w:rsidR="006A6928">
        <w:rPr>
          <w:sz w:val="24"/>
        </w:rPr>
        <w:t xml:space="preserve"> </w:t>
      </w:r>
      <w:r w:rsidRPr="001D2EC1">
        <w:rPr>
          <w:sz w:val="24"/>
        </w:rPr>
        <w:t>removed the contents and gener</w:t>
      </w:r>
      <w:r w:rsidR="00891C89">
        <w:rPr>
          <w:sz w:val="24"/>
        </w:rPr>
        <w:t xml:space="preserve">al instructions of the FERC Form </w:t>
      </w:r>
      <w:r w:rsidRPr="001D2EC1">
        <w:rPr>
          <w:sz w:val="24"/>
        </w:rPr>
        <w:t>556</w:t>
      </w:r>
      <w:r w:rsidRPr="001D2EC1" w:rsidR="0075420C">
        <w:rPr>
          <w:sz w:val="24"/>
        </w:rPr>
        <w:t xml:space="preserve"> from 18 CFR Section 131.80</w:t>
      </w:r>
      <w:r w:rsidRPr="001D2EC1">
        <w:rPr>
          <w:sz w:val="24"/>
        </w:rPr>
        <w:t>, and</w:t>
      </w:r>
      <w:r w:rsidR="00B24C97">
        <w:rPr>
          <w:sz w:val="24"/>
        </w:rPr>
        <w:t xml:space="preserve"> in the place of it </w:t>
      </w:r>
      <w:r w:rsidRPr="001D2EC1">
        <w:rPr>
          <w:sz w:val="24"/>
        </w:rPr>
        <w:t xml:space="preserve">provided that an applicant seeking to certify QF status of a small power production or </w:t>
      </w:r>
      <w:r w:rsidR="00724E39">
        <w:rPr>
          <w:sz w:val="24"/>
        </w:rPr>
        <w:t>co-generation</w:t>
      </w:r>
      <w:r w:rsidRPr="001D2EC1">
        <w:rPr>
          <w:sz w:val="24"/>
        </w:rPr>
        <w:t xml:space="preserve"> facility</w:t>
      </w:r>
      <w:r w:rsidR="00891C89">
        <w:rPr>
          <w:sz w:val="24"/>
        </w:rPr>
        <w:t xml:space="preserve"> complete and file the FERC Form </w:t>
      </w:r>
      <w:r w:rsidRPr="001D2EC1">
        <w:rPr>
          <w:sz w:val="24"/>
        </w:rPr>
        <w:t>556 that is in effect at the time of filing. Additionally</w:t>
      </w:r>
      <w:r w:rsidR="00B24C97">
        <w:rPr>
          <w:sz w:val="24"/>
        </w:rPr>
        <w:t>,</w:t>
      </w:r>
      <w:r w:rsidRPr="001D2EC1">
        <w:rPr>
          <w:sz w:val="24"/>
        </w:rPr>
        <w:t xml:space="preserve"> in that order, FERC revis</w:t>
      </w:r>
      <w:r w:rsidR="00891C89">
        <w:rPr>
          <w:sz w:val="24"/>
        </w:rPr>
        <w:t xml:space="preserve">ed and reformatted the FERC Form </w:t>
      </w:r>
      <w:r w:rsidRPr="001D2EC1">
        <w:rPr>
          <w:sz w:val="24"/>
        </w:rPr>
        <w:t>556 to clarify the content of the form and to take advantage of newer technologies to reduce</w:t>
      </w:r>
      <w:r w:rsidRPr="001D2EC1" w:rsidR="0075420C">
        <w:rPr>
          <w:sz w:val="24"/>
        </w:rPr>
        <w:t>,</w:t>
      </w:r>
      <w:r w:rsidRPr="001D2EC1">
        <w:rPr>
          <w:sz w:val="24"/>
        </w:rPr>
        <w:t xml:space="preserve"> both</w:t>
      </w:r>
      <w:r w:rsidRPr="001D2EC1" w:rsidR="0075420C">
        <w:rPr>
          <w:sz w:val="24"/>
        </w:rPr>
        <w:t>,</w:t>
      </w:r>
      <w:r w:rsidRPr="001D2EC1">
        <w:rPr>
          <w:sz w:val="24"/>
        </w:rPr>
        <w:t xml:space="preserve"> the filing burden for applicants and the processing burden for the Commission.</w:t>
      </w:r>
      <w:r w:rsidRPr="001D2EC1" w:rsidR="00B24C97">
        <w:rPr>
          <w:sz w:val="24"/>
        </w:rPr>
        <w:t xml:space="preserve"> </w:t>
      </w:r>
      <w:r w:rsidRPr="00B24C97" w:rsidR="00B24C97">
        <w:rPr>
          <w:sz w:val="24"/>
        </w:rPr>
        <w:t xml:space="preserve"> </w:t>
      </w:r>
      <w:r w:rsidRPr="001D2EC1" w:rsidR="00B24C97">
        <w:rPr>
          <w:sz w:val="24"/>
        </w:rPr>
        <w:t>FERC also be</w:t>
      </w:r>
      <w:r w:rsidR="00B24C97">
        <w:rPr>
          <w:sz w:val="24"/>
        </w:rPr>
        <w:t xml:space="preserve">gan requiring that the FERC Form </w:t>
      </w:r>
      <w:r w:rsidRPr="001D2EC1" w:rsidR="00B24C97">
        <w:rPr>
          <w:sz w:val="24"/>
        </w:rPr>
        <w:t>556 be submitted electronically</w:t>
      </w:r>
      <w:r w:rsidR="00B24C97">
        <w:rPr>
          <w:sz w:val="24"/>
        </w:rPr>
        <w:t xml:space="preserve">, which is </w:t>
      </w:r>
      <w:r w:rsidRPr="001D2EC1" w:rsidR="00B24C97">
        <w:rPr>
          <w:sz w:val="24"/>
        </w:rPr>
        <w:t xml:space="preserve">available for download from the FERC website.  </w:t>
      </w:r>
    </w:p>
    <w:p w:rsidRPr="001D2EC1" w:rsidR="009D6B6D" w:rsidP="001D2EC1" w:rsidRDefault="009D6B6D" w14:paraId="3A1027A5" w14:textId="77777777">
      <w:pPr>
        <w:pStyle w:val="FERCparanumber"/>
        <w:numPr>
          <w:ilvl w:val="0"/>
          <w:numId w:val="0"/>
        </w:numPr>
        <w:rPr>
          <w:sz w:val="24"/>
        </w:rPr>
      </w:pPr>
    </w:p>
    <w:p w:rsidRPr="001D2EC1" w:rsidR="009D6B6D" w:rsidP="001D2EC1" w:rsidRDefault="009D6B6D" w14:paraId="3A1027A6" w14:textId="4741BD5C">
      <w:pPr>
        <w:pStyle w:val="FERCparanumber"/>
        <w:numPr>
          <w:ilvl w:val="0"/>
          <w:numId w:val="0"/>
        </w:numPr>
        <w:rPr>
          <w:sz w:val="24"/>
        </w:rPr>
      </w:pPr>
      <w:r w:rsidRPr="001D2EC1">
        <w:rPr>
          <w:sz w:val="24"/>
        </w:rPr>
        <w:t>FERC also updated the procedures, standards</w:t>
      </w:r>
      <w:r w:rsidRPr="001D2EC1" w:rsidR="00851D29">
        <w:rPr>
          <w:sz w:val="24"/>
        </w:rPr>
        <w:t>,</w:t>
      </w:r>
      <w:r w:rsidRPr="001D2EC1">
        <w:rPr>
          <w:sz w:val="24"/>
        </w:rPr>
        <w:t xml:space="preserve"> and criteria for QF status provided in 18 CFR Part 292 of its regulations to</w:t>
      </w:r>
      <w:r w:rsidRPr="001D2EC1" w:rsidR="00560503">
        <w:rPr>
          <w:sz w:val="24"/>
        </w:rPr>
        <w:t>, among other things,</w:t>
      </w:r>
      <w:r w:rsidRPr="001D2EC1">
        <w:rPr>
          <w:sz w:val="24"/>
        </w:rPr>
        <w:t xml:space="preserve"> exempt</w:t>
      </w:r>
      <w:r w:rsidRPr="001D2EC1" w:rsidR="0075420C">
        <w:rPr>
          <w:sz w:val="24"/>
        </w:rPr>
        <w:t xml:space="preserve"> </w:t>
      </w:r>
      <w:r w:rsidRPr="001D2EC1">
        <w:rPr>
          <w:sz w:val="24"/>
        </w:rPr>
        <w:t>generating facilities with net power production capacities of 1 MW or less from the requirement that a generating facility, to be a QF, must file either a notice of self-certification or an application for Commission certification</w:t>
      </w:r>
      <w:r w:rsidR="00256A3B">
        <w:rPr>
          <w:sz w:val="24"/>
        </w:rPr>
        <w:t>,</w:t>
      </w:r>
      <w:r w:rsidRPr="001D2EC1" w:rsidR="00560503">
        <w:rPr>
          <w:sz w:val="24"/>
        </w:rPr>
        <w:t xml:space="preserve"> and codified </w:t>
      </w:r>
      <w:r w:rsidRPr="001D2EC1">
        <w:rPr>
          <w:sz w:val="24"/>
        </w:rPr>
        <w:t>FERC’s authority to waive the QF</w:t>
      </w:r>
      <w:r w:rsidRPr="001D2EC1" w:rsidR="00560503">
        <w:rPr>
          <w:sz w:val="24"/>
        </w:rPr>
        <w:t>-</w:t>
      </w:r>
      <w:r w:rsidRPr="001D2EC1">
        <w:rPr>
          <w:sz w:val="24"/>
        </w:rPr>
        <w:t xml:space="preserve">certification </w:t>
      </w:r>
      <w:r w:rsidRPr="001D2EC1" w:rsidR="00560503">
        <w:rPr>
          <w:sz w:val="24"/>
        </w:rPr>
        <w:t xml:space="preserve">filing </w:t>
      </w:r>
      <w:r w:rsidRPr="001D2EC1">
        <w:rPr>
          <w:sz w:val="24"/>
        </w:rPr>
        <w:t>requirement for good cause.</w:t>
      </w:r>
    </w:p>
    <w:p w:rsidR="00B24C97" w:rsidP="00B24C97" w:rsidRDefault="00B24C97" w14:paraId="46C298AE" w14:textId="77777777">
      <w:pPr>
        <w:pStyle w:val="FERCparanumber"/>
        <w:numPr>
          <w:ilvl w:val="0"/>
          <w:numId w:val="0"/>
        </w:numPr>
        <w:tabs>
          <w:tab w:val="left" w:pos="810"/>
          <w:tab w:val="left" w:pos="4860"/>
        </w:tabs>
        <w:rPr>
          <w:sz w:val="24"/>
        </w:rPr>
      </w:pPr>
    </w:p>
    <w:p w:rsidR="00B24C97" w:rsidP="00B24C97" w:rsidRDefault="00B24C97" w14:paraId="5FD13EC7" w14:textId="79622F6E">
      <w:pPr>
        <w:pStyle w:val="FERCparanumber"/>
        <w:numPr>
          <w:ilvl w:val="0"/>
          <w:numId w:val="0"/>
        </w:numPr>
        <w:tabs>
          <w:tab w:val="left" w:pos="810"/>
          <w:tab w:val="left" w:pos="4860"/>
        </w:tabs>
        <w:rPr>
          <w:sz w:val="24"/>
        </w:rPr>
      </w:pPr>
      <w:r w:rsidRPr="001D2EC1">
        <w:rPr>
          <w:sz w:val="24"/>
        </w:rPr>
        <w:t>The r</w:t>
      </w:r>
      <w:r>
        <w:rPr>
          <w:sz w:val="24"/>
        </w:rPr>
        <w:t xml:space="preserve">evisions: (1) made the FERC Form </w:t>
      </w:r>
      <w:r w:rsidRPr="001D2EC1">
        <w:rPr>
          <w:sz w:val="24"/>
        </w:rPr>
        <w:t xml:space="preserve">556 easier and less time consuming to complete and submit; (2) decreased opportunities for confusion and error in completing the form; (3) improved </w:t>
      </w:r>
      <w:r>
        <w:rPr>
          <w:sz w:val="24"/>
        </w:rPr>
        <w:t xml:space="preserve">the </w:t>
      </w:r>
      <w:r w:rsidRPr="001D2EC1">
        <w:rPr>
          <w:sz w:val="24"/>
        </w:rPr>
        <w:t>consistency and quality of the data collected by the form; (4) decreased FERC resources dedicated to managing errors and omissions in submitted forms; and (5) clarified and corrected the regulations governing the requirements for obtaining and maintaining QF status</w:t>
      </w:r>
    </w:p>
    <w:p w:rsidRPr="001D2EC1" w:rsidR="009D6B6D" w:rsidP="001D2EC1" w:rsidRDefault="009D6B6D" w14:paraId="3A1027A7" w14:textId="77777777">
      <w:pPr>
        <w:pStyle w:val="FERCparanumber"/>
        <w:numPr>
          <w:ilvl w:val="0"/>
          <w:numId w:val="0"/>
        </w:numPr>
        <w:rPr>
          <w:sz w:val="24"/>
        </w:rPr>
      </w:pPr>
    </w:p>
    <w:p w:rsidRPr="001D2EC1" w:rsidR="009D6B6D" w:rsidP="001D2EC1" w:rsidRDefault="009D6B6D" w14:paraId="3A1027A8" w14:textId="4DBD7BBD">
      <w:pPr>
        <w:pStyle w:val="FERCparanumber"/>
        <w:numPr>
          <w:ilvl w:val="0"/>
          <w:numId w:val="0"/>
        </w:numPr>
        <w:tabs>
          <w:tab w:val="left" w:pos="720"/>
        </w:tabs>
        <w:rPr>
          <w:sz w:val="24"/>
        </w:rPr>
      </w:pPr>
      <w:r w:rsidRPr="001D2EC1">
        <w:rPr>
          <w:sz w:val="24"/>
        </w:rPr>
        <w:t>Finally, in Order No. 732, FERC changed the exemption of QFs from the</w:t>
      </w:r>
      <w:r w:rsidR="00256A3B">
        <w:rPr>
          <w:sz w:val="24"/>
        </w:rPr>
        <w:t xml:space="preserve"> </w:t>
      </w:r>
      <w:r w:rsidRPr="001D2EC1" w:rsidR="00AC0958">
        <w:rPr>
          <w:sz w:val="24"/>
        </w:rPr>
        <w:t>FPA</w:t>
      </w:r>
      <w:r w:rsidR="00B24C97">
        <w:rPr>
          <w:sz w:val="24"/>
        </w:rPr>
        <w:t xml:space="preserve"> </w:t>
      </w:r>
      <w:r w:rsidRPr="001D2EC1">
        <w:rPr>
          <w:sz w:val="24"/>
        </w:rPr>
        <w:t xml:space="preserve">and </w:t>
      </w:r>
      <w:r w:rsidR="00256A3B">
        <w:rPr>
          <w:sz w:val="24"/>
        </w:rPr>
        <w:t>PUHCA</w:t>
      </w:r>
      <w:r w:rsidRPr="001D2EC1">
        <w:rPr>
          <w:sz w:val="24"/>
        </w:rPr>
        <w:t xml:space="preserve"> and certain </w:t>
      </w:r>
      <w:r w:rsidRPr="001D2EC1" w:rsidR="00560503">
        <w:rPr>
          <w:sz w:val="24"/>
        </w:rPr>
        <w:t>s</w:t>
      </w:r>
      <w:r w:rsidRPr="001D2EC1">
        <w:rPr>
          <w:sz w:val="24"/>
        </w:rPr>
        <w:t xml:space="preserve">tate laws and regulations to make clear that certain small power production facilities satisfy the criteria of section 3(17)(E) of the </w:t>
      </w:r>
      <w:r w:rsidRPr="001D2EC1" w:rsidR="00AC0958">
        <w:rPr>
          <w:sz w:val="24"/>
        </w:rPr>
        <w:t>FPA</w:t>
      </w:r>
      <w:r w:rsidRPr="001D2EC1">
        <w:rPr>
          <w:sz w:val="24"/>
        </w:rPr>
        <w:t xml:space="preserve"> for those exemptions.</w:t>
      </w:r>
    </w:p>
    <w:p w:rsidRPr="001D2EC1" w:rsidR="009D6B6D" w:rsidP="001D2EC1" w:rsidRDefault="009D6B6D" w14:paraId="3A1027A9" w14:textId="77777777">
      <w:pPr>
        <w:pStyle w:val="FERCparanumber"/>
        <w:numPr>
          <w:ilvl w:val="0"/>
          <w:numId w:val="0"/>
        </w:numPr>
        <w:tabs>
          <w:tab w:val="left" w:pos="720"/>
        </w:tabs>
        <w:rPr>
          <w:sz w:val="24"/>
        </w:rPr>
      </w:pPr>
    </w:p>
    <w:p w:rsidR="00980E8E" w:rsidP="00980E8E" w:rsidRDefault="00980E8E" w14:paraId="3A1027AB" w14:textId="77777777">
      <w:pPr>
        <w:pStyle w:val="FERCparanumber"/>
        <w:numPr>
          <w:ilvl w:val="0"/>
          <w:numId w:val="0"/>
        </w:numPr>
        <w:tabs>
          <w:tab w:val="left" w:pos="720"/>
          <w:tab w:val="left" w:pos="4860"/>
        </w:tabs>
        <w:rPr>
          <w:sz w:val="24"/>
        </w:rPr>
      </w:pPr>
    </w:p>
    <w:p w:rsidRPr="00980E8E" w:rsidR="009D6B6D" w:rsidP="001D2EC1" w:rsidRDefault="009D6B6D" w14:paraId="3A1027AC" w14:textId="77777777">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Pr="00980E8E" w:rsidR="00980E8E">
        <w:rPr>
          <w:b/>
          <w:sz w:val="24"/>
        </w:rPr>
        <w:t>USED AND THE CONSEQUENCES OF NOT COLLECTING THE INFORMATION</w:t>
      </w:r>
    </w:p>
    <w:p w:rsidR="00980E8E" w:rsidP="00980E8E" w:rsidRDefault="00980E8E" w14:paraId="3A1027AD" w14:textId="77777777">
      <w:pPr>
        <w:pStyle w:val="FERCparanumber"/>
        <w:numPr>
          <w:ilvl w:val="0"/>
          <w:numId w:val="0"/>
        </w:numPr>
        <w:tabs>
          <w:tab w:val="left" w:pos="720"/>
          <w:tab w:val="left" w:pos="4860"/>
        </w:tabs>
        <w:rPr>
          <w:b/>
          <w:sz w:val="24"/>
        </w:rPr>
      </w:pPr>
    </w:p>
    <w:p w:rsidRPr="001D2EC1" w:rsidR="00980E8E" w:rsidP="00980E8E" w:rsidRDefault="00980E8E" w14:paraId="3A1027AE" w14:textId="3D4F27DA">
      <w:r w:rsidRPr="001D2EC1">
        <w:t>The info</w:t>
      </w:r>
      <w:r w:rsidR="008A38B5">
        <w:t xml:space="preserve">rmation collected from FERC Form </w:t>
      </w:r>
      <w:r w:rsidRPr="001D2EC1">
        <w:t xml:space="preserve">556 under 18 CFR Section 131.80 and 18 CFR Part 292 is used by the Commission to determine whether a proposed certification for QF status </w:t>
      </w:r>
      <w:r w:rsidRPr="001D2EC1">
        <w:lastRenderedPageBreak/>
        <w:t xml:space="preserve">meets the criteria for a qualifying small power production facility or a qualifying </w:t>
      </w:r>
      <w:r w:rsidR="00724E39">
        <w:t>co-generation</w:t>
      </w:r>
      <w:r w:rsidRPr="001D2EC1">
        <w:t xml:space="preserve"> facility under its regulations and is eligible to receive the benefits available to it under PURPA.</w:t>
      </w:r>
    </w:p>
    <w:p w:rsidRPr="001D2EC1" w:rsidR="00980E8E" w:rsidP="00980E8E" w:rsidRDefault="00980E8E" w14:paraId="3A1027AF" w14:textId="77777777"/>
    <w:p w:rsidRPr="001D2EC1" w:rsidR="00980E8E" w:rsidP="00980E8E" w:rsidRDefault="00980E8E" w14:paraId="3A1027B0" w14:textId="6A14E61E">
      <w:r w:rsidRPr="001D2EC1">
        <w:t xml:space="preserve">In order to obtain QF status and obtain PURPA benefits, an owner or operator of a small power production or </w:t>
      </w:r>
      <w:r w:rsidR="00724E39">
        <w:t>co-generation</w:t>
      </w:r>
      <w:r w:rsidRPr="001D2EC1">
        <w:t xml:space="preserve"> facility must follow th</w:t>
      </w:r>
      <w:r w:rsidR="002D5138">
        <w:t xml:space="preserve">e process indicated in FERC Form </w:t>
      </w:r>
      <w:r w:rsidRPr="001D2EC1">
        <w:t>556 and select, at its option, either the procedure set forth in 18 CFR Section 292.207(a), which requires the submission to FERC of a self-certification or self-recertification, or the procedure set forth in 18 CFR Section 292.207(b), which requires the submission to FERC of an application for Commission certification or recertification.  The information requirements for these two processes are largely the same (i.e., the su</w:t>
      </w:r>
      <w:r w:rsidR="002D5138">
        <w:t xml:space="preserve">bmittal of a completed FERC Form </w:t>
      </w:r>
      <w:r w:rsidRPr="001D2EC1">
        <w:t>556 provides the information necessary to demonstrate compliance with FERC’s regulations).  If FE</w:t>
      </w:r>
      <w:r w:rsidR="002D5138">
        <w:t xml:space="preserve">RC did not collect the FERC Form </w:t>
      </w:r>
      <w:r w:rsidRPr="001D2EC1">
        <w:t xml:space="preserve">556 information, there would be no basis for the Commission to determine whether a facility satisfies the requirements </w:t>
      </w:r>
      <w:r w:rsidR="00256A3B">
        <w:t>for</w:t>
      </w:r>
      <w:r w:rsidRPr="001D2EC1">
        <w:t xml:space="preserve"> QF status.</w:t>
      </w:r>
    </w:p>
    <w:p w:rsidRPr="001D2EC1" w:rsidR="00980E8E" w:rsidP="00980E8E" w:rsidRDefault="00980E8E" w14:paraId="3A1027B1" w14:textId="77777777"/>
    <w:p w:rsidR="00980E8E" w:rsidP="00980E8E" w:rsidRDefault="00980E8E" w14:paraId="3A1027B2" w14:textId="410B9D46">
      <w:r w:rsidRPr="001D2EC1">
        <w:t xml:space="preserve">Since revocation of the qualifying status of a small power production or </w:t>
      </w:r>
      <w:r w:rsidR="00724E39">
        <w:t>co-generation</w:t>
      </w:r>
      <w:r w:rsidRPr="001D2EC1">
        <w:t xml:space="preserve"> facility may occur if the facility fails to </w:t>
      </w:r>
      <w:r w:rsidR="00256A3B">
        <w:t>satisfy</w:t>
      </w:r>
      <w:r w:rsidRPr="001D2EC1">
        <w:t xml:space="preserve"> any of the 18 CFR Part 292 criteria, private financial lenders to small power production and </w:t>
      </w:r>
      <w:r w:rsidR="00724E39">
        <w:t>co-generation</w:t>
      </w:r>
      <w:r w:rsidRPr="001D2EC1">
        <w:t xml:space="preserve"> power facilities occasionally require small power producers and co</w:t>
      </w:r>
      <w:r w:rsidR="00B24C97">
        <w:t>-</w:t>
      </w:r>
      <w:r w:rsidRPr="001D2EC1">
        <w:t>generators to follow 18 CFR Section 292.207(b) procedures (certification by FERC as opposed to self-certification) in order to reduce the risk of status revocation.</w:t>
      </w:r>
    </w:p>
    <w:p w:rsidRPr="00980E8E" w:rsidR="00980E8E" w:rsidP="00980E8E" w:rsidRDefault="00980E8E" w14:paraId="3A1027B3" w14:textId="77777777">
      <w:pPr>
        <w:pStyle w:val="FERCparanumber"/>
        <w:numPr>
          <w:ilvl w:val="0"/>
          <w:numId w:val="0"/>
        </w:numPr>
        <w:tabs>
          <w:tab w:val="left" w:pos="720"/>
          <w:tab w:val="left" w:pos="4860"/>
        </w:tabs>
        <w:rPr>
          <w:sz w:val="24"/>
        </w:rPr>
      </w:pPr>
    </w:p>
    <w:p w:rsidRPr="00980E8E" w:rsidR="00980E8E" w:rsidP="005240A1" w:rsidRDefault="00980E8E" w14:paraId="3A1027B4" w14:textId="77777777">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rsidRPr="00980E8E" w:rsidR="00980E8E" w:rsidP="00980E8E" w:rsidRDefault="00980E8E" w14:paraId="3A1027B5" w14:textId="77777777"/>
    <w:p w:rsidRPr="001D2EC1" w:rsidR="009D6B6D" w:rsidP="001D2EC1" w:rsidRDefault="009D6B6D" w14:paraId="3A1027B6" w14:textId="3F7067FD">
      <w:pPr>
        <w:widowControl/>
      </w:pPr>
      <w:r w:rsidRPr="001D2EC1">
        <w:t>In Order No. 619</w:t>
      </w:r>
      <w:r w:rsidRPr="00916BBD">
        <w:rPr>
          <w:rStyle w:val="FootnoteReference"/>
          <w:b/>
          <w:vertAlign w:val="superscript"/>
        </w:rPr>
        <w:footnoteReference w:id="4"/>
      </w:r>
      <w:r w:rsidR="00D81C9E">
        <w:t>,</w:t>
      </w:r>
      <w:r w:rsidRPr="001D2EC1">
        <w:t xml:space="preserve"> FERC established an electronic filing initiative to meet the goals of the Government Paperwork Elimination Act, which directed agencies to provide for optimal use and acceptance of electronic documents and signatures and electronic recordkeeping, where pr</w:t>
      </w:r>
      <w:r w:rsidR="00E138E1">
        <w:t>actical, by October 2003.</w:t>
      </w:r>
    </w:p>
    <w:p w:rsidRPr="001D2EC1" w:rsidR="009D6B6D" w:rsidP="001D2EC1" w:rsidRDefault="009D6B6D" w14:paraId="3A1027B7" w14:textId="77777777">
      <w:pPr>
        <w:widowControl/>
      </w:pPr>
    </w:p>
    <w:p w:rsidRPr="001D2EC1" w:rsidR="009D6B6D" w:rsidP="001D2EC1" w:rsidRDefault="009D6B6D" w14:paraId="3A1027B8" w14:textId="5DF07D1A">
      <w:r w:rsidRPr="001D2EC1">
        <w:t xml:space="preserve">FERC attempted to facilitate </w:t>
      </w:r>
      <w:r w:rsidRPr="001D2EC1" w:rsidR="00C7666C">
        <w:t>seeking</w:t>
      </w:r>
      <w:r w:rsidRPr="001D2EC1">
        <w:t xml:space="preserve"> QF status by </w:t>
      </w:r>
      <w:r w:rsidRPr="001D2EC1" w:rsidR="00C7666C">
        <w:t xml:space="preserve">electronically </w:t>
      </w:r>
      <w:r w:rsidRPr="001D2EC1">
        <w:t xml:space="preserve">providing materials to potential small power producers and </w:t>
      </w:r>
      <w:r w:rsidR="00724E39">
        <w:t>co-generator</w:t>
      </w:r>
      <w:r w:rsidRPr="001D2EC1">
        <w:t xml:space="preserve">s to assist in their preparation of notices of self-certification and applications for </w:t>
      </w:r>
      <w:r w:rsidRPr="001D2EC1" w:rsidR="00C7666C">
        <w:t xml:space="preserve">Commission </w:t>
      </w:r>
      <w:r w:rsidR="002D5138">
        <w:t xml:space="preserve">certification.  FERC Form </w:t>
      </w:r>
      <w:r w:rsidRPr="001D2EC1">
        <w:t xml:space="preserve">556 can be downloaded from FERC’s website at: </w:t>
      </w:r>
      <w:hyperlink w:history="1" w:anchor="556" r:id="rId13">
        <w:r w:rsidRPr="001D2EC1">
          <w:rPr>
            <w:rStyle w:val="Hyperlink"/>
          </w:rPr>
          <w:t>http://www.ferc.gov/docs-filing/forms.asp#556</w:t>
        </w:r>
      </w:hyperlink>
      <w:r w:rsidRPr="001D2EC1">
        <w:t>.</w:t>
      </w:r>
    </w:p>
    <w:p w:rsidRPr="001D2EC1" w:rsidR="009D6B6D" w:rsidP="001D2EC1" w:rsidRDefault="009D6B6D" w14:paraId="3A1027B9" w14:textId="77777777"/>
    <w:p w:rsidR="005240A1" w:rsidP="005240A1" w:rsidRDefault="009D6B6D" w14:paraId="3A1027BA" w14:textId="47434153">
      <w:pPr>
        <w:pStyle w:val="FERCparanumber"/>
        <w:numPr>
          <w:ilvl w:val="0"/>
          <w:numId w:val="0"/>
        </w:numPr>
        <w:rPr>
          <w:sz w:val="24"/>
        </w:rPr>
      </w:pPr>
      <w:r w:rsidRPr="001D2EC1">
        <w:rPr>
          <w:sz w:val="24"/>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 and less resource-intensive than hard</w:t>
      </w:r>
      <w:r w:rsidRPr="001D2EC1" w:rsidR="001E6D2B">
        <w:rPr>
          <w:sz w:val="24"/>
        </w:rPr>
        <w:t>-</w:t>
      </w:r>
      <w:r w:rsidRPr="001D2EC1">
        <w:rPr>
          <w:sz w:val="24"/>
        </w:rPr>
        <w:t xml:space="preserve">copy filing.  An applicant filing electronically receives an acknowledgement that the Commission has received </w:t>
      </w:r>
      <w:r w:rsidR="00256A3B">
        <w:rPr>
          <w:sz w:val="24"/>
        </w:rPr>
        <w:t>its</w:t>
      </w:r>
      <w:r w:rsidRPr="001D2EC1">
        <w:rPr>
          <w:sz w:val="24"/>
        </w:rPr>
        <w:t xml:space="preserve"> application and a docket number for </w:t>
      </w:r>
      <w:r w:rsidR="00256A3B">
        <w:rPr>
          <w:sz w:val="24"/>
        </w:rPr>
        <w:t>its</w:t>
      </w:r>
      <w:r w:rsidRPr="001D2EC1">
        <w:rPr>
          <w:sz w:val="24"/>
        </w:rPr>
        <w:t xml:space="preserve"> submittal much more quickly than they would </w:t>
      </w:r>
      <w:r w:rsidRPr="001D2EC1" w:rsidR="00C7666C">
        <w:rPr>
          <w:sz w:val="24"/>
        </w:rPr>
        <w:t>if</w:t>
      </w:r>
      <w:r w:rsidRPr="001D2EC1">
        <w:rPr>
          <w:sz w:val="24"/>
        </w:rPr>
        <w:t xml:space="preserve"> filing in hard</w:t>
      </w:r>
      <w:r w:rsidRPr="001D2EC1" w:rsidR="001E6D2B">
        <w:rPr>
          <w:sz w:val="24"/>
        </w:rPr>
        <w:t>-</w:t>
      </w:r>
      <w:r w:rsidRPr="001D2EC1">
        <w:rPr>
          <w:sz w:val="24"/>
        </w:rPr>
        <w:t xml:space="preserve">copy format.  Electronic filing has allowed the Commission to electronically process QF applications, reduced required staff resources and human error, and allowed the Commission to identify patterns of </w:t>
      </w:r>
      <w:r w:rsidRPr="001D2EC1">
        <w:rPr>
          <w:sz w:val="24"/>
        </w:rPr>
        <w:lastRenderedPageBreak/>
        <w:t xml:space="preserve">reporting errors and noncompliance that would be difficult to detect through manual processing.  Finally, electronic filing of QF applications has facilitated the compilation of QF data.  Requiring applicants to file </w:t>
      </w:r>
      <w:r w:rsidRPr="001D2EC1" w:rsidR="001E6D2B">
        <w:rPr>
          <w:sz w:val="24"/>
        </w:rPr>
        <w:t>electronically</w:t>
      </w:r>
      <w:r w:rsidRPr="001D2EC1">
        <w:rPr>
          <w:sz w:val="24"/>
        </w:rPr>
        <w:t xml:space="preserve"> has made it possible to </w:t>
      </w:r>
      <w:r w:rsidRPr="001D2EC1" w:rsidR="00C7666C">
        <w:rPr>
          <w:sz w:val="24"/>
        </w:rPr>
        <w:t>collect and make use of this data</w:t>
      </w:r>
      <w:r w:rsidRPr="001D2EC1">
        <w:rPr>
          <w:sz w:val="24"/>
        </w:rPr>
        <w:t>.</w:t>
      </w:r>
    </w:p>
    <w:p w:rsidR="005240A1" w:rsidP="005240A1" w:rsidRDefault="005240A1" w14:paraId="3A1027BB" w14:textId="77777777">
      <w:pPr>
        <w:pStyle w:val="FERCparanumber"/>
        <w:numPr>
          <w:ilvl w:val="0"/>
          <w:numId w:val="0"/>
        </w:numPr>
        <w:rPr>
          <w:sz w:val="24"/>
        </w:rPr>
      </w:pPr>
    </w:p>
    <w:p w:rsidRPr="00BD4039" w:rsidR="009D6B6D" w:rsidP="005240A1" w:rsidRDefault="009D6B6D" w14:paraId="3A1027BC" w14:textId="77777777">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rsidR="00BD4039" w:rsidP="00BD4039" w:rsidRDefault="00BD4039" w14:paraId="3A1027BD" w14:textId="77777777">
      <w:pPr>
        <w:pStyle w:val="FERCparanumber"/>
        <w:numPr>
          <w:ilvl w:val="0"/>
          <w:numId w:val="0"/>
        </w:numPr>
        <w:rPr>
          <w:b/>
          <w:sz w:val="24"/>
        </w:rPr>
      </w:pPr>
    </w:p>
    <w:p w:rsidR="00BD4039" w:rsidP="00BD4039" w:rsidRDefault="002D5138" w14:paraId="3A1027BE" w14:textId="01E0D94F">
      <w:r>
        <w:t xml:space="preserve">FERC </w:t>
      </w:r>
      <w:r w:rsidR="00891C89">
        <w:t>Form</w:t>
      </w:r>
      <w:r w:rsidRPr="001D2EC1" w:rsidR="00BD4039">
        <w:t xml:space="preserve"> 556 is necessary</w:t>
      </w:r>
      <w:r w:rsidR="006F272C">
        <w:t xml:space="preserve"> </w:t>
      </w:r>
      <w:r w:rsidRPr="001D2EC1" w:rsidR="00BD4039">
        <w:t>for the Commission to remain in compliance with FPA and PURPA mandates. No similar information is</w:t>
      </w:r>
      <w:r w:rsidR="00724E39">
        <w:t xml:space="preserve"> </w:t>
      </w:r>
      <w:r w:rsidRPr="001D2EC1" w:rsidR="00D81C9E">
        <w:t>publicly</w:t>
      </w:r>
      <w:r w:rsidRPr="001D2EC1" w:rsidR="00BD4039">
        <w:t xml:space="preserve"> available.  There are no other </w:t>
      </w:r>
      <w:r w:rsidR="00256A3B">
        <w:t>f</w:t>
      </w:r>
      <w:r w:rsidRPr="001D2EC1" w:rsidR="00BD4039">
        <w:t>ederal agencies collecting this data</w:t>
      </w:r>
      <w:r w:rsidR="00380C05">
        <w:t>;</w:t>
      </w:r>
      <w:r w:rsidRPr="001D2EC1" w:rsidR="00BD4039">
        <w:t xml:space="preserve"> no other </w:t>
      </w:r>
      <w:r w:rsidR="00256A3B">
        <w:t>f</w:t>
      </w:r>
      <w:r w:rsidRPr="001D2EC1" w:rsidR="00BD4039">
        <w:t xml:space="preserve">ederal agencies </w:t>
      </w:r>
      <w:r w:rsidR="00380C05">
        <w:t xml:space="preserve">are </w:t>
      </w:r>
      <w:r w:rsidRPr="001D2EC1" w:rsidR="00BD4039">
        <w:t xml:space="preserve">responsible for certifying an electric generating facility as a QF and/or allowing a </w:t>
      </w:r>
      <w:r w:rsidR="00724E39">
        <w:t>co-generator</w:t>
      </w:r>
      <w:r w:rsidRPr="001D2EC1" w:rsidR="00BD4039">
        <w:t xml:space="preserve"> or small power producer to determine whether it qualifies for the benefits bestowed by PURPA, including the exemptions from certain provisions of federal and state law.  </w:t>
      </w:r>
    </w:p>
    <w:p w:rsidR="00BD4039" w:rsidP="00BD4039" w:rsidRDefault="00BD4039" w14:paraId="3A1027BF" w14:textId="77777777">
      <w:pPr>
        <w:pStyle w:val="FERCparanumber"/>
        <w:numPr>
          <w:ilvl w:val="0"/>
          <w:numId w:val="0"/>
        </w:numPr>
        <w:rPr>
          <w:b/>
          <w:sz w:val="24"/>
        </w:rPr>
      </w:pPr>
    </w:p>
    <w:p w:rsidRPr="001D2EC1" w:rsidR="009D6B6D" w:rsidP="005240A1" w:rsidRDefault="009D6B6D" w14:paraId="3A1027C1" w14:textId="77777777">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rsidRPr="001D2EC1" w:rsidR="009D6B6D" w:rsidP="001D2EC1" w:rsidRDefault="009D6B6D" w14:paraId="3A1027C2" w14:textId="77777777">
      <w:pPr>
        <w:widowControl/>
        <w:ind w:left="1440"/>
      </w:pPr>
    </w:p>
    <w:p w:rsidRPr="001D2EC1" w:rsidR="009D6B6D" w:rsidP="001D2EC1" w:rsidRDefault="009D6B6D" w14:paraId="3A1027C3" w14:textId="7633197B">
      <w:pPr>
        <w:pStyle w:val="FERCparanumber"/>
        <w:numPr>
          <w:ilvl w:val="0"/>
          <w:numId w:val="0"/>
        </w:numPr>
        <w:tabs>
          <w:tab w:val="left" w:pos="720"/>
        </w:tabs>
        <w:rPr>
          <w:sz w:val="24"/>
        </w:rPr>
      </w:pPr>
      <w:r w:rsidRPr="001D2EC1">
        <w:rPr>
          <w:sz w:val="24"/>
        </w:rPr>
        <w:t>The cla</w:t>
      </w:r>
      <w:r w:rsidR="002D5138">
        <w:rPr>
          <w:sz w:val="24"/>
        </w:rPr>
        <w:t xml:space="preserve">rified and streamlined FERC Form </w:t>
      </w:r>
      <w:r w:rsidRPr="001D2EC1">
        <w:rPr>
          <w:sz w:val="24"/>
        </w:rPr>
        <w:t>556 has made it easier for applicants to complete this form because the form leads applicants step-by-step through the compliance determinations.  For example, the information collected from applicants for co</w:t>
      </w:r>
      <w:r w:rsidR="00724E39">
        <w:rPr>
          <w:sz w:val="24"/>
        </w:rPr>
        <w:t>-</w:t>
      </w:r>
      <w:r w:rsidRPr="001D2EC1">
        <w:rPr>
          <w:sz w:val="24"/>
        </w:rPr>
        <w:t xml:space="preserve">generation facilities in lines 11a through </w:t>
      </w:r>
      <w:r w:rsidRPr="001D2EC1" w:rsidR="001E6D2B">
        <w:rPr>
          <w:sz w:val="24"/>
        </w:rPr>
        <w:t>11f has</w:t>
      </w:r>
      <w:r w:rsidRPr="001D2EC1">
        <w:rPr>
          <w:sz w:val="24"/>
        </w:rPr>
        <w:t xml:space="preserve"> guided the applicants in determining whether the </w:t>
      </w:r>
      <w:r w:rsidR="00686188">
        <w:t>Energy Policy Act of 2005</w:t>
      </w:r>
      <w:r w:rsidRPr="00916BBD" w:rsidR="00686188">
        <w:rPr>
          <w:rStyle w:val="FootnoteReference"/>
          <w:b/>
          <w:vertAlign w:val="superscript"/>
        </w:rPr>
        <w:footnoteReference w:id="5"/>
      </w:r>
      <w:r w:rsidR="00686188">
        <w:t xml:space="preserve"> (</w:t>
      </w:r>
      <w:r w:rsidRPr="001D2EC1">
        <w:rPr>
          <w:sz w:val="24"/>
        </w:rPr>
        <w:t>EPAct 2005</w:t>
      </w:r>
      <w:r w:rsidR="00686188">
        <w:rPr>
          <w:sz w:val="24"/>
        </w:rPr>
        <w:t>)</w:t>
      </w:r>
      <w:r w:rsidRPr="001D2EC1">
        <w:rPr>
          <w:sz w:val="24"/>
        </w:rPr>
        <w:t xml:space="preserve"> </w:t>
      </w:r>
      <w:r w:rsidR="00724E39">
        <w:rPr>
          <w:sz w:val="24"/>
        </w:rPr>
        <w:t>co-generation</w:t>
      </w:r>
      <w:r w:rsidRPr="001D2EC1">
        <w:rPr>
          <w:sz w:val="24"/>
        </w:rPr>
        <w:t xml:space="preserve"> requirements apply to their facilities.  Without this step-by-step guide, applicants (particularly small applicants) must independently research the requirements and determine compliance with the relatively complex EPAct 2005 </w:t>
      </w:r>
      <w:r w:rsidR="00724E39">
        <w:rPr>
          <w:sz w:val="24"/>
        </w:rPr>
        <w:t>co-generation</w:t>
      </w:r>
      <w:r w:rsidRPr="001D2EC1">
        <w:rPr>
          <w:sz w:val="24"/>
        </w:rPr>
        <w:t xml:space="preserve"> requirements. </w:t>
      </w:r>
    </w:p>
    <w:p w:rsidRPr="001D2EC1" w:rsidR="009D6B6D" w:rsidP="001D2EC1" w:rsidRDefault="009D6B6D" w14:paraId="3A1027C4" w14:textId="77777777">
      <w:pPr>
        <w:pStyle w:val="FERCparanumber"/>
        <w:numPr>
          <w:ilvl w:val="0"/>
          <w:numId w:val="0"/>
        </w:numPr>
        <w:tabs>
          <w:tab w:val="left" w:pos="720"/>
        </w:tabs>
        <w:rPr>
          <w:sz w:val="24"/>
        </w:rPr>
      </w:pPr>
    </w:p>
    <w:p w:rsidRPr="001D2EC1" w:rsidR="009D6B6D" w:rsidP="001D2EC1" w:rsidRDefault="009D6B6D" w14:paraId="3A1027C5" w14:textId="77777777">
      <w:pPr>
        <w:pStyle w:val="FERCparanumber"/>
        <w:numPr>
          <w:ilvl w:val="0"/>
          <w:numId w:val="0"/>
        </w:numPr>
        <w:tabs>
          <w:tab w:val="left" w:pos="720"/>
        </w:tabs>
        <w:rPr>
          <w:sz w:val="24"/>
        </w:rPr>
      </w:pPr>
      <w:r w:rsidRPr="001D2EC1">
        <w:rPr>
          <w:sz w:val="24"/>
        </w:rPr>
        <w:t xml:space="preserve">The FERC website has a list of frequently asked questions to help filers.  It also provides the names and phone numbers of legal and technical staff </w:t>
      </w:r>
      <w:r w:rsidRPr="001D2EC1" w:rsidR="001E6D2B">
        <w:rPr>
          <w:sz w:val="24"/>
        </w:rPr>
        <w:t xml:space="preserve">at FERC that </w:t>
      </w:r>
      <w:r w:rsidRPr="001D2EC1">
        <w:rPr>
          <w:sz w:val="24"/>
        </w:rPr>
        <w:t>filers can call directly to get questions answered</w:t>
      </w:r>
      <w:r w:rsidRPr="001D2EC1" w:rsidR="001E6D2B">
        <w:rPr>
          <w:sz w:val="24"/>
        </w:rPr>
        <w:t xml:space="preserve"> and to receive</w:t>
      </w:r>
      <w:r w:rsidRPr="001D2EC1">
        <w:rPr>
          <w:sz w:val="24"/>
        </w:rPr>
        <w:t xml:space="preserve"> general guidance and information about FERC’s QF program and policies.  The website also shows an email address that can be used to submit written questions to FERC technical and legal staff.</w:t>
      </w:r>
    </w:p>
    <w:p w:rsidRPr="001D2EC1" w:rsidR="009D6B6D" w:rsidP="001D2EC1" w:rsidRDefault="009D6B6D" w14:paraId="3A1027C6" w14:textId="77777777">
      <w:pPr>
        <w:pStyle w:val="FERCparanumber"/>
        <w:numPr>
          <w:ilvl w:val="0"/>
          <w:numId w:val="0"/>
        </w:numPr>
        <w:tabs>
          <w:tab w:val="num" w:pos="720"/>
        </w:tabs>
        <w:rPr>
          <w:sz w:val="24"/>
        </w:rPr>
      </w:pPr>
      <w:r w:rsidRPr="001D2EC1">
        <w:rPr>
          <w:sz w:val="24"/>
        </w:rPr>
        <w:t xml:space="preserve">  </w:t>
      </w:r>
    </w:p>
    <w:p w:rsidR="005240A1" w:rsidP="005240A1" w:rsidRDefault="009D6B6D" w14:paraId="3A1027C7" w14:textId="77777777">
      <w:pPr>
        <w:pStyle w:val="FERCparanumber"/>
        <w:numPr>
          <w:ilvl w:val="0"/>
          <w:numId w:val="0"/>
        </w:numPr>
        <w:tabs>
          <w:tab w:val="num" w:pos="0"/>
        </w:tabs>
        <w:rPr>
          <w:sz w:val="24"/>
        </w:rPr>
      </w:pPr>
      <w:r w:rsidRPr="001D2EC1">
        <w:rPr>
          <w:sz w:val="24"/>
        </w:rPr>
        <w:t>Finally, the Commission has exempted applicants for facilities with net power production capacities of 1 MW and smaller from any filing requirement;</w:t>
      </w:r>
      <w:r w:rsidRPr="001D2EC1" w:rsidR="0035481D">
        <w:rPr>
          <w:sz w:val="24"/>
        </w:rPr>
        <w:t xml:space="preserve"> </w:t>
      </w:r>
      <w:r w:rsidRPr="001D2EC1">
        <w:rPr>
          <w:sz w:val="24"/>
        </w:rPr>
        <w:t xml:space="preserve">the electronic filing requirement </w:t>
      </w:r>
      <w:r w:rsidRPr="001D2EC1" w:rsidR="00454D32">
        <w:rPr>
          <w:sz w:val="24"/>
        </w:rPr>
        <w:t xml:space="preserve">thus </w:t>
      </w:r>
      <w:r w:rsidRPr="001D2EC1">
        <w:rPr>
          <w:sz w:val="24"/>
        </w:rPr>
        <w:t xml:space="preserve">does not apply to these small QFs.  The Commission believes that any applicant for a facility larger than 1 MW </w:t>
      </w:r>
      <w:r w:rsidRPr="001D2EC1" w:rsidR="00454D32">
        <w:rPr>
          <w:sz w:val="24"/>
        </w:rPr>
        <w:t>w</w:t>
      </w:r>
      <w:r w:rsidRPr="001D2EC1">
        <w:rPr>
          <w:sz w:val="24"/>
        </w:rPr>
        <w:t xml:space="preserve">ould have access to the resources needed to </w:t>
      </w:r>
      <w:r w:rsidRPr="001D2EC1" w:rsidR="00454D32">
        <w:rPr>
          <w:sz w:val="24"/>
        </w:rPr>
        <w:t xml:space="preserve">develop and </w:t>
      </w:r>
      <w:r w:rsidR="005240A1">
        <w:rPr>
          <w:sz w:val="24"/>
        </w:rPr>
        <w:t>make an electronic filing.</w:t>
      </w:r>
    </w:p>
    <w:p w:rsidR="005240A1" w:rsidP="005240A1" w:rsidRDefault="005240A1" w14:paraId="3A1027C8" w14:textId="77777777">
      <w:pPr>
        <w:pStyle w:val="FERCparanumber"/>
        <w:numPr>
          <w:ilvl w:val="0"/>
          <w:numId w:val="0"/>
        </w:numPr>
        <w:tabs>
          <w:tab w:val="num" w:pos="0"/>
        </w:tabs>
        <w:rPr>
          <w:sz w:val="24"/>
        </w:rPr>
      </w:pPr>
    </w:p>
    <w:p w:rsidRPr="00BB6095" w:rsidR="009D6B6D" w:rsidP="005240A1" w:rsidRDefault="009D6B6D" w14:paraId="3A1027C9" w14:textId="77777777">
      <w:pPr>
        <w:pStyle w:val="FERCparanumber"/>
        <w:numPr>
          <w:ilvl w:val="0"/>
          <w:numId w:val="7"/>
        </w:numPr>
        <w:rPr>
          <w:sz w:val="24"/>
        </w:rPr>
      </w:pPr>
      <w:r w:rsidRPr="001D2EC1">
        <w:rPr>
          <w:b/>
          <w:sz w:val="24"/>
        </w:rPr>
        <w:t>CONSEQUENCE TO FEDERAL PROGRAM IF COLLECTION WERE CONDUCTED LESS FREQUENTLY</w:t>
      </w:r>
    </w:p>
    <w:p w:rsidR="00BB6095" w:rsidP="00BB6095" w:rsidRDefault="00BB6095" w14:paraId="3A1027CA" w14:textId="77777777">
      <w:pPr>
        <w:pStyle w:val="FERCparanumber"/>
        <w:numPr>
          <w:ilvl w:val="0"/>
          <w:numId w:val="0"/>
        </w:numPr>
        <w:rPr>
          <w:b/>
          <w:sz w:val="24"/>
        </w:rPr>
      </w:pPr>
    </w:p>
    <w:p w:rsidRPr="001D2EC1" w:rsidR="00BB6095" w:rsidP="00BB6095" w:rsidRDefault="00BB6095" w14:paraId="3A1027CB" w14:textId="7A6C79AC">
      <w:pPr>
        <w:widowControl/>
      </w:pPr>
      <w:r w:rsidRPr="001D2EC1">
        <w:t>Applic</w:t>
      </w:r>
      <w:r w:rsidR="002D5138">
        <w:t xml:space="preserve">ants submit an initial FERC Form </w:t>
      </w:r>
      <w:r w:rsidRPr="001D2EC1">
        <w:t>556 and additional notices for any changes in qualifying status criteria.  In view of this one</w:t>
      </w:r>
      <w:r w:rsidR="002D5138">
        <w:t xml:space="preserve">-time requirement, the FERC Form </w:t>
      </w:r>
      <w:r w:rsidRPr="001D2EC1">
        <w:t xml:space="preserve">556 cannot be </w:t>
      </w:r>
      <w:r w:rsidR="00316F67">
        <w:t xml:space="preserve">collected </w:t>
      </w:r>
      <w:r w:rsidR="00316F67">
        <w:lastRenderedPageBreak/>
        <w:t>less frequently (i.e.</w:t>
      </w:r>
      <w:r w:rsidR="0013762B">
        <w:t>,</w:t>
      </w:r>
      <w:r w:rsidRPr="001D2EC1">
        <w:t xml:space="preserve"> not collected at all).  If the information were not collected, as noted above, the Commission would be unable to certify the facility as a QF, and the </w:t>
      </w:r>
      <w:r w:rsidR="00724E39">
        <w:t>co-generator</w:t>
      </w:r>
      <w:r w:rsidRPr="001D2EC1">
        <w:t xml:space="preserve"> or small power producer would be unable to determine whether it qualifies for the benefits bestowed by PURPA, including the exemptions from certain provisions of </w:t>
      </w:r>
      <w:r w:rsidR="00686188">
        <w:t>f</w:t>
      </w:r>
      <w:r w:rsidRPr="001D2EC1">
        <w:t>ederal and state law.</w:t>
      </w:r>
    </w:p>
    <w:p w:rsidR="00BB6095" w:rsidP="00BB6095" w:rsidRDefault="00BB6095" w14:paraId="3A1027CC" w14:textId="77777777">
      <w:pPr>
        <w:pStyle w:val="FERCparanumber"/>
        <w:numPr>
          <w:ilvl w:val="0"/>
          <w:numId w:val="0"/>
        </w:numPr>
        <w:rPr>
          <w:b/>
          <w:sz w:val="24"/>
        </w:rPr>
      </w:pPr>
    </w:p>
    <w:p w:rsidRPr="00BB6095" w:rsidR="00BB6095" w:rsidP="005240A1" w:rsidRDefault="00BB6095" w14:paraId="3A1027CE" w14:textId="77777777">
      <w:pPr>
        <w:pStyle w:val="FERCparanumber"/>
        <w:numPr>
          <w:ilvl w:val="0"/>
          <w:numId w:val="7"/>
        </w:numPr>
        <w:rPr>
          <w:sz w:val="24"/>
        </w:rPr>
      </w:pPr>
      <w:r w:rsidRPr="001D2EC1">
        <w:rPr>
          <w:b/>
          <w:sz w:val="24"/>
        </w:rPr>
        <w:t>EXPLAIN ANY SPECIAL CIRCUMSTANCES RELATING TO THE INFORMATION</w:t>
      </w:r>
    </w:p>
    <w:p w:rsidR="00BB6095" w:rsidP="00BB6095" w:rsidRDefault="00BB6095" w14:paraId="3A1027CF" w14:textId="77777777">
      <w:pPr>
        <w:pStyle w:val="FERCparanumber"/>
        <w:numPr>
          <w:ilvl w:val="0"/>
          <w:numId w:val="0"/>
        </w:numPr>
        <w:rPr>
          <w:b/>
          <w:sz w:val="24"/>
        </w:rPr>
      </w:pPr>
    </w:p>
    <w:p w:rsidRPr="001D2EC1" w:rsidR="00BB6095" w:rsidP="00BB6095" w:rsidRDefault="00BB6095" w14:paraId="3A1027D0" w14:textId="6EA0F9D1">
      <w:r w:rsidRPr="001D2EC1">
        <w:t>The</w:t>
      </w:r>
      <w:r w:rsidR="00380C05">
        <w:t>re are no special circumstances.</w:t>
      </w:r>
      <w:r w:rsidRPr="001D2EC1">
        <w:t xml:space="preserve"> </w:t>
      </w:r>
    </w:p>
    <w:p w:rsidRPr="00BB6095" w:rsidR="00BB6095" w:rsidP="00BB6095" w:rsidRDefault="00BB6095" w14:paraId="3A1027D1" w14:textId="77777777">
      <w:pPr>
        <w:pStyle w:val="FERCparanumber"/>
        <w:numPr>
          <w:ilvl w:val="0"/>
          <w:numId w:val="0"/>
        </w:numPr>
        <w:rPr>
          <w:sz w:val="24"/>
        </w:rPr>
      </w:pPr>
    </w:p>
    <w:p w:rsidRPr="00BB6095" w:rsidR="009D6B6D" w:rsidP="001D2EC1" w:rsidRDefault="00BB6095" w14:paraId="3A1027D2" w14:textId="77777777">
      <w:pPr>
        <w:pStyle w:val="FERCparanumber"/>
        <w:numPr>
          <w:ilvl w:val="0"/>
          <w:numId w:val="7"/>
        </w:numPr>
        <w:rPr>
          <w:sz w:val="24"/>
        </w:rPr>
      </w:pPr>
      <w:r w:rsidRPr="001D2EC1">
        <w:rPr>
          <w:b/>
          <w:sz w:val="24"/>
        </w:rPr>
        <w:t>DESCRIBE EFFORTS TO CONSULT OUTSIDE THE AGENCY: SUMMARIZE PUBLIC COMMENTS AND THE AGENCY’S RESPONSE TO THESE COMMENTS</w:t>
      </w:r>
    </w:p>
    <w:p w:rsidR="00BB6095" w:rsidP="00BB6095" w:rsidRDefault="00BB6095" w14:paraId="3A1027D3" w14:textId="77777777">
      <w:pPr>
        <w:pStyle w:val="FERCparanumber"/>
        <w:numPr>
          <w:ilvl w:val="0"/>
          <w:numId w:val="0"/>
        </w:numPr>
        <w:rPr>
          <w:b/>
          <w:sz w:val="24"/>
        </w:rPr>
      </w:pPr>
    </w:p>
    <w:p w:rsidRPr="003859B8" w:rsidR="00BB6095" w:rsidP="00BB6095" w:rsidRDefault="00BB6095" w14:paraId="3A1027D4" w14:textId="4AC3D6F5">
      <w:r w:rsidRPr="00E138E1">
        <w:t xml:space="preserve">In accordance with OMB requirements, the Commission published a 60-day </w:t>
      </w:r>
      <w:bookmarkStart w:name="_Ref332712251" w:id="0"/>
      <w:r w:rsidR="0013762B">
        <w:t>N</w:t>
      </w:r>
      <w:r w:rsidRPr="00E138E1" w:rsidR="0013762B">
        <w:t>otice</w:t>
      </w:r>
      <w:r w:rsidRPr="00D81C9E">
        <w:rPr>
          <w:rStyle w:val="FootnoteReference"/>
          <w:b/>
          <w:bCs/>
          <w:vertAlign w:val="superscript"/>
        </w:rPr>
        <w:footnoteReference w:id="6"/>
      </w:r>
      <w:bookmarkEnd w:id="0"/>
      <w:r w:rsidR="00585AD8">
        <w:t xml:space="preserve"> in Docket No. IC</w:t>
      </w:r>
      <w:r w:rsidR="00AC59D6">
        <w:t>21-40</w:t>
      </w:r>
      <w:r w:rsidRPr="00E138E1">
        <w:t xml:space="preserve"> </w:t>
      </w:r>
      <w:r w:rsidR="00745141">
        <w:t>providing</w:t>
      </w:r>
      <w:r w:rsidRPr="00E138E1" w:rsidR="00745141">
        <w:t xml:space="preserve"> </w:t>
      </w:r>
      <w:r w:rsidRPr="00E138E1">
        <w:t>the public</w:t>
      </w:r>
      <w:r w:rsidR="00745141">
        <w:t xml:space="preserve"> an opportunity to comment.</w:t>
      </w:r>
      <w:r w:rsidR="00380C05">
        <w:t xml:space="preserve">  </w:t>
      </w:r>
      <w:r w:rsidR="00745141">
        <w:t>In</w:t>
      </w:r>
      <w:r w:rsidRPr="00E138E1">
        <w:t xml:space="preserve"> the </w:t>
      </w:r>
      <w:r w:rsidR="0013762B">
        <w:t>60-day N</w:t>
      </w:r>
      <w:r w:rsidRPr="00E138E1">
        <w:t xml:space="preserve">otice, the Commission noted that it would be </w:t>
      </w:r>
      <w:r w:rsidRPr="00841E46">
        <w:t xml:space="preserve">requesting a three-year extension of the public reporting burden with no change to the existing requirements.  </w:t>
      </w:r>
      <w:r w:rsidRPr="003859B8">
        <w:t>The Commission received no comments</w:t>
      </w:r>
      <w:r w:rsidRPr="003859B8" w:rsidR="00745141">
        <w:t xml:space="preserve"> from the 60-day Notice</w:t>
      </w:r>
      <w:r w:rsidRPr="003859B8">
        <w:t xml:space="preserve">.  </w:t>
      </w:r>
    </w:p>
    <w:p w:rsidRPr="00841E46" w:rsidR="00745141" w:rsidP="00BB6095" w:rsidRDefault="00745141" w14:paraId="7741ACC6" w14:textId="77777777"/>
    <w:p w:rsidRPr="001D2EC1" w:rsidR="00745141" w:rsidP="00BB6095" w:rsidRDefault="00745141" w14:paraId="567EAC0E" w14:textId="731FD172">
      <w:r w:rsidRPr="00841E46">
        <w:t>The Commission is also publishing a 30-day N</w:t>
      </w:r>
      <w:r w:rsidRPr="00380C05">
        <w:t>otice</w:t>
      </w:r>
      <w:r w:rsidRPr="00D81C9E" w:rsidR="00764EFA">
        <w:rPr>
          <w:rStyle w:val="FootnoteReference"/>
          <w:b/>
          <w:bCs/>
          <w:vertAlign w:val="superscript"/>
        </w:rPr>
        <w:footnoteReference w:id="7"/>
      </w:r>
      <w:r w:rsidRPr="00D81C9E">
        <w:rPr>
          <w:b/>
          <w:bCs/>
          <w:vertAlign w:val="superscript"/>
        </w:rPr>
        <w:t xml:space="preserve"> </w:t>
      </w:r>
      <w:r w:rsidRPr="00380C05">
        <w:t>for public comment.</w:t>
      </w:r>
    </w:p>
    <w:p w:rsidRPr="00BB6095" w:rsidR="00BB6095" w:rsidP="00BB6095" w:rsidRDefault="00BB6095" w14:paraId="3A1027D5" w14:textId="77777777">
      <w:pPr>
        <w:pStyle w:val="FERCparanumber"/>
        <w:numPr>
          <w:ilvl w:val="0"/>
          <w:numId w:val="0"/>
        </w:numPr>
        <w:rPr>
          <w:sz w:val="24"/>
        </w:rPr>
      </w:pPr>
    </w:p>
    <w:p w:rsidRPr="00BB6095" w:rsidR="009D6B6D" w:rsidP="001D2EC1" w:rsidRDefault="00BB6095" w14:paraId="3A1027D6" w14:textId="77777777">
      <w:pPr>
        <w:pStyle w:val="FERCparanumber"/>
        <w:numPr>
          <w:ilvl w:val="0"/>
          <w:numId w:val="7"/>
        </w:numPr>
        <w:rPr>
          <w:sz w:val="24"/>
        </w:rPr>
      </w:pPr>
      <w:r w:rsidRPr="001D2EC1">
        <w:rPr>
          <w:b/>
          <w:sz w:val="24"/>
        </w:rPr>
        <w:t>EXPLAIN ANY PAYMENT OR GIFTS TO RESPONDENTS</w:t>
      </w:r>
    </w:p>
    <w:p w:rsidR="00BB6095" w:rsidP="00BB6095" w:rsidRDefault="00BB6095" w14:paraId="3A1027D7" w14:textId="77777777">
      <w:pPr>
        <w:pStyle w:val="FERCparanumber"/>
        <w:numPr>
          <w:ilvl w:val="0"/>
          <w:numId w:val="0"/>
        </w:numPr>
        <w:rPr>
          <w:b/>
          <w:sz w:val="24"/>
        </w:rPr>
      </w:pPr>
    </w:p>
    <w:p w:rsidRPr="001D2EC1" w:rsidR="00BB6095" w:rsidP="00BB6095" w:rsidRDefault="00BB6095" w14:paraId="3A1027D8" w14:textId="6BDC9212">
      <w:pPr>
        <w:widowControl/>
      </w:pPr>
      <w:r w:rsidRPr="001D2EC1">
        <w:t>There are no payments or gifts to respondents.</w:t>
      </w:r>
    </w:p>
    <w:p w:rsidR="00BB6095" w:rsidP="00BB6095" w:rsidRDefault="00BB6095" w14:paraId="3A1027D9" w14:textId="77777777">
      <w:pPr>
        <w:pStyle w:val="FERCparanumber"/>
        <w:numPr>
          <w:ilvl w:val="0"/>
          <w:numId w:val="0"/>
        </w:numPr>
        <w:rPr>
          <w:b/>
          <w:sz w:val="24"/>
        </w:rPr>
      </w:pPr>
    </w:p>
    <w:p w:rsidRPr="00BB6095" w:rsidR="009D6B6D" w:rsidP="001D2EC1" w:rsidRDefault="00BB6095" w14:paraId="3A1027DB" w14:textId="77777777">
      <w:pPr>
        <w:pStyle w:val="FERCparanumber"/>
        <w:numPr>
          <w:ilvl w:val="0"/>
          <w:numId w:val="7"/>
        </w:numPr>
        <w:rPr>
          <w:sz w:val="24"/>
        </w:rPr>
      </w:pPr>
      <w:r w:rsidRPr="001D2EC1">
        <w:rPr>
          <w:b/>
          <w:sz w:val="24"/>
        </w:rPr>
        <w:t>DESCRIBE ANY ASSURANCE OF CONFIDENTIALITY PROVIDED TO RESPONDENTS</w:t>
      </w:r>
    </w:p>
    <w:p w:rsidR="00BB6095" w:rsidP="00BB6095" w:rsidRDefault="00BB6095" w14:paraId="3A1027DC" w14:textId="77777777">
      <w:pPr>
        <w:pStyle w:val="FERCparanumber"/>
        <w:numPr>
          <w:ilvl w:val="0"/>
          <w:numId w:val="0"/>
        </w:numPr>
        <w:rPr>
          <w:b/>
          <w:sz w:val="24"/>
        </w:rPr>
      </w:pPr>
    </w:p>
    <w:p w:rsidRPr="001D2EC1" w:rsidR="00BB6095" w:rsidP="00BB6095" w:rsidRDefault="00BB6095" w14:paraId="3A1027DD" w14:textId="77777777">
      <w:r w:rsidRPr="001D2EC1">
        <w:t>The Commission does not consider the information collected i</w:t>
      </w:r>
      <w:r w:rsidR="002D5138">
        <w:t xml:space="preserve">n FERC Form </w:t>
      </w:r>
      <w:r w:rsidRPr="001D2EC1">
        <w:t>556 filings to be confidential.  However, an applicant may request non-public treatment of privileged information or Critical Energy Infrastructure Information (CEII) under 18 CFR 388.112.</w:t>
      </w:r>
    </w:p>
    <w:p w:rsidRPr="00BB6095" w:rsidR="00BB6095" w:rsidP="00BB6095" w:rsidRDefault="00BB6095" w14:paraId="3A1027DE" w14:textId="77777777">
      <w:pPr>
        <w:pStyle w:val="FERCparanumber"/>
        <w:numPr>
          <w:ilvl w:val="0"/>
          <w:numId w:val="0"/>
        </w:numPr>
        <w:rPr>
          <w:sz w:val="24"/>
        </w:rPr>
      </w:pPr>
    </w:p>
    <w:p w:rsidRPr="00BB6095" w:rsidR="009D6B6D" w:rsidP="001D2EC1" w:rsidRDefault="00BB6095" w14:paraId="3A1027DF" w14:textId="45ADE9ED">
      <w:pPr>
        <w:pStyle w:val="FERCparanumber"/>
        <w:numPr>
          <w:ilvl w:val="0"/>
          <w:numId w:val="7"/>
        </w:numPr>
        <w:rPr>
          <w:sz w:val="24"/>
        </w:rPr>
      </w:pPr>
      <w:r w:rsidRPr="001D2EC1">
        <w:rPr>
          <w:b/>
          <w:sz w:val="24"/>
        </w:rPr>
        <w:t>PROVIDE ADDITIONAL JUSTIFICATION FOR ANY QUESTIONS OF A SENSITIVE NATURE</w:t>
      </w:r>
      <w:r w:rsidRPr="00C62F55" w:rsidR="00316F67">
        <w:rPr>
          <w:b/>
          <w:sz w:val="24"/>
        </w:rPr>
        <w:t>, SUCH AS SEXUAL BEHAVIOR AND ATTITUDES, RELIGIOUS BELIEFS, AND OTHER MATTERS THAT ARE COMMONLY CONSIDERED PRIVATE</w:t>
      </w:r>
    </w:p>
    <w:p w:rsidR="00BB6095" w:rsidP="00BB6095" w:rsidRDefault="00BB6095" w14:paraId="3A1027E0" w14:textId="77777777">
      <w:pPr>
        <w:pStyle w:val="FERCparanumber"/>
        <w:numPr>
          <w:ilvl w:val="0"/>
          <w:numId w:val="0"/>
        </w:numPr>
        <w:rPr>
          <w:b/>
          <w:sz w:val="24"/>
        </w:rPr>
      </w:pPr>
    </w:p>
    <w:p w:rsidRPr="001D2EC1" w:rsidR="00BB6095" w:rsidP="00BB6095" w:rsidRDefault="00BB6095" w14:paraId="3A1027E1" w14:textId="4BD1825F">
      <w:pPr>
        <w:widowControl/>
        <w:rPr>
          <w:b/>
        </w:rPr>
      </w:pPr>
      <w:r w:rsidRPr="001D2EC1">
        <w:t xml:space="preserve">There are no questions of a sensitive nature associated with </w:t>
      </w:r>
      <w:r w:rsidR="00380C05">
        <w:t>FERC</w:t>
      </w:r>
      <w:r w:rsidR="00686188">
        <w:t xml:space="preserve"> Form </w:t>
      </w:r>
      <w:r w:rsidR="00380C05">
        <w:t>556</w:t>
      </w:r>
      <w:r w:rsidRPr="001D2EC1">
        <w:t xml:space="preserve">.  </w:t>
      </w:r>
    </w:p>
    <w:p w:rsidRPr="00BB6095" w:rsidR="00BB6095" w:rsidP="00BB6095" w:rsidRDefault="00BB6095" w14:paraId="3A1027E2" w14:textId="77777777">
      <w:pPr>
        <w:pStyle w:val="FERCparanumber"/>
        <w:numPr>
          <w:ilvl w:val="0"/>
          <w:numId w:val="0"/>
        </w:numPr>
        <w:rPr>
          <w:sz w:val="24"/>
        </w:rPr>
      </w:pPr>
    </w:p>
    <w:p w:rsidRPr="0013697D" w:rsidR="00BB6095" w:rsidP="001D2EC1" w:rsidRDefault="00BB6095" w14:paraId="3A1027E3" w14:textId="77777777">
      <w:pPr>
        <w:pStyle w:val="FERCparanumber"/>
        <w:numPr>
          <w:ilvl w:val="0"/>
          <w:numId w:val="7"/>
        </w:numPr>
        <w:rPr>
          <w:sz w:val="24"/>
        </w:rPr>
      </w:pPr>
      <w:r w:rsidRPr="001D2EC1">
        <w:rPr>
          <w:b/>
          <w:sz w:val="24"/>
        </w:rPr>
        <w:t>ESTIMATED BURDEN COLLECTION OF INFORMATION</w:t>
      </w:r>
    </w:p>
    <w:p w:rsidRPr="0013697D" w:rsidR="0013697D" w:rsidP="0013697D" w:rsidRDefault="0013697D" w14:paraId="5DECC53F" w14:textId="77777777">
      <w:pPr>
        <w:pStyle w:val="FERCparanumber"/>
        <w:numPr>
          <w:ilvl w:val="0"/>
          <w:numId w:val="0"/>
        </w:numPr>
        <w:ind w:left="720"/>
        <w:rPr>
          <w:sz w:val="24"/>
        </w:rPr>
      </w:pPr>
    </w:p>
    <w:p w:rsidR="00380C05" w:rsidP="00380C05" w:rsidRDefault="0013697D" w14:paraId="3EE875AC" w14:textId="16F55C90">
      <w:pPr>
        <w:pStyle w:val="FERCparanumber"/>
        <w:numPr>
          <w:ilvl w:val="0"/>
          <w:numId w:val="0"/>
        </w:numPr>
        <w:rPr>
          <w:sz w:val="24"/>
        </w:rPr>
      </w:pPr>
      <w:r w:rsidRPr="0013697D">
        <w:rPr>
          <w:sz w:val="24"/>
        </w:rPr>
        <w:t>The estimated burden and cost of the FERC-556 follow.</w:t>
      </w:r>
    </w:p>
    <w:p w:rsidRPr="0013697D" w:rsidR="0013697D" w:rsidP="00380C05" w:rsidRDefault="0013697D" w14:paraId="5F57DFEC" w14:textId="77777777">
      <w:pPr>
        <w:pStyle w:val="FERCparanumber"/>
        <w:numPr>
          <w:ilvl w:val="0"/>
          <w:numId w:val="0"/>
        </w:numPr>
        <w:rPr>
          <w:sz w:val="24"/>
        </w:rPr>
      </w:pPr>
    </w:p>
    <w:tbl>
      <w:tblPr>
        <w:tblW w:w="5727"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29"/>
        <w:gridCol w:w="1069"/>
        <w:gridCol w:w="1090"/>
        <w:gridCol w:w="1172"/>
        <w:gridCol w:w="1079"/>
        <w:gridCol w:w="1799"/>
        <w:gridCol w:w="1351"/>
      </w:tblGrid>
      <w:tr w:rsidRPr="00282DAE" w:rsidR="00282DAE" w:rsidTr="00292A75" w14:paraId="74F7C58A" w14:textId="77777777">
        <w:trPr>
          <w:cantSplit/>
        </w:trPr>
        <w:tc>
          <w:tcPr>
            <w:tcW w:w="5000" w:type="pct"/>
            <w:gridSpan w:val="8"/>
            <w:tcBorders>
              <w:bottom w:val="single" w:color="auto" w:sz="4" w:space="0"/>
            </w:tcBorders>
            <w:shd w:val="clear" w:color="auto" w:fill="D9D9D9"/>
          </w:tcPr>
          <w:p w:rsidRPr="00282DAE" w:rsidR="00282DAE" w:rsidP="00282DAE" w:rsidRDefault="00282DAE" w14:paraId="7F6C3344" w14:textId="4B231402">
            <w:pPr>
              <w:widowControl/>
              <w:autoSpaceDE/>
              <w:autoSpaceDN/>
              <w:adjustRightInd/>
              <w:jc w:val="center"/>
              <w:rPr>
                <w:rFonts w:eastAsia="Calibri"/>
                <w:b/>
              </w:rPr>
            </w:pPr>
            <w:r w:rsidRPr="00282DAE">
              <w:rPr>
                <w:rFonts w:eastAsia="Calibri"/>
                <w:b/>
              </w:rPr>
              <w:t xml:space="preserve">FERC-556: Certification of Qualifying Facility Status for a Small Power Production or </w:t>
            </w:r>
            <w:r w:rsidR="00724E39">
              <w:rPr>
                <w:rFonts w:eastAsia="Calibri"/>
                <w:b/>
              </w:rPr>
              <w:t>Co-generation</w:t>
            </w:r>
            <w:r w:rsidRPr="00282DAE">
              <w:rPr>
                <w:rFonts w:eastAsia="Calibri"/>
                <w:b/>
              </w:rPr>
              <w:t xml:space="preserve"> Facility</w:t>
            </w:r>
          </w:p>
        </w:tc>
      </w:tr>
      <w:tr w:rsidRPr="00282DAE" w:rsidR="00282DAE" w:rsidTr="00292A75" w14:paraId="396B53E3" w14:textId="77777777">
        <w:trPr>
          <w:cantSplit/>
        </w:trPr>
        <w:tc>
          <w:tcPr>
            <w:tcW w:w="756" w:type="pct"/>
            <w:shd w:val="clear" w:color="auto" w:fill="D9D9D9"/>
            <w:vAlign w:val="bottom"/>
          </w:tcPr>
          <w:p w:rsidRPr="00282DAE" w:rsidR="00282DAE" w:rsidP="00282DAE" w:rsidRDefault="00282DAE" w14:paraId="6062397D" w14:textId="77777777">
            <w:pPr>
              <w:widowControl/>
              <w:autoSpaceDE/>
              <w:autoSpaceDN/>
              <w:adjustRightInd/>
              <w:jc w:val="center"/>
              <w:rPr>
                <w:rFonts w:eastAsia="Calibri"/>
                <w:b/>
              </w:rPr>
            </w:pPr>
            <w:r w:rsidRPr="00282DAE">
              <w:rPr>
                <w:rFonts w:eastAsia="Calibri"/>
                <w:b/>
              </w:rPr>
              <w:t>Facility Type</w:t>
            </w:r>
          </w:p>
        </w:tc>
        <w:tc>
          <w:tcPr>
            <w:tcW w:w="714" w:type="pct"/>
            <w:shd w:val="clear" w:color="auto" w:fill="D9D9D9"/>
            <w:vAlign w:val="bottom"/>
          </w:tcPr>
          <w:p w:rsidRPr="00282DAE" w:rsidR="00282DAE" w:rsidP="00282DAE" w:rsidRDefault="00282DAE" w14:paraId="33446214" w14:textId="77777777">
            <w:pPr>
              <w:widowControl/>
              <w:autoSpaceDE/>
              <w:autoSpaceDN/>
              <w:adjustRightInd/>
              <w:jc w:val="center"/>
              <w:rPr>
                <w:rFonts w:eastAsia="Calibri"/>
                <w:b/>
              </w:rPr>
            </w:pPr>
            <w:r w:rsidRPr="00282DAE">
              <w:rPr>
                <w:rFonts w:eastAsia="Calibri"/>
                <w:b/>
              </w:rPr>
              <w:t>Filing Type</w:t>
            </w:r>
          </w:p>
        </w:tc>
        <w:tc>
          <w:tcPr>
            <w:tcW w:w="499" w:type="pct"/>
            <w:shd w:val="clear" w:color="auto" w:fill="D9D9D9"/>
            <w:vAlign w:val="bottom"/>
          </w:tcPr>
          <w:p w:rsidRPr="00282DAE" w:rsidR="00282DAE" w:rsidP="00282DAE" w:rsidRDefault="00282DAE" w14:paraId="617361CB" w14:textId="77777777">
            <w:pPr>
              <w:widowControl/>
              <w:autoSpaceDE/>
              <w:autoSpaceDN/>
              <w:adjustRightInd/>
              <w:jc w:val="center"/>
              <w:rPr>
                <w:rFonts w:eastAsia="Calibri"/>
                <w:b/>
              </w:rPr>
            </w:pPr>
            <w:r w:rsidRPr="00282DAE">
              <w:rPr>
                <w:rFonts w:eastAsia="Calibri"/>
                <w:b/>
              </w:rPr>
              <w:t>Number of Respondents</w:t>
            </w:r>
            <w:r w:rsidRPr="00282DAE">
              <w:rPr>
                <w:rFonts w:eastAsia="Calibri"/>
                <w:b/>
              </w:rPr>
              <w:br/>
              <w:t>(1)</w:t>
            </w:r>
          </w:p>
        </w:tc>
        <w:tc>
          <w:tcPr>
            <w:tcW w:w="509" w:type="pct"/>
            <w:shd w:val="clear" w:color="auto" w:fill="D9D9D9"/>
            <w:vAlign w:val="bottom"/>
          </w:tcPr>
          <w:p w:rsidRPr="00282DAE" w:rsidR="00282DAE" w:rsidP="00282DAE" w:rsidRDefault="00282DAE" w14:paraId="227BA25B" w14:textId="77777777">
            <w:pPr>
              <w:widowControl/>
              <w:autoSpaceDE/>
              <w:autoSpaceDN/>
              <w:adjustRightInd/>
              <w:jc w:val="center"/>
              <w:rPr>
                <w:rFonts w:eastAsia="Calibri"/>
                <w:b/>
              </w:rPr>
            </w:pPr>
            <w:r w:rsidRPr="00282DAE">
              <w:rPr>
                <w:rFonts w:eastAsia="Calibri"/>
                <w:b/>
              </w:rPr>
              <w:t xml:space="preserve">   Number of Responses per Respondent</w:t>
            </w:r>
          </w:p>
          <w:p w:rsidRPr="00282DAE" w:rsidR="00282DAE" w:rsidP="00282DAE" w:rsidRDefault="00282DAE" w14:paraId="7C104F54" w14:textId="77777777">
            <w:pPr>
              <w:widowControl/>
              <w:autoSpaceDE/>
              <w:autoSpaceDN/>
              <w:adjustRightInd/>
              <w:jc w:val="center"/>
              <w:rPr>
                <w:rFonts w:eastAsia="Calibri"/>
                <w:b/>
              </w:rPr>
            </w:pPr>
            <w:r w:rsidRPr="00282DAE">
              <w:rPr>
                <w:rFonts w:eastAsia="Calibri"/>
                <w:b/>
              </w:rPr>
              <w:t>(2)</w:t>
            </w:r>
          </w:p>
        </w:tc>
        <w:tc>
          <w:tcPr>
            <w:tcW w:w="547" w:type="pct"/>
            <w:shd w:val="clear" w:color="auto" w:fill="D9D9D9"/>
            <w:vAlign w:val="bottom"/>
          </w:tcPr>
          <w:p w:rsidRPr="00282DAE" w:rsidR="00282DAE" w:rsidP="00282DAE" w:rsidRDefault="00282DAE" w14:paraId="18C0344B" w14:textId="77777777">
            <w:pPr>
              <w:widowControl/>
              <w:autoSpaceDE/>
              <w:autoSpaceDN/>
              <w:adjustRightInd/>
              <w:jc w:val="center"/>
              <w:rPr>
                <w:rFonts w:eastAsia="Calibri"/>
                <w:b/>
              </w:rPr>
            </w:pPr>
            <w:r w:rsidRPr="00282DAE">
              <w:rPr>
                <w:rFonts w:eastAsia="Calibri"/>
                <w:b/>
              </w:rPr>
              <w:t>Total Number of Responses (1)*(2)=(3)</w:t>
            </w:r>
          </w:p>
        </w:tc>
        <w:tc>
          <w:tcPr>
            <w:tcW w:w="504" w:type="pct"/>
            <w:shd w:val="clear" w:color="auto" w:fill="D9D9D9"/>
            <w:vAlign w:val="bottom"/>
          </w:tcPr>
          <w:p w:rsidRPr="00282DAE" w:rsidR="00282DAE" w:rsidP="00282DAE" w:rsidRDefault="00282DAE" w14:paraId="20A2CE94" w14:textId="77777777">
            <w:pPr>
              <w:widowControl/>
              <w:autoSpaceDE/>
              <w:autoSpaceDN/>
              <w:adjustRightInd/>
              <w:jc w:val="center"/>
              <w:rPr>
                <w:rFonts w:eastAsia="Calibri"/>
                <w:b/>
              </w:rPr>
            </w:pPr>
            <w:r w:rsidRPr="00282DAE">
              <w:rPr>
                <w:rFonts w:eastAsia="Calibri"/>
                <w:b/>
              </w:rPr>
              <w:t>Average Burden Hours &amp; Cost Per Response</w:t>
            </w:r>
            <w:r w:rsidRPr="00282DAE">
              <w:rPr>
                <w:rFonts w:eastAsia="Calibri"/>
                <w:b/>
                <w:vertAlign w:val="superscript"/>
              </w:rPr>
              <w:footnoteReference w:id="8"/>
            </w:r>
          </w:p>
          <w:p w:rsidRPr="00282DAE" w:rsidR="00282DAE" w:rsidP="00282DAE" w:rsidRDefault="00282DAE" w14:paraId="20DBD97C" w14:textId="77777777">
            <w:pPr>
              <w:widowControl/>
              <w:autoSpaceDE/>
              <w:autoSpaceDN/>
              <w:adjustRightInd/>
              <w:jc w:val="center"/>
              <w:rPr>
                <w:rFonts w:eastAsia="Calibri"/>
                <w:b/>
              </w:rPr>
            </w:pPr>
            <w:r w:rsidRPr="00282DAE">
              <w:rPr>
                <w:rFonts w:eastAsia="Calibri"/>
                <w:b/>
              </w:rPr>
              <w:t>(4)</w:t>
            </w:r>
          </w:p>
        </w:tc>
        <w:tc>
          <w:tcPr>
            <w:tcW w:w="840" w:type="pct"/>
            <w:shd w:val="clear" w:color="auto" w:fill="D9D9D9"/>
            <w:vAlign w:val="bottom"/>
          </w:tcPr>
          <w:p w:rsidRPr="00282DAE" w:rsidR="00282DAE" w:rsidP="00282DAE" w:rsidRDefault="00282DAE" w14:paraId="2D333C18" w14:textId="77777777">
            <w:pPr>
              <w:widowControl/>
              <w:autoSpaceDE/>
              <w:autoSpaceDN/>
              <w:adjustRightInd/>
              <w:jc w:val="center"/>
              <w:rPr>
                <w:rFonts w:eastAsia="Calibri"/>
                <w:b/>
              </w:rPr>
            </w:pPr>
            <w:r w:rsidRPr="00282DAE">
              <w:rPr>
                <w:rFonts w:eastAsia="Calibri"/>
                <w:b/>
              </w:rPr>
              <w:t>Total Annual Burden Hours &amp; Total Annual Cost (rounded)</w:t>
            </w:r>
          </w:p>
          <w:p w:rsidRPr="00282DAE" w:rsidR="00282DAE" w:rsidP="00282DAE" w:rsidRDefault="00282DAE" w14:paraId="21953A97" w14:textId="77777777">
            <w:pPr>
              <w:widowControl/>
              <w:autoSpaceDE/>
              <w:autoSpaceDN/>
              <w:adjustRightInd/>
              <w:jc w:val="center"/>
              <w:rPr>
                <w:rFonts w:eastAsia="Calibri"/>
                <w:b/>
              </w:rPr>
            </w:pPr>
            <w:r w:rsidRPr="00282DAE">
              <w:rPr>
                <w:rFonts w:eastAsia="Calibri"/>
                <w:b/>
              </w:rPr>
              <w:t>(3)*(4)=(5)</w:t>
            </w:r>
          </w:p>
        </w:tc>
        <w:tc>
          <w:tcPr>
            <w:tcW w:w="631" w:type="pct"/>
            <w:shd w:val="clear" w:color="auto" w:fill="D9D9D9"/>
            <w:vAlign w:val="bottom"/>
          </w:tcPr>
          <w:p w:rsidRPr="00282DAE" w:rsidR="00282DAE" w:rsidP="00282DAE" w:rsidRDefault="00282DAE" w14:paraId="74F56C79" w14:textId="77777777">
            <w:pPr>
              <w:widowControl/>
              <w:autoSpaceDE/>
              <w:autoSpaceDN/>
              <w:adjustRightInd/>
              <w:jc w:val="center"/>
              <w:rPr>
                <w:rFonts w:eastAsia="Calibri"/>
                <w:b/>
              </w:rPr>
            </w:pPr>
            <w:r w:rsidRPr="00282DAE">
              <w:rPr>
                <w:rFonts w:eastAsia="Calibri"/>
                <w:b/>
              </w:rPr>
              <w:t>Cost per Respondent</w:t>
            </w:r>
          </w:p>
          <w:p w:rsidRPr="00282DAE" w:rsidR="00282DAE" w:rsidP="00282DAE" w:rsidRDefault="00282DAE" w14:paraId="064F51F3" w14:textId="77777777">
            <w:pPr>
              <w:widowControl/>
              <w:autoSpaceDE/>
              <w:autoSpaceDN/>
              <w:adjustRightInd/>
              <w:jc w:val="center"/>
              <w:rPr>
                <w:rFonts w:eastAsia="Calibri"/>
                <w:b/>
              </w:rPr>
            </w:pPr>
            <w:r w:rsidRPr="00282DAE">
              <w:rPr>
                <w:rFonts w:eastAsia="Calibri"/>
                <w:b/>
              </w:rPr>
              <w:t xml:space="preserve"> ($) (rounded)</w:t>
            </w:r>
          </w:p>
          <w:p w:rsidRPr="00282DAE" w:rsidR="00282DAE" w:rsidP="00282DAE" w:rsidRDefault="00282DAE" w14:paraId="2C0791A6" w14:textId="77777777">
            <w:pPr>
              <w:widowControl/>
              <w:autoSpaceDE/>
              <w:autoSpaceDN/>
              <w:adjustRightInd/>
              <w:jc w:val="center"/>
              <w:rPr>
                <w:rFonts w:eastAsia="Calibri"/>
                <w:b/>
              </w:rPr>
            </w:pPr>
            <w:r w:rsidRPr="00282DAE">
              <w:rPr>
                <w:rFonts w:eastAsia="Calibri"/>
                <w:b/>
              </w:rPr>
              <w:t>(5)÷(1)</w:t>
            </w:r>
          </w:p>
        </w:tc>
      </w:tr>
      <w:tr w:rsidRPr="00282DAE" w:rsidR="00282DAE" w:rsidTr="00292A75" w14:paraId="575BBCB1" w14:textId="77777777">
        <w:trPr>
          <w:cantSplit/>
        </w:trPr>
        <w:tc>
          <w:tcPr>
            <w:tcW w:w="756" w:type="pct"/>
            <w:vAlign w:val="center"/>
          </w:tcPr>
          <w:p w:rsidRPr="00282DAE" w:rsidR="00282DAE" w:rsidP="00282DAE" w:rsidRDefault="00724E39" w14:paraId="657E0959" w14:textId="35239418">
            <w:pPr>
              <w:widowControl/>
              <w:autoSpaceDE/>
              <w:autoSpaceDN/>
              <w:adjustRightInd/>
              <w:rPr>
                <w:rFonts w:eastAsia="Calibri"/>
              </w:rPr>
            </w:pPr>
            <w:r>
              <w:rPr>
                <w:rFonts w:eastAsia="Calibri"/>
              </w:rPr>
              <w:t>Co-generation</w:t>
            </w:r>
            <w:r w:rsidRPr="00282DAE" w:rsidR="00282DAE">
              <w:rPr>
                <w:rFonts w:eastAsia="Calibri"/>
              </w:rPr>
              <w:t xml:space="preserve"> Facility &gt; 1 MW</w:t>
            </w:r>
            <w:r w:rsidRPr="00282DAE" w:rsidR="00282DAE">
              <w:rPr>
                <w:rFonts w:eastAsia="Calibri"/>
                <w:b/>
                <w:vertAlign w:val="superscript"/>
              </w:rPr>
              <w:footnoteReference w:id="9"/>
            </w:r>
          </w:p>
        </w:tc>
        <w:tc>
          <w:tcPr>
            <w:tcW w:w="714" w:type="pct"/>
            <w:vAlign w:val="center"/>
          </w:tcPr>
          <w:p w:rsidRPr="00282DAE" w:rsidR="00282DAE" w:rsidP="00282DAE" w:rsidRDefault="00282DAE" w14:paraId="2F398C07" w14:textId="77777777">
            <w:pPr>
              <w:widowControl/>
              <w:autoSpaceDE/>
              <w:autoSpaceDN/>
              <w:adjustRightInd/>
              <w:rPr>
                <w:rFonts w:eastAsia="Calibri"/>
              </w:rPr>
            </w:pPr>
            <w:r w:rsidRPr="00282DAE">
              <w:rPr>
                <w:rFonts w:eastAsia="Calibri"/>
              </w:rPr>
              <w:t>Self-certification</w:t>
            </w:r>
          </w:p>
        </w:tc>
        <w:tc>
          <w:tcPr>
            <w:tcW w:w="499" w:type="pct"/>
            <w:vAlign w:val="center"/>
          </w:tcPr>
          <w:p w:rsidRPr="00282DAE" w:rsidR="00282DAE" w:rsidP="00282DAE" w:rsidRDefault="00282DAE" w14:paraId="4DBDA336" w14:textId="77777777">
            <w:pPr>
              <w:widowControl/>
              <w:autoSpaceDE/>
              <w:autoSpaceDN/>
              <w:adjustRightInd/>
              <w:jc w:val="right"/>
              <w:rPr>
                <w:rFonts w:eastAsia="Calibri"/>
              </w:rPr>
            </w:pPr>
            <w:r w:rsidRPr="00282DAE">
              <w:rPr>
                <w:rFonts w:eastAsia="Calibri"/>
              </w:rPr>
              <w:t>68</w:t>
            </w:r>
          </w:p>
        </w:tc>
        <w:tc>
          <w:tcPr>
            <w:tcW w:w="509" w:type="pct"/>
            <w:vAlign w:val="center"/>
          </w:tcPr>
          <w:p w:rsidRPr="00282DAE" w:rsidR="00282DAE" w:rsidP="00282DAE" w:rsidRDefault="00282DAE" w14:paraId="7F2B3112" w14:textId="77777777">
            <w:pPr>
              <w:widowControl/>
              <w:autoSpaceDE/>
              <w:autoSpaceDN/>
              <w:adjustRightInd/>
              <w:jc w:val="right"/>
              <w:rPr>
                <w:rFonts w:eastAsia="Calibri"/>
              </w:rPr>
            </w:pPr>
            <w:r w:rsidRPr="00282DAE">
              <w:rPr>
                <w:rFonts w:eastAsia="Calibri"/>
              </w:rPr>
              <w:t>2.14</w:t>
            </w:r>
          </w:p>
        </w:tc>
        <w:tc>
          <w:tcPr>
            <w:tcW w:w="547" w:type="pct"/>
            <w:vAlign w:val="center"/>
          </w:tcPr>
          <w:p w:rsidRPr="00282DAE" w:rsidR="00282DAE" w:rsidP="00282DAE" w:rsidRDefault="00282DAE" w14:paraId="3706734E" w14:textId="77777777">
            <w:pPr>
              <w:widowControl/>
              <w:autoSpaceDE/>
              <w:autoSpaceDN/>
              <w:adjustRightInd/>
              <w:jc w:val="right"/>
              <w:rPr>
                <w:rFonts w:eastAsia="Calibri"/>
              </w:rPr>
            </w:pPr>
            <w:r w:rsidRPr="00282DAE">
              <w:rPr>
                <w:rFonts w:eastAsia="Calibri"/>
              </w:rPr>
              <w:t>145.52</w:t>
            </w:r>
          </w:p>
        </w:tc>
        <w:tc>
          <w:tcPr>
            <w:tcW w:w="504" w:type="pct"/>
            <w:vAlign w:val="center"/>
          </w:tcPr>
          <w:p w:rsidRPr="00282DAE" w:rsidR="00282DAE" w:rsidP="00282DAE" w:rsidRDefault="00282DAE" w14:paraId="0D82433E" w14:textId="77777777">
            <w:pPr>
              <w:widowControl/>
              <w:autoSpaceDE/>
              <w:autoSpaceDN/>
              <w:adjustRightInd/>
              <w:jc w:val="right"/>
              <w:rPr>
                <w:rFonts w:eastAsia="Calibri"/>
              </w:rPr>
            </w:pPr>
            <w:r w:rsidRPr="00282DAE">
              <w:rPr>
                <w:rFonts w:eastAsia="Calibri"/>
              </w:rPr>
              <w:t xml:space="preserve">3.54 hrs; </w:t>
            </w:r>
          </w:p>
          <w:p w:rsidRPr="00282DAE" w:rsidR="00282DAE" w:rsidP="00282DAE" w:rsidRDefault="00282DAE" w14:paraId="595A5513" w14:textId="77777777">
            <w:pPr>
              <w:widowControl/>
              <w:autoSpaceDE/>
              <w:autoSpaceDN/>
              <w:adjustRightInd/>
              <w:jc w:val="right"/>
              <w:rPr>
                <w:rFonts w:eastAsia="Calibri"/>
              </w:rPr>
            </w:pPr>
            <w:r w:rsidRPr="00282DAE">
              <w:rPr>
                <w:rFonts w:eastAsia="Calibri"/>
              </w:rPr>
              <w:t>$307.98</w:t>
            </w:r>
          </w:p>
        </w:tc>
        <w:tc>
          <w:tcPr>
            <w:tcW w:w="840" w:type="pct"/>
            <w:vAlign w:val="center"/>
          </w:tcPr>
          <w:p w:rsidRPr="00282DAE" w:rsidR="00282DAE" w:rsidP="00282DAE" w:rsidRDefault="00282DAE" w14:paraId="797E928A" w14:textId="77777777">
            <w:pPr>
              <w:widowControl/>
              <w:autoSpaceDE/>
              <w:autoSpaceDN/>
              <w:adjustRightInd/>
              <w:jc w:val="right"/>
              <w:rPr>
                <w:rFonts w:eastAsia="Calibri"/>
              </w:rPr>
            </w:pPr>
            <w:r w:rsidRPr="00282DAE">
              <w:rPr>
                <w:rFonts w:eastAsia="Calibri"/>
              </w:rPr>
              <w:t xml:space="preserve"> 515.14 hrs; </w:t>
            </w:r>
          </w:p>
          <w:p w:rsidRPr="00282DAE" w:rsidR="00282DAE" w:rsidP="00282DAE" w:rsidRDefault="00282DAE" w14:paraId="07C8B3C5" w14:textId="77777777">
            <w:pPr>
              <w:widowControl/>
              <w:autoSpaceDE/>
              <w:autoSpaceDN/>
              <w:adjustRightInd/>
              <w:jc w:val="right"/>
              <w:rPr>
                <w:rFonts w:eastAsia="Calibri"/>
              </w:rPr>
            </w:pPr>
            <w:r w:rsidRPr="00282DAE">
              <w:rPr>
                <w:rFonts w:eastAsia="Calibri"/>
              </w:rPr>
              <w:t>$44,817.18</w:t>
            </w:r>
          </w:p>
        </w:tc>
        <w:tc>
          <w:tcPr>
            <w:tcW w:w="631" w:type="pct"/>
            <w:vAlign w:val="center"/>
          </w:tcPr>
          <w:p w:rsidRPr="00282DAE" w:rsidR="00282DAE" w:rsidP="00282DAE" w:rsidRDefault="00282DAE" w14:paraId="39A534F4" w14:textId="77777777">
            <w:pPr>
              <w:widowControl/>
              <w:autoSpaceDE/>
              <w:autoSpaceDN/>
              <w:adjustRightInd/>
              <w:jc w:val="right"/>
              <w:rPr>
                <w:rFonts w:eastAsia="Calibri"/>
              </w:rPr>
            </w:pPr>
            <w:r w:rsidRPr="00282DAE">
              <w:rPr>
                <w:rFonts w:eastAsia="Calibri"/>
              </w:rPr>
              <w:t>$659.07</w:t>
            </w:r>
          </w:p>
          <w:p w:rsidRPr="00282DAE" w:rsidR="00282DAE" w:rsidP="00282DAE" w:rsidRDefault="00282DAE" w14:paraId="11ED4AD0" w14:textId="77777777">
            <w:pPr>
              <w:widowControl/>
              <w:autoSpaceDE/>
              <w:autoSpaceDN/>
              <w:adjustRightInd/>
              <w:jc w:val="right"/>
              <w:rPr>
                <w:rFonts w:eastAsia="Calibri"/>
              </w:rPr>
            </w:pPr>
          </w:p>
        </w:tc>
      </w:tr>
      <w:tr w:rsidRPr="00282DAE" w:rsidR="00282DAE" w:rsidTr="00292A75" w14:paraId="2CCB7E24" w14:textId="77777777">
        <w:trPr>
          <w:cantSplit/>
          <w:trHeight w:val="530"/>
        </w:trPr>
        <w:tc>
          <w:tcPr>
            <w:tcW w:w="756" w:type="pct"/>
            <w:vAlign w:val="center"/>
          </w:tcPr>
          <w:p w:rsidRPr="00282DAE" w:rsidR="00282DAE" w:rsidP="00282DAE" w:rsidRDefault="00724E39" w14:paraId="7562B5CD" w14:textId="4B463198">
            <w:pPr>
              <w:widowControl/>
              <w:autoSpaceDE/>
              <w:autoSpaceDN/>
              <w:adjustRightInd/>
              <w:rPr>
                <w:rFonts w:eastAsia="Calibri"/>
              </w:rPr>
            </w:pPr>
            <w:r>
              <w:rPr>
                <w:rFonts w:eastAsia="Calibri"/>
              </w:rPr>
              <w:t>Co-generation</w:t>
            </w:r>
            <w:r w:rsidRPr="00282DAE" w:rsidR="00282DAE">
              <w:rPr>
                <w:rFonts w:eastAsia="Calibri"/>
              </w:rPr>
              <w:t xml:space="preserve"> Facility &gt; 1 MW</w:t>
            </w:r>
          </w:p>
        </w:tc>
        <w:tc>
          <w:tcPr>
            <w:tcW w:w="714" w:type="pct"/>
            <w:vAlign w:val="center"/>
          </w:tcPr>
          <w:p w:rsidRPr="00282DAE" w:rsidR="00282DAE" w:rsidP="00282DAE" w:rsidRDefault="00282DAE" w14:paraId="66E58211" w14:textId="77777777">
            <w:pPr>
              <w:widowControl/>
              <w:autoSpaceDE/>
              <w:autoSpaceDN/>
              <w:adjustRightInd/>
              <w:rPr>
                <w:rFonts w:eastAsia="Calibri"/>
              </w:rPr>
            </w:pPr>
            <w:r w:rsidRPr="00282DAE">
              <w:rPr>
                <w:rFonts w:eastAsia="Calibri"/>
              </w:rPr>
              <w:t>Application for FERC certification</w:t>
            </w:r>
          </w:p>
        </w:tc>
        <w:tc>
          <w:tcPr>
            <w:tcW w:w="499" w:type="pct"/>
            <w:vAlign w:val="center"/>
          </w:tcPr>
          <w:p w:rsidRPr="00282DAE" w:rsidR="00282DAE" w:rsidP="00282DAE" w:rsidRDefault="00282DAE" w14:paraId="0DBBA51D" w14:textId="77777777">
            <w:pPr>
              <w:widowControl/>
              <w:autoSpaceDE/>
              <w:autoSpaceDN/>
              <w:adjustRightInd/>
              <w:jc w:val="right"/>
              <w:rPr>
                <w:rFonts w:eastAsia="Calibri"/>
              </w:rPr>
            </w:pPr>
            <w:r w:rsidRPr="00282DAE">
              <w:rPr>
                <w:rFonts w:eastAsia="Calibri"/>
              </w:rPr>
              <w:t>28.89</w:t>
            </w:r>
          </w:p>
        </w:tc>
        <w:tc>
          <w:tcPr>
            <w:tcW w:w="509" w:type="pct"/>
            <w:vAlign w:val="center"/>
          </w:tcPr>
          <w:p w:rsidRPr="00282DAE" w:rsidR="00282DAE" w:rsidP="00282DAE" w:rsidRDefault="00282DAE" w14:paraId="72BA0254" w14:textId="77777777">
            <w:pPr>
              <w:widowControl/>
              <w:autoSpaceDE/>
              <w:autoSpaceDN/>
              <w:adjustRightInd/>
              <w:jc w:val="right"/>
              <w:rPr>
                <w:rFonts w:eastAsia="Calibri"/>
              </w:rPr>
            </w:pPr>
            <w:r w:rsidRPr="00282DAE">
              <w:rPr>
                <w:rFonts w:eastAsia="Calibri"/>
              </w:rPr>
              <w:t>2.14</w:t>
            </w:r>
          </w:p>
        </w:tc>
        <w:tc>
          <w:tcPr>
            <w:tcW w:w="547" w:type="pct"/>
            <w:vAlign w:val="center"/>
          </w:tcPr>
          <w:p w:rsidRPr="00282DAE" w:rsidR="00282DAE" w:rsidP="00282DAE" w:rsidRDefault="00282DAE" w14:paraId="64F84494" w14:textId="77777777">
            <w:pPr>
              <w:widowControl/>
              <w:autoSpaceDE/>
              <w:autoSpaceDN/>
              <w:adjustRightInd/>
              <w:jc w:val="right"/>
              <w:rPr>
                <w:rFonts w:eastAsia="Calibri"/>
              </w:rPr>
            </w:pPr>
            <w:r w:rsidRPr="00282DAE">
              <w:rPr>
                <w:rFonts w:eastAsia="Calibri"/>
              </w:rPr>
              <w:t>61.81</w:t>
            </w:r>
          </w:p>
        </w:tc>
        <w:tc>
          <w:tcPr>
            <w:tcW w:w="504" w:type="pct"/>
            <w:vAlign w:val="center"/>
          </w:tcPr>
          <w:p w:rsidRPr="00282DAE" w:rsidR="00282DAE" w:rsidP="00282DAE" w:rsidRDefault="00282DAE" w14:paraId="236BC98B" w14:textId="77777777">
            <w:pPr>
              <w:widowControl/>
              <w:autoSpaceDE/>
              <w:autoSpaceDN/>
              <w:adjustRightInd/>
              <w:jc w:val="right"/>
              <w:rPr>
                <w:rFonts w:eastAsia="Calibri"/>
              </w:rPr>
            </w:pPr>
            <w:r w:rsidRPr="00282DAE">
              <w:rPr>
                <w:rFonts w:eastAsia="Calibri"/>
              </w:rPr>
              <w:t xml:space="preserve">50 hrs; </w:t>
            </w:r>
          </w:p>
          <w:p w:rsidRPr="00282DAE" w:rsidR="00282DAE" w:rsidP="00282DAE" w:rsidRDefault="00282DAE" w14:paraId="791FA2EC" w14:textId="77777777">
            <w:pPr>
              <w:widowControl/>
              <w:autoSpaceDE/>
              <w:autoSpaceDN/>
              <w:adjustRightInd/>
              <w:jc w:val="right"/>
              <w:rPr>
                <w:rFonts w:eastAsia="Calibri"/>
              </w:rPr>
            </w:pPr>
            <w:r w:rsidRPr="00282DAE">
              <w:rPr>
                <w:rFonts w:eastAsia="Calibri"/>
              </w:rPr>
              <w:t>$4,350</w:t>
            </w:r>
          </w:p>
        </w:tc>
        <w:tc>
          <w:tcPr>
            <w:tcW w:w="840" w:type="pct"/>
            <w:vAlign w:val="center"/>
          </w:tcPr>
          <w:p w:rsidRPr="00282DAE" w:rsidR="00282DAE" w:rsidP="00282DAE" w:rsidRDefault="00282DAE" w14:paraId="4DBA383C" w14:textId="77777777">
            <w:pPr>
              <w:widowControl/>
              <w:autoSpaceDE/>
              <w:autoSpaceDN/>
              <w:adjustRightInd/>
              <w:jc w:val="right"/>
              <w:rPr>
                <w:rFonts w:eastAsia="Calibri"/>
              </w:rPr>
            </w:pPr>
            <w:r w:rsidRPr="00282DAE">
              <w:rPr>
                <w:rFonts w:eastAsia="Calibri"/>
              </w:rPr>
              <w:t xml:space="preserve">3,090.52 hrs; </w:t>
            </w:r>
          </w:p>
          <w:p w:rsidRPr="00282DAE" w:rsidR="00282DAE" w:rsidP="00282DAE" w:rsidRDefault="00282DAE" w14:paraId="7C0C436A" w14:textId="77777777">
            <w:pPr>
              <w:widowControl/>
              <w:autoSpaceDE/>
              <w:autoSpaceDN/>
              <w:adjustRightInd/>
              <w:jc w:val="right"/>
              <w:rPr>
                <w:rFonts w:eastAsia="Calibri"/>
              </w:rPr>
            </w:pPr>
            <w:r w:rsidRPr="00282DAE">
              <w:rPr>
                <w:rFonts w:eastAsia="Calibri"/>
              </w:rPr>
              <w:t>$268,875.24</w:t>
            </w:r>
          </w:p>
        </w:tc>
        <w:tc>
          <w:tcPr>
            <w:tcW w:w="631" w:type="pct"/>
            <w:vAlign w:val="center"/>
          </w:tcPr>
          <w:p w:rsidRPr="00282DAE" w:rsidR="00282DAE" w:rsidP="00282DAE" w:rsidRDefault="00282DAE" w14:paraId="7D832FBE" w14:textId="77777777">
            <w:pPr>
              <w:widowControl/>
              <w:autoSpaceDE/>
              <w:autoSpaceDN/>
              <w:adjustRightInd/>
              <w:jc w:val="right"/>
              <w:rPr>
                <w:rFonts w:eastAsia="Calibri"/>
              </w:rPr>
            </w:pPr>
            <w:r w:rsidRPr="00282DAE">
              <w:rPr>
                <w:rFonts w:eastAsia="Calibri"/>
              </w:rPr>
              <w:t>$930.26</w:t>
            </w:r>
          </w:p>
        </w:tc>
      </w:tr>
      <w:tr w:rsidRPr="00282DAE" w:rsidR="00282DAE" w:rsidTr="00292A75" w14:paraId="6C5B6717" w14:textId="77777777">
        <w:trPr>
          <w:cantSplit/>
        </w:trPr>
        <w:tc>
          <w:tcPr>
            <w:tcW w:w="756" w:type="pct"/>
            <w:vAlign w:val="center"/>
          </w:tcPr>
          <w:p w:rsidRPr="00282DAE" w:rsidR="00282DAE" w:rsidP="00282DAE" w:rsidRDefault="00282DAE" w14:paraId="15B2F722" w14:textId="77777777">
            <w:pPr>
              <w:widowControl/>
              <w:autoSpaceDE/>
              <w:autoSpaceDN/>
              <w:adjustRightInd/>
              <w:rPr>
                <w:rFonts w:eastAsia="Calibri"/>
              </w:rPr>
            </w:pPr>
            <w:r w:rsidRPr="00282DAE">
              <w:rPr>
                <w:rFonts w:eastAsia="Calibri"/>
              </w:rPr>
              <w:t>Small Power Production Facility &gt; 1 MW</w:t>
            </w:r>
          </w:p>
        </w:tc>
        <w:tc>
          <w:tcPr>
            <w:tcW w:w="714" w:type="pct"/>
            <w:vAlign w:val="center"/>
          </w:tcPr>
          <w:p w:rsidRPr="00282DAE" w:rsidR="00282DAE" w:rsidP="00282DAE" w:rsidRDefault="00282DAE" w14:paraId="0DBF94D8" w14:textId="77777777">
            <w:pPr>
              <w:widowControl/>
              <w:autoSpaceDE/>
              <w:autoSpaceDN/>
              <w:adjustRightInd/>
              <w:rPr>
                <w:rFonts w:eastAsia="Calibri"/>
              </w:rPr>
            </w:pPr>
            <w:r w:rsidRPr="00282DAE">
              <w:rPr>
                <w:rFonts w:eastAsia="Calibri"/>
              </w:rPr>
              <w:t>Self-certification</w:t>
            </w:r>
          </w:p>
        </w:tc>
        <w:tc>
          <w:tcPr>
            <w:tcW w:w="499" w:type="pct"/>
            <w:vAlign w:val="center"/>
          </w:tcPr>
          <w:p w:rsidRPr="00282DAE" w:rsidR="00282DAE" w:rsidP="00282DAE" w:rsidRDefault="00282DAE" w14:paraId="09BDCC82" w14:textId="77777777">
            <w:pPr>
              <w:widowControl/>
              <w:autoSpaceDE/>
              <w:autoSpaceDN/>
              <w:adjustRightInd/>
              <w:jc w:val="right"/>
              <w:rPr>
                <w:rFonts w:eastAsia="Calibri"/>
              </w:rPr>
            </w:pPr>
            <w:r w:rsidRPr="00282DAE">
              <w:rPr>
                <w:rFonts w:eastAsia="Calibri"/>
              </w:rPr>
              <w:t>2,698</w:t>
            </w:r>
          </w:p>
        </w:tc>
        <w:tc>
          <w:tcPr>
            <w:tcW w:w="509" w:type="pct"/>
            <w:vAlign w:val="center"/>
          </w:tcPr>
          <w:p w:rsidRPr="00282DAE" w:rsidR="00282DAE" w:rsidP="00282DAE" w:rsidRDefault="00282DAE" w14:paraId="515B46E1" w14:textId="77777777">
            <w:pPr>
              <w:widowControl/>
              <w:autoSpaceDE/>
              <w:autoSpaceDN/>
              <w:adjustRightInd/>
              <w:jc w:val="right"/>
              <w:rPr>
                <w:rFonts w:eastAsia="Calibri"/>
              </w:rPr>
            </w:pPr>
            <w:r w:rsidRPr="00282DAE">
              <w:rPr>
                <w:rFonts w:eastAsia="Calibri"/>
              </w:rPr>
              <w:t>2.14</w:t>
            </w:r>
          </w:p>
        </w:tc>
        <w:tc>
          <w:tcPr>
            <w:tcW w:w="547" w:type="pct"/>
            <w:vAlign w:val="center"/>
          </w:tcPr>
          <w:p w:rsidRPr="00282DAE" w:rsidR="00282DAE" w:rsidP="00282DAE" w:rsidRDefault="00282DAE" w14:paraId="35BB13A9" w14:textId="77777777">
            <w:pPr>
              <w:widowControl/>
              <w:autoSpaceDE/>
              <w:autoSpaceDN/>
              <w:adjustRightInd/>
              <w:jc w:val="right"/>
              <w:rPr>
                <w:rFonts w:eastAsia="Calibri"/>
              </w:rPr>
            </w:pPr>
            <w:r w:rsidRPr="00282DAE">
              <w:rPr>
                <w:rFonts w:eastAsia="Calibri"/>
              </w:rPr>
              <w:t>5,773.72</w:t>
            </w:r>
          </w:p>
        </w:tc>
        <w:tc>
          <w:tcPr>
            <w:tcW w:w="504" w:type="pct"/>
            <w:vAlign w:val="center"/>
          </w:tcPr>
          <w:p w:rsidRPr="00282DAE" w:rsidR="00282DAE" w:rsidP="00282DAE" w:rsidRDefault="00282DAE" w14:paraId="64EDFFC7" w14:textId="77777777">
            <w:pPr>
              <w:widowControl/>
              <w:autoSpaceDE/>
              <w:autoSpaceDN/>
              <w:adjustRightInd/>
              <w:jc w:val="right"/>
              <w:rPr>
                <w:rFonts w:eastAsia="Calibri"/>
              </w:rPr>
            </w:pPr>
            <w:r w:rsidRPr="00282DAE">
              <w:rPr>
                <w:rFonts w:eastAsia="Calibri"/>
              </w:rPr>
              <w:t xml:space="preserve">3.54 hrs; </w:t>
            </w:r>
          </w:p>
          <w:p w:rsidRPr="00282DAE" w:rsidR="00282DAE" w:rsidP="00282DAE" w:rsidRDefault="00282DAE" w14:paraId="197A56C7" w14:textId="77777777">
            <w:pPr>
              <w:widowControl/>
              <w:autoSpaceDE/>
              <w:autoSpaceDN/>
              <w:adjustRightInd/>
              <w:jc w:val="right"/>
              <w:rPr>
                <w:rFonts w:eastAsia="Calibri"/>
              </w:rPr>
            </w:pPr>
            <w:r w:rsidRPr="00282DAE">
              <w:rPr>
                <w:rFonts w:eastAsia="Calibri"/>
              </w:rPr>
              <w:t>$307.98</w:t>
            </w:r>
          </w:p>
        </w:tc>
        <w:tc>
          <w:tcPr>
            <w:tcW w:w="840" w:type="pct"/>
            <w:vAlign w:val="center"/>
          </w:tcPr>
          <w:p w:rsidRPr="00282DAE" w:rsidR="00282DAE" w:rsidP="00282DAE" w:rsidRDefault="00282DAE" w14:paraId="055FCFD6" w14:textId="77777777">
            <w:pPr>
              <w:widowControl/>
              <w:autoSpaceDE/>
              <w:autoSpaceDN/>
              <w:adjustRightInd/>
              <w:jc w:val="right"/>
              <w:rPr>
                <w:rFonts w:eastAsia="Calibri"/>
              </w:rPr>
            </w:pPr>
            <w:r w:rsidRPr="00282DAE">
              <w:rPr>
                <w:rFonts w:eastAsia="Calibri"/>
              </w:rPr>
              <w:t xml:space="preserve">20,438.97 hrs; </w:t>
            </w:r>
          </w:p>
          <w:p w:rsidRPr="00282DAE" w:rsidR="00282DAE" w:rsidP="00282DAE" w:rsidRDefault="00282DAE" w14:paraId="47B4F96B" w14:textId="77777777">
            <w:pPr>
              <w:widowControl/>
              <w:autoSpaceDE/>
              <w:autoSpaceDN/>
              <w:adjustRightInd/>
              <w:jc w:val="right"/>
              <w:rPr>
                <w:rFonts w:eastAsia="Calibri"/>
              </w:rPr>
            </w:pPr>
            <w:r w:rsidRPr="00282DAE">
              <w:rPr>
                <w:rFonts w:eastAsia="Calibri"/>
              </w:rPr>
              <w:t>$1,778,190.39</w:t>
            </w:r>
          </w:p>
        </w:tc>
        <w:tc>
          <w:tcPr>
            <w:tcW w:w="631" w:type="pct"/>
            <w:vAlign w:val="center"/>
          </w:tcPr>
          <w:p w:rsidRPr="00282DAE" w:rsidR="00282DAE" w:rsidP="00282DAE" w:rsidRDefault="00282DAE" w14:paraId="04D14BF3" w14:textId="77777777">
            <w:pPr>
              <w:widowControl/>
              <w:autoSpaceDE/>
              <w:autoSpaceDN/>
              <w:adjustRightInd/>
              <w:jc w:val="right"/>
              <w:rPr>
                <w:rFonts w:eastAsia="Calibri"/>
              </w:rPr>
            </w:pPr>
            <w:r w:rsidRPr="00282DAE">
              <w:rPr>
                <w:rFonts w:eastAsia="Calibri"/>
              </w:rPr>
              <w:t>$659.07</w:t>
            </w:r>
          </w:p>
        </w:tc>
      </w:tr>
      <w:tr w:rsidRPr="00282DAE" w:rsidR="00282DAE" w:rsidTr="00292A75" w14:paraId="2E67D408" w14:textId="77777777">
        <w:trPr>
          <w:cantSplit/>
        </w:trPr>
        <w:tc>
          <w:tcPr>
            <w:tcW w:w="756" w:type="pct"/>
            <w:vAlign w:val="center"/>
          </w:tcPr>
          <w:p w:rsidRPr="00282DAE" w:rsidR="00282DAE" w:rsidP="00282DAE" w:rsidRDefault="00282DAE" w14:paraId="098ED7F1" w14:textId="77777777">
            <w:pPr>
              <w:widowControl/>
              <w:autoSpaceDE/>
              <w:autoSpaceDN/>
              <w:adjustRightInd/>
              <w:rPr>
                <w:rFonts w:eastAsia="Calibri"/>
              </w:rPr>
            </w:pPr>
            <w:r w:rsidRPr="00282DAE">
              <w:rPr>
                <w:rFonts w:eastAsia="Calibri"/>
              </w:rPr>
              <w:t>Small Power Production Facility &gt; 1 MW</w:t>
            </w:r>
          </w:p>
        </w:tc>
        <w:tc>
          <w:tcPr>
            <w:tcW w:w="714" w:type="pct"/>
            <w:vAlign w:val="center"/>
          </w:tcPr>
          <w:p w:rsidRPr="00282DAE" w:rsidR="00282DAE" w:rsidP="00282DAE" w:rsidRDefault="00282DAE" w14:paraId="47FEF252" w14:textId="77777777">
            <w:pPr>
              <w:widowControl/>
              <w:autoSpaceDE/>
              <w:autoSpaceDN/>
              <w:adjustRightInd/>
              <w:rPr>
                <w:rFonts w:eastAsia="Calibri"/>
              </w:rPr>
            </w:pPr>
            <w:r w:rsidRPr="00282DAE">
              <w:rPr>
                <w:rFonts w:eastAsia="Calibri"/>
              </w:rPr>
              <w:t>Application for FERC certification</w:t>
            </w:r>
          </w:p>
        </w:tc>
        <w:tc>
          <w:tcPr>
            <w:tcW w:w="499" w:type="pct"/>
            <w:vAlign w:val="center"/>
          </w:tcPr>
          <w:p w:rsidRPr="00282DAE" w:rsidR="00282DAE" w:rsidP="00282DAE" w:rsidRDefault="00282DAE" w14:paraId="1AA30F5B" w14:textId="77777777">
            <w:pPr>
              <w:widowControl/>
              <w:autoSpaceDE/>
              <w:autoSpaceDN/>
              <w:adjustRightInd/>
              <w:jc w:val="right"/>
              <w:rPr>
                <w:rFonts w:eastAsia="Calibri"/>
              </w:rPr>
            </w:pPr>
            <w:r w:rsidRPr="00282DAE">
              <w:rPr>
                <w:rFonts w:eastAsia="Calibri"/>
              </w:rPr>
              <w:t>0</w:t>
            </w:r>
          </w:p>
        </w:tc>
        <w:tc>
          <w:tcPr>
            <w:tcW w:w="509" w:type="pct"/>
            <w:vAlign w:val="center"/>
          </w:tcPr>
          <w:p w:rsidRPr="00282DAE" w:rsidR="00282DAE" w:rsidP="00282DAE" w:rsidRDefault="00282DAE" w14:paraId="7C90C82F" w14:textId="77777777">
            <w:pPr>
              <w:widowControl/>
              <w:autoSpaceDE/>
              <w:autoSpaceDN/>
              <w:adjustRightInd/>
              <w:jc w:val="right"/>
              <w:rPr>
                <w:rFonts w:eastAsia="Calibri"/>
              </w:rPr>
            </w:pPr>
            <w:r w:rsidRPr="00282DAE">
              <w:rPr>
                <w:rFonts w:eastAsia="Calibri"/>
              </w:rPr>
              <w:t>2.14</w:t>
            </w:r>
          </w:p>
        </w:tc>
        <w:tc>
          <w:tcPr>
            <w:tcW w:w="547" w:type="pct"/>
            <w:vAlign w:val="center"/>
          </w:tcPr>
          <w:p w:rsidRPr="00282DAE" w:rsidR="00282DAE" w:rsidP="00282DAE" w:rsidRDefault="00282DAE" w14:paraId="595CA0C5" w14:textId="77777777">
            <w:pPr>
              <w:widowControl/>
              <w:autoSpaceDE/>
              <w:autoSpaceDN/>
              <w:adjustRightInd/>
              <w:jc w:val="right"/>
              <w:rPr>
                <w:rFonts w:eastAsia="Calibri"/>
              </w:rPr>
            </w:pPr>
            <w:r w:rsidRPr="00282DAE">
              <w:rPr>
                <w:rFonts w:eastAsia="Calibri"/>
              </w:rPr>
              <w:t>0</w:t>
            </w:r>
          </w:p>
        </w:tc>
        <w:tc>
          <w:tcPr>
            <w:tcW w:w="504" w:type="pct"/>
            <w:vAlign w:val="center"/>
          </w:tcPr>
          <w:p w:rsidRPr="00282DAE" w:rsidR="00282DAE" w:rsidP="00282DAE" w:rsidRDefault="00282DAE" w14:paraId="51907C68" w14:textId="77777777">
            <w:pPr>
              <w:widowControl/>
              <w:autoSpaceDE/>
              <w:autoSpaceDN/>
              <w:adjustRightInd/>
              <w:jc w:val="right"/>
              <w:rPr>
                <w:rFonts w:eastAsia="Calibri"/>
              </w:rPr>
            </w:pPr>
            <w:r w:rsidRPr="00282DAE">
              <w:rPr>
                <w:rFonts w:eastAsia="Calibri"/>
              </w:rPr>
              <w:t xml:space="preserve">50 hrs; </w:t>
            </w:r>
          </w:p>
          <w:p w:rsidRPr="00282DAE" w:rsidR="00282DAE" w:rsidP="00282DAE" w:rsidRDefault="00282DAE" w14:paraId="2F018FA1" w14:textId="77777777">
            <w:pPr>
              <w:widowControl/>
              <w:autoSpaceDE/>
              <w:autoSpaceDN/>
              <w:adjustRightInd/>
              <w:jc w:val="right"/>
              <w:rPr>
                <w:rFonts w:eastAsia="Calibri"/>
              </w:rPr>
            </w:pPr>
            <w:r w:rsidRPr="00282DAE">
              <w:rPr>
                <w:rFonts w:eastAsia="Calibri"/>
              </w:rPr>
              <w:t>$4,350</w:t>
            </w:r>
          </w:p>
        </w:tc>
        <w:tc>
          <w:tcPr>
            <w:tcW w:w="840" w:type="pct"/>
            <w:vAlign w:val="center"/>
          </w:tcPr>
          <w:p w:rsidRPr="00282DAE" w:rsidR="00282DAE" w:rsidP="00282DAE" w:rsidRDefault="00282DAE" w14:paraId="69EFD1E7" w14:textId="77777777">
            <w:pPr>
              <w:widowControl/>
              <w:autoSpaceDE/>
              <w:autoSpaceDN/>
              <w:adjustRightInd/>
              <w:jc w:val="right"/>
              <w:rPr>
                <w:rFonts w:eastAsia="Calibri"/>
              </w:rPr>
            </w:pPr>
            <w:r w:rsidRPr="00282DAE">
              <w:rPr>
                <w:rFonts w:eastAsia="Calibri"/>
              </w:rPr>
              <w:t xml:space="preserve">0 hrs; </w:t>
            </w:r>
          </w:p>
          <w:p w:rsidRPr="00282DAE" w:rsidR="00282DAE" w:rsidP="00282DAE" w:rsidRDefault="00282DAE" w14:paraId="30547086" w14:textId="77777777">
            <w:pPr>
              <w:widowControl/>
              <w:autoSpaceDE/>
              <w:autoSpaceDN/>
              <w:adjustRightInd/>
              <w:jc w:val="right"/>
              <w:rPr>
                <w:rFonts w:eastAsia="Calibri"/>
              </w:rPr>
            </w:pPr>
            <w:r w:rsidRPr="00282DAE">
              <w:rPr>
                <w:rFonts w:eastAsia="Calibri"/>
              </w:rPr>
              <w:t>$0</w:t>
            </w:r>
          </w:p>
        </w:tc>
        <w:tc>
          <w:tcPr>
            <w:tcW w:w="631" w:type="pct"/>
            <w:vAlign w:val="center"/>
          </w:tcPr>
          <w:p w:rsidRPr="00282DAE" w:rsidR="00282DAE" w:rsidP="00282DAE" w:rsidRDefault="00282DAE" w14:paraId="326D83D8" w14:textId="77777777">
            <w:pPr>
              <w:widowControl/>
              <w:autoSpaceDE/>
              <w:autoSpaceDN/>
              <w:adjustRightInd/>
              <w:jc w:val="right"/>
              <w:rPr>
                <w:rFonts w:eastAsia="Calibri"/>
              </w:rPr>
            </w:pPr>
            <w:r w:rsidRPr="00282DAE">
              <w:rPr>
                <w:rFonts w:eastAsia="Calibri"/>
              </w:rPr>
              <w:t>$0</w:t>
            </w:r>
          </w:p>
        </w:tc>
      </w:tr>
      <w:tr w:rsidRPr="00282DAE" w:rsidR="00282DAE" w:rsidTr="00292A75" w14:paraId="56F133D9" w14:textId="77777777">
        <w:trPr>
          <w:cantSplit/>
        </w:trPr>
        <w:tc>
          <w:tcPr>
            <w:tcW w:w="756" w:type="pct"/>
            <w:vAlign w:val="center"/>
          </w:tcPr>
          <w:p w:rsidRPr="00282DAE" w:rsidR="00282DAE" w:rsidP="00282DAE" w:rsidRDefault="00724E39" w14:paraId="603DF339" w14:textId="3C2D2740">
            <w:pPr>
              <w:widowControl/>
              <w:autoSpaceDE/>
              <w:autoSpaceDN/>
              <w:adjustRightInd/>
              <w:rPr>
                <w:rFonts w:eastAsia="Calibri"/>
              </w:rPr>
            </w:pPr>
            <w:r>
              <w:rPr>
                <w:rFonts w:eastAsia="Calibri"/>
              </w:rPr>
              <w:t>Co-generation</w:t>
            </w:r>
            <w:r w:rsidRPr="00282DAE" w:rsidR="00282DAE">
              <w:rPr>
                <w:rFonts w:eastAsia="Calibri"/>
              </w:rPr>
              <w:t xml:space="preserve"> and Small Power Production Facility ≤ 1 MW (Self-Certification)</w:t>
            </w:r>
            <w:r w:rsidRPr="00282DAE" w:rsidR="00282DAE">
              <w:rPr>
                <w:rFonts w:eastAsia="Calibri"/>
                <w:b/>
                <w:vertAlign w:val="superscript"/>
              </w:rPr>
              <w:footnoteReference w:id="10"/>
            </w:r>
          </w:p>
        </w:tc>
        <w:tc>
          <w:tcPr>
            <w:tcW w:w="714" w:type="pct"/>
            <w:vAlign w:val="center"/>
          </w:tcPr>
          <w:p w:rsidRPr="00282DAE" w:rsidR="00282DAE" w:rsidP="00282DAE" w:rsidRDefault="00282DAE" w14:paraId="43A8B403" w14:textId="77777777">
            <w:pPr>
              <w:widowControl/>
              <w:autoSpaceDE/>
              <w:autoSpaceDN/>
              <w:adjustRightInd/>
              <w:rPr>
                <w:rFonts w:eastAsia="Calibri"/>
              </w:rPr>
            </w:pPr>
            <w:r w:rsidRPr="00282DAE">
              <w:rPr>
                <w:rFonts w:eastAsia="Calibri"/>
              </w:rPr>
              <w:t>Self-certification</w:t>
            </w:r>
          </w:p>
        </w:tc>
        <w:tc>
          <w:tcPr>
            <w:tcW w:w="499" w:type="pct"/>
            <w:vAlign w:val="center"/>
          </w:tcPr>
          <w:p w:rsidRPr="00282DAE" w:rsidR="00282DAE" w:rsidP="00282DAE" w:rsidRDefault="00282DAE" w14:paraId="3A0EBCEB" w14:textId="77777777">
            <w:pPr>
              <w:widowControl/>
              <w:autoSpaceDE/>
              <w:autoSpaceDN/>
              <w:adjustRightInd/>
              <w:jc w:val="right"/>
              <w:rPr>
                <w:rFonts w:eastAsia="Calibri"/>
              </w:rPr>
            </w:pPr>
            <w:r w:rsidRPr="00282DAE">
              <w:rPr>
                <w:rFonts w:eastAsia="Calibri"/>
              </w:rPr>
              <w:t>697</w:t>
            </w:r>
          </w:p>
        </w:tc>
        <w:tc>
          <w:tcPr>
            <w:tcW w:w="509" w:type="pct"/>
            <w:vAlign w:val="center"/>
          </w:tcPr>
          <w:p w:rsidRPr="00282DAE" w:rsidR="00282DAE" w:rsidP="00282DAE" w:rsidRDefault="00282DAE" w14:paraId="62725770" w14:textId="77777777">
            <w:pPr>
              <w:widowControl/>
              <w:autoSpaceDE/>
              <w:autoSpaceDN/>
              <w:adjustRightInd/>
              <w:jc w:val="right"/>
              <w:rPr>
                <w:rFonts w:eastAsia="Calibri"/>
              </w:rPr>
            </w:pPr>
            <w:r w:rsidRPr="00282DAE">
              <w:rPr>
                <w:rFonts w:eastAsia="Calibri"/>
              </w:rPr>
              <w:t>2.14</w:t>
            </w:r>
          </w:p>
        </w:tc>
        <w:tc>
          <w:tcPr>
            <w:tcW w:w="547" w:type="pct"/>
            <w:vAlign w:val="center"/>
          </w:tcPr>
          <w:p w:rsidRPr="00282DAE" w:rsidR="00282DAE" w:rsidP="00282DAE" w:rsidRDefault="00282DAE" w14:paraId="57915C3F" w14:textId="77777777">
            <w:pPr>
              <w:widowControl/>
              <w:autoSpaceDE/>
              <w:autoSpaceDN/>
              <w:adjustRightInd/>
              <w:jc w:val="center"/>
              <w:rPr>
                <w:rFonts w:eastAsia="Calibri"/>
              </w:rPr>
            </w:pPr>
            <w:r w:rsidRPr="00282DAE">
              <w:rPr>
                <w:rFonts w:eastAsia="Calibri"/>
              </w:rPr>
              <w:t>1,491.58</w:t>
            </w:r>
          </w:p>
        </w:tc>
        <w:tc>
          <w:tcPr>
            <w:tcW w:w="504" w:type="pct"/>
            <w:vAlign w:val="center"/>
          </w:tcPr>
          <w:p w:rsidRPr="00282DAE" w:rsidR="00282DAE" w:rsidP="00282DAE" w:rsidRDefault="00282DAE" w14:paraId="7E8CC0B0" w14:textId="77777777">
            <w:pPr>
              <w:widowControl/>
              <w:autoSpaceDE/>
              <w:autoSpaceDN/>
              <w:adjustRightInd/>
              <w:jc w:val="right"/>
              <w:rPr>
                <w:rFonts w:eastAsia="Calibri"/>
              </w:rPr>
            </w:pPr>
            <w:r w:rsidRPr="00282DAE">
              <w:rPr>
                <w:rFonts w:eastAsia="Calibri"/>
              </w:rPr>
              <w:t xml:space="preserve">3.54 hrs; </w:t>
            </w:r>
          </w:p>
          <w:p w:rsidRPr="00282DAE" w:rsidR="00282DAE" w:rsidP="00282DAE" w:rsidRDefault="00282DAE" w14:paraId="78C91E0A" w14:textId="77777777">
            <w:pPr>
              <w:widowControl/>
              <w:autoSpaceDE/>
              <w:autoSpaceDN/>
              <w:adjustRightInd/>
              <w:jc w:val="right"/>
              <w:rPr>
                <w:rFonts w:eastAsia="Calibri"/>
              </w:rPr>
            </w:pPr>
            <w:r w:rsidRPr="00282DAE">
              <w:rPr>
                <w:rFonts w:eastAsia="Calibri"/>
              </w:rPr>
              <w:t>$307.98</w:t>
            </w:r>
          </w:p>
        </w:tc>
        <w:tc>
          <w:tcPr>
            <w:tcW w:w="840" w:type="pct"/>
            <w:vAlign w:val="center"/>
          </w:tcPr>
          <w:p w:rsidRPr="00282DAE" w:rsidR="00282DAE" w:rsidP="00282DAE" w:rsidRDefault="00282DAE" w14:paraId="56925A72" w14:textId="77777777">
            <w:pPr>
              <w:widowControl/>
              <w:autoSpaceDE/>
              <w:autoSpaceDN/>
              <w:adjustRightInd/>
              <w:jc w:val="right"/>
              <w:rPr>
                <w:rFonts w:eastAsia="Calibri"/>
              </w:rPr>
            </w:pPr>
            <w:r w:rsidRPr="00282DAE">
              <w:rPr>
                <w:rFonts w:eastAsia="Calibri"/>
              </w:rPr>
              <w:t xml:space="preserve">2,237.37 hrs; </w:t>
            </w:r>
          </w:p>
          <w:p w:rsidRPr="00282DAE" w:rsidR="00282DAE" w:rsidP="00282DAE" w:rsidRDefault="00282DAE" w14:paraId="47A4A825" w14:textId="77777777">
            <w:pPr>
              <w:widowControl/>
              <w:autoSpaceDE/>
              <w:autoSpaceDN/>
              <w:adjustRightInd/>
              <w:jc w:val="right"/>
              <w:rPr>
                <w:rFonts w:eastAsia="Calibri"/>
              </w:rPr>
            </w:pPr>
            <w:r w:rsidRPr="00282DAE">
              <w:rPr>
                <w:rFonts w:eastAsia="Calibri"/>
              </w:rPr>
              <w:t>$194,651.19</w:t>
            </w:r>
          </w:p>
        </w:tc>
        <w:tc>
          <w:tcPr>
            <w:tcW w:w="631" w:type="pct"/>
            <w:vAlign w:val="center"/>
          </w:tcPr>
          <w:p w:rsidRPr="00282DAE" w:rsidR="00282DAE" w:rsidP="00282DAE" w:rsidRDefault="00282DAE" w14:paraId="12D38064" w14:textId="77777777">
            <w:pPr>
              <w:widowControl/>
              <w:autoSpaceDE/>
              <w:autoSpaceDN/>
              <w:adjustRightInd/>
              <w:jc w:val="right"/>
              <w:rPr>
                <w:rFonts w:eastAsia="Calibri"/>
              </w:rPr>
            </w:pPr>
            <w:r w:rsidRPr="00282DAE">
              <w:rPr>
                <w:rFonts w:eastAsia="Calibri"/>
              </w:rPr>
              <w:t>$279.27</w:t>
            </w:r>
          </w:p>
        </w:tc>
      </w:tr>
      <w:tr w:rsidRPr="00282DAE" w:rsidR="00282DAE" w:rsidTr="00292A75" w14:paraId="2A24E396" w14:textId="77777777">
        <w:trPr>
          <w:cantSplit/>
        </w:trPr>
        <w:tc>
          <w:tcPr>
            <w:tcW w:w="756" w:type="pct"/>
          </w:tcPr>
          <w:p w:rsidRPr="00282DAE" w:rsidR="00282DAE" w:rsidP="00282DAE" w:rsidRDefault="00282DAE" w14:paraId="7E5EFC85" w14:textId="77777777">
            <w:pPr>
              <w:widowControl/>
              <w:autoSpaceDE/>
              <w:autoSpaceDN/>
              <w:adjustRightInd/>
              <w:rPr>
                <w:rFonts w:eastAsia="Calibri"/>
                <w:b/>
              </w:rPr>
            </w:pPr>
            <w:r w:rsidRPr="00282DAE">
              <w:rPr>
                <w:rFonts w:eastAsia="Calibri"/>
                <w:b/>
              </w:rPr>
              <w:t>TOTAL</w:t>
            </w:r>
          </w:p>
        </w:tc>
        <w:tc>
          <w:tcPr>
            <w:tcW w:w="714" w:type="pct"/>
          </w:tcPr>
          <w:p w:rsidRPr="00282DAE" w:rsidR="00282DAE" w:rsidP="00282DAE" w:rsidRDefault="00282DAE" w14:paraId="1D0A81B7" w14:textId="77777777">
            <w:pPr>
              <w:widowControl/>
              <w:autoSpaceDE/>
              <w:autoSpaceDN/>
              <w:adjustRightInd/>
              <w:jc w:val="right"/>
              <w:rPr>
                <w:rFonts w:eastAsia="Calibri"/>
                <w:b/>
              </w:rPr>
            </w:pPr>
          </w:p>
        </w:tc>
        <w:tc>
          <w:tcPr>
            <w:tcW w:w="499" w:type="pct"/>
            <w:vAlign w:val="center"/>
          </w:tcPr>
          <w:p w:rsidRPr="00282DAE" w:rsidR="00282DAE" w:rsidP="00282DAE" w:rsidRDefault="00282DAE" w14:paraId="371F05A6" w14:textId="77777777">
            <w:pPr>
              <w:widowControl/>
              <w:autoSpaceDE/>
              <w:autoSpaceDN/>
              <w:adjustRightInd/>
              <w:jc w:val="right"/>
              <w:rPr>
                <w:rFonts w:eastAsia="Calibri"/>
                <w:b/>
              </w:rPr>
            </w:pPr>
            <w:r w:rsidRPr="00282DAE">
              <w:rPr>
                <w:rFonts w:eastAsia="Calibri"/>
                <w:b/>
              </w:rPr>
              <w:t>3,469</w:t>
            </w:r>
          </w:p>
        </w:tc>
        <w:tc>
          <w:tcPr>
            <w:tcW w:w="509" w:type="pct"/>
            <w:shd w:val="clear" w:color="auto" w:fill="auto"/>
            <w:vAlign w:val="center"/>
          </w:tcPr>
          <w:p w:rsidRPr="00282DAE" w:rsidR="00282DAE" w:rsidP="00282DAE" w:rsidRDefault="00282DAE" w14:paraId="3C2885AD" w14:textId="77777777">
            <w:pPr>
              <w:widowControl/>
              <w:autoSpaceDE/>
              <w:autoSpaceDN/>
              <w:adjustRightInd/>
              <w:jc w:val="right"/>
              <w:rPr>
                <w:rFonts w:eastAsia="Calibri"/>
                <w:b/>
              </w:rPr>
            </w:pPr>
          </w:p>
        </w:tc>
        <w:tc>
          <w:tcPr>
            <w:tcW w:w="547" w:type="pct"/>
            <w:shd w:val="clear" w:color="auto" w:fill="auto"/>
            <w:vAlign w:val="center"/>
          </w:tcPr>
          <w:p w:rsidRPr="00282DAE" w:rsidR="00282DAE" w:rsidP="00282DAE" w:rsidRDefault="00282DAE" w14:paraId="799D058D" w14:textId="77777777">
            <w:pPr>
              <w:widowControl/>
              <w:autoSpaceDE/>
              <w:autoSpaceDN/>
              <w:adjustRightInd/>
              <w:jc w:val="right"/>
              <w:rPr>
                <w:rFonts w:eastAsia="Calibri"/>
                <w:b/>
              </w:rPr>
            </w:pPr>
            <w:r w:rsidRPr="00282DAE">
              <w:rPr>
                <w:rFonts w:eastAsia="Calibri"/>
                <w:b/>
              </w:rPr>
              <w:t>7,423.66</w:t>
            </w:r>
          </w:p>
        </w:tc>
        <w:tc>
          <w:tcPr>
            <w:tcW w:w="504" w:type="pct"/>
            <w:shd w:val="clear" w:color="auto" w:fill="BFBFBF"/>
            <w:vAlign w:val="center"/>
          </w:tcPr>
          <w:p w:rsidRPr="00282DAE" w:rsidR="00282DAE" w:rsidP="00282DAE" w:rsidRDefault="00282DAE" w14:paraId="17EAEBE9" w14:textId="77777777">
            <w:pPr>
              <w:widowControl/>
              <w:autoSpaceDE/>
              <w:autoSpaceDN/>
              <w:adjustRightInd/>
              <w:jc w:val="right"/>
              <w:rPr>
                <w:rFonts w:eastAsia="Calibri"/>
                <w:b/>
              </w:rPr>
            </w:pPr>
          </w:p>
        </w:tc>
        <w:tc>
          <w:tcPr>
            <w:tcW w:w="840" w:type="pct"/>
            <w:vAlign w:val="center"/>
          </w:tcPr>
          <w:p w:rsidRPr="00282DAE" w:rsidR="00282DAE" w:rsidP="00282DAE" w:rsidRDefault="00282DAE" w14:paraId="2A68FC86" w14:textId="77777777">
            <w:pPr>
              <w:widowControl/>
              <w:autoSpaceDE/>
              <w:autoSpaceDN/>
              <w:adjustRightInd/>
              <w:jc w:val="right"/>
              <w:rPr>
                <w:rFonts w:eastAsia="Calibri"/>
                <w:b/>
              </w:rPr>
            </w:pPr>
            <w:r w:rsidRPr="00282DAE">
              <w:rPr>
                <w:rFonts w:eastAsia="Calibri"/>
                <w:b/>
              </w:rPr>
              <w:t xml:space="preserve">26,282 hrs; </w:t>
            </w:r>
          </w:p>
          <w:p w:rsidRPr="00282DAE" w:rsidR="00282DAE" w:rsidP="00282DAE" w:rsidRDefault="00282DAE" w14:paraId="18AC60F9" w14:textId="77777777">
            <w:pPr>
              <w:widowControl/>
              <w:autoSpaceDE/>
              <w:autoSpaceDN/>
              <w:adjustRightInd/>
              <w:jc w:val="right"/>
              <w:rPr>
                <w:rFonts w:eastAsia="Calibri"/>
                <w:b/>
              </w:rPr>
            </w:pPr>
            <w:r w:rsidRPr="00282DAE">
              <w:rPr>
                <w:rFonts w:eastAsia="Calibri"/>
                <w:b/>
              </w:rPr>
              <w:t>$2,286,534</w:t>
            </w:r>
          </w:p>
        </w:tc>
        <w:tc>
          <w:tcPr>
            <w:tcW w:w="631" w:type="pct"/>
            <w:shd w:val="clear" w:color="auto" w:fill="BFBFBF"/>
            <w:vAlign w:val="center"/>
          </w:tcPr>
          <w:p w:rsidRPr="00282DAE" w:rsidR="00282DAE" w:rsidP="00282DAE" w:rsidRDefault="00282DAE" w14:paraId="2810DE17" w14:textId="77777777">
            <w:pPr>
              <w:widowControl/>
              <w:autoSpaceDE/>
              <w:autoSpaceDN/>
              <w:adjustRightInd/>
              <w:jc w:val="right"/>
              <w:rPr>
                <w:rFonts w:eastAsia="Calibri"/>
              </w:rPr>
            </w:pPr>
          </w:p>
        </w:tc>
      </w:tr>
    </w:tbl>
    <w:p w:rsidR="0069439B" w:rsidP="00380C05" w:rsidRDefault="0069439B" w14:paraId="5B3BE1D8" w14:textId="77777777">
      <w:pPr>
        <w:pStyle w:val="FERCparanumber"/>
        <w:numPr>
          <w:ilvl w:val="0"/>
          <w:numId w:val="0"/>
        </w:numPr>
        <w:rPr>
          <w:sz w:val="24"/>
        </w:rPr>
      </w:pPr>
    </w:p>
    <w:p w:rsidR="00380C05" w:rsidP="00380C05" w:rsidRDefault="0069439B" w14:paraId="76F717F4" w14:textId="7D159A22">
      <w:pPr>
        <w:pStyle w:val="FERCparanumber"/>
        <w:numPr>
          <w:ilvl w:val="0"/>
          <w:numId w:val="0"/>
        </w:numPr>
        <w:rPr>
          <w:sz w:val="24"/>
        </w:rPr>
      </w:pPr>
      <w:r w:rsidRPr="00D314D3">
        <w:rPr>
          <w:sz w:val="24"/>
        </w:rPr>
        <w:t xml:space="preserve">The estimated burden in the Paperwork Reduction Act Notice on page 1 of the FERC Form 556 will be corrected to provide the current burden estimates (shown above).  It will read “[t]he estimated burden for completing the FERC Form No. 556, including gathering and reporting information, is as follows: 1.5 hours for self-certification of a small power production facility, 1.5 hours for self-certifications of a </w:t>
      </w:r>
      <w:r w:rsidR="00724E39">
        <w:rPr>
          <w:sz w:val="24"/>
        </w:rPr>
        <w:t>co-generation</w:t>
      </w:r>
      <w:r w:rsidRPr="00D314D3">
        <w:rPr>
          <w:sz w:val="24"/>
        </w:rPr>
        <w:t xml:space="preserve"> facility, 50 hours for an application for Commission certification of a small power production facility, and 50 hours for an application for Commission certification of a </w:t>
      </w:r>
      <w:r w:rsidR="00724E39">
        <w:rPr>
          <w:sz w:val="24"/>
        </w:rPr>
        <w:t>co-generation</w:t>
      </w:r>
      <w:r w:rsidRPr="00D314D3">
        <w:rPr>
          <w:sz w:val="24"/>
        </w:rPr>
        <w:t xml:space="preserve"> facility.”  The reporting requirements are not changing.</w:t>
      </w:r>
    </w:p>
    <w:p w:rsidRPr="00D314D3" w:rsidR="0069439B" w:rsidP="00380C05" w:rsidRDefault="0069439B" w14:paraId="67A3219C" w14:textId="77777777">
      <w:pPr>
        <w:pStyle w:val="FERCparanumber"/>
        <w:numPr>
          <w:ilvl w:val="0"/>
          <w:numId w:val="0"/>
        </w:numPr>
        <w:rPr>
          <w:sz w:val="24"/>
        </w:rPr>
      </w:pPr>
    </w:p>
    <w:p w:rsidRPr="00EF40FF" w:rsidR="009D6B6D" w:rsidP="001D2EC1" w:rsidRDefault="00BB6095" w14:paraId="3A10283A" w14:textId="77777777">
      <w:pPr>
        <w:pStyle w:val="FERCparanumber"/>
        <w:numPr>
          <w:ilvl w:val="0"/>
          <w:numId w:val="7"/>
        </w:numPr>
        <w:rPr>
          <w:sz w:val="24"/>
        </w:rPr>
      </w:pPr>
      <w:r w:rsidRPr="001D2EC1">
        <w:rPr>
          <w:b/>
          <w:sz w:val="24"/>
        </w:rPr>
        <w:t>ESTIMATE OF THE TOTAL ANNUAL COST BURDEN TO RESPONDENTS</w:t>
      </w:r>
    </w:p>
    <w:p w:rsidR="00EF40FF" w:rsidP="00EF40FF" w:rsidRDefault="00EF40FF" w14:paraId="3A10283B" w14:textId="77777777">
      <w:pPr>
        <w:pStyle w:val="FERCparanumber"/>
        <w:numPr>
          <w:ilvl w:val="0"/>
          <w:numId w:val="0"/>
        </w:numPr>
        <w:rPr>
          <w:b/>
          <w:sz w:val="24"/>
        </w:rPr>
      </w:pPr>
    </w:p>
    <w:p w:rsidR="00432DA3" w:rsidP="00432DA3" w:rsidRDefault="00432DA3" w14:paraId="3A10283C" w14:textId="77777777">
      <w:pPr>
        <w:widowControl/>
      </w:pPr>
      <w:r>
        <w:t>There are no non-labor start-up costs. All costs are related to burden hours and are addressed in Questions #12 and #15.</w:t>
      </w:r>
    </w:p>
    <w:p w:rsidRPr="00EF40FF" w:rsidR="00EF40FF" w:rsidP="00EF40FF" w:rsidRDefault="00EF40FF" w14:paraId="3A10283D" w14:textId="77777777">
      <w:pPr>
        <w:pStyle w:val="FERCparanumber"/>
        <w:numPr>
          <w:ilvl w:val="0"/>
          <w:numId w:val="0"/>
        </w:numPr>
        <w:rPr>
          <w:sz w:val="24"/>
        </w:rPr>
      </w:pPr>
    </w:p>
    <w:p w:rsidR="00EF40FF" w:rsidP="001D2EC1" w:rsidRDefault="00EF40FF" w14:paraId="3A10283E" w14:textId="77777777">
      <w:pPr>
        <w:pStyle w:val="FERCparanumber"/>
        <w:numPr>
          <w:ilvl w:val="0"/>
          <w:numId w:val="7"/>
        </w:numPr>
        <w:rPr>
          <w:b/>
          <w:sz w:val="24"/>
        </w:rPr>
      </w:pPr>
      <w:r w:rsidRPr="00EF40FF">
        <w:rPr>
          <w:b/>
          <w:sz w:val="24"/>
        </w:rPr>
        <w:t>ESTIMATED ANNUALIZED COST TO FEDERAL GOVERNMENT</w:t>
      </w:r>
    </w:p>
    <w:p w:rsidR="00EF40FF" w:rsidP="00EF40FF" w:rsidRDefault="00EF40FF" w14:paraId="3A10283F" w14:textId="77777777">
      <w:pPr>
        <w:pStyle w:val="FERCparanumber"/>
        <w:numPr>
          <w:ilvl w:val="0"/>
          <w:numId w:val="0"/>
        </w:numPr>
        <w:rPr>
          <w:b/>
          <w:sz w:val="24"/>
        </w:rPr>
      </w:pPr>
    </w:p>
    <w:p w:rsidR="0013697D" w:rsidP="0013697D" w:rsidRDefault="0013697D" w14:paraId="68E65FFA" w14:textId="1B796F36">
      <w:r>
        <w:t>The estimate of the cost for ‘analysis and processing of filings’</w:t>
      </w:r>
      <w:r w:rsidRPr="00D81C9E">
        <w:rPr>
          <w:rStyle w:val="FootnoteReference"/>
          <w:b/>
          <w:bCs/>
          <w:vertAlign w:val="superscript"/>
        </w:rPr>
        <w:footnoteReference w:id="11"/>
      </w:r>
      <w:r w:rsidRPr="00D81C9E">
        <w:rPr>
          <w:b/>
          <w:bCs/>
          <w:vertAlign w:val="superscript"/>
        </w:rPr>
        <w:t xml:space="preserve"> </w:t>
      </w:r>
      <w: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w:t>
      </w:r>
      <w:r w:rsidR="00F764FE">
        <w:t>21</w:t>
      </w:r>
      <w:r>
        <w:t>, as noted)</w:t>
      </w:r>
      <w:r w:rsidR="00724E39">
        <w:t>.</w:t>
      </w:r>
    </w:p>
    <w:p w:rsidR="0013697D" w:rsidP="0013697D" w:rsidRDefault="0013697D" w14:paraId="68FCDE12" w14:textId="77777777"/>
    <w:p w:rsidR="0013697D" w:rsidP="0013697D" w:rsidRDefault="0013697D" w14:paraId="47E05A17" w14:textId="0FF6EEB3">
      <w:r>
        <w:t>The Paperwork Reduction Act</w:t>
      </w:r>
      <w:r w:rsidR="00BC1BB6">
        <w:t xml:space="preserve"> of 1995</w:t>
      </w:r>
      <w:r>
        <w:t xml:space="preserve"> (PRA) Administrative Cost</w:t>
      </w:r>
      <w:r w:rsidRPr="00916BBD">
        <w:rPr>
          <w:rStyle w:val="FootnoteReference"/>
          <w:b/>
          <w:vertAlign w:val="superscript"/>
        </w:rPr>
        <w:footnoteReference w:id="12"/>
      </w:r>
      <w: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3697D" w:rsidP="0013697D" w:rsidRDefault="0013697D" w14:paraId="04ED005F" w14:textId="77777777"/>
    <w:p w:rsidR="0013697D" w:rsidP="0013697D" w:rsidRDefault="0013697D" w14:paraId="1333F217" w14:textId="3B83773C">
      <w:r>
        <w:t xml:space="preserve">The estimated annualized cost to the Federal Government </w:t>
      </w:r>
      <w:r w:rsidR="00D761C0">
        <w:t xml:space="preserve">is as </w:t>
      </w:r>
      <w:r>
        <w:t>follows</w:t>
      </w:r>
      <w:r w:rsidR="00D761C0">
        <w:t>:</w:t>
      </w:r>
    </w:p>
    <w:p w:rsidR="0013697D" w:rsidP="00EF40FF" w:rsidRDefault="0013697D" w14:paraId="5B616D5B" w14:textId="77777777">
      <w:pPr>
        <w:pStyle w:val="FERCparanumber"/>
        <w:numPr>
          <w:ilvl w:val="0"/>
          <w:numId w:val="0"/>
        </w:numPr>
        <w:rPr>
          <w:b/>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1D2EC1" w:rsidR="00EF40FF" w:rsidTr="00D97B44" w14:paraId="3A102844" w14:textId="77777777">
        <w:tc>
          <w:tcPr>
            <w:tcW w:w="1756" w:type="pct"/>
            <w:shd w:val="clear" w:color="auto" w:fill="D9D9D9"/>
            <w:vAlign w:val="center"/>
          </w:tcPr>
          <w:p w:rsidRPr="001D2EC1" w:rsidR="00EF40FF" w:rsidP="00D97B44" w:rsidRDefault="00EF40FF" w14:paraId="3A102841" w14:textId="77777777">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rsidRPr="001D2EC1" w:rsidR="00EF40FF" w:rsidP="00D97B44" w:rsidRDefault="00EF40FF" w14:paraId="3A102842" w14:textId="77777777">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rsidRPr="001D2EC1" w:rsidR="00EF40FF" w:rsidP="00D97B44" w:rsidRDefault="00EF40FF" w14:paraId="3A102843" w14:textId="77777777">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Pr="001D2EC1" w:rsidR="00EF40FF" w:rsidTr="00D97B44" w14:paraId="3A102848" w14:textId="77777777">
        <w:tc>
          <w:tcPr>
            <w:tcW w:w="1756" w:type="pct"/>
            <w:shd w:val="clear" w:color="auto" w:fill="auto"/>
            <w:vAlign w:val="center"/>
          </w:tcPr>
          <w:p w:rsidRPr="001D2EC1" w:rsidR="00EF40FF" w:rsidP="0013697D" w:rsidRDefault="00EF40FF" w14:paraId="3A102845" w14:textId="2C939CC8">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p>
        </w:tc>
        <w:tc>
          <w:tcPr>
            <w:tcW w:w="1627" w:type="pct"/>
            <w:shd w:val="clear" w:color="auto" w:fill="auto"/>
            <w:vAlign w:val="center"/>
          </w:tcPr>
          <w:p w:rsidRPr="001D2EC1" w:rsidR="00EF40FF" w:rsidP="00D97B44" w:rsidRDefault="00EF40FF" w14:paraId="3A102846" w14:textId="77777777">
            <w:pPr>
              <w:pStyle w:val="ListParagraph"/>
              <w:spacing w:after="0" w:line="240" w:lineRule="auto"/>
              <w:ind w:left="0"/>
              <w:jc w:val="right"/>
              <w:rPr>
                <w:rFonts w:ascii="Times New Roman" w:hAnsi="Times New Roman"/>
                <w:sz w:val="24"/>
                <w:szCs w:val="24"/>
              </w:rPr>
            </w:pPr>
            <w:r w:rsidRPr="001D2EC1">
              <w:rPr>
                <w:rFonts w:ascii="Times New Roman" w:hAnsi="Times New Roman"/>
                <w:sz w:val="24"/>
                <w:szCs w:val="24"/>
              </w:rPr>
              <w:t>2</w:t>
            </w:r>
          </w:p>
        </w:tc>
        <w:tc>
          <w:tcPr>
            <w:tcW w:w="1617" w:type="pct"/>
            <w:shd w:val="clear" w:color="auto" w:fill="auto"/>
            <w:vAlign w:val="center"/>
          </w:tcPr>
          <w:p w:rsidRPr="001D2EC1" w:rsidR="00EF40FF" w:rsidP="0013697D" w:rsidRDefault="00432DA3" w14:paraId="3A102847" w14:textId="609CBCD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10E1F">
              <w:rPr>
                <w:rFonts w:ascii="Times New Roman" w:hAnsi="Times New Roman"/>
                <w:sz w:val="24"/>
                <w:szCs w:val="24"/>
              </w:rPr>
              <w:t>361,406</w:t>
            </w:r>
          </w:p>
        </w:tc>
      </w:tr>
      <w:tr w:rsidRPr="001D2EC1" w:rsidR="00EF40FF" w:rsidTr="00D97B44" w14:paraId="3A10284C" w14:textId="77777777">
        <w:tc>
          <w:tcPr>
            <w:tcW w:w="1756" w:type="pct"/>
            <w:shd w:val="clear" w:color="auto" w:fill="auto"/>
            <w:vAlign w:val="center"/>
          </w:tcPr>
          <w:p w:rsidRPr="001D2EC1" w:rsidR="00EF40FF" w:rsidP="00BC1BB6" w:rsidRDefault="00EF40FF" w14:paraId="3A102849" w14:textId="4198C13D">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 Administrative Cost</w:t>
            </w:r>
          </w:p>
        </w:tc>
        <w:tc>
          <w:tcPr>
            <w:tcW w:w="1627" w:type="pct"/>
            <w:shd w:val="clear" w:color="auto" w:fill="D9D9D9"/>
            <w:vAlign w:val="center"/>
          </w:tcPr>
          <w:p w:rsidRPr="001D2EC1" w:rsidR="00EF40FF" w:rsidP="00D97B44" w:rsidRDefault="00EF40FF" w14:paraId="3A10284A"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1D2EC1" w:rsidR="00EF40FF" w:rsidP="0013697D" w:rsidRDefault="00432DA3" w14:paraId="3A10284B" w14:textId="297C08E7">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10E1F">
              <w:rPr>
                <w:rFonts w:ascii="Times New Roman" w:hAnsi="Times New Roman"/>
                <w:sz w:val="24"/>
                <w:szCs w:val="24"/>
              </w:rPr>
              <w:t>8,279</w:t>
            </w:r>
          </w:p>
        </w:tc>
      </w:tr>
      <w:tr w:rsidRPr="001D2EC1" w:rsidR="00EF40FF" w:rsidTr="00D97B44" w14:paraId="3A102850" w14:textId="77777777">
        <w:tc>
          <w:tcPr>
            <w:tcW w:w="1756" w:type="pct"/>
            <w:shd w:val="clear" w:color="auto" w:fill="auto"/>
            <w:vAlign w:val="center"/>
          </w:tcPr>
          <w:p w:rsidRPr="001D2EC1" w:rsidR="00EF40FF" w:rsidP="00D97B44" w:rsidRDefault="00EF40FF" w14:paraId="3A10284D" w14:textId="77777777">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rsidRPr="001D2EC1" w:rsidR="00EF40FF" w:rsidP="00D97B44" w:rsidRDefault="00EF40FF" w14:paraId="3A10284E"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1D2EC1" w:rsidR="00EF40FF" w:rsidP="0013697D" w:rsidRDefault="00432DA3" w14:paraId="3A10284F" w14:textId="6AA7119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10E1F">
              <w:rPr>
                <w:rFonts w:ascii="Times New Roman" w:hAnsi="Times New Roman"/>
                <w:sz w:val="24"/>
                <w:szCs w:val="24"/>
              </w:rPr>
              <w:t>369,685</w:t>
            </w:r>
          </w:p>
        </w:tc>
      </w:tr>
    </w:tbl>
    <w:p w:rsidRPr="001D2EC1" w:rsidR="00EF40FF" w:rsidP="00EF40FF" w:rsidRDefault="00EF40FF" w14:paraId="3A102851" w14:textId="77777777">
      <w:pPr>
        <w:pStyle w:val="ListParagraph"/>
        <w:spacing w:after="0" w:line="240" w:lineRule="auto"/>
        <w:rPr>
          <w:rFonts w:ascii="Times New Roman" w:hAnsi="Times New Roman"/>
          <w:b/>
          <w:sz w:val="24"/>
          <w:szCs w:val="24"/>
        </w:rPr>
      </w:pPr>
    </w:p>
    <w:p w:rsidR="00EF40FF" w:rsidP="001D2EC1" w:rsidRDefault="00EF40FF" w14:paraId="3A102854" w14:textId="77777777">
      <w:pPr>
        <w:pStyle w:val="FERCparanumber"/>
        <w:numPr>
          <w:ilvl w:val="0"/>
          <w:numId w:val="7"/>
        </w:numPr>
        <w:rPr>
          <w:b/>
          <w:sz w:val="24"/>
        </w:rPr>
      </w:pPr>
      <w:r w:rsidRPr="001D2EC1">
        <w:rPr>
          <w:b/>
          <w:sz w:val="24"/>
        </w:rPr>
        <w:t>REASONS FOR CHANGES IN BURDEN INCLUDING THE NEED FOR ANY INCREASE</w:t>
      </w:r>
    </w:p>
    <w:p w:rsidR="00EF40FF" w:rsidP="00EF40FF" w:rsidRDefault="00EF40FF" w14:paraId="3A102855" w14:textId="77777777">
      <w:pPr>
        <w:pStyle w:val="FERCparanumber"/>
        <w:numPr>
          <w:ilvl w:val="0"/>
          <w:numId w:val="0"/>
        </w:numPr>
        <w:rPr>
          <w:b/>
          <w:sz w:val="24"/>
        </w:rPr>
      </w:pPr>
    </w:p>
    <w:p w:rsidR="00F764FE" w:rsidP="00EF40FF" w:rsidRDefault="00F764FE" w14:paraId="0C46B2FE" w14:textId="1E27A87B">
      <w:pPr>
        <w:widowControl/>
      </w:pPr>
      <w:r>
        <w:lastRenderedPageBreak/>
        <w:t xml:space="preserve">There were no program changes made to FERC-556. </w:t>
      </w:r>
      <w:r w:rsidR="00F8143B">
        <w:t>The reporting</w:t>
      </w:r>
      <w:r>
        <w:t xml:space="preserve"> and recordkeeping </w:t>
      </w:r>
      <w:r w:rsidR="00F8143B">
        <w:t xml:space="preserve">requirements and estimated average burden per response (or filing) have </w:t>
      </w:r>
      <w:r>
        <w:t>remained the same since the last approval.</w:t>
      </w:r>
    </w:p>
    <w:p w:rsidR="00EF40FF" w:rsidP="00F764FE" w:rsidRDefault="00F8143B" w14:paraId="3A102859" w14:textId="0F4D76AB">
      <w:pPr>
        <w:widowControl/>
        <w:rPr>
          <w:szCs w:val="26"/>
        </w:rPr>
      </w:pPr>
      <w:r>
        <w:t xml:space="preserve">  </w:t>
      </w:r>
    </w:p>
    <w:p w:rsidRPr="001D2EC1" w:rsidR="00D761C0" w:rsidP="00EF40FF" w:rsidRDefault="00D761C0" w14:paraId="7746F67A" w14:textId="77777777">
      <w:pPr>
        <w:widowControl/>
        <w:tabs>
          <w:tab w:val="left" w:pos="2394"/>
        </w:tabs>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1D2EC1" w:rsidR="00EF40FF" w:rsidTr="00D97B44" w14:paraId="3A10285F" w14:textId="77777777">
        <w:trPr>
          <w:trHeight w:val="870"/>
        </w:trPr>
        <w:tc>
          <w:tcPr>
            <w:tcW w:w="1442" w:type="pct"/>
            <w:shd w:val="clear" w:color="auto" w:fill="D9D9D9"/>
            <w:vAlign w:val="bottom"/>
          </w:tcPr>
          <w:p w:rsidRPr="001D2EC1" w:rsidR="00EF40FF" w:rsidP="00D97B44" w:rsidRDefault="002D5138" w14:paraId="3A10285A" w14:textId="77777777">
            <w:pPr>
              <w:jc w:val="center"/>
              <w:rPr>
                <w:b/>
              </w:rPr>
            </w:pPr>
            <w:r>
              <w:rPr>
                <w:b/>
              </w:rPr>
              <w:t xml:space="preserve">FERC Form </w:t>
            </w:r>
            <w:r w:rsidRPr="001D2EC1" w:rsidR="00EF40FF">
              <w:rPr>
                <w:b/>
              </w:rPr>
              <w:t>556</w:t>
            </w:r>
          </w:p>
        </w:tc>
        <w:tc>
          <w:tcPr>
            <w:tcW w:w="829" w:type="pct"/>
            <w:shd w:val="clear" w:color="auto" w:fill="D9D9D9"/>
            <w:vAlign w:val="bottom"/>
          </w:tcPr>
          <w:p w:rsidRPr="001D2EC1" w:rsidR="000260E7" w:rsidP="000260E7" w:rsidRDefault="00EF40FF" w14:paraId="3A10285B" w14:textId="057A91C0">
            <w:pPr>
              <w:jc w:val="center"/>
              <w:rPr>
                <w:b/>
              </w:rPr>
            </w:pPr>
            <w:r w:rsidRPr="001D2EC1">
              <w:rPr>
                <w:b/>
              </w:rPr>
              <w:t>Total Request</w:t>
            </w:r>
            <w:r w:rsidR="000260E7">
              <w:rPr>
                <w:b/>
              </w:rPr>
              <w:t xml:space="preserve"> (rounded)</w:t>
            </w:r>
          </w:p>
        </w:tc>
        <w:tc>
          <w:tcPr>
            <w:tcW w:w="854" w:type="pct"/>
            <w:shd w:val="clear" w:color="auto" w:fill="D9D9D9"/>
            <w:vAlign w:val="bottom"/>
          </w:tcPr>
          <w:p w:rsidRPr="001D2EC1" w:rsidR="00EF40FF" w:rsidP="00D97B44" w:rsidRDefault="00EF40FF" w14:paraId="3A10285C" w14:textId="73AE0D73">
            <w:pPr>
              <w:jc w:val="center"/>
              <w:rPr>
                <w:b/>
              </w:rPr>
            </w:pPr>
            <w:r w:rsidRPr="001D2EC1">
              <w:rPr>
                <w:b/>
              </w:rPr>
              <w:t>Previously Approved</w:t>
            </w:r>
            <w:r w:rsidR="00D761C0">
              <w:rPr>
                <w:b/>
              </w:rPr>
              <w:t xml:space="preserve"> (rounded)</w:t>
            </w:r>
          </w:p>
        </w:tc>
        <w:tc>
          <w:tcPr>
            <w:tcW w:w="1010" w:type="pct"/>
            <w:shd w:val="clear" w:color="auto" w:fill="D9D9D9"/>
            <w:vAlign w:val="bottom"/>
          </w:tcPr>
          <w:p w:rsidR="00EF40FF" w:rsidP="00D97B44" w:rsidRDefault="00EF40FF" w14:paraId="09DCEBDC" w14:textId="77777777">
            <w:pPr>
              <w:jc w:val="center"/>
              <w:rPr>
                <w:b/>
              </w:rPr>
            </w:pPr>
            <w:r w:rsidRPr="001D2EC1">
              <w:rPr>
                <w:b/>
              </w:rPr>
              <w:t>Change due to Adjustment in Estimate</w:t>
            </w:r>
          </w:p>
          <w:p w:rsidRPr="001D2EC1" w:rsidR="000260E7" w:rsidP="00D97B44" w:rsidRDefault="000260E7" w14:paraId="3A10285D" w14:textId="2FA53C47">
            <w:pPr>
              <w:jc w:val="center"/>
              <w:rPr>
                <w:b/>
              </w:rPr>
            </w:pPr>
            <w:r>
              <w:rPr>
                <w:b/>
              </w:rPr>
              <w:t>(rounded)</w:t>
            </w:r>
          </w:p>
        </w:tc>
        <w:tc>
          <w:tcPr>
            <w:tcW w:w="865" w:type="pct"/>
            <w:shd w:val="clear" w:color="auto" w:fill="D9D9D9"/>
            <w:vAlign w:val="bottom"/>
          </w:tcPr>
          <w:p w:rsidRPr="001D2EC1" w:rsidR="00EF40FF" w:rsidP="00D97B44" w:rsidRDefault="00EF40FF" w14:paraId="3A10285E" w14:textId="77777777">
            <w:pPr>
              <w:jc w:val="center"/>
              <w:rPr>
                <w:b/>
              </w:rPr>
            </w:pPr>
            <w:r w:rsidRPr="001D2EC1">
              <w:rPr>
                <w:b/>
              </w:rPr>
              <w:t>Change Due to Agency Discretion</w:t>
            </w:r>
          </w:p>
        </w:tc>
      </w:tr>
      <w:tr w:rsidRPr="001D2EC1" w:rsidR="00EF40FF" w:rsidTr="00D97B44" w14:paraId="3A102865" w14:textId="77777777">
        <w:trPr>
          <w:trHeight w:val="591"/>
        </w:trPr>
        <w:tc>
          <w:tcPr>
            <w:tcW w:w="1442" w:type="pct"/>
            <w:shd w:val="clear" w:color="auto" w:fill="auto"/>
          </w:tcPr>
          <w:p w:rsidRPr="001D2EC1" w:rsidR="00EF40FF" w:rsidP="00D97B44" w:rsidRDefault="00EF40FF" w14:paraId="3A102860" w14:textId="77777777">
            <w:pPr>
              <w:jc w:val="center"/>
            </w:pPr>
            <w:r w:rsidRPr="001D2EC1">
              <w:t>Annual Number of Responses</w:t>
            </w:r>
          </w:p>
        </w:tc>
        <w:tc>
          <w:tcPr>
            <w:tcW w:w="829" w:type="pct"/>
            <w:shd w:val="clear" w:color="auto" w:fill="auto"/>
            <w:vAlign w:val="center"/>
          </w:tcPr>
          <w:p w:rsidRPr="001D2EC1" w:rsidR="00EF40FF" w:rsidP="000260E7" w:rsidRDefault="004F0EFA" w14:paraId="3A102861" w14:textId="6060860B">
            <w:pPr>
              <w:jc w:val="right"/>
            </w:pPr>
            <w:r>
              <w:t>7,423</w:t>
            </w:r>
          </w:p>
        </w:tc>
        <w:tc>
          <w:tcPr>
            <w:tcW w:w="854" w:type="pct"/>
            <w:shd w:val="clear" w:color="auto" w:fill="auto"/>
            <w:vAlign w:val="center"/>
          </w:tcPr>
          <w:p w:rsidRPr="001D2EC1" w:rsidR="00EF40FF" w:rsidP="00D761C0" w:rsidRDefault="004F0EFA" w14:paraId="3A102862" w14:textId="2778F59D">
            <w:pPr>
              <w:jc w:val="right"/>
            </w:pPr>
            <w:r>
              <w:t>7,423</w:t>
            </w:r>
          </w:p>
        </w:tc>
        <w:tc>
          <w:tcPr>
            <w:tcW w:w="1010" w:type="pct"/>
            <w:shd w:val="clear" w:color="auto" w:fill="auto"/>
            <w:vAlign w:val="center"/>
          </w:tcPr>
          <w:p w:rsidRPr="001D2EC1" w:rsidR="00EF40FF" w:rsidP="00D97B44" w:rsidRDefault="004F0EFA" w14:paraId="3A102863" w14:textId="7DBA0AC1">
            <w:pPr>
              <w:jc w:val="right"/>
            </w:pPr>
            <w:r>
              <w:t>0</w:t>
            </w:r>
          </w:p>
        </w:tc>
        <w:tc>
          <w:tcPr>
            <w:tcW w:w="865" w:type="pct"/>
            <w:shd w:val="clear" w:color="auto" w:fill="auto"/>
            <w:vAlign w:val="center"/>
          </w:tcPr>
          <w:p w:rsidRPr="001D2EC1" w:rsidR="00EF40FF" w:rsidP="00D97B44" w:rsidRDefault="00EF40FF" w14:paraId="3A102864" w14:textId="77777777">
            <w:pPr>
              <w:jc w:val="right"/>
            </w:pPr>
            <w:r w:rsidRPr="001D2EC1">
              <w:t>0</w:t>
            </w:r>
          </w:p>
        </w:tc>
      </w:tr>
      <w:tr w:rsidRPr="001D2EC1" w:rsidR="00EF40FF" w:rsidTr="00D97B44" w14:paraId="3A10286B" w14:textId="77777777">
        <w:trPr>
          <w:trHeight w:val="575"/>
        </w:trPr>
        <w:tc>
          <w:tcPr>
            <w:tcW w:w="1442" w:type="pct"/>
            <w:shd w:val="clear" w:color="auto" w:fill="auto"/>
          </w:tcPr>
          <w:p w:rsidRPr="001D2EC1" w:rsidR="00EF40FF" w:rsidP="00D97B44" w:rsidRDefault="00EF40FF" w14:paraId="3A102866" w14:textId="77777777">
            <w:pPr>
              <w:jc w:val="center"/>
            </w:pPr>
            <w:r w:rsidRPr="001D2EC1">
              <w:t>Annual Time Burden (Hours)</w:t>
            </w:r>
          </w:p>
        </w:tc>
        <w:tc>
          <w:tcPr>
            <w:tcW w:w="829" w:type="pct"/>
            <w:shd w:val="clear" w:color="auto" w:fill="auto"/>
            <w:vAlign w:val="center"/>
          </w:tcPr>
          <w:p w:rsidRPr="001D2EC1" w:rsidR="00EF40FF" w:rsidP="000260E7" w:rsidRDefault="004F0EFA" w14:paraId="3A102867" w14:textId="0F1F4D05">
            <w:pPr>
              <w:jc w:val="right"/>
            </w:pPr>
            <w:r>
              <w:t>26,282</w:t>
            </w:r>
          </w:p>
        </w:tc>
        <w:tc>
          <w:tcPr>
            <w:tcW w:w="854" w:type="pct"/>
            <w:shd w:val="clear" w:color="auto" w:fill="auto"/>
            <w:vAlign w:val="center"/>
          </w:tcPr>
          <w:p w:rsidRPr="001D2EC1" w:rsidR="00EF40FF" w:rsidP="00D97B44" w:rsidRDefault="004F0EFA" w14:paraId="3A102868" w14:textId="7C2BCDA4">
            <w:pPr>
              <w:jc w:val="right"/>
            </w:pPr>
            <w:r>
              <w:t>26,282</w:t>
            </w:r>
          </w:p>
        </w:tc>
        <w:tc>
          <w:tcPr>
            <w:tcW w:w="1010" w:type="pct"/>
            <w:shd w:val="clear" w:color="auto" w:fill="auto"/>
            <w:vAlign w:val="center"/>
          </w:tcPr>
          <w:p w:rsidRPr="001D2EC1" w:rsidR="00EF40FF" w:rsidP="00D97B44" w:rsidRDefault="004F0EFA" w14:paraId="3A102869" w14:textId="17F68B3B">
            <w:pPr>
              <w:jc w:val="right"/>
            </w:pPr>
            <w:r>
              <w:t>0</w:t>
            </w:r>
          </w:p>
        </w:tc>
        <w:tc>
          <w:tcPr>
            <w:tcW w:w="865" w:type="pct"/>
            <w:shd w:val="clear" w:color="auto" w:fill="auto"/>
            <w:vAlign w:val="center"/>
          </w:tcPr>
          <w:p w:rsidRPr="001D2EC1" w:rsidR="00EF40FF" w:rsidP="00D97B44" w:rsidRDefault="00EF40FF" w14:paraId="3A10286A" w14:textId="77777777">
            <w:pPr>
              <w:jc w:val="right"/>
            </w:pPr>
            <w:r w:rsidRPr="001D2EC1">
              <w:t>0</w:t>
            </w:r>
          </w:p>
        </w:tc>
      </w:tr>
      <w:tr w:rsidRPr="001D2EC1" w:rsidR="00EF40FF" w:rsidTr="00D97B44" w14:paraId="3A102871" w14:textId="77777777">
        <w:trPr>
          <w:trHeight w:val="295"/>
        </w:trPr>
        <w:tc>
          <w:tcPr>
            <w:tcW w:w="1442" w:type="pct"/>
            <w:tcBorders>
              <w:bottom w:val="single" w:color="auto" w:sz="4" w:space="0"/>
            </w:tcBorders>
            <w:shd w:val="clear" w:color="auto" w:fill="auto"/>
          </w:tcPr>
          <w:p w:rsidRPr="001D2EC1" w:rsidR="00EF40FF" w:rsidP="00D97B44" w:rsidRDefault="00EF40FF" w14:paraId="3A10286C" w14:textId="77777777">
            <w:pPr>
              <w:jc w:val="center"/>
            </w:pPr>
            <w:r w:rsidRPr="001D2EC1">
              <w:t>Annual Cost Burden ($)</w:t>
            </w:r>
          </w:p>
        </w:tc>
        <w:tc>
          <w:tcPr>
            <w:tcW w:w="829" w:type="pct"/>
            <w:tcBorders>
              <w:bottom w:val="single" w:color="auto" w:sz="4" w:space="0"/>
            </w:tcBorders>
            <w:shd w:val="clear" w:color="auto" w:fill="auto"/>
            <w:vAlign w:val="center"/>
          </w:tcPr>
          <w:p w:rsidRPr="001D2EC1" w:rsidR="00EF40FF" w:rsidP="00D97B44" w:rsidRDefault="00EF40FF" w14:paraId="3A10286D" w14:textId="77777777">
            <w:pPr>
              <w:jc w:val="right"/>
            </w:pPr>
            <w:r w:rsidRPr="001D2EC1">
              <w:t>$0</w:t>
            </w:r>
          </w:p>
        </w:tc>
        <w:tc>
          <w:tcPr>
            <w:tcW w:w="854" w:type="pct"/>
            <w:tcBorders>
              <w:bottom w:val="single" w:color="auto" w:sz="4" w:space="0"/>
            </w:tcBorders>
            <w:shd w:val="clear" w:color="auto" w:fill="auto"/>
            <w:vAlign w:val="center"/>
          </w:tcPr>
          <w:p w:rsidRPr="001D2EC1" w:rsidR="00EF40FF" w:rsidP="00D97B44" w:rsidRDefault="00EF40FF" w14:paraId="3A10286E" w14:textId="77777777">
            <w:pPr>
              <w:jc w:val="right"/>
            </w:pPr>
            <w:r w:rsidRPr="001D2EC1">
              <w:t>$0</w:t>
            </w:r>
          </w:p>
        </w:tc>
        <w:tc>
          <w:tcPr>
            <w:tcW w:w="1010" w:type="pct"/>
            <w:tcBorders>
              <w:bottom w:val="single" w:color="auto" w:sz="4" w:space="0"/>
            </w:tcBorders>
            <w:shd w:val="clear" w:color="auto" w:fill="auto"/>
            <w:vAlign w:val="center"/>
          </w:tcPr>
          <w:p w:rsidRPr="001D2EC1" w:rsidR="00EF40FF" w:rsidP="00D97B44" w:rsidRDefault="00EF40FF" w14:paraId="3A10286F" w14:textId="77777777">
            <w:pPr>
              <w:jc w:val="right"/>
            </w:pPr>
            <w:r w:rsidRPr="001D2EC1">
              <w:t>$0</w:t>
            </w:r>
          </w:p>
        </w:tc>
        <w:tc>
          <w:tcPr>
            <w:tcW w:w="865" w:type="pct"/>
            <w:tcBorders>
              <w:bottom w:val="single" w:color="auto" w:sz="4" w:space="0"/>
            </w:tcBorders>
            <w:shd w:val="clear" w:color="auto" w:fill="auto"/>
            <w:vAlign w:val="center"/>
          </w:tcPr>
          <w:p w:rsidRPr="001D2EC1" w:rsidR="00EF40FF" w:rsidP="00D97B44" w:rsidRDefault="00545B62" w14:paraId="3A102870" w14:textId="77777777">
            <w:pPr>
              <w:jc w:val="right"/>
            </w:pPr>
            <w:r>
              <w:t>$</w:t>
            </w:r>
            <w:r w:rsidRPr="001D2EC1" w:rsidR="00EF40FF">
              <w:t>0</w:t>
            </w:r>
          </w:p>
        </w:tc>
      </w:tr>
    </w:tbl>
    <w:p w:rsidR="00EF40FF" w:rsidP="00EF40FF" w:rsidRDefault="00EF40FF" w14:paraId="3A102872" w14:textId="77777777">
      <w:pPr>
        <w:widowControl/>
        <w:rPr>
          <w:b/>
        </w:rPr>
      </w:pPr>
    </w:p>
    <w:p w:rsidRPr="001F4E90" w:rsidR="001F4E90" w:rsidP="00EF40FF" w:rsidRDefault="001F4E90" w14:paraId="39D1D5D8" w14:textId="77777777">
      <w:pPr>
        <w:widowControl/>
        <w:rPr>
          <w:b/>
        </w:rPr>
      </w:pPr>
    </w:p>
    <w:p w:rsidR="009D6B6D" w:rsidP="00EF40FF" w:rsidRDefault="00EF40FF" w14:paraId="3A102874" w14:textId="77777777">
      <w:pPr>
        <w:pStyle w:val="FERCparanumber"/>
        <w:numPr>
          <w:ilvl w:val="0"/>
          <w:numId w:val="7"/>
        </w:numPr>
        <w:rPr>
          <w:b/>
          <w:sz w:val="24"/>
        </w:rPr>
      </w:pPr>
      <w:r w:rsidRPr="001D2EC1">
        <w:rPr>
          <w:b/>
          <w:sz w:val="24"/>
        </w:rPr>
        <w:t>TIME SCHEDULE FOR PUBLICATION OF DATA</w:t>
      </w:r>
    </w:p>
    <w:p w:rsidR="00EF40FF" w:rsidP="00EF40FF" w:rsidRDefault="00EF40FF" w14:paraId="3A102875" w14:textId="77777777">
      <w:pPr>
        <w:pStyle w:val="FERCparanumber"/>
        <w:numPr>
          <w:ilvl w:val="0"/>
          <w:numId w:val="0"/>
        </w:numPr>
        <w:rPr>
          <w:b/>
          <w:sz w:val="24"/>
        </w:rPr>
      </w:pPr>
    </w:p>
    <w:p w:rsidRPr="008449DF" w:rsidR="00545B62" w:rsidP="00545B62" w:rsidRDefault="00545B62" w14:paraId="3A102876" w14:textId="6824C4BC">
      <w:pPr>
        <w:widowControl/>
      </w:pPr>
      <w:r w:rsidRPr="008449DF">
        <w:t xml:space="preserve">There </w:t>
      </w:r>
      <w:r w:rsidR="00724E39">
        <w:t xml:space="preserve">is </w:t>
      </w:r>
      <w:r w:rsidRPr="008449DF">
        <w:t>no tabulating, statistical</w:t>
      </w:r>
      <w:r w:rsidR="00724E39">
        <w:t>,</w:t>
      </w:r>
      <w:r w:rsidRPr="008449DF">
        <w:t xml:space="preserve"> tabulating analysis</w:t>
      </w:r>
      <w:r w:rsidR="00724E39">
        <w:t>,</w:t>
      </w:r>
      <w:r w:rsidRPr="008449DF">
        <w:t xml:space="preserve"> or publication plans for the collection of information.  The data are used for regulatory purposes only.</w:t>
      </w:r>
    </w:p>
    <w:p w:rsidR="00EF40FF" w:rsidP="00EF40FF" w:rsidRDefault="00EF40FF" w14:paraId="3A102877" w14:textId="77777777">
      <w:pPr>
        <w:pStyle w:val="FERCparanumber"/>
        <w:numPr>
          <w:ilvl w:val="0"/>
          <w:numId w:val="0"/>
        </w:numPr>
        <w:rPr>
          <w:b/>
          <w:sz w:val="24"/>
        </w:rPr>
      </w:pPr>
    </w:p>
    <w:p w:rsidR="009D6B6D" w:rsidP="001D2EC1" w:rsidRDefault="00EF40FF" w14:paraId="3A102878" w14:textId="77777777">
      <w:pPr>
        <w:pStyle w:val="FERCparanumber"/>
        <w:numPr>
          <w:ilvl w:val="0"/>
          <w:numId w:val="7"/>
        </w:numPr>
        <w:rPr>
          <w:b/>
          <w:sz w:val="24"/>
        </w:rPr>
      </w:pPr>
      <w:r>
        <w:rPr>
          <w:b/>
          <w:sz w:val="24"/>
        </w:rPr>
        <w:t>DISPLAY OF EXPIRATION DATE</w:t>
      </w:r>
    </w:p>
    <w:p w:rsidR="00EF40FF" w:rsidP="00EF40FF" w:rsidRDefault="00EF40FF" w14:paraId="3A102879" w14:textId="77777777">
      <w:pPr>
        <w:pStyle w:val="FERCparanumber"/>
        <w:numPr>
          <w:ilvl w:val="0"/>
          <w:numId w:val="0"/>
        </w:numPr>
        <w:rPr>
          <w:b/>
          <w:sz w:val="24"/>
        </w:rPr>
      </w:pPr>
    </w:p>
    <w:p w:rsidR="00EF40FF" w:rsidP="00EF40FF" w:rsidRDefault="00342646" w14:paraId="3A10287A" w14:textId="0F58E010">
      <w:pPr>
        <w:widowControl/>
      </w:pPr>
      <w:r>
        <w:t xml:space="preserve">FERC </w:t>
      </w:r>
      <w:r w:rsidRPr="001D2EC1" w:rsidR="00EF40FF">
        <w:t>Form No. 556 is available from the Commission’s website (</w:t>
      </w:r>
      <w:hyperlink w:history="1" w:anchor="556" r:id="rId14">
        <w:r w:rsidRPr="001D2EC1" w:rsidR="00EF40FF">
          <w:rPr>
            <w:rStyle w:val="Hyperlink"/>
          </w:rPr>
          <w:t>http://www.ferc.gov/docs-filing/forms.asp#556</w:t>
        </w:r>
      </w:hyperlink>
      <w:r w:rsidRPr="001D2EC1" w:rsidR="00EF40FF">
        <w:t>) as a form that can be downloaded</w:t>
      </w:r>
      <w:r w:rsidR="00607701">
        <w:t xml:space="preserve"> with</w:t>
      </w:r>
      <w:r>
        <w:t xml:space="preserve"> </w:t>
      </w:r>
      <w:r w:rsidRPr="001D2EC1" w:rsidR="00EF40FF">
        <w:t xml:space="preserve">the </w:t>
      </w:r>
      <w:r w:rsidR="00607701">
        <w:t xml:space="preserve">OMB </w:t>
      </w:r>
      <w:r w:rsidRPr="001D2EC1" w:rsidR="00EF40FF">
        <w:t>expiration date</w:t>
      </w:r>
      <w:r w:rsidR="00545B62">
        <w:t xml:space="preserve"> on the form/instructions.</w:t>
      </w:r>
    </w:p>
    <w:p w:rsidR="00FE1295" w:rsidP="00EF40FF" w:rsidRDefault="00FE1295" w14:paraId="5F988E0B" w14:textId="77777777">
      <w:pPr>
        <w:widowControl/>
      </w:pPr>
    </w:p>
    <w:p w:rsidRPr="001A47F2" w:rsidR="001A47F2" w:rsidP="001A47F2" w:rsidRDefault="001A47F2" w14:paraId="67F41046" w14:textId="6BA617F3">
      <w:pPr>
        <w:widowControl/>
        <w:autoSpaceDE/>
        <w:autoSpaceDN/>
        <w:adjustRightInd/>
        <w:rPr>
          <w:rFonts w:eastAsia="Calibri"/>
        </w:rPr>
      </w:pPr>
      <w:r w:rsidRPr="001A47F2">
        <w:rPr>
          <w:rFonts w:eastAsia="Calibri"/>
        </w:rPr>
        <w:t>The expiration date is</w:t>
      </w:r>
      <w:r>
        <w:rPr>
          <w:rFonts w:eastAsia="Calibri"/>
        </w:rPr>
        <w:t xml:space="preserve"> also</w:t>
      </w:r>
      <w:r w:rsidRPr="001A47F2">
        <w:rPr>
          <w:rFonts w:eastAsia="Calibri"/>
        </w:rPr>
        <w:t xml:space="preserve"> displayed in a table posted on ferc.gov at </w:t>
      </w:r>
      <w:hyperlink w:history="1" r:id="rId15">
        <w:r w:rsidRPr="001A47F2">
          <w:rPr>
            <w:rFonts w:eastAsia="Calibri"/>
            <w:color w:val="0000FF"/>
            <w:u w:val="single"/>
          </w:rPr>
          <w:t>https://www.ferc.gov/information-collections</w:t>
        </w:r>
      </w:hyperlink>
      <w:r w:rsidRPr="001A47F2">
        <w:rPr>
          <w:rFonts w:eastAsia="Calibri"/>
          <w:color w:val="0000FF"/>
          <w:u w:val="single"/>
        </w:rPr>
        <w:t>.</w:t>
      </w:r>
    </w:p>
    <w:p w:rsidR="00545B62" w:rsidP="00EF40FF" w:rsidRDefault="00545B62" w14:paraId="3A10287B" w14:textId="77777777">
      <w:pPr>
        <w:widowControl/>
      </w:pPr>
    </w:p>
    <w:p w:rsidR="00EF40FF" w:rsidP="00EF40FF" w:rsidRDefault="00EF40FF" w14:paraId="3A10287D" w14:textId="77777777">
      <w:pPr>
        <w:pStyle w:val="FERCparanumber"/>
        <w:numPr>
          <w:ilvl w:val="0"/>
          <w:numId w:val="0"/>
        </w:numPr>
        <w:rPr>
          <w:b/>
          <w:sz w:val="24"/>
        </w:rPr>
      </w:pPr>
    </w:p>
    <w:p w:rsidRPr="00EF40FF" w:rsidR="00EF40FF" w:rsidP="00E138E1" w:rsidRDefault="00EF40FF" w14:paraId="3A10287E" w14:textId="77777777">
      <w:pPr>
        <w:widowControl/>
        <w:numPr>
          <w:ilvl w:val="0"/>
          <w:numId w:val="7"/>
        </w:numPr>
        <w:ind w:hanging="720"/>
        <w:rPr>
          <w:b/>
        </w:rPr>
      </w:pPr>
      <w:r w:rsidRPr="001D2EC1">
        <w:rPr>
          <w:b/>
        </w:rPr>
        <w:t>EXCEPTIONS TO THE CERTIFICATION STATEMENT</w:t>
      </w:r>
    </w:p>
    <w:p w:rsidRPr="001D2EC1" w:rsidR="009D6B6D" w:rsidP="001D2EC1" w:rsidRDefault="009D6B6D" w14:paraId="3A10287F" w14:textId="77777777">
      <w:pPr>
        <w:widowControl/>
        <w:ind w:left="720"/>
        <w:rPr>
          <w:b/>
        </w:rPr>
      </w:pPr>
    </w:p>
    <w:p w:rsidRPr="001D2EC1" w:rsidR="00000F54" w:rsidP="001D2EC1" w:rsidRDefault="00545B62" w14:paraId="3A102880" w14:textId="77777777">
      <w:pPr>
        <w:widowControl/>
      </w:pPr>
      <w:r>
        <w:t>There are no exceptions.</w:t>
      </w:r>
    </w:p>
    <w:sectPr w:rsidRPr="001D2EC1" w:rsidR="00000F54" w:rsidSect="00380C0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3499D" w14:textId="77777777" w:rsidR="008D63B4" w:rsidRDefault="008D63B4" w:rsidP="009D6B6D">
      <w:r>
        <w:separator/>
      </w:r>
    </w:p>
  </w:endnote>
  <w:endnote w:type="continuationSeparator" w:id="0">
    <w:p w14:paraId="58FB846A" w14:textId="77777777" w:rsidR="008D63B4" w:rsidRDefault="008D63B4"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2886"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5B79">
          <w:rPr>
            <w:noProof/>
          </w:rPr>
          <w:t>1</w:t>
        </w:r>
        <w:r>
          <w:rPr>
            <w:noProof/>
          </w:rPr>
          <w:fldChar w:fldCharType="end"/>
        </w:r>
      </w:sdtContent>
    </w:sdt>
  </w:p>
  <w:p w14:paraId="3A102887" w14:textId="77777777" w:rsidR="00E32773" w:rsidRDefault="00E3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5752" w14:textId="77777777" w:rsidR="008D63B4" w:rsidRDefault="008D63B4" w:rsidP="009D6B6D">
      <w:r>
        <w:separator/>
      </w:r>
    </w:p>
  </w:footnote>
  <w:footnote w:type="continuationSeparator" w:id="0">
    <w:p w14:paraId="1B2D6D30" w14:textId="77777777" w:rsidR="008D63B4" w:rsidRDefault="008D63B4" w:rsidP="009D6B6D">
      <w:r>
        <w:continuationSeparator/>
      </w:r>
    </w:p>
  </w:footnote>
  <w:footnote w:id="1">
    <w:p w14:paraId="2BB98C03" w14:textId="2200F201" w:rsidR="002172BF" w:rsidRPr="00BC1BB6" w:rsidRDefault="00BA1049">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002172BF" w:rsidRPr="00BC1BB6">
        <w:rPr>
          <w:sz w:val="24"/>
          <w:szCs w:val="24"/>
        </w:rPr>
        <w:t>The information collection is a</w:t>
      </w:r>
      <w:r w:rsidRPr="00BC1BB6">
        <w:rPr>
          <w:sz w:val="24"/>
          <w:szCs w:val="24"/>
        </w:rPr>
        <w:t>lso called FERC-556</w:t>
      </w:r>
      <w:r w:rsidR="002172BF" w:rsidRPr="00BC1BB6">
        <w:rPr>
          <w:sz w:val="24"/>
          <w:szCs w:val="24"/>
        </w:rPr>
        <w:t>.</w:t>
      </w:r>
    </w:p>
  </w:footnote>
  <w:footnote w:id="2">
    <w:p w14:paraId="3A102889" w14:textId="77777777" w:rsidR="009D6B6D" w:rsidRPr="00916BBD" w:rsidRDefault="009D6B6D" w:rsidP="009D6B6D">
      <w:pPr>
        <w:pStyle w:val="FootnoteText"/>
        <w:rPr>
          <w:sz w:val="24"/>
          <w:szCs w:val="24"/>
          <w:vertAlign w:val="superscript"/>
        </w:rPr>
      </w:pPr>
      <w:r w:rsidRPr="00916BBD">
        <w:rPr>
          <w:rStyle w:val="FootnoteReference"/>
          <w:b/>
          <w:sz w:val="24"/>
          <w:szCs w:val="24"/>
          <w:vertAlign w:val="superscript"/>
        </w:rPr>
        <w:footnoteRef/>
      </w:r>
      <w:r w:rsidRPr="008123AB">
        <w:rPr>
          <w:sz w:val="24"/>
          <w:szCs w:val="24"/>
          <w:vertAlign w:val="superscript"/>
        </w:rPr>
        <w:t xml:space="preserve"> </w:t>
      </w:r>
      <w:r w:rsidR="00E138E1" w:rsidRPr="00F71E4D">
        <w:rPr>
          <w:sz w:val="24"/>
          <w:szCs w:val="24"/>
        </w:rPr>
        <w:t>16 USC Secti</w:t>
      </w:r>
      <w:r w:rsidR="00E138E1" w:rsidRPr="007A77E2">
        <w:rPr>
          <w:sz w:val="24"/>
          <w:szCs w:val="24"/>
        </w:rPr>
        <w:t>on</w:t>
      </w:r>
      <w:r w:rsidR="0035481D" w:rsidRPr="007A77E2">
        <w:rPr>
          <w:sz w:val="24"/>
          <w:szCs w:val="24"/>
        </w:rPr>
        <w:t xml:space="preserve"> </w:t>
      </w:r>
      <w:r w:rsidR="00957DA2" w:rsidRPr="007A77E2">
        <w:rPr>
          <w:sz w:val="24"/>
          <w:szCs w:val="24"/>
        </w:rPr>
        <w:t>796, 824a-3</w:t>
      </w:r>
      <w:r w:rsidRPr="00BC1BB6">
        <w:rPr>
          <w:sz w:val="24"/>
          <w:szCs w:val="24"/>
        </w:rPr>
        <w:t>.</w:t>
      </w:r>
    </w:p>
  </w:footnote>
  <w:footnote w:id="3">
    <w:p w14:paraId="3A10288A" w14:textId="2C09FCA5" w:rsidR="001922FC" w:rsidRPr="007A77E2" w:rsidRDefault="001922FC" w:rsidP="001922FC">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Pr="00661424">
        <w:rPr>
          <w:i/>
          <w:sz w:val="24"/>
          <w:szCs w:val="24"/>
        </w:rPr>
        <w:t>Revisions to Form, Procedures, and Criteria for Certification of Qualifying Facility Status for a Small Power Produ</w:t>
      </w:r>
      <w:r w:rsidR="00560503" w:rsidRPr="00F71E4D">
        <w:rPr>
          <w:i/>
          <w:sz w:val="24"/>
          <w:szCs w:val="24"/>
        </w:rPr>
        <w:t xml:space="preserve">ction or </w:t>
      </w:r>
      <w:r w:rsidR="00724E39">
        <w:rPr>
          <w:i/>
          <w:sz w:val="24"/>
          <w:szCs w:val="24"/>
        </w:rPr>
        <w:t>Co-generation</w:t>
      </w:r>
      <w:r w:rsidR="00560503" w:rsidRPr="00F71E4D">
        <w:rPr>
          <w:i/>
          <w:sz w:val="24"/>
          <w:szCs w:val="24"/>
        </w:rPr>
        <w:t xml:space="preserve"> Facility</w:t>
      </w:r>
      <w:r w:rsidR="00560503" w:rsidRPr="007A77E2">
        <w:rPr>
          <w:sz w:val="24"/>
          <w:szCs w:val="24"/>
        </w:rPr>
        <w:t>,</w:t>
      </w:r>
      <w:r w:rsidRPr="007A77E2">
        <w:rPr>
          <w:sz w:val="24"/>
          <w:szCs w:val="24"/>
        </w:rPr>
        <w:t xml:space="preserve"> Order No. 732, 130 FERC ¶ 61,214 (2010).</w:t>
      </w:r>
    </w:p>
  </w:footnote>
  <w:footnote w:id="4">
    <w:p w14:paraId="3A10288B" w14:textId="77777777" w:rsidR="009D6B6D" w:rsidRPr="00BC1BB6" w:rsidRDefault="009D6B6D" w:rsidP="009D6B6D">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Pr="00BC1BB6">
        <w:rPr>
          <w:i/>
          <w:sz w:val="24"/>
          <w:szCs w:val="24"/>
        </w:rPr>
        <w:t>Electronic Filing of Documents</w:t>
      </w:r>
      <w:r w:rsidRPr="00BC1BB6">
        <w:rPr>
          <w:sz w:val="24"/>
          <w:szCs w:val="24"/>
        </w:rPr>
        <w:t>, Order No. 619, 65 FR 57088 (Sept. 21, 2000), FERC Stats. &amp; Regs. ¶ 31,107 (2000).</w:t>
      </w:r>
    </w:p>
  </w:footnote>
  <w:footnote w:id="5">
    <w:p w14:paraId="69236347" w14:textId="77777777" w:rsidR="00686188" w:rsidRDefault="00686188" w:rsidP="00686188">
      <w:pPr>
        <w:pStyle w:val="FootnoteText"/>
        <w:rPr>
          <w:sz w:val="26"/>
          <w:szCs w:val="26"/>
        </w:rPr>
      </w:pPr>
      <w:r w:rsidRPr="00916BBD">
        <w:rPr>
          <w:rStyle w:val="FootnoteReference"/>
          <w:b/>
          <w:sz w:val="26"/>
          <w:szCs w:val="26"/>
          <w:vertAlign w:val="superscript"/>
        </w:rPr>
        <w:footnoteRef/>
      </w:r>
      <w:r>
        <w:rPr>
          <w:b/>
          <w:sz w:val="26"/>
          <w:szCs w:val="26"/>
        </w:rPr>
        <w:t xml:space="preserve"> </w:t>
      </w:r>
      <w:r>
        <w:rPr>
          <w:sz w:val="26"/>
          <w:szCs w:val="26"/>
        </w:rPr>
        <w:t>Public Law 109-58, 119 Stat. 594 (2005).</w:t>
      </w:r>
    </w:p>
  </w:footnote>
  <w:footnote w:id="6">
    <w:p w14:paraId="3A10288C" w14:textId="347547CD" w:rsidR="00BB6095" w:rsidRPr="00BC1BB6" w:rsidRDefault="00BB6095" w:rsidP="00BB6095">
      <w:pPr>
        <w:pStyle w:val="FootnoteText"/>
        <w:rPr>
          <w:sz w:val="24"/>
          <w:szCs w:val="24"/>
        </w:rPr>
      </w:pPr>
      <w:r w:rsidRPr="00916BBD">
        <w:rPr>
          <w:rStyle w:val="FootnoteReference"/>
          <w:b/>
          <w:sz w:val="24"/>
          <w:szCs w:val="24"/>
          <w:vertAlign w:val="superscript"/>
        </w:rPr>
        <w:footnoteRef/>
      </w:r>
      <w:r w:rsidR="00AC59D6">
        <w:rPr>
          <w:sz w:val="24"/>
          <w:szCs w:val="24"/>
        </w:rPr>
        <w:t xml:space="preserve"> 86 FR 67943 11/30/2021</w:t>
      </w:r>
      <w:r w:rsidR="00745141" w:rsidRPr="00BC1BB6">
        <w:rPr>
          <w:sz w:val="24"/>
          <w:szCs w:val="24"/>
        </w:rPr>
        <w:t>.</w:t>
      </w:r>
    </w:p>
  </w:footnote>
  <w:footnote w:id="7">
    <w:p w14:paraId="26B303AB" w14:textId="10A461C0" w:rsidR="00764EFA" w:rsidRPr="00764EFA" w:rsidRDefault="00764EFA">
      <w:pPr>
        <w:pStyle w:val="FootnoteText"/>
        <w:rPr>
          <w:sz w:val="24"/>
          <w:szCs w:val="24"/>
        </w:rPr>
      </w:pPr>
      <w:r w:rsidRPr="00D81C9E">
        <w:rPr>
          <w:rStyle w:val="FootnoteReference"/>
          <w:b/>
          <w:bCs/>
          <w:sz w:val="24"/>
          <w:szCs w:val="24"/>
          <w:vertAlign w:val="superscript"/>
        </w:rPr>
        <w:footnoteRef/>
      </w:r>
      <w:r w:rsidRPr="00D81C9E">
        <w:rPr>
          <w:b/>
          <w:bCs/>
          <w:sz w:val="24"/>
          <w:szCs w:val="24"/>
          <w:vertAlign w:val="superscript"/>
        </w:rPr>
        <w:t xml:space="preserve"> </w:t>
      </w:r>
      <w:r w:rsidR="00AC59D6">
        <w:rPr>
          <w:sz w:val="24"/>
          <w:szCs w:val="24"/>
        </w:rPr>
        <w:t xml:space="preserve">87 FR </w:t>
      </w:r>
      <w:r w:rsidR="00EF4600">
        <w:rPr>
          <w:sz w:val="24"/>
          <w:szCs w:val="24"/>
        </w:rPr>
        <w:t>7826</w:t>
      </w:r>
      <w:r w:rsidR="00AC59D6">
        <w:rPr>
          <w:sz w:val="24"/>
          <w:szCs w:val="24"/>
        </w:rPr>
        <w:t xml:space="preserve"> 2/</w:t>
      </w:r>
      <w:r w:rsidR="00EF4600">
        <w:rPr>
          <w:sz w:val="24"/>
          <w:szCs w:val="24"/>
        </w:rPr>
        <w:t>20</w:t>
      </w:r>
      <w:r w:rsidR="00AC59D6">
        <w:rPr>
          <w:sz w:val="24"/>
          <w:szCs w:val="24"/>
        </w:rPr>
        <w:t>/</w:t>
      </w:r>
      <w:r w:rsidR="00EF4600">
        <w:rPr>
          <w:sz w:val="24"/>
          <w:szCs w:val="24"/>
        </w:rPr>
        <w:t>2022</w:t>
      </w:r>
    </w:p>
  </w:footnote>
  <w:footnote w:id="8">
    <w:p w14:paraId="643BB30D" w14:textId="77777777" w:rsidR="00282DAE" w:rsidRPr="006E0C71" w:rsidRDefault="00282DAE" w:rsidP="00282DAE">
      <w:pPr>
        <w:pStyle w:val="FootnoteText"/>
        <w:rPr>
          <w:sz w:val="26"/>
          <w:szCs w:val="26"/>
        </w:rPr>
      </w:pPr>
      <w:r w:rsidRPr="00D81C9E">
        <w:rPr>
          <w:rStyle w:val="FootnoteReference"/>
          <w:b/>
          <w:bCs/>
        </w:rPr>
        <w:footnoteRef/>
      </w:r>
      <w:r w:rsidRPr="00D81C9E">
        <w:rPr>
          <w:b/>
          <w:bCs/>
          <w:sz w:val="26"/>
          <w:szCs w:val="26"/>
        </w:rPr>
        <w:t xml:space="preserve"> </w:t>
      </w:r>
      <w:r w:rsidRPr="006E0C71">
        <w:rPr>
          <w:sz w:val="26"/>
          <w:szCs w:val="26"/>
        </w:rPr>
        <w:t xml:space="preserve">The Commission staff believes that industry is similarly </w:t>
      </w:r>
      <w:r>
        <w:rPr>
          <w:sz w:val="26"/>
          <w:szCs w:val="26"/>
        </w:rPr>
        <w:t>situated in terms of wages and benefits</w:t>
      </w:r>
      <w:r w:rsidRPr="006E0C71">
        <w:rPr>
          <w:sz w:val="26"/>
          <w:szCs w:val="26"/>
        </w:rPr>
        <w:t>.</w:t>
      </w:r>
      <w:r>
        <w:rPr>
          <w:sz w:val="26"/>
          <w:szCs w:val="26"/>
        </w:rPr>
        <w:t xml:space="preserve">  </w:t>
      </w:r>
      <w:r w:rsidRPr="006E0C71">
        <w:rPr>
          <w:sz w:val="26"/>
          <w:szCs w:val="26"/>
        </w:rPr>
        <w:t>The</w:t>
      </w:r>
      <w:r>
        <w:rPr>
          <w:sz w:val="26"/>
          <w:szCs w:val="26"/>
        </w:rPr>
        <w:t>refore,</w:t>
      </w:r>
      <w:r w:rsidRPr="006E0C71">
        <w:rPr>
          <w:sz w:val="26"/>
          <w:szCs w:val="26"/>
        </w:rPr>
        <w:t xml:space="preserve"> cost</w:t>
      </w:r>
      <w:r>
        <w:rPr>
          <w:sz w:val="26"/>
          <w:szCs w:val="26"/>
        </w:rPr>
        <w:t xml:space="preserve"> e</w:t>
      </w:r>
      <w:r w:rsidRPr="006E0C71">
        <w:rPr>
          <w:sz w:val="26"/>
          <w:szCs w:val="26"/>
        </w:rPr>
        <w:t>s</w:t>
      </w:r>
      <w:r>
        <w:rPr>
          <w:sz w:val="26"/>
          <w:szCs w:val="26"/>
        </w:rPr>
        <w:t>timates</w:t>
      </w:r>
      <w:r w:rsidRPr="006E0C71">
        <w:rPr>
          <w:sz w:val="26"/>
          <w:szCs w:val="26"/>
        </w:rPr>
        <w:t xml:space="preserve"> are based on FERC’s 20</w:t>
      </w:r>
      <w:r>
        <w:rPr>
          <w:sz w:val="26"/>
          <w:szCs w:val="26"/>
        </w:rPr>
        <w:t>21</w:t>
      </w:r>
      <w:r w:rsidRPr="006E0C71">
        <w:rPr>
          <w:sz w:val="26"/>
          <w:szCs w:val="26"/>
        </w:rPr>
        <w:t xml:space="preserve"> average annual wage (and benefits) for a full-time employee of </w:t>
      </w:r>
      <w:r w:rsidRPr="007A34B1">
        <w:rPr>
          <w:sz w:val="26"/>
          <w:szCs w:val="26"/>
        </w:rPr>
        <w:t>$1</w:t>
      </w:r>
      <w:r>
        <w:rPr>
          <w:sz w:val="26"/>
          <w:szCs w:val="26"/>
        </w:rPr>
        <w:t>80,703</w:t>
      </w:r>
      <w:r w:rsidRPr="007A34B1" w:rsidDel="007A34B1">
        <w:rPr>
          <w:sz w:val="26"/>
          <w:szCs w:val="26"/>
        </w:rPr>
        <w:t xml:space="preserve"> </w:t>
      </w:r>
      <w:r>
        <w:rPr>
          <w:sz w:val="26"/>
          <w:szCs w:val="26"/>
        </w:rPr>
        <w:t xml:space="preserve">(or </w:t>
      </w:r>
      <w:r w:rsidRPr="007A34B1">
        <w:rPr>
          <w:sz w:val="26"/>
          <w:szCs w:val="26"/>
        </w:rPr>
        <w:t>$</w:t>
      </w:r>
      <w:r>
        <w:rPr>
          <w:sz w:val="26"/>
          <w:szCs w:val="26"/>
        </w:rPr>
        <w:t>87</w:t>
      </w:r>
      <w:r w:rsidRPr="007A34B1">
        <w:rPr>
          <w:sz w:val="26"/>
          <w:szCs w:val="26"/>
        </w:rPr>
        <w:t>.00</w:t>
      </w:r>
      <w:r w:rsidRPr="006E0C71">
        <w:rPr>
          <w:sz w:val="26"/>
          <w:szCs w:val="26"/>
        </w:rPr>
        <w:t xml:space="preserve">/hour).  </w:t>
      </w:r>
    </w:p>
  </w:footnote>
  <w:footnote w:id="9">
    <w:p w14:paraId="6150F773" w14:textId="77777777" w:rsidR="00282DAE" w:rsidRPr="006E0C71" w:rsidRDefault="00282DAE" w:rsidP="00282DAE">
      <w:pPr>
        <w:pStyle w:val="FootnoteText"/>
        <w:rPr>
          <w:sz w:val="26"/>
          <w:szCs w:val="26"/>
        </w:rPr>
      </w:pPr>
      <w:r w:rsidRPr="00D81C9E">
        <w:rPr>
          <w:rStyle w:val="FootnoteReference"/>
          <w:b/>
          <w:bCs/>
        </w:rPr>
        <w:footnoteRef/>
      </w:r>
      <w:r w:rsidRPr="006E0C71">
        <w:rPr>
          <w:sz w:val="26"/>
          <w:szCs w:val="26"/>
        </w:rPr>
        <w:t xml:space="preserve"> MW = megawatt</w:t>
      </w:r>
      <w:r>
        <w:rPr>
          <w:sz w:val="26"/>
          <w:szCs w:val="26"/>
        </w:rPr>
        <w:t>.</w:t>
      </w:r>
    </w:p>
  </w:footnote>
  <w:footnote w:id="10">
    <w:p w14:paraId="7A31EF09" w14:textId="0249B00C" w:rsidR="00282DAE" w:rsidRPr="00386E75" w:rsidRDefault="00282DAE" w:rsidP="00282DAE">
      <w:pPr>
        <w:pStyle w:val="FootnoteText"/>
        <w:rPr>
          <w:sz w:val="26"/>
          <w:szCs w:val="26"/>
        </w:rPr>
      </w:pPr>
      <w:r w:rsidRPr="00D81C9E">
        <w:rPr>
          <w:rStyle w:val="FootnoteReference"/>
          <w:b/>
          <w:bCs/>
        </w:rPr>
        <w:footnoteRef/>
      </w:r>
      <w:r w:rsidRPr="002F36AC">
        <w:rPr>
          <w:sz w:val="26"/>
          <w:szCs w:val="26"/>
        </w:rPr>
        <w:t xml:space="preserve"> </w:t>
      </w:r>
      <w:r w:rsidRPr="00386E75">
        <w:rPr>
          <w:sz w:val="26"/>
          <w:szCs w:val="26"/>
        </w:rPr>
        <w:t xml:space="preserve">The regulation at 18 CFR 292.203(d) exempts small power production facilities and </w:t>
      </w:r>
      <w:r w:rsidR="00724E39">
        <w:rPr>
          <w:sz w:val="26"/>
          <w:szCs w:val="26"/>
        </w:rPr>
        <w:t>co-generation</w:t>
      </w:r>
      <w:r w:rsidRPr="00386E75">
        <w:rPr>
          <w:sz w:val="26"/>
          <w:szCs w:val="26"/>
        </w:rPr>
        <w:t xml:space="preserve"> facilities from self-certification if they have a net power production capacity of 1 MW or less.  However, we are disclosing burdens for these filings because some facilities seek status as qualifying facilities regardless of their capacity.</w:t>
      </w:r>
    </w:p>
    <w:p w14:paraId="68AC1A90" w14:textId="77777777" w:rsidR="00282DAE" w:rsidRPr="002F36AC" w:rsidRDefault="00282DAE" w:rsidP="00282DAE">
      <w:pPr>
        <w:pStyle w:val="FootnoteText"/>
        <w:rPr>
          <w:szCs w:val="26"/>
        </w:rPr>
      </w:pPr>
    </w:p>
    <w:p w14:paraId="2D83EE8A" w14:textId="77777777" w:rsidR="00282DAE" w:rsidRPr="006E0C71" w:rsidRDefault="00282DAE" w:rsidP="00282DAE">
      <w:pPr>
        <w:pStyle w:val="FootnoteText"/>
        <w:rPr>
          <w:sz w:val="26"/>
          <w:szCs w:val="26"/>
        </w:rPr>
      </w:pPr>
    </w:p>
  </w:footnote>
  <w:footnote w:id="11">
    <w:p w14:paraId="4ADB0AF6" w14:textId="7E0F7EC8" w:rsidR="0013697D" w:rsidRPr="00661424" w:rsidRDefault="0013697D" w:rsidP="0013697D">
      <w:pPr>
        <w:pStyle w:val="FootnoteText"/>
        <w:rPr>
          <w:sz w:val="24"/>
          <w:szCs w:val="24"/>
        </w:rPr>
      </w:pPr>
      <w:r w:rsidRPr="00916BBD">
        <w:rPr>
          <w:rStyle w:val="FootnoteReference"/>
          <w:b/>
          <w:sz w:val="24"/>
          <w:szCs w:val="24"/>
          <w:vertAlign w:val="superscript"/>
        </w:rPr>
        <w:footnoteRef/>
      </w:r>
      <w:r w:rsidRPr="00BC1BB6">
        <w:rPr>
          <w:sz w:val="24"/>
          <w:szCs w:val="24"/>
          <w:vertAlign w:val="superscript"/>
        </w:rPr>
        <w:t xml:space="preserve"> </w:t>
      </w:r>
      <w:r w:rsidRPr="00BC1BB6">
        <w:rPr>
          <w:sz w:val="24"/>
          <w:szCs w:val="24"/>
        </w:rPr>
        <w:t>The estimate uses the FERC’s FY 20</w:t>
      </w:r>
      <w:r w:rsidR="00500C8E">
        <w:rPr>
          <w:sz w:val="24"/>
          <w:szCs w:val="24"/>
        </w:rPr>
        <w:t>21</w:t>
      </w:r>
      <w:r w:rsidRPr="00BC1BB6">
        <w:rPr>
          <w:sz w:val="24"/>
          <w:szCs w:val="24"/>
        </w:rPr>
        <w:t xml:space="preserve"> average annual salary plus benefits of one FERC FTE (full-time equivalent [$1</w:t>
      </w:r>
      <w:r w:rsidR="00500C8E">
        <w:rPr>
          <w:sz w:val="24"/>
          <w:szCs w:val="24"/>
        </w:rPr>
        <w:t>80,703</w:t>
      </w:r>
      <w:r w:rsidRPr="00BC1BB6">
        <w:rPr>
          <w:sz w:val="24"/>
          <w:szCs w:val="24"/>
        </w:rPr>
        <w:t xml:space="preserve"> per year or $</w:t>
      </w:r>
      <w:r w:rsidR="00500C8E">
        <w:rPr>
          <w:sz w:val="24"/>
          <w:szCs w:val="24"/>
        </w:rPr>
        <w:t>87</w:t>
      </w:r>
      <w:r w:rsidRPr="00BC1BB6">
        <w:rPr>
          <w:sz w:val="24"/>
          <w:szCs w:val="24"/>
        </w:rPr>
        <w:t>.00 per hour]).  (These estimates were updated in May 20</w:t>
      </w:r>
      <w:r w:rsidR="00500C8E">
        <w:rPr>
          <w:sz w:val="24"/>
          <w:szCs w:val="24"/>
        </w:rPr>
        <w:t>21</w:t>
      </w:r>
      <w:r w:rsidRPr="00BC1BB6">
        <w:rPr>
          <w:sz w:val="24"/>
          <w:szCs w:val="24"/>
        </w:rPr>
        <w:t>.)</w:t>
      </w:r>
    </w:p>
  </w:footnote>
  <w:footnote w:id="12">
    <w:p w14:paraId="50405875" w14:textId="2D608087" w:rsidR="0013697D" w:rsidRPr="00916BBD" w:rsidRDefault="0013697D" w:rsidP="0013697D">
      <w:pPr>
        <w:pStyle w:val="FootnoteText"/>
        <w:rPr>
          <w:sz w:val="24"/>
          <w:szCs w:val="24"/>
        </w:rPr>
      </w:pPr>
      <w:r w:rsidRPr="00916BBD">
        <w:rPr>
          <w:rStyle w:val="FootnoteReference"/>
          <w:b/>
          <w:sz w:val="24"/>
          <w:szCs w:val="24"/>
          <w:vertAlign w:val="superscript"/>
        </w:rPr>
        <w:footnoteRef/>
      </w:r>
      <w:r w:rsidRPr="00661424">
        <w:rPr>
          <w:sz w:val="24"/>
          <w:szCs w:val="24"/>
        </w:rPr>
        <w:t xml:space="preserve"> This estimate was updated May 20</w:t>
      </w:r>
      <w:r w:rsidR="00500C8E">
        <w:rPr>
          <w:sz w:val="24"/>
          <w:szCs w:val="24"/>
        </w:rPr>
        <w:t>21</w:t>
      </w:r>
      <w:r w:rsidRPr="00661424">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2885" w14:textId="4CF3D9BA" w:rsidR="003A5BA7" w:rsidRDefault="002D5138">
    <w:pPr>
      <w:pStyle w:val="Header"/>
    </w:pPr>
    <w:r>
      <w:t>FERC Form 556 (OMB Control No. 1902-0075</w:t>
    </w:r>
    <w:r w:rsidR="00E8005E">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1D00" w14:textId="15FC2EF4" w:rsidR="00802E25" w:rsidRPr="00380C05" w:rsidRDefault="00802E25">
    <w:pPr>
      <w:pStyle w:val="Header"/>
      <w:rPr>
        <w:i/>
      </w:rPr>
    </w:pPr>
    <w:r w:rsidRPr="00380C05">
      <w:rPr>
        <w:i/>
        <w:highlight w:val="yellow"/>
      </w:rPr>
      <w:t>draft 3/</w:t>
    </w:r>
    <w:r w:rsidR="002A6205">
      <w:rPr>
        <w:i/>
        <w:highlight w:val="yellow"/>
      </w:rPr>
      <w:t>1</w:t>
    </w:r>
    <w:r w:rsidR="00745141">
      <w:rPr>
        <w:i/>
        <w:highlight w:val="yellow"/>
      </w:rPr>
      <w:t>9</w:t>
    </w:r>
    <w:r w:rsidRPr="00380C05">
      <w:rPr>
        <w:i/>
        <w:highlight w:val="yellow"/>
      </w:rPr>
      <w:t>/2019</w:t>
    </w:r>
    <w:r w:rsidR="00BA1049" w:rsidRPr="00380C05">
      <w:rPr>
        <w:i/>
        <w:highlight w:val="yellow"/>
      </w:rPr>
      <w:t xml:space="preserve"> for regular 3-year renewal</w:t>
    </w:r>
  </w:p>
  <w:p w14:paraId="3A102888" w14:textId="77777777" w:rsidR="001D2EC1" w:rsidRDefault="00891C89">
    <w:pPr>
      <w:pStyle w:val="Header"/>
    </w:pPr>
    <w:r>
      <w:t xml:space="preserve">FERC Form </w:t>
    </w:r>
    <w:r w:rsidR="001D2EC1">
      <w:t>556 (OMB Control No. 1902-0075)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29CF"/>
    <w:rsid w:val="000218B7"/>
    <w:rsid w:val="000260E7"/>
    <w:rsid w:val="000806CF"/>
    <w:rsid w:val="000969B5"/>
    <w:rsid w:val="000C5C56"/>
    <w:rsid w:val="000E78F4"/>
    <w:rsid w:val="000F53A6"/>
    <w:rsid w:val="00105CDF"/>
    <w:rsid w:val="00110DDD"/>
    <w:rsid w:val="00111197"/>
    <w:rsid w:val="0013697D"/>
    <w:rsid w:val="0013762B"/>
    <w:rsid w:val="00147917"/>
    <w:rsid w:val="00181B4A"/>
    <w:rsid w:val="001922FC"/>
    <w:rsid w:val="001A07E0"/>
    <w:rsid w:val="001A155B"/>
    <w:rsid w:val="001A47F2"/>
    <w:rsid w:val="001A6C4C"/>
    <w:rsid w:val="001B1350"/>
    <w:rsid w:val="001B6647"/>
    <w:rsid w:val="001C042A"/>
    <w:rsid w:val="001D2EC1"/>
    <w:rsid w:val="001E6D2B"/>
    <w:rsid w:val="001F4E90"/>
    <w:rsid w:val="002000AA"/>
    <w:rsid w:val="002124EE"/>
    <w:rsid w:val="002142A2"/>
    <w:rsid w:val="002172BF"/>
    <w:rsid w:val="0024137A"/>
    <w:rsid w:val="002565F8"/>
    <w:rsid w:val="00256A3B"/>
    <w:rsid w:val="00267F92"/>
    <w:rsid w:val="00271529"/>
    <w:rsid w:val="002766FC"/>
    <w:rsid w:val="00277A46"/>
    <w:rsid w:val="00282DAE"/>
    <w:rsid w:val="00292A75"/>
    <w:rsid w:val="00295C38"/>
    <w:rsid w:val="002A0713"/>
    <w:rsid w:val="002A2B8E"/>
    <w:rsid w:val="002A6205"/>
    <w:rsid w:val="002B0B46"/>
    <w:rsid w:val="002D5138"/>
    <w:rsid w:val="00310967"/>
    <w:rsid w:val="00310F19"/>
    <w:rsid w:val="00316F67"/>
    <w:rsid w:val="0032225E"/>
    <w:rsid w:val="00342646"/>
    <w:rsid w:val="00347FCB"/>
    <w:rsid w:val="003537A1"/>
    <w:rsid w:val="0035481D"/>
    <w:rsid w:val="00362236"/>
    <w:rsid w:val="00380C05"/>
    <w:rsid w:val="003859B8"/>
    <w:rsid w:val="003A4AD2"/>
    <w:rsid w:val="003B7DB9"/>
    <w:rsid w:val="00415692"/>
    <w:rsid w:val="00426B6E"/>
    <w:rsid w:val="00432DA3"/>
    <w:rsid w:val="004416D5"/>
    <w:rsid w:val="004445CE"/>
    <w:rsid w:val="004472EB"/>
    <w:rsid w:val="00454D32"/>
    <w:rsid w:val="00493F6A"/>
    <w:rsid w:val="004B0930"/>
    <w:rsid w:val="004C3518"/>
    <w:rsid w:val="004C777D"/>
    <w:rsid w:val="004D5061"/>
    <w:rsid w:val="004D6DEB"/>
    <w:rsid w:val="004E0DC6"/>
    <w:rsid w:val="004E539E"/>
    <w:rsid w:val="004F0EFA"/>
    <w:rsid w:val="00500C8E"/>
    <w:rsid w:val="00521185"/>
    <w:rsid w:val="005240A1"/>
    <w:rsid w:val="00530ECB"/>
    <w:rsid w:val="00537DF5"/>
    <w:rsid w:val="00545B62"/>
    <w:rsid w:val="00560503"/>
    <w:rsid w:val="00583C12"/>
    <w:rsid w:val="00585AD8"/>
    <w:rsid w:val="005919F4"/>
    <w:rsid w:val="00592E82"/>
    <w:rsid w:val="00593CC7"/>
    <w:rsid w:val="005A38AB"/>
    <w:rsid w:val="005A6662"/>
    <w:rsid w:val="005C5DE2"/>
    <w:rsid w:val="005C6866"/>
    <w:rsid w:val="005C6964"/>
    <w:rsid w:val="005D6791"/>
    <w:rsid w:val="005F5558"/>
    <w:rsid w:val="005F62ED"/>
    <w:rsid w:val="00607701"/>
    <w:rsid w:val="00631C48"/>
    <w:rsid w:val="00661424"/>
    <w:rsid w:val="00675D29"/>
    <w:rsid w:val="00680AB8"/>
    <w:rsid w:val="00686188"/>
    <w:rsid w:val="0069286F"/>
    <w:rsid w:val="0069439B"/>
    <w:rsid w:val="006A1A2E"/>
    <w:rsid w:val="006A6928"/>
    <w:rsid w:val="006C38B0"/>
    <w:rsid w:val="006D2B65"/>
    <w:rsid w:val="006F272C"/>
    <w:rsid w:val="00704953"/>
    <w:rsid w:val="00710E1F"/>
    <w:rsid w:val="00724E39"/>
    <w:rsid w:val="00745141"/>
    <w:rsid w:val="0075420C"/>
    <w:rsid w:val="007625CD"/>
    <w:rsid w:val="007637F2"/>
    <w:rsid w:val="00764EFA"/>
    <w:rsid w:val="00787E56"/>
    <w:rsid w:val="007A284B"/>
    <w:rsid w:val="007A77E2"/>
    <w:rsid w:val="00802E25"/>
    <w:rsid w:val="008123AB"/>
    <w:rsid w:val="00833D86"/>
    <w:rsid w:val="00841E46"/>
    <w:rsid w:val="00845E5D"/>
    <w:rsid w:val="00851D29"/>
    <w:rsid w:val="00867774"/>
    <w:rsid w:val="00870A54"/>
    <w:rsid w:val="00886567"/>
    <w:rsid w:val="00891C89"/>
    <w:rsid w:val="00893289"/>
    <w:rsid w:val="0089369D"/>
    <w:rsid w:val="008A38B5"/>
    <w:rsid w:val="008B1A17"/>
    <w:rsid w:val="008D63B4"/>
    <w:rsid w:val="008E5AB5"/>
    <w:rsid w:val="008E706E"/>
    <w:rsid w:val="008F1166"/>
    <w:rsid w:val="00907A71"/>
    <w:rsid w:val="00916BBD"/>
    <w:rsid w:val="00920524"/>
    <w:rsid w:val="00933292"/>
    <w:rsid w:val="00951DFF"/>
    <w:rsid w:val="00957DA2"/>
    <w:rsid w:val="00980E8E"/>
    <w:rsid w:val="009A407A"/>
    <w:rsid w:val="009B263A"/>
    <w:rsid w:val="009D6B6D"/>
    <w:rsid w:val="00A23B2C"/>
    <w:rsid w:val="00A60EA1"/>
    <w:rsid w:val="00AA1FE8"/>
    <w:rsid w:val="00AA3F59"/>
    <w:rsid w:val="00AA5B79"/>
    <w:rsid w:val="00AC0958"/>
    <w:rsid w:val="00AC59D6"/>
    <w:rsid w:val="00AC7273"/>
    <w:rsid w:val="00AD1277"/>
    <w:rsid w:val="00AD5B1D"/>
    <w:rsid w:val="00B0391A"/>
    <w:rsid w:val="00B113CB"/>
    <w:rsid w:val="00B24C97"/>
    <w:rsid w:val="00B61F02"/>
    <w:rsid w:val="00B97EA5"/>
    <w:rsid w:val="00BA1049"/>
    <w:rsid w:val="00BB6095"/>
    <w:rsid w:val="00BC1283"/>
    <w:rsid w:val="00BC1BB6"/>
    <w:rsid w:val="00BC5BC5"/>
    <w:rsid w:val="00BD4039"/>
    <w:rsid w:val="00BE49B2"/>
    <w:rsid w:val="00BF493B"/>
    <w:rsid w:val="00C12DC0"/>
    <w:rsid w:val="00C3086A"/>
    <w:rsid w:val="00C33FDE"/>
    <w:rsid w:val="00C56045"/>
    <w:rsid w:val="00C7666C"/>
    <w:rsid w:val="00C97FEE"/>
    <w:rsid w:val="00CA1EAD"/>
    <w:rsid w:val="00CA5AF7"/>
    <w:rsid w:val="00CD7879"/>
    <w:rsid w:val="00D00D07"/>
    <w:rsid w:val="00D05C1E"/>
    <w:rsid w:val="00D23357"/>
    <w:rsid w:val="00D26BE1"/>
    <w:rsid w:val="00D314D3"/>
    <w:rsid w:val="00D51D7E"/>
    <w:rsid w:val="00D56050"/>
    <w:rsid w:val="00D761C0"/>
    <w:rsid w:val="00D76280"/>
    <w:rsid w:val="00D81C9E"/>
    <w:rsid w:val="00D93813"/>
    <w:rsid w:val="00DA4553"/>
    <w:rsid w:val="00DE0C3A"/>
    <w:rsid w:val="00E009DC"/>
    <w:rsid w:val="00E138E1"/>
    <w:rsid w:val="00E32773"/>
    <w:rsid w:val="00E40D6E"/>
    <w:rsid w:val="00E46B67"/>
    <w:rsid w:val="00E54372"/>
    <w:rsid w:val="00E76211"/>
    <w:rsid w:val="00E8005E"/>
    <w:rsid w:val="00E82BDC"/>
    <w:rsid w:val="00E876B2"/>
    <w:rsid w:val="00EA026E"/>
    <w:rsid w:val="00EA479F"/>
    <w:rsid w:val="00EB052D"/>
    <w:rsid w:val="00EC5373"/>
    <w:rsid w:val="00ED0BED"/>
    <w:rsid w:val="00EF3C3F"/>
    <w:rsid w:val="00EF40FF"/>
    <w:rsid w:val="00EF4600"/>
    <w:rsid w:val="00F05319"/>
    <w:rsid w:val="00F14D3D"/>
    <w:rsid w:val="00F205D2"/>
    <w:rsid w:val="00F272E4"/>
    <w:rsid w:val="00F30B0D"/>
    <w:rsid w:val="00F37693"/>
    <w:rsid w:val="00F528CE"/>
    <w:rsid w:val="00F620F6"/>
    <w:rsid w:val="00F71E4D"/>
    <w:rsid w:val="00F764FE"/>
    <w:rsid w:val="00F8143B"/>
    <w:rsid w:val="00F84F8F"/>
    <w:rsid w:val="00F94A03"/>
    <w:rsid w:val="00FA33AC"/>
    <w:rsid w:val="00FC1370"/>
    <w:rsid w:val="00FC7C5C"/>
    <w:rsid w:val="00FE1295"/>
    <w:rsid w:val="00FE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0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1 Char2,fn1 Char"/>
    <w:basedOn w:val="DefaultParagraphFont"/>
    <w:rsid w:val="009D6B6D"/>
    <w:rPr>
      <w:rFonts w:eastAsia="Times New Roman"/>
      <w:sz w:val="20"/>
      <w:szCs w:val="20"/>
    </w:rPr>
  </w:style>
  <w:style w:type="paragraph" w:customStyle="1" w:styleId="FERCparanumber">
    <w:name w:val="FERC paranumber"/>
    <w:basedOn w:val="Normal"/>
    <w:link w:val="FERCparanumberChar"/>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unhideWhenUsed/>
    <w:rsid w:val="00EC5373"/>
    <w:rPr>
      <w:sz w:val="20"/>
      <w:szCs w:val="20"/>
    </w:rPr>
  </w:style>
  <w:style w:type="character" w:customStyle="1" w:styleId="CommentTextChar">
    <w:name w:val="Comment Text Char"/>
    <w:basedOn w:val="DefaultParagraphFont"/>
    <w:link w:val="CommentText"/>
    <w:uiPriority w:val="99"/>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3577">
      <w:bodyDiv w:val="1"/>
      <w:marLeft w:val="0"/>
      <w:marRight w:val="0"/>
      <w:marTop w:val="0"/>
      <w:marBottom w:val="0"/>
      <w:divBdr>
        <w:top w:val="none" w:sz="0" w:space="0" w:color="auto"/>
        <w:left w:val="none" w:sz="0" w:space="0" w:color="auto"/>
        <w:bottom w:val="none" w:sz="0" w:space="0" w:color="auto"/>
        <w:right w:val="none" w:sz="0" w:space="0" w:color="auto"/>
      </w:divBdr>
    </w:div>
    <w:div w:id="8198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forms.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erc.gov/information-collection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2019-05-14T00:00:00-04:00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IC19-16</_x0031__x002e__x0020_Docket_x0020_Number>
    <_x0033__x002e__x0020_Collection_x0020_Number xmlns="d6eefc7d-9817-4fa6-84d5-3bc009be21b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9EC0-D747-4299-89B6-A45A7B034B33}">
  <ds:schemaRefs>
    <ds:schemaRef ds:uri="http://schemas.openxmlformats.org/officeDocument/2006/bibliography"/>
  </ds:schemaRefs>
</ds:datastoreItem>
</file>

<file path=customXml/itemProps2.xml><?xml version="1.0" encoding="utf-8"?>
<ds:datastoreItem xmlns:ds="http://schemas.openxmlformats.org/officeDocument/2006/customXml" ds:itemID="{35694E50-ABD9-4FE2-AEDD-79D5571B2A77}">
  <ds:schemaRefs>
    <ds:schemaRef ds:uri="Microsoft.SharePoint.Taxonomy.ContentTypeSync"/>
  </ds:schemaRefs>
</ds:datastoreItem>
</file>

<file path=customXml/itemProps3.xml><?xml version="1.0" encoding="utf-8"?>
<ds:datastoreItem xmlns:ds="http://schemas.openxmlformats.org/officeDocument/2006/customXml" ds:itemID="{8DB6A476-D3BE-4BAB-99DB-0AC131A93F06}">
  <ds:schemaRefs>
    <ds:schemaRef ds:uri="http://schemas.microsoft.com/office/2006/metadata/customXsn"/>
  </ds:schemaRefs>
</ds:datastoreItem>
</file>

<file path=customXml/itemProps4.xml><?xml version="1.0" encoding="utf-8"?>
<ds:datastoreItem xmlns:ds="http://schemas.openxmlformats.org/officeDocument/2006/customXml" ds:itemID="{9B3D1D7F-8C80-4F45-A255-05530B4C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93FEAE-82DA-4412-9988-4BC4D5BA69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6.xml><?xml version="1.0" encoding="utf-8"?>
<ds:datastoreItem xmlns:ds="http://schemas.openxmlformats.org/officeDocument/2006/customXml" ds:itemID="{5409E915-B790-45DE-AB35-9B3943D55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2022-02-18T23:54:00Z</dcterms:created>
  <dcterms:modified xsi:type="dcterms:W3CDTF">2022-02-19T00:19:00Z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2022-02-03T12:36:39Z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ContentBits">
    <vt:lpwstr>0</vt:lpwstr>
  </property>
</Properties>
</file>