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5079B6" w:rsidP="005079B6" w:rsidRDefault="005079B6" w14:paraId="070F789F" w14:textId="77777777">
      <w:pPr>
        <w:jc w:val="center"/>
      </w:pPr>
      <w:r w:rsidRPr="002F542E">
        <w:t>[D</w:t>
      </w:r>
      <w:r w:rsidRPr="00AE2905">
        <w:t>ocket No. IC22-3-000]</w:t>
      </w:r>
    </w:p>
    <w:p w:rsidR="005079B6" w:rsidP="005079B6" w:rsidRDefault="005079B6" w14:paraId="779330B1" w14:textId="77777777"/>
    <w:p w:rsidR="005079B6" w:rsidP="005079B6" w:rsidRDefault="005079B6" w14:paraId="64BFFAB2" w14:textId="77777777">
      <w:pPr>
        <w:jc w:val="center"/>
      </w:pPr>
      <w:bookmarkStart w:name="_Hlk88056454" w:id="0"/>
      <w:r>
        <w:t xml:space="preserve">COMMISSION INFORMATION COLLECTION ACTIVITIES </w:t>
      </w:r>
    </w:p>
    <w:p w:rsidR="005079B6" w:rsidP="005079B6" w:rsidRDefault="005079B6" w14:paraId="34017D5E" w14:textId="77777777">
      <w:pPr>
        <w:jc w:val="center"/>
      </w:pPr>
      <w:r>
        <w:t>(FERC Form Nos. 1, 1T,1-F, 1-FT, 3-Q, and 3-QT</w:t>
      </w:r>
      <w:proofErr w:type="gramStart"/>
      <w:r>
        <w:t>);</w:t>
      </w:r>
      <w:proofErr w:type="gramEnd"/>
    </w:p>
    <w:p w:rsidR="005079B6" w:rsidP="005079B6" w:rsidRDefault="005079B6" w14:paraId="38335EE8" w14:textId="77777777">
      <w:pPr>
        <w:jc w:val="center"/>
      </w:pPr>
      <w:r>
        <w:t>COMMENT REQUEST; EXTENSIONS</w:t>
      </w:r>
    </w:p>
    <w:bookmarkEnd w:id="0"/>
    <w:p w:rsidR="00810D18" w:rsidP="00810D18" w:rsidRDefault="00810D18" w14:paraId="6FC67CE5" w14:textId="1157AFF8"/>
    <w:p w:rsidR="007A7330" w:rsidP="004241A7" w:rsidRDefault="004241A7" w14:paraId="21960A75" w14:textId="05C86F95">
      <w:pPr>
        <w:jc w:val="center"/>
      </w:pPr>
      <w:r w:rsidRPr="004241A7">
        <w:t>(April 1, 2022)</w:t>
      </w:r>
    </w:p>
    <w:p w:rsidRPr="004241A7" w:rsidR="004241A7" w:rsidP="004241A7" w:rsidRDefault="004241A7" w14:paraId="756D5D86"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33FC9528">
      <w:pPr>
        <w:spacing w:line="480" w:lineRule="auto"/>
      </w:pPr>
      <w:r w:rsidRPr="00CE64F2">
        <w:rPr>
          <w:b/>
        </w:rPr>
        <w:t>SUMMARY:</w:t>
      </w:r>
      <w:r>
        <w:t xml:space="preserve">  </w:t>
      </w:r>
      <w:r w:rsidR="005079B6">
        <w:t>In compliance with the requirements of the Paperwork Reduction Act of 1995 (PRA), the Federal Energy Regulatory Commission (Commission or FERC) is soliciting public comment on the currently approved information collections, FERC Form Nos. 1 and 1T (</w:t>
      </w:r>
      <w:r w:rsidRPr="00EB73E2" w:rsidR="005079B6">
        <w:t>Annual Report of Major Electric Utilities, Licensees, and Others</w:t>
      </w:r>
      <w:r w:rsidRPr="00D36594" w:rsidR="005079B6">
        <w:t>)</w:t>
      </w:r>
      <w:r w:rsidR="005079B6">
        <w:t>, 1-F and 1-FT (</w:t>
      </w:r>
      <w:r w:rsidRPr="00EB73E2" w:rsidR="005079B6">
        <w:t>Annual Report for Nonmajor Public Utilities and Licensees</w:t>
      </w:r>
      <w:r w:rsidR="005079B6">
        <w:t>), and 3-Q and 3-QT (</w:t>
      </w:r>
      <w:r w:rsidRPr="002A6CD0" w:rsidR="005079B6">
        <w:t>Quarterly Financial Report of Electric Utilities, Licensees, and Natural Gas Companies</w:t>
      </w:r>
      <w:r w:rsidR="005079B6">
        <w:t>).</w:t>
      </w:r>
    </w:p>
    <w:p w:rsidRPr="00E05C4F" w:rsidR="006D2891" w:rsidP="00C82B93" w:rsidRDefault="006D2891" w14:paraId="33152983" w14:textId="03954441">
      <w:pPr>
        <w:spacing w:line="480" w:lineRule="auto"/>
        <w:ind w:firstLine="720"/>
      </w:pPr>
      <w:r w:rsidRPr="00E05C4F">
        <w:t>The Commission</w:t>
      </w:r>
      <w:r w:rsidR="00A642AE">
        <w:t xml:space="preserve"> published a 60-day notice in the Federal Register on November 18, </w:t>
      </w:r>
      <w:proofErr w:type="gramStart"/>
      <w:r w:rsidR="00A642AE">
        <w:t>2021</w:t>
      </w:r>
      <w:proofErr w:type="gramEnd"/>
      <w:r w:rsidR="00A642AE">
        <w:t xml:space="preserve"> and</w:t>
      </w:r>
      <w:r w:rsidRPr="00E05C4F">
        <w:t xml:space="preserve"> received </w:t>
      </w:r>
      <w:r w:rsidR="00A642AE">
        <w:t>one</w:t>
      </w:r>
      <w:r w:rsidRPr="00E05C4F">
        <w:t xml:space="preserve"> comment.</w:t>
      </w:r>
    </w:p>
    <w:p w:rsidRPr="007C1916" w:rsidR="007C1916" w:rsidP="007C1916" w:rsidRDefault="00A2604E" w14:paraId="442CCE36" w14:textId="01768A0E">
      <w:pPr>
        <w:spacing w:line="480" w:lineRule="auto"/>
      </w:pPr>
      <w:r w:rsidRPr="00CE64F2">
        <w:rPr>
          <w:b/>
        </w:rPr>
        <w:t>DATES:</w:t>
      </w:r>
      <w:r>
        <w:t xml:space="preserve">  Comments on the collection</w:t>
      </w:r>
      <w:r w:rsidR="00327D34">
        <w:t>s</w:t>
      </w:r>
      <w:r>
        <w:t xml:space="preserve"> of information are due </w:t>
      </w:r>
      <w:bookmarkStart w:name="OLE_LINK1" w:id="1"/>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0882F11C">
      <w:pPr>
        <w:spacing w:line="480" w:lineRule="auto"/>
      </w:pPr>
      <w:r w:rsidRPr="007C1916">
        <w:rPr>
          <w:b/>
        </w:rPr>
        <w:t>ADDRESSES:</w:t>
      </w:r>
      <w:r w:rsidRPr="007C1916">
        <w:t xml:space="preserve">  </w:t>
      </w:r>
      <w:r w:rsidRPr="00096CAD" w:rsidR="00343A03">
        <w:rPr>
          <w:iCs/>
          <w:szCs w:val="26"/>
        </w:rPr>
        <w:t xml:space="preserve">Send written comments on </w:t>
      </w:r>
      <w:r w:rsidR="006050BA">
        <w:rPr>
          <w:iCs/>
          <w:szCs w:val="26"/>
        </w:rPr>
        <w:t xml:space="preserve">FERC </w:t>
      </w:r>
      <w:r w:rsidR="00665453">
        <w:rPr>
          <w:iCs/>
          <w:szCs w:val="26"/>
        </w:rPr>
        <w:t xml:space="preserve">Form </w:t>
      </w:r>
      <w:r w:rsidR="005079B6">
        <w:rPr>
          <w:iCs/>
          <w:szCs w:val="26"/>
        </w:rPr>
        <w:t>Nos</w:t>
      </w:r>
      <w:r w:rsidR="00806460">
        <w:rPr>
          <w:iCs/>
          <w:szCs w:val="26"/>
        </w:rPr>
        <w:t>.</w:t>
      </w:r>
      <w:r w:rsidR="005079B6">
        <w:rPr>
          <w:iCs/>
          <w:szCs w:val="26"/>
        </w:rPr>
        <w:t xml:space="preserve"> 1 and 1T, 1-F and 1-FT, and 3-Q and 3-QT </w:t>
      </w:r>
      <w:r w:rsidRPr="00096CAD" w:rsidR="00343A03">
        <w:rPr>
          <w:iCs/>
          <w:szCs w:val="26"/>
        </w:rPr>
        <w:t xml:space="preserve">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w:t>
      </w:r>
      <w:r w:rsidR="003137DF">
        <w:rPr>
          <w:iCs/>
          <w:szCs w:val="26"/>
        </w:rPr>
        <w:t>C</w:t>
      </w:r>
      <w:r w:rsidRPr="00096CAD" w:rsidR="003137DF">
        <w:rPr>
          <w:iCs/>
          <w:szCs w:val="26"/>
        </w:rPr>
        <w:t xml:space="preserve">ontrol </w:t>
      </w:r>
      <w:r w:rsidR="003137DF">
        <w:rPr>
          <w:iCs/>
          <w:szCs w:val="26"/>
        </w:rPr>
        <w:t>N</w:t>
      </w:r>
      <w:r w:rsidRPr="00096CAD" w:rsidR="003137DF">
        <w:rPr>
          <w:iCs/>
          <w:szCs w:val="26"/>
        </w:rPr>
        <w:t>umber</w:t>
      </w:r>
      <w:r w:rsidR="0017530A">
        <w:rPr>
          <w:iCs/>
          <w:szCs w:val="26"/>
        </w:rPr>
        <w:t>:</w:t>
      </w:r>
      <w:r w:rsidRPr="00096CAD" w:rsidR="003137DF">
        <w:rPr>
          <w:iCs/>
          <w:szCs w:val="26"/>
        </w:rPr>
        <w:t xml:space="preserve"> </w:t>
      </w:r>
      <w:r w:rsidRPr="00AA145E" w:rsidR="003137DF">
        <w:rPr>
          <w:iCs/>
          <w:szCs w:val="26"/>
        </w:rPr>
        <w:t>1902-</w:t>
      </w:r>
      <w:r w:rsidR="00AA145E">
        <w:t>0021</w:t>
      </w:r>
      <w:r w:rsidR="0017530A">
        <w:t xml:space="preserve">, 1902-0311, </w:t>
      </w:r>
      <w:r w:rsidRPr="00266D48" w:rsidR="0017530A">
        <w:t>1902-0029</w:t>
      </w:r>
      <w:r w:rsidR="0017530A">
        <w:t xml:space="preserve">, 1902-0312, </w:t>
      </w:r>
      <w:r w:rsidRPr="00120C03" w:rsidR="0017530A">
        <w:t>1902-0205</w:t>
      </w:r>
      <w:r w:rsidR="0017530A">
        <w:t xml:space="preserve">, </w:t>
      </w:r>
      <w:r w:rsidR="004D4F3D">
        <w:t>and/</w:t>
      </w:r>
      <w:r w:rsidR="0017530A">
        <w:t xml:space="preserve">or </w:t>
      </w:r>
      <w:r w:rsidRPr="00120C03" w:rsidR="0017530A">
        <w:t>1902-0028</w:t>
      </w:r>
      <w:r w:rsidRPr="00096CAD" w:rsidR="00343A03">
        <w:rPr>
          <w:iCs/>
          <w:szCs w:val="26"/>
        </w:rPr>
        <w:t xml:space="preserve"> </w:t>
      </w:r>
      <w:r w:rsidRPr="00096CAD" w:rsidR="00343A03">
        <w:rPr>
          <w:iCs/>
          <w:szCs w:val="26"/>
        </w:rPr>
        <w:lastRenderedPageBreak/>
        <w:t>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4577099E">
      <w:pPr>
        <w:spacing w:line="480" w:lineRule="auto"/>
      </w:pPr>
      <w:r>
        <w:t xml:space="preserve">Please submit copies of your comments </w:t>
      </w:r>
      <w:r w:rsidR="00D65D56">
        <w:t>(</w:t>
      </w:r>
      <w:r w:rsidRPr="00AC750B" w:rsidR="00797140">
        <w:t xml:space="preserve">identified </w:t>
      </w:r>
      <w:r w:rsidRPr="00DA19FA" w:rsidR="00797140">
        <w:t>by Do</w:t>
      </w:r>
      <w:r w:rsidRPr="00AE2905" w:rsidR="00797140">
        <w:t>cket No. IC22-3-000 and</w:t>
      </w:r>
      <w:r w:rsidR="00797140">
        <w:t xml:space="preserve"> the form</w:t>
      </w:r>
      <w:r w:rsidR="004D4F3D">
        <w:t>(s)</w:t>
      </w:r>
      <w:r w:rsidR="00D65D56">
        <w:t xml:space="preserve">)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038F559F">
      <w:pPr>
        <w:pStyle w:val="ListParagraph"/>
        <w:numPr>
          <w:ilvl w:val="1"/>
          <w:numId w:val="6"/>
        </w:numPr>
        <w:spacing w:line="480" w:lineRule="auto"/>
      </w:pPr>
      <w:r>
        <w:t xml:space="preserve">Mail via U.S. Postal Service </w:t>
      </w:r>
      <w:r w:rsidR="00F724D5">
        <w:t>o</w:t>
      </w:r>
      <w:r>
        <w:t>nly</w:t>
      </w:r>
      <w:r w:rsidR="00F724D5">
        <w:t>,</w:t>
      </w:r>
      <w:r>
        <w:t xml:space="preserve"> </w:t>
      </w:r>
      <w:r w:rsidR="00F724D5">
        <w:t>a</w:t>
      </w:r>
      <w:r>
        <w:t>ddressed to: Federal Energy Regulatory Commission, Secretary of the Commission, 888 First Street, N.E., Washington, DC 20426.</w:t>
      </w:r>
    </w:p>
    <w:p w:rsidR="00D50830" w:rsidP="00BE3392" w:rsidRDefault="00D65D56" w14:paraId="40619756" w14:textId="7BB42F9F">
      <w:pPr>
        <w:pStyle w:val="ListParagraph"/>
        <w:numPr>
          <w:ilvl w:val="1"/>
          <w:numId w:val="6"/>
        </w:numPr>
        <w:spacing w:line="480" w:lineRule="auto"/>
      </w:pPr>
      <w:r>
        <w:t>Hand (including courier) delivery</w:t>
      </w:r>
      <w:r w:rsidR="00A311A8">
        <w:t xml:space="preserve"> </w:t>
      </w:r>
      <w:r>
        <w:t xml:space="preserve">to: Federal Energy Regulatory Commission, 12225 Wilkins Avenue, Rockville, MD 20852. </w:t>
      </w:r>
    </w:p>
    <w:p w:rsidRPr="00CB7448" w:rsidR="008E5123" w:rsidP="008E5123" w:rsidRDefault="00A2604E" w14:paraId="2BAFDB88" w14:textId="6C05F9F3">
      <w:pPr>
        <w:spacing w:line="480" w:lineRule="auto"/>
        <w:rPr>
          <w:szCs w:val="26"/>
        </w:rPr>
      </w:pPr>
      <w:r w:rsidRPr="00CB7448">
        <w:rPr>
          <w:i/>
          <w:szCs w:val="26"/>
        </w:rPr>
        <w:t xml:space="preserve">Instructions: </w:t>
      </w:r>
      <w:r w:rsidRPr="00C82B93" w:rsidR="008E5123">
        <w:rPr>
          <w:iCs/>
          <w:szCs w:val="26"/>
        </w:rPr>
        <w:t>OMB submissions</w:t>
      </w:r>
      <w:r w:rsidRPr="00096CAD" w:rsidR="008E5123">
        <w:rPr>
          <w:iCs/>
          <w:szCs w:val="26"/>
        </w:rPr>
        <w:t xml:space="preserve"> </w:t>
      </w:r>
      <w:r w:rsidRPr="00CB7448" w:rsidR="008E5123">
        <w:rPr>
          <w:szCs w:val="26"/>
        </w:rPr>
        <w:t>must be formatted and filed in accordance with submission guidelines at</w:t>
      </w:r>
      <w:r w:rsidRPr="00CB7448" w:rsidR="008E5123">
        <w:rPr>
          <w:i/>
          <w:szCs w:val="26"/>
        </w:rPr>
        <w:t xml:space="preserve"> </w:t>
      </w:r>
      <w:hyperlink w:history="1" r:id="rId14">
        <w:r w:rsidRPr="00096CAD" w:rsidR="008E5123">
          <w:rPr>
            <w:rStyle w:val="Hyperlink"/>
            <w:szCs w:val="26"/>
          </w:rPr>
          <w:t>www.reginfo.gov/public/do/PRAMain</w:t>
        </w:r>
      </w:hyperlink>
      <w:r w:rsidR="007C2B2D">
        <w:rPr>
          <w:rStyle w:val="Hyperlink"/>
          <w:szCs w:val="26"/>
        </w:rPr>
        <w:t>.</w:t>
      </w:r>
      <w:r w:rsidRPr="00096CAD" w:rsidR="008E5123">
        <w:rPr>
          <w:szCs w:val="26"/>
        </w:rPr>
        <w:t xml:space="preserve">  Using the search function under the “Currently Under Review field</w:t>
      </w:r>
      <w:r w:rsidR="008E5123">
        <w:rPr>
          <w:szCs w:val="26"/>
        </w:rPr>
        <w:t>,</w:t>
      </w:r>
      <w:r w:rsidRPr="00096CAD" w:rsidR="008E5123">
        <w:rPr>
          <w:szCs w:val="26"/>
        </w:rPr>
        <w:t>” select Federal Energy Regulatory Commission; click “submit” and select “comment” to the right of the subject collection.</w:t>
      </w:r>
      <w:r w:rsidRPr="00CB7448" w:rsidR="008E5123">
        <w:rPr>
          <w:szCs w:val="26"/>
        </w:rPr>
        <w:t xml:space="preserve"> </w:t>
      </w:r>
    </w:p>
    <w:p w:rsidRPr="00CB7447" w:rsidR="00D50830" w:rsidP="00D50830" w:rsidRDefault="00D50830" w14:paraId="7554CFE1" w14:textId="3C52D67D">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rsidR="0070334B">
        <w:t xml:space="preserve"> </w:t>
      </w:r>
      <w:r>
        <w:t>For user assistance, contact FERC Online Support by e-mail at ferconlinesupport@ferc.gov, or by phone at: (866) 208-3676 (toll-free).</w:t>
      </w:r>
    </w:p>
    <w:p w:rsidR="00C44372" w:rsidP="00A2604E" w:rsidRDefault="00A2604E" w14:paraId="0A8B7F1C" w14:textId="530C988C">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bookmarkEnd w:id="1"/>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005A7903" w:rsidP="005A7903" w:rsidRDefault="005A7903" w14:paraId="4553AE5A" w14:textId="477A71AB">
      <w:pPr>
        <w:spacing w:line="480" w:lineRule="auto"/>
      </w:pPr>
      <w:r w:rsidRPr="00466D3F">
        <w:rPr>
          <w:b/>
        </w:rPr>
        <w:t>SUPPLEMENTARY INFORMATION:</w:t>
      </w:r>
      <w:r w:rsidR="00806460">
        <w:rPr>
          <w:rStyle w:val="FootnoteReference"/>
          <w:b w:val="0"/>
        </w:rPr>
        <w:footnoteReference w:id="2"/>
      </w:r>
      <w:r w:rsidRPr="00466D3F">
        <w:t xml:space="preserve">  </w:t>
      </w:r>
    </w:p>
    <w:p w:rsidRPr="00435EA4" w:rsidR="00435EA4" w:rsidP="00435EA4" w:rsidRDefault="00797140" w14:paraId="7D23B78D" w14:textId="22964B7D">
      <w:pPr>
        <w:spacing w:line="480" w:lineRule="auto"/>
      </w:pPr>
      <w:r>
        <w:rPr>
          <w:i/>
        </w:rPr>
        <w:t>Type of Request:</w:t>
      </w:r>
      <w:r>
        <w:t xml:space="preserve"> Three-year extensions of FERC Form Nos. 1, 1T, 1-F, 1-FT, 3-Q, and 3Q-T with no changes to the current reporting requirements.</w:t>
      </w:r>
      <w:r>
        <w:rPr>
          <w:rStyle w:val="FootnoteReference"/>
        </w:rPr>
        <w:footnoteReference w:id="3"/>
      </w:r>
      <w:r w:rsidR="00435EA4">
        <w:t xml:space="preserve"> </w:t>
      </w:r>
      <w:r w:rsidRPr="00435EA4" w:rsidR="00435EA4">
        <w:t>This renewal incorporates the requirements and burden represented by th</w:t>
      </w:r>
      <w:r w:rsidR="00435EA4">
        <w:t>e 1</w:t>
      </w:r>
      <w:r w:rsidRPr="00435EA4" w:rsidR="00435EA4">
        <w:t xml:space="preserve"> and </w:t>
      </w:r>
      <w:r w:rsidR="00435EA4">
        <w:t>1T, 1-F and 1-FT, 3-</w:t>
      </w:r>
      <w:proofErr w:type="gramStart"/>
      <w:r w:rsidR="00435EA4">
        <w:t>Q</w:t>
      </w:r>
      <w:proofErr w:type="gramEnd"/>
      <w:r w:rsidR="00435EA4">
        <w:t xml:space="preserve"> and 3-QT (electric and gas)</w:t>
      </w:r>
      <w:r w:rsidRPr="00435EA4" w:rsidR="00435EA4">
        <w:t xml:space="preserve">, respectively.  Staff anticipates that the Commission will seek to retire the </w:t>
      </w:r>
      <w:r w:rsidR="00435EA4">
        <w:t>1T, 1-FT, and 3-QT</w:t>
      </w:r>
      <w:r w:rsidRPr="00435EA4" w:rsidR="00435EA4">
        <w:t xml:space="preserve"> as duplicative after OMB decisions are made. </w:t>
      </w:r>
    </w:p>
    <w:p w:rsidR="00797140" w:rsidP="00797140" w:rsidRDefault="00797140" w14:paraId="2F0C1093" w14:textId="5E4596E1">
      <w:pPr>
        <w:spacing w:line="480" w:lineRule="auto"/>
      </w:pPr>
    </w:p>
    <w:p w:rsidR="00797140" w:rsidP="00797140" w:rsidRDefault="00797140" w14:paraId="7CE4B270" w14:textId="77777777">
      <w:pPr>
        <w:spacing w:line="480" w:lineRule="auto"/>
        <w:rPr>
          <w:i/>
        </w:rPr>
      </w:pPr>
      <w:bookmarkStart w:name="_Hlk86826282" w:id="2"/>
      <w:r w:rsidRPr="003027D2">
        <w:rPr>
          <w:b/>
        </w:rPr>
        <w:t>FERC Form No. 1</w:t>
      </w:r>
      <w:bookmarkEnd w:id="2"/>
      <w:r w:rsidRPr="003027D2">
        <w:rPr>
          <w:b/>
        </w:rPr>
        <w:t xml:space="preserve">, </w:t>
      </w:r>
      <w:bookmarkStart w:name="_Hlk85806881" w:id="3"/>
      <w:r w:rsidRPr="003027D2">
        <w:rPr>
          <w:b/>
        </w:rPr>
        <w:t>Annual Report of Major Electric Utilities, Licensees, and Others</w:t>
      </w:r>
      <w:bookmarkEnd w:id="3"/>
    </w:p>
    <w:p w:rsidR="00797140" w:rsidP="00797140" w:rsidRDefault="00797140" w14:paraId="6C9E6720" w14:textId="77777777">
      <w:pPr>
        <w:spacing w:line="480" w:lineRule="auto"/>
      </w:pPr>
      <w:r>
        <w:rPr>
          <w:i/>
        </w:rPr>
        <w:lastRenderedPageBreak/>
        <w:t>OMB Control Nos. and Titles:</w:t>
      </w:r>
      <w:r w:rsidRPr="00F50EDA">
        <w:t xml:space="preserve"> </w:t>
      </w:r>
      <w:r>
        <w:t>1902-0021 (</w:t>
      </w:r>
      <w:r w:rsidRPr="00EA4527">
        <w:t>FERC Form No. 1</w:t>
      </w:r>
      <w:r>
        <w:t xml:space="preserve">, </w:t>
      </w:r>
      <w:r w:rsidRPr="00127E9C">
        <w:t>Annual Report of Major Electric Utilities, Licensees, and Others</w:t>
      </w:r>
      <w:r>
        <w:t>) and 1902-0311 (</w:t>
      </w:r>
      <w:r w:rsidRPr="00EA4527">
        <w:t>FERC Form No. 1</w:t>
      </w:r>
      <w:r>
        <w:t xml:space="preserve">T, </w:t>
      </w:r>
      <w:r w:rsidRPr="00127E9C">
        <w:t xml:space="preserve">Annual Report of Major Electric Utilities, Licensees and </w:t>
      </w:r>
      <w:proofErr w:type="gramStart"/>
      <w:r w:rsidRPr="00127E9C">
        <w:t>Others</w:t>
      </w:r>
      <w:proofErr w:type="gramEnd"/>
      <w:r w:rsidRPr="00127E9C">
        <w:t xml:space="preserve"> --Modifications to Form 1 due to Final Rule in Docket No. RM19-12</w:t>
      </w:r>
      <w:r>
        <w:t>-000).</w:t>
      </w:r>
    </w:p>
    <w:p w:rsidR="00797140" w:rsidP="00C82B93" w:rsidRDefault="009D7F11" w14:paraId="77B61DDE" w14:textId="188A84EB">
      <w:pPr>
        <w:tabs>
          <w:tab w:val="num" w:pos="1080"/>
        </w:tabs>
        <w:spacing w:line="480" w:lineRule="auto"/>
      </w:pPr>
      <w:r w:rsidRPr="00266D48">
        <w:rPr>
          <w:i/>
        </w:rPr>
        <w:t xml:space="preserve">Abstract: </w:t>
      </w:r>
      <w:r w:rsidR="00797140">
        <w:t xml:space="preserve">FERC Form No. 1 is a comprehensive financial and operating report submitted annually by major electric utilities, licensees, and others.  </w:t>
      </w:r>
      <w:r w:rsidR="00937A3A">
        <w:t xml:space="preserve">It is used by the Commission for electric rate regulation, market oversight analysis, and audit planning.  </w:t>
      </w:r>
      <w:r w:rsidR="00797140">
        <w:t>Major is defined as having in each of the last three consecutive calendar years, sales or transmission services that exceed one of the following: (1) one million megawatt-hours of total sales; (2) 100 megawatt-hours of sales for resale; (3) 500 megawatt-hours of power exchanges delivered; or (4) 500 megawatt-hours of wheeling for others (deliveries plus losses).</w:t>
      </w:r>
      <w:r w:rsidR="00797140">
        <w:rPr>
          <w:rStyle w:val="FootnoteReference"/>
        </w:rPr>
        <w:footnoteReference w:id="4"/>
      </w:r>
      <w:r w:rsidR="00797140">
        <w:t xml:space="preserve"> </w:t>
      </w:r>
    </w:p>
    <w:p w:rsidR="00797140" w:rsidP="00797140" w:rsidRDefault="00797140" w14:paraId="20A4CC34" w14:textId="77777777">
      <w:pPr>
        <w:spacing w:line="480" w:lineRule="auto"/>
      </w:pPr>
      <w:r>
        <w:tab/>
      </w:r>
      <w:r w:rsidRPr="00010B8D">
        <w:t>FERC Form No.</w:t>
      </w:r>
      <w:r>
        <w:t xml:space="preserve"> </w:t>
      </w:r>
      <w:r w:rsidRPr="00010B8D">
        <w:t>1 is designed to collect financial and operational information and is made available</w:t>
      </w:r>
      <w:r>
        <w:t xml:space="preserve"> to the </w:t>
      </w:r>
      <w:r w:rsidRPr="005B19E0">
        <w:t>public</w:t>
      </w:r>
      <w:r w:rsidRPr="001E4321">
        <w:t xml:space="preserve">.  </w:t>
      </w:r>
      <w:r>
        <w:t>F</w:t>
      </w:r>
      <w:r w:rsidRPr="001E4321">
        <w:t>ERC Form No.</w:t>
      </w:r>
      <w:r>
        <w:t xml:space="preserve"> </w:t>
      </w:r>
      <w:r w:rsidRPr="001E4321">
        <w:t>1 includes a b</w:t>
      </w:r>
      <w:r>
        <w:t xml:space="preserve">asic set of financial statements:  </w:t>
      </w:r>
    </w:p>
    <w:p w:rsidR="00797140" w:rsidP="00797140" w:rsidRDefault="00797140" w14:paraId="6D3AB8C9" w14:textId="77777777">
      <w:pPr>
        <w:pStyle w:val="ListParagraph"/>
        <w:numPr>
          <w:ilvl w:val="0"/>
          <w:numId w:val="9"/>
        </w:numPr>
        <w:spacing w:line="480" w:lineRule="auto"/>
      </w:pPr>
      <w:r>
        <w:t xml:space="preserve">Comparative Balance Sheet, </w:t>
      </w:r>
    </w:p>
    <w:p w:rsidR="00797140" w:rsidP="00797140" w:rsidRDefault="00797140" w14:paraId="00CFE551" w14:textId="77777777">
      <w:pPr>
        <w:pStyle w:val="ListParagraph"/>
        <w:numPr>
          <w:ilvl w:val="0"/>
          <w:numId w:val="9"/>
        </w:numPr>
        <w:spacing w:line="480" w:lineRule="auto"/>
      </w:pPr>
      <w:r>
        <w:t xml:space="preserve">Statement of Income, </w:t>
      </w:r>
    </w:p>
    <w:p w:rsidR="00797140" w:rsidP="00797140" w:rsidRDefault="00797140" w14:paraId="429D164A" w14:textId="77777777">
      <w:pPr>
        <w:pStyle w:val="ListParagraph"/>
        <w:numPr>
          <w:ilvl w:val="0"/>
          <w:numId w:val="9"/>
        </w:numPr>
        <w:spacing w:line="480" w:lineRule="auto"/>
      </w:pPr>
      <w:r>
        <w:t xml:space="preserve">Statement of Retained Earnings, </w:t>
      </w:r>
    </w:p>
    <w:p w:rsidR="00797140" w:rsidP="00797140" w:rsidRDefault="00797140" w14:paraId="1F6CE1C3" w14:textId="77777777">
      <w:pPr>
        <w:pStyle w:val="ListParagraph"/>
        <w:numPr>
          <w:ilvl w:val="0"/>
          <w:numId w:val="9"/>
        </w:numPr>
        <w:spacing w:line="480" w:lineRule="auto"/>
      </w:pPr>
      <w:r>
        <w:t xml:space="preserve">Statement of Cash Flows, </w:t>
      </w:r>
    </w:p>
    <w:p w:rsidR="00797140" w:rsidP="00797140" w:rsidRDefault="00797140" w14:paraId="2F1DC2B8" w14:textId="77777777">
      <w:pPr>
        <w:pStyle w:val="ListParagraph"/>
        <w:numPr>
          <w:ilvl w:val="0"/>
          <w:numId w:val="9"/>
        </w:numPr>
        <w:spacing w:line="480" w:lineRule="auto"/>
      </w:pPr>
      <w:r>
        <w:lastRenderedPageBreak/>
        <w:t xml:space="preserve">Statements of Accumulated Comprehensive Income, </w:t>
      </w:r>
    </w:p>
    <w:p w:rsidR="00797140" w:rsidP="00797140" w:rsidRDefault="00797140" w14:paraId="23C3CE42" w14:textId="77777777">
      <w:pPr>
        <w:pStyle w:val="ListParagraph"/>
        <w:numPr>
          <w:ilvl w:val="0"/>
          <w:numId w:val="9"/>
        </w:numPr>
        <w:spacing w:line="480" w:lineRule="auto"/>
      </w:pPr>
      <w:r>
        <w:t xml:space="preserve">Comprehensive Income, and Hedging Activities, and </w:t>
      </w:r>
    </w:p>
    <w:p w:rsidR="00797140" w:rsidP="00797140" w:rsidRDefault="00797140" w14:paraId="29CC8368" w14:textId="77777777">
      <w:pPr>
        <w:pStyle w:val="ListParagraph"/>
        <w:numPr>
          <w:ilvl w:val="0"/>
          <w:numId w:val="9"/>
        </w:numPr>
        <w:spacing w:line="480" w:lineRule="auto"/>
      </w:pPr>
      <w:r>
        <w:t xml:space="preserve">Notes to Financial Statements.  </w:t>
      </w:r>
    </w:p>
    <w:p w:rsidR="00797140" w:rsidP="00797140" w:rsidRDefault="00797140" w14:paraId="25DA06EC" w14:textId="77777777">
      <w:pPr>
        <w:pStyle w:val="ListParagraph"/>
        <w:spacing w:line="480" w:lineRule="auto"/>
        <w:ind w:left="0"/>
      </w:pPr>
      <w:r>
        <w:t xml:space="preserve">Supporting schedules contain: </w:t>
      </w:r>
    </w:p>
    <w:p w:rsidR="00797140" w:rsidP="00797140" w:rsidRDefault="00797140" w14:paraId="384852EB" w14:textId="77777777">
      <w:pPr>
        <w:pStyle w:val="ListParagraph"/>
        <w:numPr>
          <w:ilvl w:val="0"/>
          <w:numId w:val="13"/>
        </w:numPr>
        <w:spacing w:line="480" w:lineRule="auto"/>
      </w:pPr>
      <w:r>
        <w:t>Supplementary information and outlines of corporate structure and governance,</w:t>
      </w:r>
    </w:p>
    <w:p w:rsidR="00797140" w:rsidP="00797140" w:rsidRDefault="00797140" w14:paraId="49A1CA47" w14:textId="77777777">
      <w:pPr>
        <w:pStyle w:val="ListParagraph"/>
        <w:numPr>
          <w:ilvl w:val="0"/>
          <w:numId w:val="13"/>
        </w:numPr>
        <w:spacing w:line="480" w:lineRule="auto"/>
      </w:pPr>
      <w:r>
        <w:t xml:space="preserve">Information on formula rates, and </w:t>
      </w:r>
    </w:p>
    <w:p w:rsidR="00797140" w:rsidP="00797140" w:rsidRDefault="00797140" w14:paraId="5ED9D584" w14:textId="77777777">
      <w:pPr>
        <w:pStyle w:val="ListParagraph"/>
        <w:numPr>
          <w:ilvl w:val="0"/>
          <w:numId w:val="13"/>
        </w:numPr>
        <w:spacing w:line="480" w:lineRule="auto"/>
      </w:pPr>
      <w:r>
        <w:t xml:space="preserve">Description of important changes during the year.  </w:t>
      </w:r>
    </w:p>
    <w:p w:rsidR="00797140" w:rsidP="00797140" w:rsidRDefault="00797140" w14:paraId="65E10CFB" w14:textId="77777777">
      <w:pPr>
        <w:spacing w:line="480" w:lineRule="auto"/>
      </w:pPr>
      <w:r>
        <w:t>Other schedules provide:</w:t>
      </w:r>
    </w:p>
    <w:p w:rsidR="00797140" w:rsidP="00797140" w:rsidRDefault="00797140" w14:paraId="05BBE5D5" w14:textId="77777777">
      <w:pPr>
        <w:pStyle w:val="ListParagraph"/>
        <w:numPr>
          <w:ilvl w:val="0"/>
          <w:numId w:val="16"/>
        </w:numPr>
        <w:spacing w:line="480" w:lineRule="auto"/>
        <w:ind w:left="720"/>
      </w:pPr>
      <w:r>
        <w:t xml:space="preserve">Information on revenues and the related quantities of electric sales and electricity transmitted, </w:t>
      </w:r>
    </w:p>
    <w:p w:rsidR="00797140" w:rsidP="00797140" w:rsidRDefault="00797140" w14:paraId="146CDE65" w14:textId="77777777">
      <w:pPr>
        <w:pStyle w:val="ListParagraph"/>
        <w:numPr>
          <w:ilvl w:val="0"/>
          <w:numId w:val="16"/>
        </w:numPr>
        <w:spacing w:line="480" w:lineRule="auto"/>
        <w:ind w:left="720"/>
      </w:pPr>
      <w:r>
        <w:t xml:space="preserve">Account balances for all electric operation and maintenance expenses, </w:t>
      </w:r>
    </w:p>
    <w:p w:rsidR="00797140" w:rsidP="00797140" w:rsidRDefault="00797140" w14:paraId="2F9C7D24" w14:textId="77777777">
      <w:pPr>
        <w:pStyle w:val="ListParagraph"/>
        <w:numPr>
          <w:ilvl w:val="0"/>
          <w:numId w:val="16"/>
        </w:numPr>
        <w:spacing w:line="480" w:lineRule="auto"/>
        <w:ind w:left="720"/>
      </w:pPr>
      <w:r>
        <w:t xml:space="preserve">Selected plant cost data, and </w:t>
      </w:r>
    </w:p>
    <w:p w:rsidR="00797140" w:rsidP="00797140" w:rsidRDefault="00797140" w14:paraId="2179AD9D" w14:textId="77777777">
      <w:pPr>
        <w:pStyle w:val="ListParagraph"/>
        <w:numPr>
          <w:ilvl w:val="0"/>
          <w:numId w:val="16"/>
        </w:numPr>
        <w:spacing w:line="480" w:lineRule="auto"/>
        <w:ind w:left="720"/>
      </w:pPr>
      <w:r>
        <w:t>Other statistical information.</w:t>
      </w:r>
    </w:p>
    <w:p w:rsidRPr="00797E1A" w:rsidR="00797140" w:rsidP="00797140" w:rsidRDefault="00797140" w14:paraId="54062A37" w14:textId="77777777">
      <w:pPr>
        <w:spacing w:line="480" w:lineRule="auto"/>
        <w:rPr>
          <w:u w:val="single"/>
        </w:rPr>
      </w:pPr>
      <w:bookmarkStart w:name="_Hlk85783851" w:id="4"/>
      <w:r w:rsidRPr="00797E1A">
        <w:rPr>
          <w:u w:val="single"/>
        </w:rPr>
        <w:t>XBRL, Order No. 859</w:t>
      </w:r>
      <w:r>
        <w:rPr>
          <w:u w:val="single"/>
        </w:rPr>
        <w:t>,</w:t>
      </w:r>
      <w:r w:rsidRPr="00797E1A">
        <w:rPr>
          <w:u w:val="single"/>
        </w:rPr>
        <w:t xml:space="preserve"> and FERC Form No. 1</w:t>
      </w:r>
    </w:p>
    <w:p w:rsidR="00797140" w:rsidP="00797140" w:rsidRDefault="00797140" w14:paraId="0B8E5314" w14:textId="7314824F">
      <w:pPr>
        <w:spacing w:line="480" w:lineRule="auto"/>
        <w:ind w:firstLine="720"/>
      </w:pPr>
      <w:r>
        <w:t xml:space="preserve">Previously, FERC Form No. 1 filers would transmit the information in the form to the Commission using a software application called Visual FoxPro (VFP).  This application is no longer supported by its developer, Microsoft Corporation.  As a result, in April 2015, the Commission issued an order announcing its intention to replace the VFP filing format for certain Commission forms (including FERC Form No. 1) with an </w:t>
      </w:r>
      <w:proofErr w:type="spellStart"/>
      <w:r>
        <w:t>eXtensible</w:t>
      </w:r>
      <w:proofErr w:type="spellEnd"/>
      <w:r>
        <w:t xml:space="preserve"> Markup Language (XML)-based filing format.  On June 20, 2019, the Commission issued Order No. 859, which adopted </w:t>
      </w:r>
      <w:proofErr w:type="spellStart"/>
      <w:r w:rsidRPr="00900948">
        <w:t>eXtensible</w:t>
      </w:r>
      <w:proofErr w:type="spellEnd"/>
      <w:r w:rsidRPr="00900948">
        <w:t xml:space="preserve"> Business Reporting </w:t>
      </w:r>
      <w:r w:rsidRPr="00900948">
        <w:lastRenderedPageBreak/>
        <w:t>Language</w:t>
      </w:r>
      <w:r>
        <w:t xml:space="preserve"> (XBRL) as the standard for filing FERC Form No. 1 and certain other Commission forms.</w:t>
      </w:r>
      <w:r>
        <w:rPr>
          <w:rStyle w:val="FootnoteReference"/>
        </w:rPr>
        <w:footnoteReference w:id="5"/>
      </w:r>
      <w:r>
        <w:t xml:space="preserve">   </w:t>
      </w:r>
    </w:p>
    <w:bookmarkEnd w:id="4"/>
    <w:p w:rsidR="00797140" w:rsidP="00797140" w:rsidRDefault="00797140" w14:paraId="6E15EA99" w14:textId="42A26BA8">
      <w:pPr>
        <w:spacing w:line="480" w:lineRule="auto"/>
      </w:pPr>
      <w:r w:rsidRPr="006A0F34">
        <w:rPr>
          <w:i/>
        </w:rPr>
        <w:t>Type of Respondent:</w:t>
      </w:r>
      <w:r>
        <w:t xml:space="preserve"> Major electric utilities</w:t>
      </w:r>
    </w:p>
    <w:p w:rsidR="00797140" w:rsidP="00797140" w:rsidRDefault="00797140" w14:paraId="59D5E299" w14:textId="77777777">
      <w:pPr>
        <w:spacing w:line="480" w:lineRule="auto"/>
      </w:pPr>
      <w:r>
        <w:rPr>
          <w:i/>
        </w:rPr>
        <w:t>Estimate of Annual Burden</w:t>
      </w:r>
      <w:r>
        <w:rPr>
          <w:rStyle w:val="FootnoteReference"/>
          <w:i/>
        </w:rPr>
        <w:footnoteReference w:id="6"/>
      </w:r>
      <w:r>
        <w:rPr>
          <w:i/>
        </w:rPr>
        <w:t xml:space="preserve">: </w:t>
      </w:r>
      <w:r>
        <w:t>The Commission estimates the annual burden and cost</w:t>
      </w:r>
      <w:r w:rsidRPr="0029242B">
        <w:rPr>
          <w:rStyle w:val="FootnoteReference"/>
        </w:rPr>
        <w:footnoteReference w:id="7"/>
      </w:r>
      <w:r w:rsidRPr="0029242B">
        <w:t xml:space="preserve"> </w:t>
      </w:r>
      <w:r>
        <w:t>for FERC Form No. 1 as follows:</w:t>
      </w:r>
    </w:p>
    <w:p w:rsidR="00797140" w:rsidP="00797140" w:rsidRDefault="00685575" w14:paraId="7D62DA86" w14:textId="10B4B75F">
      <w:pPr>
        <w:spacing w:line="480" w:lineRule="auto"/>
        <w:rPr>
          <w:iCs/>
        </w:rPr>
      </w:pPr>
      <w:r w:rsidRPr="00685575">
        <w:rPr>
          <w:noProof/>
        </w:rPr>
        <w:drawing>
          <wp:inline distT="0" distB="0" distL="0" distR="0" wp14:anchorId="3F0FB734" wp14:editId="7916BBDA">
            <wp:extent cx="5943600" cy="242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420620"/>
                    </a:xfrm>
                    <a:prstGeom prst="rect">
                      <a:avLst/>
                    </a:prstGeom>
                    <a:noFill/>
                    <a:ln>
                      <a:noFill/>
                    </a:ln>
                  </pic:spPr>
                </pic:pic>
              </a:graphicData>
            </a:graphic>
          </wp:inline>
        </w:drawing>
      </w:r>
    </w:p>
    <w:p w:rsidRPr="00266D48" w:rsidR="00797140" w:rsidP="00A07666" w:rsidRDefault="00797140" w14:paraId="546649CE" w14:textId="3183B19C">
      <w:pPr>
        <w:spacing w:line="480" w:lineRule="auto"/>
        <w:rPr>
          <w:b/>
        </w:rPr>
      </w:pPr>
      <w:bookmarkStart w:name="_Hlk86827111" w:id="5"/>
      <w:r w:rsidRPr="00266D48">
        <w:rPr>
          <w:b/>
        </w:rPr>
        <w:t>FERC Form No. 1-F</w:t>
      </w:r>
      <w:bookmarkEnd w:id="5"/>
      <w:r w:rsidRPr="00266D48">
        <w:rPr>
          <w:b/>
        </w:rPr>
        <w:t>, Annual Report for Nonmajor Public Utilities and Licensees</w:t>
      </w:r>
    </w:p>
    <w:p w:rsidRPr="00266D48" w:rsidR="00797140" w:rsidP="00A07666" w:rsidRDefault="00797140" w14:paraId="732A38E0" w14:textId="77777777">
      <w:pPr>
        <w:spacing w:line="480" w:lineRule="auto"/>
      </w:pPr>
      <w:r w:rsidRPr="00266D48">
        <w:rPr>
          <w:i/>
        </w:rPr>
        <w:lastRenderedPageBreak/>
        <w:t>OMB Control No</w:t>
      </w:r>
      <w:r>
        <w:rPr>
          <w:i/>
        </w:rPr>
        <w:t>s</w:t>
      </w:r>
      <w:r w:rsidRPr="00266D48">
        <w:rPr>
          <w:i/>
        </w:rPr>
        <w:t>.</w:t>
      </w:r>
      <w:r>
        <w:rPr>
          <w:i/>
        </w:rPr>
        <w:t xml:space="preserve"> and Titles</w:t>
      </w:r>
      <w:r w:rsidRPr="00266D48">
        <w:rPr>
          <w:i/>
        </w:rPr>
        <w:t xml:space="preserve">: </w:t>
      </w:r>
      <w:r w:rsidRPr="00266D48">
        <w:t>1902-0029</w:t>
      </w:r>
      <w:r>
        <w:t xml:space="preserve"> (</w:t>
      </w:r>
      <w:r w:rsidRPr="001E2306">
        <w:t>FERC Form No. 1-F</w:t>
      </w:r>
      <w:r>
        <w:t>,</w:t>
      </w:r>
      <w:r w:rsidRPr="001E2306">
        <w:t xml:space="preserve"> </w:t>
      </w:r>
      <w:r w:rsidRPr="00127E9C">
        <w:t>Annual Report for Nonmajor Public Utilities and Licensees</w:t>
      </w:r>
      <w:r>
        <w:t>) and 1902-0312 (</w:t>
      </w:r>
      <w:r w:rsidRPr="001E2306">
        <w:t>FERC Form No. 1-F</w:t>
      </w:r>
      <w:r>
        <w:t>T,</w:t>
      </w:r>
      <w:r w:rsidRPr="001E2306">
        <w:t xml:space="preserve"> </w:t>
      </w:r>
      <w:r w:rsidRPr="00127E9C">
        <w:t>Annual Report for Nonmajor Public Utilities and Licensees, Modifications to FERC</w:t>
      </w:r>
      <w:r>
        <w:t xml:space="preserve"> Form No. </w:t>
      </w:r>
      <w:r w:rsidRPr="00127E9C">
        <w:t>1-F due to Final Rule in Docket No. RM19-12</w:t>
      </w:r>
      <w:r>
        <w:t>-000).</w:t>
      </w:r>
    </w:p>
    <w:p w:rsidRPr="00266D48" w:rsidR="00797140" w:rsidP="00797140" w:rsidRDefault="00797140" w14:paraId="35D4EFCC" w14:textId="3AC5F12B">
      <w:pPr>
        <w:tabs>
          <w:tab w:val="num" w:pos="1080"/>
        </w:tabs>
        <w:spacing w:line="480" w:lineRule="auto"/>
      </w:pPr>
      <w:r w:rsidRPr="00266D48">
        <w:rPr>
          <w:i/>
        </w:rPr>
        <w:t xml:space="preserve">Abstract: </w:t>
      </w:r>
      <w:r w:rsidRPr="00266D48">
        <w:t xml:space="preserve">FERC Form No. 1-F is a financial and operating report submitted annually by Nonmajor electric utilities and licensees.  </w:t>
      </w:r>
      <w:r w:rsidR="005929AF">
        <w:t xml:space="preserve">The Commission uses it </w:t>
      </w:r>
      <w:r w:rsidRPr="00266D48" w:rsidR="005929AF">
        <w:t xml:space="preserve">for electric rate regulation, market oversight analysis, and </w:t>
      </w:r>
      <w:r w:rsidR="005929AF">
        <w:t xml:space="preserve">planning </w:t>
      </w:r>
      <w:r w:rsidRPr="00266D48" w:rsidR="005929AF">
        <w:t>audits</w:t>
      </w:r>
      <w:r w:rsidR="005929AF">
        <w:t>.</w:t>
      </w:r>
      <w:r w:rsidRPr="00266D48" w:rsidR="005929AF">
        <w:t xml:space="preserve"> </w:t>
      </w:r>
      <w:r w:rsidR="005929AF">
        <w:t xml:space="preserve"> </w:t>
      </w:r>
      <w:r w:rsidRPr="00266D48">
        <w:t xml:space="preserve">Nonmajor is defined as </w:t>
      </w:r>
      <w:r>
        <w:t xml:space="preserve">utilities and licensees that are not classified as </w:t>
      </w:r>
      <w:proofErr w:type="gramStart"/>
      <w:r>
        <w:t>Major, and</w:t>
      </w:r>
      <w:proofErr w:type="gramEnd"/>
      <w:r>
        <w:t xml:space="preserve"> </w:t>
      </w:r>
      <w:r w:rsidRPr="00266D48">
        <w:t xml:space="preserve">having total sales </w:t>
      </w:r>
      <w:r>
        <w:t xml:space="preserve">in each of the last three consecutive years of </w:t>
      </w:r>
      <w:r w:rsidRPr="00266D48">
        <w:t>10,000 megawatt-hours</w:t>
      </w:r>
      <w:r>
        <w:t xml:space="preserve"> or more</w:t>
      </w:r>
      <w:r w:rsidRPr="00266D48">
        <w:t>.</w:t>
      </w:r>
      <w:r w:rsidRPr="00266D48">
        <w:rPr>
          <w:b/>
          <w:szCs w:val="26"/>
          <w:vertAlign w:val="superscript"/>
        </w:rPr>
        <w:footnoteReference w:id="8"/>
      </w:r>
    </w:p>
    <w:p w:rsidR="00797140" w:rsidP="00797140" w:rsidRDefault="00797140" w14:paraId="450039DA" w14:textId="77777777">
      <w:pPr>
        <w:spacing w:line="480" w:lineRule="auto"/>
        <w:rPr>
          <w:szCs w:val="26"/>
        </w:rPr>
      </w:pPr>
      <w:r w:rsidRPr="00266D48">
        <w:rPr>
          <w:szCs w:val="26"/>
        </w:rPr>
        <w:tab/>
      </w:r>
      <w:r>
        <w:rPr>
          <w:szCs w:val="26"/>
        </w:rPr>
        <w:t xml:space="preserve">FERC </w:t>
      </w:r>
      <w:r w:rsidRPr="00266D48">
        <w:rPr>
          <w:szCs w:val="26"/>
        </w:rPr>
        <w:t>Form No.</w:t>
      </w:r>
      <w:r>
        <w:rPr>
          <w:szCs w:val="26"/>
        </w:rPr>
        <w:t xml:space="preserve"> </w:t>
      </w:r>
      <w:r w:rsidRPr="00266D48">
        <w:rPr>
          <w:szCs w:val="26"/>
        </w:rPr>
        <w:t xml:space="preserve">1-F is designed to collect financial and operational information and is </w:t>
      </w:r>
      <w:r>
        <w:rPr>
          <w:szCs w:val="26"/>
        </w:rPr>
        <w:t>made available to the public</w:t>
      </w:r>
      <w:r w:rsidRPr="00266D48">
        <w:rPr>
          <w:szCs w:val="26"/>
        </w:rPr>
        <w:t xml:space="preserve">.  </w:t>
      </w:r>
      <w:r>
        <w:rPr>
          <w:szCs w:val="26"/>
        </w:rPr>
        <w:t xml:space="preserve">FERC </w:t>
      </w:r>
      <w:r w:rsidRPr="00266D48">
        <w:rPr>
          <w:szCs w:val="26"/>
        </w:rPr>
        <w:t>Form No.</w:t>
      </w:r>
      <w:r>
        <w:rPr>
          <w:szCs w:val="26"/>
        </w:rPr>
        <w:t xml:space="preserve"> </w:t>
      </w:r>
      <w:r w:rsidRPr="00266D48">
        <w:rPr>
          <w:szCs w:val="26"/>
        </w:rPr>
        <w:t xml:space="preserve">1-F includes a basic set of financial statements:  </w:t>
      </w:r>
    </w:p>
    <w:p w:rsidRPr="00A47AD6" w:rsidR="00797140" w:rsidP="00797140" w:rsidRDefault="00797140" w14:paraId="34B84ABF" w14:textId="77777777">
      <w:pPr>
        <w:pStyle w:val="ListParagraph"/>
        <w:numPr>
          <w:ilvl w:val="0"/>
          <w:numId w:val="10"/>
        </w:numPr>
        <w:spacing w:line="480" w:lineRule="auto"/>
      </w:pPr>
      <w:r w:rsidRPr="00A47AD6">
        <w:rPr>
          <w:szCs w:val="26"/>
        </w:rPr>
        <w:t xml:space="preserve">Comparative Balance Sheet, </w:t>
      </w:r>
    </w:p>
    <w:p w:rsidRPr="00A47AD6" w:rsidR="00797140" w:rsidP="00797140" w:rsidRDefault="00797140" w14:paraId="1D18401B" w14:textId="77777777">
      <w:pPr>
        <w:pStyle w:val="ListParagraph"/>
        <w:numPr>
          <w:ilvl w:val="0"/>
          <w:numId w:val="10"/>
        </w:numPr>
        <w:spacing w:line="480" w:lineRule="auto"/>
      </w:pPr>
      <w:r w:rsidRPr="00A47AD6">
        <w:rPr>
          <w:szCs w:val="26"/>
        </w:rPr>
        <w:t xml:space="preserve">Statement of Retained Earnings, </w:t>
      </w:r>
    </w:p>
    <w:p w:rsidRPr="00A47AD6" w:rsidR="00797140" w:rsidP="00797140" w:rsidRDefault="00797140" w14:paraId="4660008F" w14:textId="77777777">
      <w:pPr>
        <w:pStyle w:val="ListParagraph"/>
        <w:numPr>
          <w:ilvl w:val="0"/>
          <w:numId w:val="10"/>
        </w:numPr>
        <w:spacing w:line="480" w:lineRule="auto"/>
      </w:pPr>
      <w:r w:rsidRPr="00A47AD6">
        <w:rPr>
          <w:szCs w:val="26"/>
        </w:rPr>
        <w:t xml:space="preserve">Statement of Cash Flows, </w:t>
      </w:r>
    </w:p>
    <w:p w:rsidRPr="00A47AD6" w:rsidR="00797140" w:rsidP="00797140" w:rsidRDefault="00797140" w14:paraId="6C0242FE" w14:textId="77777777">
      <w:pPr>
        <w:pStyle w:val="ListParagraph"/>
        <w:numPr>
          <w:ilvl w:val="0"/>
          <w:numId w:val="10"/>
        </w:numPr>
        <w:spacing w:line="480" w:lineRule="auto"/>
      </w:pPr>
      <w:r w:rsidRPr="00A47AD6">
        <w:rPr>
          <w:szCs w:val="26"/>
        </w:rPr>
        <w:t xml:space="preserve">Statement of Comprehensive Income and Hedging Activities, and </w:t>
      </w:r>
    </w:p>
    <w:p w:rsidRPr="00A47AD6" w:rsidR="00797140" w:rsidP="00797140" w:rsidRDefault="00797140" w14:paraId="2DD0EA55" w14:textId="77777777">
      <w:pPr>
        <w:pStyle w:val="ListParagraph"/>
        <w:numPr>
          <w:ilvl w:val="0"/>
          <w:numId w:val="10"/>
        </w:numPr>
        <w:spacing w:line="480" w:lineRule="auto"/>
      </w:pPr>
      <w:r w:rsidRPr="00A47AD6">
        <w:rPr>
          <w:szCs w:val="26"/>
        </w:rPr>
        <w:t xml:space="preserve">Notes to Financial Statements. </w:t>
      </w:r>
    </w:p>
    <w:p w:rsidR="00797140" w:rsidP="00797140" w:rsidRDefault="00797140" w14:paraId="42BA939F" w14:textId="77777777">
      <w:pPr>
        <w:pStyle w:val="ListParagraph"/>
        <w:spacing w:line="480" w:lineRule="auto"/>
        <w:ind w:left="0"/>
        <w:rPr>
          <w:szCs w:val="26"/>
        </w:rPr>
      </w:pPr>
      <w:r w:rsidRPr="00A47AD6">
        <w:rPr>
          <w:szCs w:val="26"/>
        </w:rPr>
        <w:t>Supporting schedules contain</w:t>
      </w:r>
      <w:r>
        <w:rPr>
          <w:szCs w:val="26"/>
        </w:rPr>
        <w:t>:</w:t>
      </w:r>
    </w:p>
    <w:p w:rsidRPr="00A47AD6" w:rsidR="00797140" w:rsidP="00797140" w:rsidRDefault="00797140" w14:paraId="0ABE2550" w14:textId="77777777">
      <w:pPr>
        <w:pStyle w:val="ListParagraph"/>
        <w:numPr>
          <w:ilvl w:val="0"/>
          <w:numId w:val="12"/>
        </w:numPr>
        <w:spacing w:line="480" w:lineRule="auto"/>
        <w:ind w:left="720"/>
      </w:pPr>
      <w:r>
        <w:rPr>
          <w:szCs w:val="26"/>
        </w:rPr>
        <w:lastRenderedPageBreak/>
        <w:t>S</w:t>
      </w:r>
      <w:r w:rsidRPr="00A47AD6">
        <w:rPr>
          <w:szCs w:val="26"/>
        </w:rPr>
        <w:t>upplementary information and include revenues and the related quantities of electric sales and electricity transmitted</w:t>
      </w:r>
      <w:r>
        <w:rPr>
          <w:szCs w:val="26"/>
        </w:rPr>
        <w:t>,</w:t>
      </w:r>
      <w:r w:rsidRPr="00A47AD6">
        <w:rPr>
          <w:szCs w:val="26"/>
        </w:rPr>
        <w:t xml:space="preserve"> </w:t>
      </w:r>
    </w:p>
    <w:p w:rsidRPr="00A47AD6" w:rsidR="00797140" w:rsidP="00797140" w:rsidRDefault="00797140" w14:paraId="3BAA2CC7" w14:textId="77777777">
      <w:pPr>
        <w:pStyle w:val="ListParagraph"/>
        <w:numPr>
          <w:ilvl w:val="0"/>
          <w:numId w:val="12"/>
        </w:numPr>
        <w:spacing w:line="480" w:lineRule="auto"/>
        <w:ind w:left="720"/>
      </w:pPr>
      <w:r>
        <w:rPr>
          <w:szCs w:val="26"/>
        </w:rPr>
        <w:t>A</w:t>
      </w:r>
      <w:r w:rsidRPr="00A47AD6">
        <w:rPr>
          <w:szCs w:val="26"/>
        </w:rPr>
        <w:t>ccount balances for all electric operation and maintenance expenses</w:t>
      </w:r>
      <w:r>
        <w:rPr>
          <w:szCs w:val="26"/>
        </w:rPr>
        <w:t>,</w:t>
      </w:r>
    </w:p>
    <w:p w:rsidRPr="00A47AD6" w:rsidR="00797140" w:rsidP="00797140" w:rsidRDefault="00797140" w14:paraId="0A84A969" w14:textId="77777777">
      <w:pPr>
        <w:pStyle w:val="ListParagraph"/>
        <w:numPr>
          <w:ilvl w:val="0"/>
          <w:numId w:val="12"/>
        </w:numPr>
        <w:spacing w:line="480" w:lineRule="auto"/>
        <w:ind w:left="720"/>
      </w:pPr>
      <w:r>
        <w:rPr>
          <w:szCs w:val="26"/>
        </w:rPr>
        <w:t>S</w:t>
      </w:r>
      <w:r w:rsidRPr="00A47AD6">
        <w:rPr>
          <w:szCs w:val="26"/>
        </w:rPr>
        <w:t>elected plant cost data</w:t>
      </w:r>
      <w:r>
        <w:rPr>
          <w:szCs w:val="26"/>
        </w:rPr>
        <w:t>,</w:t>
      </w:r>
      <w:r w:rsidRPr="00A47AD6">
        <w:rPr>
          <w:szCs w:val="26"/>
        </w:rPr>
        <w:t xml:space="preserve"> and </w:t>
      </w:r>
    </w:p>
    <w:p w:rsidRPr="00F90D21" w:rsidR="00797140" w:rsidP="00797140" w:rsidRDefault="00797140" w14:paraId="1E63CFD4" w14:textId="77777777">
      <w:pPr>
        <w:pStyle w:val="ListParagraph"/>
        <w:numPr>
          <w:ilvl w:val="0"/>
          <w:numId w:val="12"/>
        </w:numPr>
        <w:spacing w:line="480" w:lineRule="auto"/>
        <w:ind w:left="720"/>
      </w:pPr>
      <w:r>
        <w:rPr>
          <w:szCs w:val="26"/>
        </w:rPr>
        <w:t>O</w:t>
      </w:r>
      <w:r w:rsidRPr="00A47AD6">
        <w:rPr>
          <w:szCs w:val="26"/>
        </w:rPr>
        <w:t>ther statistical information.</w:t>
      </w:r>
    </w:p>
    <w:p w:rsidRPr="00797E1A" w:rsidR="00797140" w:rsidP="00797140" w:rsidRDefault="00797140" w14:paraId="7628B1B5" w14:textId="77777777">
      <w:pPr>
        <w:spacing w:line="480" w:lineRule="auto"/>
        <w:rPr>
          <w:u w:val="single"/>
        </w:rPr>
      </w:pPr>
      <w:r w:rsidRPr="00797E1A">
        <w:rPr>
          <w:u w:val="single"/>
        </w:rPr>
        <w:t>XBRL, Order No. 859</w:t>
      </w:r>
      <w:r>
        <w:rPr>
          <w:u w:val="single"/>
        </w:rPr>
        <w:t>,</w:t>
      </w:r>
      <w:r w:rsidRPr="00797E1A">
        <w:rPr>
          <w:u w:val="single"/>
        </w:rPr>
        <w:t xml:space="preserve"> and FERC Form No. 1</w:t>
      </w:r>
      <w:r>
        <w:rPr>
          <w:u w:val="single"/>
        </w:rPr>
        <w:t>-F</w:t>
      </w:r>
    </w:p>
    <w:p w:rsidR="00797140" w:rsidP="00797140" w:rsidRDefault="00797140" w14:paraId="123667B7" w14:textId="0F60D911">
      <w:pPr>
        <w:spacing w:line="480" w:lineRule="auto"/>
        <w:ind w:firstLine="720"/>
      </w:pPr>
      <w:r>
        <w:t>Previously, FERC Form No. 1-F filers would transmit the information in the form to the Commission using a software application called VFP.  This application is no longer supported by its developer, Microsoft Corporation.  As a result, in April 2015, the Commission issued an order announcing its intention to replace the VFP filing format for certain Commission forms (including FERC Form No. 1-F) with an XML-based filing format.  On June 20, 2019, the Commission issued Order No. 859, which adopted XBRL as the standard for filing FERC Form No. 1-F and other Commission forms.</w:t>
      </w:r>
      <w:r>
        <w:rPr>
          <w:rStyle w:val="FootnoteReference"/>
        </w:rPr>
        <w:footnoteReference w:id="9"/>
      </w:r>
      <w:r>
        <w:t xml:space="preserve">   </w:t>
      </w:r>
    </w:p>
    <w:p w:rsidRPr="00266D48" w:rsidR="00797140" w:rsidP="00797140" w:rsidRDefault="00797140" w14:paraId="4C358DCE" w14:textId="492A3492">
      <w:pPr>
        <w:spacing w:line="480" w:lineRule="auto"/>
      </w:pPr>
      <w:r w:rsidRPr="00266D48">
        <w:rPr>
          <w:i/>
        </w:rPr>
        <w:t xml:space="preserve">Type of Respondent: </w:t>
      </w:r>
      <w:r w:rsidRPr="00266D48">
        <w:t>Nonmajor electric utilities</w:t>
      </w:r>
    </w:p>
    <w:p w:rsidR="00797140" w:rsidP="00797140" w:rsidRDefault="00797140" w14:paraId="3D8DE5C3" w14:textId="0F32EEB1">
      <w:pPr>
        <w:spacing w:line="480" w:lineRule="auto"/>
      </w:pPr>
      <w:r w:rsidRPr="00266D48">
        <w:rPr>
          <w:i/>
        </w:rPr>
        <w:t xml:space="preserve">Estimate of Annual Burden: </w:t>
      </w:r>
      <w:r w:rsidRPr="00266D48">
        <w:t xml:space="preserve">The estimated annual burden and cost follow.  (The estimated hourly cost used for </w:t>
      </w:r>
      <w:r>
        <w:t xml:space="preserve">FERC </w:t>
      </w:r>
      <w:r w:rsidRPr="00266D48">
        <w:t>Form No. 1-F is $</w:t>
      </w:r>
      <w:r>
        <w:t>87</w:t>
      </w:r>
      <w:r w:rsidR="00BD3172">
        <w:t>.00/hour</w:t>
      </w:r>
      <w:r w:rsidRPr="00266D48">
        <w:t xml:space="preserve"> (</w:t>
      </w:r>
      <w:r>
        <w:t xml:space="preserve">for </w:t>
      </w:r>
      <w:r w:rsidRPr="00266D48">
        <w:t xml:space="preserve">wages plus benefits) and is described above, under </w:t>
      </w:r>
      <w:r>
        <w:t xml:space="preserve">FERC </w:t>
      </w:r>
      <w:r w:rsidRPr="00266D48">
        <w:t>Form No. 1.)</w:t>
      </w:r>
      <w:r>
        <w:t xml:space="preserve">  </w:t>
      </w:r>
      <w:r w:rsidRPr="00AD4090">
        <w:t>The burden hours and costs are rounded for ease of presentation.</w:t>
      </w:r>
    </w:p>
    <w:p w:rsidRPr="00FA503E" w:rsidR="00797140" w:rsidP="00797140" w:rsidRDefault="00685575" w14:paraId="07B44016" w14:textId="7FF0517C">
      <w:pPr>
        <w:spacing w:line="480" w:lineRule="auto"/>
      </w:pPr>
      <w:r w:rsidRPr="00685575">
        <w:rPr>
          <w:noProof/>
        </w:rPr>
        <w:lastRenderedPageBreak/>
        <w:drawing>
          <wp:inline distT="0" distB="0" distL="0" distR="0" wp14:anchorId="79FB74C1" wp14:editId="15E08E98">
            <wp:extent cx="5943600" cy="240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406650"/>
                    </a:xfrm>
                    <a:prstGeom prst="rect">
                      <a:avLst/>
                    </a:prstGeom>
                    <a:noFill/>
                    <a:ln>
                      <a:noFill/>
                    </a:ln>
                  </pic:spPr>
                </pic:pic>
              </a:graphicData>
            </a:graphic>
          </wp:inline>
        </w:drawing>
      </w:r>
    </w:p>
    <w:p w:rsidRPr="00120C03" w:rsidR="00797140" w:rsidP="00797140" w:rsidRDefault="00797140" w14:paraId="290B4218" w14:textId="12E98966">
      <w:pPr>
        <w:spacing w:line="480" w:lineRule="auto"/>
        <w:rPr>
          <w:b/>
        </w:rPr>
      </w:pPr>
      <w:bookmarkStart w:name="_Hlk85807018" w:id="6"/>
      <w:r w:rsidRPr="00120C03">
        <w:rPr>
          <w:b/>
        </w:rPr>
        <w:t>FERC Form No. 3-Q, Quarterly Financial Report of Electric Utilities, Licensees, and Natural Gas Companies</w:t>
      </w:r>
    </w:p>
    <w:bookmarkEnd w:id="6"/>
    <w:p w:rsidRPr="00120C03" w:rsidR="00797140" w:rsidP="00797140" w:rsidRDefault="00797140" w14:paraId="2FF34BBE" w14:textId="77777777">
      <w:pPr>
        <w:spacing w:line="480" w:lineRule="auto"/>
      </w:pPr>
      <w:r w:rsidRPr="00120C03">
        <w:rPr>
          <w:i/>
        </w:rPr>
        <w:t>OMB Control No</w:t>
      </w:r>
      <w:r>
        <w:rPr>
          <w:i/>
        </w:rPr>
        <w:t>s. and Titles</w:t>
      </w:r>
      <w:r w:rsidRPr="00120C03">
        <w:rPr>
          <w:i/>
        </w:rPr>
        <w:t xml:space="preserve">: </w:t>
      </w:r>
      <w:r w:rsidRPr="00120C03">
        <w:t>1902-0205</w:t>
      </w:r>
      <w:r>
        <w:t xml:space="preserve"> (</w:t>
      </w:r>
      <w:r w:rsidRPr="00127E9C">
        <w:t>FERC Form No. 3-Q, Quarterly Financial Report of Electric Utilities, Licensees, and Natural Gas Companies</w:t>
      </w:r>
      <w:r>
        <w:t>) and 1902-0313 (</w:t>
      </w:r>
      <w:r w:rsidRPr="005C3E46">
        <w:t>FERC Form No. 3-Q</w:t>
      </w:r>
      <w:r>
        <w:t>T,</w:t>
      </w:r>
      <w:r w:rsidRPr="005C3E46">
        <w:t xml:space="preserve"> </w:t>
      </w:r>
      <w:r w:rsidRPr="00127E9C">
        <w:t>Quarterly Financial Report-Electric and Gas, modifications to FERC</w:t>
      </w:r>
      <w:r>
        <w:t xml:space="preserve"> Form No. </w:t>
      </w:r>
      <w:r w:rsidRPr="00127E9C">
        <w:t>3-Q due to Final Rule in Docket No. RM19-12</w:t>
      </w:r>
      <w:r>
        <w:t>-000).</w:t>
      </w:r>
    </w:p>
    <w:p w:rsidRPr="00120C03" w:rsidR="00797140" w:rsidP="00797140" w:rsidRDefault="00797140" w14:paraId="23AD7445" w14:textId="77777777">
      <w:pPr>
        <w:tabs>
          <w:tab w:val="num" w:pos="1080"/>
        </w:tabs>
        <w:spacing w:line="480" w:lineRule="auto"/>
      </w:pPr>
      <w:r w:rsidRPr="00120C03">
        <w:rPr>
          <w:i/>
        </w:rPr>
        <w:t xml:space="preserve">Abstract: </w:t>
      </w:r>
      <w:r w:rsidRPr="00120C03">
        <w:t xml:space="preserve">FERC Form No. 3-Q is a quarterly financial and operating report for rate regulation, market oversight analysis, and financial audits which supplements (a) </w:t>
      </w:r>
      <w:r>
        <w:t xml:space="preserve">FERC </w:t>
      </w:r>
      <w:r w:rsidRPr="00120C03">
        <w:t>Form Nos. 1 and 1-F</w:t>
      </w:r>
      <w:r>
        <w:t>,</w:t>
      </w:r>
      <w:r w:rsidRPr="00120C03">
        <w:t xml:space="preserve"> for the electric industry, or (b) </w:t>
      </w:r>
      <w:r>
        <w:t xml:space="preserve">FERC </w:t>
      </w:r>
      <w:r w:rsidRPr="00120C03">
        <w:t>Form No. 2 (</w:t>
      </w:r>
      <w:r>
        <w:t xml:space="preserve">Annual Report for </w:t>
      </w:r>
      <w:r w:rsidRPr="00120C03">
        <w:t xml:space="preserve">Major Natural Gas </w:t>
      </w:r>
      <w:r>
        <w:t>Companies</w:t>
      </w:r>
      <w:r w:rsidRPr="00120C03">
        <w:t xml:space="preserve">; OMB Control No. 1902-0028) and </w:t>
      </w:r>
      <w:r>
        <w:t xml:space="preserve">FERC </w:t>
      </w:r>
      <w:r w:rsidRPr="00120C03">
        <w:t>Form No. 2-A (</w:t>
      </w:r>
      <w:r>
        <w:t xml:space="preserve">Annual Report for </w:t>
      </w:r>
      <w:r w:rsidRPr="00120C03">
        <w:t xml:space="preserve">Nonmajor Natural Gas </w:t>
      </w:r>
      <w:r>
        <w:t>Companies;</w:t>
      </w:r>
      <w:r w:rsidRPr="00120C03">
        <w:t xml:space="preserve"> OMB Control No. 1902-</w:t>
      </w:r>
      <w:r w:rsidRPr="00120C03">
        <w:lastRenderedPageBreak/>
        <w:t>0030)</w:t>
      </w:r>
      <w:r>
        <w:t>,</w:t>
      </w:r>
      <w:r w:rsidRPr="00120C03">
        <w:t xml:space="preserve"> for the natural gas industry.  </w:t>
      </w:r>
      <w:r>
        <w:t xml:space="preserve">FERC </w:t>
      </w:r>
      <w:r w:rsidRPr="00120C03">
        <w:t>Form No. 3-Q is submitted for all Major and Nonmajor electric utilities</w:t>
      </w:r>
      <w:r>
        <w:t>,</w:t>
      </w:r>
      <w:r w:rsidRPr="00120C03">
        <w:t xml:space="preserve"> licensees</w:t>
      </w:r>
      <w:r>
        <w:t xml:space="preserve">, </w:t>
      </w:r>
      <w:r w:rsidRPr="00120C03">
        <w:t>and natural gas companies</w:t>
      </w:r>
      <w:r>
        <w:t>.</w:t>
      </w:r>
      <w:r w:rsidRPr="00120C03">
        <w:rPr>
          <w:b/>
          <w:szCs w:val="26"/>
          <w:vertAlign w:val="superscript"/>
        </w:rPr>
        <w:footnoteReference w:id="10"/>
      </w:r>
      <w:r w:rsidRPr="00120C03">
        <w:t xml:space="preserve">  </w:t>
      </w:r>
    </w:p>
    <w:p w:rsidR="00797140" w:rsidP="00797140" w:rsidRDefault="00797140" w14:paraId="5052300A" w14:textId="77777777">
      <w:pPr>
        <w:tabs>
          <w:tab w:val="num" w:pos="1080"/>
        </w:tabs>
        <w:spacing w:line="480" w:lineRule="auto"/>
        <w:rPr>
          <w:szCs w:val="26"/>
        </w:rPr>
      </w:pPr>
      <w:r>
        <w:rPr>
          <w:szCs w:val="26"/>
        </w:rPr>
        <w:t xml:space="preserve">FERC </w:t>
      </w:r>
      <w:r w:rsidRPr="00120C03">
        <w:rPr>
          <w:szCs w:val="26"/>
        </w:rPr>
        <w:t xml:space="preserve">Form No. 3-Q includes a basic set of financial statements:  </w:t>
      </w:r>
    </w:p>
    <w:p w:rsidRPr="00A47AD6" w:rsidR="00797140" w:rsidP="00797140" w:rsidRDefault="00797140" w14:paraId="7C09D994" w14:textId="77777777">
      <w:pPr>
        <w:pStyle w:val="ListParagraph"/>
        <w:numPr>
          <w:ilvl w:val="0"/>
          <w:numId w:val="11"/>
        </w:numPr>
        <w:spacing w:line="480" w:lineRule="auto"/>
      </w:pPr>
      <w:r w:rsidRPr="00A47AD6">
        <w:rPr>
          <w:szCs w:val="26"/>
        </w:rPr>
        <w:t xml:space="preserve">Comparative Balance Sheet, </w:t>
      </w:r>
    </w:p>
    <w:p w:rsidRPr="00A47AD6" w:rsidR="00797140" w:rsidP="00797140" w:rsidRDefault="00797140" w14:paraId="20ECFCD3" w14:textId="77777777">
      <w:pPr>
        <w:pStyle w:val="ListParagraph"/>
        <w:numPr>
          <w:ilvl w:val="0"/>
          <w:numId w:val="11"/>
        </w:numPr>
        <w:spacing w:line="480" w:lineRule="auto"/>
      </w:pPr>
      <w:r w:rsidRPr="00A47AD6">
        <w:rPr>
          <w:szCs w:val="26"/>
        </w:rPr>
        <w:t xml:space="preserve">Statement of Income and Statement of Retained Earnings, </w:t>
      </w:r>
    </w:p>
    <w:p w:rsidRPr="00A47AD6" w:rsidR="00797140" w:rsidP="00797140" w:rsidRDefault="00797140" w14:paraId="3EAC0072" w14:textId="77777777">
      <w:pPr>
        <w:pStyle w:val="ListParagraph"/>
        <w:numPr>
          <w:ilvl w:val="0"/>
          <w:numId w:val="11"/>
        </w:numPr>
        <w:spacing w:line="480" w:lineRule="auto"/>
      </w:pPr>
      <w:r w:rsidRPr="00A47AD6">
        <w:rPr>
          <w:szCs w:val="26"/>
        </w:rPr>
        <w:t xml:space="preserve">Statement of Cash Flows, </w:t>
      </w:r>
    </w:p>
    <w:p w:rsidRPr="00A47AD6" w:rsidR="00797140" w:rsidP="00797140" w:rsidRDefault="00797140" w14:paraId="6799EE6D" w14:textId="77777777">
      <w:pPr>
        <w:pStyle w:val="ListParagraph"/>
        <w:numPr>
          <w:ilvl w:val="0"/>
          <w:numId w:val="11"/>
        </w:numPr>
        <w:spacing w:line="480" w:lineRule="auto"/>
      </w:pPr>
      <w:r w:rsidRPr="00A47AD6">
        <w:rPr>
          <w:szCs w:val="26"/>
        </w:rPr>
        <w:t>Statement of Comprehensive Income and Hedging Activities</w:t>
      </w:r>
      <w:r>
        <w:rPr>
          <w:szCs w:val="26"/>
        </w:rPr>
        <w:t>,</w:t>
      </w:r>
      <w:r w:rsidRPr="00A47AD6">
        <w:rPr>
          <w:szCs w:val="26"/>
        </w:rPr>
        <w:t xml:space="preserve"> and</w:t>
      </w:r>
    </w:p>
    <w:p w:rsidRPr="00A47AD6" w:rsidR="00797140" w:rsidP="00797140" w:rsidRDefault="00797140" w14:paraId="175CC3B6" w14:textId="77777777">
      <w:pPr>
        <w:pStyle w:val="ListParagraph"/>
        <w:numPr>
          <w:ilvl w:val="0"/>
          <w:numId w:val="11"/>
        </w:numPr>
        <w:spacing w:line="480" w:lineRule="auto"/>
      </w:pPr>
      <w:r>
        <w:rPr>
          <w:szCs w:val="26"/>
        </w:rPr>
        <w:t>S</w:t>
      </w:r>
      <w:r w:rsidRPr="00A47AD6">
        <w:rPr>
          <w:szCs w:val="26"/>
        </w:rPr>
        <w:t xml:space="preserve">upporting schedules containing supplementary information.  </w:t>
      </w:r>
    </w:p>
    <w:p w:rsidR="00797140" w:rsidP="00797140" w:rsidRDefault="00797140" w14:paraId="5CCCD71C" w14:textId="77777777">
      <w:pPr>
        <w:pStyle w:val="ListParagraph"/>
        <w:spacing w:line="480" w:lineRule="auto"/>
        <w:ind w:left="0"/>
        <w:rPr>
          <w:szCs w:val="26"/>
        </w:rPr>
      </w:pPr>
      <w:r w:rsidRPr="00A47AD6">
        <w:rPr>
          <w:szCs w:val="26"/>
        </w:rPr>
        <w:t>Electric respondents report</w:t>
      </w:r>
      <w:r>
        <w:rPr>
          <w:szCs w:val="26"/>
        </w:rPr>
        <w:t>:</w:t>
      </w:r>
    </w:p>
    <w:p w:rsidRPr="00A47AD6" w:rsidR="00797140" w:rsidP="00797140" w:rsidRDefault="00797140" w14:paraId="39653DA4" w14:textId="77777777">
      <w:pPr>
        <w:pStyle w:val="ListParagraph"/>
        <w:numPr>
          <w:ilvl w:val="0"/>
          <w:numId w:val="14"/>
        </w:numPr>
        <w:spacing w:line="480" w:lineRule="auto"/>
        <w:ind w:left="720"/>
      </w:pPr>
      <w:r>
        <w:rPr>
          <w:szCs w:val="26"/>
        </w:rPr>
        <w:t>R</w:t>
      </w:r>
      <w:r w:rsidRPr="00A47AD6">
        <w:rPr>
          <w:szCs w:val="26"/>
        </w:rPr>
        <w:t>evenues and the related quantities of electric sales and electricity transmitted</w:t>
      </w:r>
      <w:r>
        <w:rPr>
          <w:szCs w:val="26"/>
        </w:rPr>
        <w:t>,</w:t>
      </w:r>
    </w:p>
    <w:p w:rsidRPr="00A47AD6" w:rsidR="00797140" w:rsidP="00797140" w:rsidRDefault="00797140" w14:paraId="7BFA88B4" w14:textId="77777777">
      <w:pPr>
        <w:pStyle w:val="ListParagraph"/>
        <w:numPr>
          <w:ilvl w:val="0"/>
          <w:numId w:val="14"/>
        </w:numPr>
        <w:spacing w:line="480" w:lineRule="auto"/>
        <w:ind w:hanging="420"/>
      </w:pPr>
      <w:r>
        <w:rPr>
          <w:szCs w:val="26"/>
        </w:rPr>
        <w:t>A</w:t>
      </w:r>
      <w:r w:rsidRPr="00A47AD6">
        <w:rPr>
          <w:szCs w:val="26"/>
        </w:rPr>
        <w:t>ccount balances for all electric operation and maintenance expenses</w:t>
      </w:r>
      <w:r>
        <w:rPr>
          <w:szCs w:val="26"/>
        </w:rPr>
        <w:t>,</w:t>
      </w:r>
    </w:p>
    <w:p w:rsidRPr="00A47AD6" w:rsidR="00797140" w:rsidP="00797140" w:rsidRDefault="00797140" w14:paraId="555B5035" w14:textId="77777777">
      <w:pPr>
        <w:pStyle w:val="ListParagraph"/>
        <w:numPr>
          <w:ilvl w:val="0"/>
          <w:numId w:val="14"/>
        </w:numPr>
        <w:spacing w:line="480" w:lineRule="auto"/>
        <w:ind w:hanging="420"/>
      </w:pPr>
      <w:r>
        <w:rPr>
          <w:szCs w:val="26"/>
        </w:rPr>
        <w:t>S</w:t>
      </w:r>
      <w:r w:rsidRPr="00A47AD6">
        <w:rPr>
          <w:szCs w:val="26"/>
        </w:rPr>
        <w:t>elected plant cost data</w:t>
      </w:r>
      <w:r>
        <w:rPr>
          <w:szCs w:val="26"/>
        </w:rPr>
        <w:t>,</w:t>
      </w:r>
      <w:r w:rsidRPr="00A47AD6">
        <w:rPr>
          <w:szCs w:val="26"/>
        </w:rPr>
        <w:t xml:space="preserve"> and </w:t>
      </w:r>
    </w:p>
    <w:p w:rsidRPr="00A47AD6" w:rsidR="00797140" w:rsidP="00797140" w:rsidRDefault="00797140" w14:paraId="2B20F3F9" w14:textId="77777777">
      <w:pPr>
        <w:pStyle w:val="ListParagraph"/>
        <w:numPr>
          <w:ilvl w:val="0"/>
          <w:numId w:val="14"/>
        </w:numPr>
        <w:spacing w:line="480" w:lineRule="auto"/>
        <w:ind w:hanging="420"/>
      </w:pPr>
      <w:r>
        <w:rPr>
          <w:szCs w:val="26"/>
        </w:rPr>
        <w:t>O</w:t>
      </w:r>
      <w:r w:rsidRPr="00A47AD6">
        <w:rPr>
          <w:szCs w:val="26"/>
        </w:rPr>
        <w:t xml:space="preserve">ther statistical information.  </w:t>
      </w:r>
    </w:p>
    <w:p w:rsidR="00797140" w:rsidP="00797140" w:rsidRDefault="00797140" w14:paraId="2A3C4E75" w14:textId="77777777">
      <w:pPr>
        <w:pStyle w:val="ListParagraph"/>
        <w:spacing w:line="480" w:lineRule="auto"/>
        <w:ind w:left="0"/>
        <w:rPr>
          <w:szCs w:val="26"/>
        </w:rPr>
      </w:pPr>
      <w:r w:rsidRPr="00A47AD6">
        <w:rPr>
          <w:szCs w:val="26"/>
        </w:rPr>
        <w:t xml:space="preserve">Natural gas respondents </w:t>
      </w:r>
      <w:r>
        <w:rPr>
          <w:szCs w:val="26"/>
        </w:rPr>
        <w:t>report:</w:t>
      </w:r>
    </w:p>
    <w:p w:rsidRPr="00A47AD6" w:rsidR="00797140" w:rsidP="00797140" w:rsidRDefault="00797140" w14:paraId="669A9E6A" w14:textId="77777777">
      <w:pPr>
        <w:pStyle w:val="ListParagraph"/>
        <w:numPr>
          <w:ilvl w:val="0"/>
          <w:numId w:val="15"/>
        </w:numPr>
        <w:spacing w:line="480" w:lineRule="auto"/>
      </w:pPr>
      <w:r>
        <w:rPr>
          <w:szCs w:val="26"/>
        </w:rPr>
        <w:t>M</w:t>
      </w:r>
      <w:r w:rsidRPr="00A47AD6">
        <w:rPr>
          <w:szCs w:val="26"/>
        </w:rPr>
        <w:t>onthly and quarterly quantities of gas transported and associated revenues</w:t>
      </w:r>
      <w:r>
        <w:rPr>
          <w:szCs w:val="26"/>
        </w:rPr>
        <w:t>,</w:t>
      </w:r>
    </w:p>
    <w:p w:rsidRPr="00A47AD6" w:rsidR="00797140" w:rsidP="00797140" w:rsidRDefault="00797140" w14:paraId="54BC4663" w14:textId="77777777">
      <w:pPr>
        <w:pStyle w:val="ListParagraph"/>
        <w:numPr>
          <w:ilvl w:val="0"/>
          <w:numId w:val="15"/>
        </w:numPr>
        <w:spacing w:line="480" w:lineRule="auto"/>
      </w:pPr>
      <w:r>
        <w:rPr>
          <w:szCs w:val="26"/>
        </w:rPr>
        <w:t>S</w:t>
      </w:r>
      <w:r w:rsidRPr="00A47AD6">
        <w:rPr>
          <w:szCs w:val="26"/>
        </w:rPr>
        <w:t xml:space="preserve">torage, </w:t>
      </w:r>
      <w:proofErr w:type="spellStart"/>
      <w:r>
        <w:rPr>
          <w:szCs w:val="26"/>
        </w:rPr>
        <w:t>terminalling</w:t>
      </w:r>
      <w:proofErr w:type="spellEnd"/>
      <w:r>
        <w:rPr>
          <w:szCs w:val="26"/>
        </w:rPr>
        <w:t>,</w:t>
      </w:r>
      <w:r w:rsidRPr="00A47AD6">
        <w:rPr>
          <w:szCs w:val="26"/>
        </w:rPr>
        <w:t xml:space="preserve"> and processing services</w:t>
      </w:r>
      <w:r>
        <w:rPr>
          <w:szCs w:val="26"/>
        </w:rPr>
        <w:t>,</w:t>
      </w:r>
    </w:p>
    <w:p w:rsidRPr="00A47AD6" w:rsidR="00797140" w:rsidP="00797140" w:rsidRDefault="00797140" w14:paraId="55E523CC" w14:textId="77777777">
      <w:pPr>
        <w:pStyle w:val="ListParagraph"/>
        <w:numPr>
          <w:ilvl w:val="0"/>
          <w:numId w:val="15"/>
        </w:numPr>
        <w:spacing w:line="480" w:lineRule="auto"/>
      </w:pPr>
      <w:r>
        <w:rPr>
          <w:szCs w:val="26"/>
        </w:rPr>
        <w:t>N</w:t>
      </w:r>
      <w:r w:rsidRPr="00A47AD6">
        <w:rPr>
          <w:szCs w:val="26"/>
        </w:rPr>
        <w:t>atural gas customer accounts and details of service</w:t>
      </w:r>
      <w:r>
        <w:rPr>
          <w:szCs w:val="26"/>
        </w:rPr>
        <w:t>,</w:t>
      </w:r>
      <w:r w:rsidRPr="00A47AD6">
        <w:rPr>
          <w:szCs w:val="26"/>
        </w:rPr>
        <w:t xml:space="preserve"> and </w:t>
      </w:r>
    </w:p>
    <w:p w:rsidRPr="00F90D21" w:rsidR="00797140" w:rsidP="00797140" w:rsidRDefault="00797140" w14:paraId="529B2F29" w14:textId="77777777">
      <w:pPr>
        <w:pStyle w:val="ListParagraph"/>
        <w:numPr>
          <w:ilvl w:val="0"/>
          <w:numId w:val="15"/>
        </w:numPr>
        <w:spacing w:line="480" w:lineRule="auto"/>
      </w:pPr>
      <w:r>
        <w:rPr>
          <w:szCs w:val="26"/>
        </w:rPr>
        <w:lastRenderedPageBreak/>
        <w:t>O</w:t>
      </w:r>
      <w:r w:rsidRPr="00A47AD6">
        <w:rPr>
          <w:szCs w:val="26"/>
        </w:rPr>
        <w:t>perational expenses, depreciation, depletion</w:t>
      </w:r>
      <w:r>
        <w:rPr>
          <w:szCs w:val="26"/>
        </w:rPr>
        <w:t>,</w:t>
      </w:r>
      <w:r w:rsidRPr="00A47AD6">
        <w:rPr>
          <w:szCs w:val="26"/>
        </w:rPr>
        <w:t xml:space="preserve"> and amortization of gas plant.</w:t>
      </w:r>
    </w:p>
    <w:p w:rsidRPr="00797E1A" w:rsidR="00797140" w:rsidP="00797140" w:rsidRDefault="00797140" w14:paraId="266D20DF" w14:textId="77777777">
      <w:pPr>
        <w:spacing w:line="480" w:lineRule="auto"/>
        <w:rPr>
          <w:u w:val="single"/>
        </w:rPr>
      </w:pPr>
      <w:r w:rsidRPr="00797E1A">
        <w:rPr>
          <w:u w:val="single"/>
        </w:rPr>
        <w:t>XBRL, Order No. 859</w:t>
      </w:r>
      <w:r>
        <w:rPr>
          <w:u w:val="single"/>
        </w:rPr>
        <w:t>,</w:t>
      </w:r>
      <w:r w:rsidRPr="00797E1A">
        <w:rPr>
          <w:u w:val="single"/>
        </w:rPr>
        <w:t xml:space="preserve"> and FERC Form No. </w:t>
      </w:r>
      <w:r>
        <w:rPr>
          <w:u w:val="single"/>
        </w:rPr>
        <w:t xml:space="preserve">3-Q </w:t>
      </w:r>
    </w:p>
    <w:p w:rsidRPr="00120C03" w:rsidR="00797140" w:rsidP="00797140" w:rsidRDefault="00797140" w14:paraId="4392D0D8" w14:textId="2FCCFF5F">
      <w:pPr>
        <w:spacing w:line="480" w:lineRule="auto"/>
        <w:ind w:firstLine="720"/>
      </w:pPr>
      <w:r>
        <w:t>Previously, FERC Form No. 3-Q filers would transmit the information in the form to the Commission using a software application called VFP.  This application is no longer supported by its developer, Microsoft Corporation.  As a result, in April 2015, the Commission issued an order announcing its intention to replace the VFP filing format for certain Commission forms (including FERC Form No. 3-Q) with an XML-based filing format.  On June 20, 2019, the Commission issued Order No. 859, which adopted XBRL as the standard for filing these Commission forms.</w:t>
      </w:r>
      <w:r>
        <w:rPr>
          <w:rStyle w:val="FootnoteReference"/>
        </w:rPr>
        <w:footnoteReference w:id="11"/>
      </w:r>
      <w:r>
        <w:t xml:space="preserve">   </w:t>
      </w:r>
    </w:p>
    <w:p w:rsidRPr="00120C03" w:rsidR="00797140" w:rsidP="00797140" w:rsidRDefault="00797140" w14:paraId="7262D365" w14:textId="20BE8A1C">
      <w:pPr>
        <w:spacing w:line="480" w:lineRule="auto"/>
      </w:pPr>
      <w:r w:rsidRPr="00120C03">
        <w:rPr>
          <w:i/>
        </w:rPr>
        <w:t xml:space="preserve">Type of Respondent: </w:t>
      </w:r>
      <w:r w:rsidRPr="00120C03">
        <w:t>Major and nonmajor electric utilities</w:t>
      </w:r>
      <w:r>
        <w:t>, licensees,</w:t>
      </w:r>
      <w:r w:rsidRPr="00120C03">
        <w:t xml:space="preserve"> and </w:t>
      </w:r>
      <w:r w:rsidR="00DC540A">
        <w:t xml:space="preserve">major and non-major </w:t>
      </w:r>
      <w:r w:rsidRPr="00120C03">
        <w:t xml:space="preserve">natural gas </w:t>
      </w:r>
      <w:r>
        <w:t>companies</w:t>
      </w:r>
      <w:r w:rsidRPr="00120C03">
        <w:t>.</w:t>
      </w:r>
    </w:p>
    <w:p w:rsidR="00797140" w:rsidP="00797140" w:rsidRDefault="00797140" w14:paraId="5454BD3B" w14:textId="6FAE4C9C">
      <w:pPr>
        <w:spacing w:line="480" w:lineRule="auto"/>
      </w:pPr>
      <w:r w:rsidRPr="00120C03">
        <w:rPr>
          <w:i/>
        </w:rPr>
        <w:t xml:space="preserve">Estimate of Annual Burden: </w:t>
      </w:r>
      <w:r w:rsidRPr="00120C03">
        <w:t xml:space="preserve">The estimated annual burden and cost (as rounded) follow.  (The estimated hourly cost used for </w:t>
      </w:r>
      <w:r>
        <w:t xml:space="preserve">FERC </w:t>
      </w:r>
      <w:r w:rsidRPr="00120C03">
        <w:t>Form No. 3-Q is $</w:t>
      </w:r>
      <w:r>
        <w:t>87</w:t>
      </w:r>
      <w:r w:rsidR="00FB63C6">
        <w:t>.00/hour</w:t>
      </w:r>
      <w:r w:rsidRPr="00120C03">
        <w:t xml:space="preserve"> (</w:t>
      </w:r>
      <w:r>
        <w:t xml:space="preserve">for </w:t>
      </w:r>
      <w:r w:rsidRPr="00120C03">
        <w:t xml:space="preserve">wages plus benefits) and is described above, under </w:t>
      </w:r>
      <w:r>
        <w:t xml:space="preserve">FERC </w:t>
      </w:r>
      <w:r w:rsidRPr="00120C03">
        <w:t>Form No. 1.)</w:t>
      </w:r>
      <w:r>
        <w:t xml:space="preserve">  </w:t>
      </w:r>
      <w:r w:rsidRPr="00AD4090">
        <w:t>The burden hours and costs are rounded for ease of presentation.</w:t>
      </w:r>
      <w:r>
        <w:t xml:space="preserve">  </w:t>
      </w:r>
      <w:r w:rsidRPr="00FA503E">
        <w:t xml:space="preserve">The quarterly filings are generally a subset of the annual filings. </w:t>
      </w:r>
      <w:r>
        <w:t xml:space="preserve"> For this reason, the XBRL burden (“3-QT”) </w:t>
      </w:r>
      <w:r w:rsidRPr="00FA503E">
        <w:t xml:space="preserve">hours </w:t>
      </w:r>
      <w:r>
        <w:t>are “0” because the burden associated with the 3-QT is already incorporated into other burden numbers for FERC Form No. 1 and FERC Form No. 2.</w:t>
      </w:r>
      <w:r w:rsidRPr="00FA503E">
        <w:t xml:space="preserve"> </w:t>
      </w:r>
    </w:p>
    <w:p w:rsidR="00797140" w:rsidP="00797140" w:rsidRDefault="00685575" w14:paraId="51EC5DDE" w14:textId="03C3F718">
      <w:pPr>
        <w:spacing w:line="480" w:lineRule="auto"/>
      </w:pPr>
      <w:r w:rsidRPr="00685575">
        <w:rPr>
          <w:noProof/>
        </w:rPr>
        <w:lastRenderedPageBreak/>
        <w:drawing>
          <wp:inline distT="0" distB="0" distL="0" distR="0" wp14:anchorId="57FE844D" wp14:editId="20418706">
            <wp:extent cx="5943600" cy="2371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371090"/>
                    </a:xfrm>
                    <a:prstGeom prst="rect">
                      <a:avLst/>
                    </a:prstGeom>
                    <a:noFill/>
                    <a:ln>
                      <a:noFill/>
                    </a:ln>
                  </pic:spPr>
                </pic:pic>
              </a:graphicData>
            </a:graphic>
          </wp:inline>
        </w:drawing>
      </w:r>
    </w:p>
    <w:p w:rsidRPr="00120C03" w:rsidR="00797140" w:rsidP="00797140" w:rsidRDefault="00C734A0" w14:paraId="73D9FAE4" w14:textId="40BBC8A9">
      <w:pPr>
        <w:spacing w:line="480" w:lineRule="auto"/>
      </w:pPr>
      <w:r w:rsidRPr="00C734A0">
        <w:rPr>
          <w:noProof/>
        </w:rPr>
        <w:drawing>
          <wp:inline distT="0" distB="0" distL="0" distR="0" wp14:anchorId="33FC8BF6" wp14:editId="5E7D49C3">
            <wp:extent cx="5943600" cy="2317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317750"/>
                    </a:xfrm>
                    <a:prstGeom prst="rect">
                      <a:avLst/>
                    </a:prstGeom>
                    <a:noFill/>
                    <a:ln>
                      <a:noFill/>
                    </a:ln>
                  </pic:spPr>
                </pic:pic>
              </a:graphicData>
            </a:graphic>
          </wp:inline>
        </w:drawing>
      </w:r>
    </w:p>
    <w:p w:rsidRPr="004C55B7" w:rsidR="00797140" w:rsidP="00797140" w:rsidRDefault="00797140" w14:paraId="0C7AF697" w14:textId="77777777">
      <w:pPr>
        <w:spacing w:line="480" w:lineRule="auto"/>
        <w:rPr>
          <w:iCs/>
        </w:rPr>
      </w:pPr>
      <w:r w:rsidRPr="004C55B7">
        <w:rPr>
          <w:iCs/>
        </w:rPr>
        <w:t>For the FERC Form 3-Q (electric and natural gas), the total average annual burden hours</w:t>
      </w:r>
      <w:r>
        <w:rPr>
          <w:iCs/>
        </w:rPr>
        <w:t xml:space="preserve"> </w:t>
      </w:r>
      <w:proofErr w:type="gramStart"/>
      <w:r>
        <w:rPr>
          <w:iCs/>
        </w:rPr>
        <w:t>is</w:t>
      </w:r>
      <w:proofErr w:type="gramEnd"/>
      <w:r>
        <w:rPr>
          <w:iCs/>
        </w:rPr>
        <w:t xml:space="preserve"> 185,031, and the total annual cost is $16,097,697.</w:t>
      </w:r>
    </w:p>
    <w:p w:rsidRPr="00A07666" w:rsidR="00A07666" w:rsidP="007C7337" w:rsidRDefault="00A07666" w14:paraId="5F4B9C4C" w14:textId="36AF48A2">
      <w:pPr>
        <w:spacing w:line="480" w:lineRule="auto"/>
        <w:rPr>
          <w:b/>
          <w:bCs/>
        </w:rPr>
      </w:pPr>
      <w:r>
        <w:rPr>
          <w:b/>
          <w:bCs/>
        </w:rPr>
        <w:t>60-Day Notice Comments</w:t>
      </w:r>
    </w:p>
    <w:p w:rsidR="007C7337" w:rsidP="007C7337" w:rsidRDefault="007C7337" w14:paraId="2B73483B" w14:textId="5B64A05A">
      <w:pPr>
        <w:spacing w:line="480" w:lineRule="auto"/>
        <w:rPr>
          <w:iCs/>
        </w:rPr>
      </w:pPr>
      <w:r w:rsidRPr="00B455A8">
        <w:rPr>
          <w:i/>
          <w:iCs/>
        </w:rPr>
        <w:t>Comments</w:t>
      </w:r>
      <w:r>
        <w:t>:</w:t>
      </w:r>
      <w:r>
        <w:rPr>
          <w:iCs/>
        </w:rPr>
        <w:t xml:space="preserve"> The Commission published a 60-day notice on November 18, 2021, in the Federal Register </w:t>
      </w:r>
      <w:r w:rsidRPr="008F5D4D">
        <w:rPr>
          <w:iCs/>
        </w:rPr>
        <w:t>(</w:t>
      </w:r>
      <w:r w:rsidRPr="007563C9">
        <w:rPr>
          <w:iCs/>
        </w:rPr>
        <w:t>86 FR 67042</w:t>
      </w:r>
      <w:r>
        <w:rPr>
          <w:iCs/>
        </w:rPr>
        <w:t>) and received one comment from</w:t>
      </w:r>
      <w:r w:rsidR="00774A5F">
        <w:rPr>
          <w:iCs/>
        </w:rPr>
        <w:t xml:space="preserve"> the government </w:t>
      </w:r>
      <w:proofErr w:type="gramStart"/>
      <w:r w:rsidR="00774A5F">
        <w:rPr>
          <w:iCs/>
        </w:rPr>
        <w:t xml:space="preserve">agency, </w:t>
      </w:r>
      <w:r>
        <w:rPr>
          <w:iCs/>
        </w:rPr>
        <w:t xml:space="preserve"> Bureau</w:t>
      </w:r>
      <w:proofErr w:type="gramEnd"/>
      <w:r>
        <w:rPr>
          <w:iCs/>
        </w:rPr>
        <w:t xml:space="preserve"> of Economic Analysis (BEA). </w:t>
      </w:r>
    </w:p>
    <w:p w:rsidR="007C7337" w:rsidP="007C7337" w:rsidRDefault="007C7337" w14:paraId="00A6DBAD" w14:textId="3C61F902">
      <w:pPr>
        <w:tabs>
          <w:tab w:val="left" w:pos="-1440"/>
        </w:tabs>
        <w:spacing w:line="480" w:lineRule="auto"/>
        <w:rPr>
          <w:iCs/>
        </w:rPr>
      </w:pPr>
      <w:r>
        <w:rPr>
          <w:iCs/>
        </w:rPr>
        <w:tab/>
        <w:t xml:space="preserve">BEA Comment: </w:t>
      </w:r>
      <w:r w:rsidRPr="00B455A8">
        <w:t xml:space="preserve">BEA </w:t>
      </w:r>
      <w:r>
        <w:t xml:space="preserve">comments that it </w:t>
      </w:r>
      <w:r w:rsidRPr="00B455A8">
        <w:t xml:space="preserve">is interested in any modifications that are made to the </w:t>
      </w:r>
      <w:r>
        <w:t xml:space="preserve">FERC </w:t>
      </w:r>
      <w:r w:rsidRPr="00901E64">
        <w:t>Form</w:t>
      </w:r>
      <w:r>
        <w:t xml:space="preserve"> No</w:t>
      </w:r>
      <w:r w:rsidRPr="00901E64">
        <w:t>s</w:t>
      </w:r>
      <w:r>
        <w:t>.</w:t>
      </w:r>
      <w:r w:rsidRPr="00901E64">
        <w:t xml:space="preserve"> 1 and 1-F</w:t>
      </w:r>
      <w:r>
        <w:rPr>
          <w:color w:val="4472C4"/>
        </w:rPr>
        <w:t xml:space="preserve">.  </w:t>
      </w:r>
      <w:r w:rsidRPr="00376E11">
        <w:rPr>
          <w:iCs/>
        </w:rPr>
        <w:t xml:space="preserve">BEA </w:t>
      </w:r>
      <w:r>
        <w:rPr>
          <w:iCs/>
        </w:rPr>
        <w:t xml:space="preserve">explains that </w:t>
      </w:r>
      <w:r w:rsidR="00BC7791">
        <w:rPr>
          <w:iCs/>
        </w:rPr>
        <w:t xml:space="preserve">it </w:t>
      </w:r>
      <w:r w:rsidRPr="00376E11">
        <w:rPr>
          <w:iCs/>
        </w:rPr>
        <w:t xml:space="preserve">uses data from </w:t>
      </w:r>
      <w:r>
        <w:rPr>
          <w:iCs/>
        </w:rPr>
        <w:t xml:space="preserve">FERC </w:t>
      </w:r>
      <w:r w:rsidRPr="00376E11">
        <w:rPr>
          <w:iCs/>
        </w:rPr>
        <w:lastRenderedPageBreak/>
        <w:t>Form</w:t>
      </w:r>
      <w:r>
        <w:rPr>
          <w:iCs/>
        </w:rPr>
        <w:t xml:space="preserve"> No</w:t>
      </w:r>
      <w:r w:rsidRPr="00376E11">
        <w:rPr>
          <w:iCs/>
        </w:rPr>
        <w:t>s</w:t>
      </w:r>
      <w:r>
        <w:rPr>
          <w:iCs/>
        </w:rPr>
        <w:t>.</w:t>
      </w:r>
      <w:r w:rsidRPr="00376E11">
        <w:rPr>
          <w:iCs/>
        </w:rPr>
        <w:t xml:space="preserve"> 1 and 1-F</w:t>
      </w:r>
      <w:r>
        <w:rPr>
          <w:iCs/>
        </w:rPr>
        <w:t xml:space="preserve"> indirectly</w:t>
      </w:r>
      <w:r w:rsidRPr="00376E11">
        <w:rPr>
          <w:iCs/>
        </w:rPr>
        <w:t xml:space="preserve"> in estimating the </w:t>
      </w:r>
      <w:r>
        <w:rPr>
          <w:iCs/>
        </w:rPr>
        <w:t xml:space="preserve">U.S. Census Bureau’s Construction Value Put in Place (VPIP) for electric utilities.   BEA further explains that census VPIP serves a major source data input to the </w:t>
      </w:r>
      <w:r w:rsidRPr="00376E11">
        <w:rPr>
          <w:iCs/>
        </w:rPr>
        <w:t>national income and product account (NIPA) structures investment estimate</w:t>
      </w:r>
      <w:r>
        <w:rPr>
          <w:iCs/>
        </w:rPr>
        <w:t>s</w:t>
      </w:r>
      <w:r w:rsidRPr="00376E11">
        <w:rPr>
          <w:iCs/>
        </w:rPr>
        <w:t xml:space="preserve">.  BEA </w:t>
      </w:r>
      <w:r>
        <w:rPr>
          <w:iCs/>
        </w:rPr>
        <w:t xml:space="preserve">states that while it </w:t>
      </w:r>
      <w:r w:rsidRPr="00376E11">
        <w:rPr>
          <w:iCs/>
        </w:rPr>
        <w:t>uses th</w:t>
      </w:r>
      <w:r>
        <w:rPr>
          <w:iCs/>
        </w:rPr>
        <w:t>e</w:t>
      </w:r>
      <w:r w:rsidRPr="00376E11">
        <w:rPr>
          <w:iCs/>
        </w:rPr>
        <w:t xml:space="preserve"> information indirectly through the </w:t>
      </w:r>
      <w:r>
        <w:rPr>
          <w:iCs/>
        </w:rPr>
        <w:t xml:space="preserve">VPIP </w:t>
      </w:r>
      <w:r w:rsidRPr="00376E11">
        <w:rPr>
          <w:iCs/>
        </w:rPr>
        <w:t>program, it is considered an indispensable data source to the NIPA estimates.</w:t>
      </w:r>
    </w:p>
    <w:p w:rsidRPr="00A07666" w:rsidR="007C7337" w:rsidP="00C82B93" w:rsidRDefault="007C7337" w14:paraId="3448A37D" w14:textId="5AFB958C">
      <w:pPr>
        <w:tabs>
          <w:tab w:val="left" w:pos="-1440"/>
        </w:tabs>
        <w:spacing w:line="480" w:lineRule="auto"/>
        <w:rPr>
          <w:iCs/>
        </w:rPr>
      </w:pPr>
      <w:r>
        <w:rPr>
          <w:iCs/>
        </w:rPr>
        <w:tab/>
        <w:t xml:space="preserve">FERC Response: The Commission finds BEA’s comments regarding the usefulness of the FERC Form Nos. 1 and 1-F to be helpful.  With respect to BEA’s concern about modifications to the forms, the Commission </w:t>
      </w:r>
      <w:r w:rsidRPr="00376E11">
        <w:rPr>
          <w:iCs/>
        </w:rPr>
        <w:t xml:space="preserve">generally does not make any changes to </w:t>
      </w:r>
      <w:r>
        <w:rPr>
          <w:iCs/>
        </w:rPr>
        <w:t>the data collected in the financial forms without first offering a public</w:t>
      </w:r>
      <w:r w:rsidRPr="00376E11">
        <w:rPr>
          <w:iCs/>
        </w:rPr>
        <w:t xml:space="preserve"> process</w:t>
      </w:r>
      <w:r>
        <w:rPr>
          <w:iCs/>
        </w:rPr>
        <w:t xml:space="preserve"> by which interested parties, like BEA, may comment on any proposals to change the coll</w:t>
      </w:r>
      <w:r w:rsidR="003641BE">
        <w:rPr>
          <w:iCs/>
        </w:rPr>
        <w:t>e</w:t>
      </w:r>
      <w:r>
        <w:rPr>
          <w:iCs/>
        </w:rPr>
        <w:t>ction</w:t>
      </w:r>
      <w:r w:rsidRPr="00376E11">
        <w:rPr>
          <w:iCs/>
        </w:rPr>
        <w:t xml:space="preserve">.  </w:t>
      </w:r>
    </w:p>
    <w:p w:rsidRPr="00A07666" w:rsidR="00A07666" w:rsidP="00A07666" w:rsidRDefault="00A07666" w14:paraId="4C476904" w14:textId="42DF01C9">
      <w:pPr>
        <w:spacing w:line="480" w:lineRule="auto"/>
        <w:rPr>
          <w:b/>
          <w:bCs/>
        </w:rPr>
      </w:pPr>
      <w:r>
        <w:rPr>
          <w:b/>
          <w:bCs/>
        </w:rPr>
        <w:t>30-Day Notice Comments</w:t>
      </w:r>
    </w:p>
    <w:p w:rsidR="004241A7" w:rsidP="00797140" w:rsidRDefault="00797140" w14:paraId="672103A9" w14:textId="77777777">
      <w:pPr>
        <w:spacing w:line="480" w:lineRule="auto"/>
      </w:pPr>
      <w:r>
        <w:rPr>
          <w:i/>
        </w:rPr>
        <w:t xml:space="preserve">Comments: </w:t>
      </w:r>
      <w: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w:t>
      </w:r>
    </w:p>
    <w:p w:rsidR="004241A7" w:rsidP="00797140" w:rsidRDefault="004241A7" w14:paraId="6924E4E6" w14:textId="77777777">
      <w:pPr>
        <w:spacing w:line="480" w:lineRule="auto"/>
      </w:pPr>
    </w:p>
    <w:p w:rsidR="004241A7" w:rsidP="00797140" w:rsidRDefault="004241A7" w14:paraId="6B0CFDCA" w14:textId="77777777">
      <w:pPr>
        <w:spacing w:line="480" w:lineRule="auto"/>
      </w:pPr>
    </w:p>
    <w:p w:rsidR="00797140" w:rsidP="00797140" w:rsidRDefault="00797140" w14:paraId="6452B8C6" w14:textId="476E3C52">
      <w:pPr>
        <w:spacing w:line="480" w:lineRule="auto"/>
      </w:pPr>
      <w:r>
        <w:lastRenderedPageBreak/>
        <w:t xml:space="preserve">collections of information on those who are to respond, including the use of automated collection techniques or other forms of information technology.  </w:t>
      </w:r>
    </w:p>
    <w:p w:rsidR="00797140" w:rsidP="00797140" w:rsidRDefault="00797140" w14:paraId="54876D6E" w14:textId="77777777"/>
    <w:p w:rsidR="00797140" w:rsidP="00797140" w:rsidRDefault="00797140" w14:paraId="6A7DE535" w14:textId="77777777"/>
    <w:p w:rsidR="00797140" w:rsidP="00797140" w:rsidRDefault="00797140" w14:paraId="7ACF10B2" w14:textId="77777777">
      <w:pPr>
        <w:ind w:firstLine="2606"/>
        <w:jc w:val="center"/>
      </w:pPr>
      <w:r>
        <w:t>Kimberly D. Bose,</w:t>
      </w:r>
    </w:p>
    <w:p w:rsidRPr="004F158B" w:rsidR="00797140" w:rsidP="00797140" w:rsidRDefault="00797140" w14:paraId="74C072D3" w14:textId="77777777">
      <w:pPr>
        <w:ind w:firstLine="2606"/>
        <w:jc w:val="center"/>
      </w:pPr>
      <w:r>
        <w:t>Secretary.</w:t>
      </w:r>
    </w:p>
    <w:p w:rsidR="00797140" w:rsidP="00797140" w:rsidRDefault="00797140" w14:paraId="1601F3BA" w14:textId="77777777"/>
    <w:p w:rsidRPr="00425DA2" w:rsidR="00797140" w:rsidP="005A7903" w:rsidRDefault="00797140" w14:paraId="3036529D" w14:textId="77777777">
      <w:pPr>
        <w:spacing w:line="480" w:lineRule="auto"/>
      </w:pPr>
    </w:p>
    <w:sectPr w:rsidRPr="00425DA2" w:rsidR="00797140" w:rsidSect="00BF2D74">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74F5" w14:textId="77777777" w:rsidR="00873A70" w:rsidRDefault="00873A70" w:rsidP="00B01B16">
      <w:r>
        <w:separator/>
      </w:r>
    </w:p>
  </w:endnote>
  <w:endnote w:type="continuationSeparator" w:id="0">
    <w:p w14:paraId="14E070E9" w14:textId="77777777" w:rsidR="00873A70" w:rsidRDefault="00873A70" w:rsidP="00B01B16">
      <w:r>
        <w:continuationSeparator/>
      </w:r>
    </w:p>
  </w:endnote>
  <w:endnote w:type="continuationNotice" w:id="1">
    <w:p w14:paraId="357758E4" w14:textId="77777777" w:rsidR="00873A70" w:rsidRDefault="0087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AA8C" w14:textId="77777777" w:rsidR="00873A70" w:rsidRDefault="00873A70" w:rsidP="00B01B16">
      <w:r>
        <w:separator/>
      </w:r>
    </w:p>
  </w:footnote>
  <w:footnote w:type="continuationSeparator" w:id="0">
    <w:p w14:paraId="73D79FFF" w14:textId="77777777" w:rsidR="00873A70" w:rsidRDefault="00873A70" w:rsidP="00B01B16">
      <w:r>
        <w:continuationSeparator/>
      </w:r>
    </w:p>
  </w:footnote>
  <w:footnote w:type="continuationNotice" w:id="1">
    <w:p w14:paraId="5BF0850F" w14:textId="77777777" w:rsidR="00873A70" w:rsidRDefault="00873A70"/>
  </w:footnote>
  <w:footnote w:id="2">
    <w:p w14:paraId="35CFFBF0" w14:textId="09C299B6" w:rsidR="00806460" w:rsidRDefault="00806460" w:rsidP="00CC764D">
      <w:pPr>
        <w:pStyle w:val="FootnoteText"/>
        <w:ind w:firstLine="720"/>
      </w:pPr>
      <w:r>
        <w:rPr>
          <w:rStyle w:val="FootnoteReference"/>
        </w:rPr>
        <w:footnoteRef/>
      </w:r>
      <w:r>
        <w:t xml:space="preserve"> </w:t>
      </w:r>
      <w:r w:rsidRPr="00E9060E">
        <w:rPr>
          <w:color w:val="000000"/>
          <w:sz w:val="26"/>
          <w:szCs w:val="26"/>
        </w:rPr>
        <w:t xml:space="preserve">Due to expiration dates in 2019 for many of the </w:t>
      </w:r>
      <w:r>
        <w:rPr>
          <w:color w:val="000000"/>
          <w:sz w:val="26"/>
          <w:szCs w:val="26"/>
        </w:rPr>
        <w:t>Commission’s financial f</w:t>
      </w:r>
      <w:r w:rsidRPr="00E9060E">
        <w:rPr>
          <w:color w:val="000000"/>
          <w:sz w:val="26"/>
          <w:szCs w:val="26"/>
        </w:rPr>
        <w:t xml:space="preserve">orms, the renewal work for several of the </w:t>
      </w:r>
      <w:r>
        <w:rPr>
          <w:color w:val="000000"/>
          <w:sz w:val="26"/>
          <w:szCs w:val="26"/>
        </w:rPr>
        <w:t>forms</w:t>
      </w:r>
      <w:r w:rsidRPr="00E9060E">
        <w:rPr>
          <w:color w:val="000000"/>
          <w:sz w:val="26"/>
          <w:szCs w:val="26"/>
        </w:rPr>
        <w:t xml:space="preserve"> </w:t>
      </w:r>
      <w:r>
        <w:rPr>
          <w:color w:val="000000"/>
          <w:sz w:val="26"/>
          <w:szCs w:val="26"/>
        </w:rPr>
        <w:t>wa</w:t>
      </w:r>
      <w:r w:rsidRPr="00E9060E">
        <w:rPr>
          <w:color w:val="000000"/>
          <w:sz w:val="26"/>
          <w:szCs w:val="26"/>
        </w:rPr>
        <w:t xml:space="preserve">s in process or pending at OMB during the </w:t>
      </w:r>
      <w:r>
        <w:rPr>
          <w:color w:val="000000"/>
          <w:sz w:val="26"/>
          <w:szCs w:val="26"/>
        </w:rPr>
        <w:t xml:space="preserve">2019 </w:t>
      </w:r>
      <w:r w:rsidRPr="00E9060E">
        <w:rPr>
          <w:color w:val="000000"/>
          <w:sz w:val="26"/>
          <w:szCs w:val="26"/>
        </w:rPr>
        <w:t>Forms Refresh rulemaking effort in Docket No. RM19-12</w:t>
      </w:r>
      <w:r>
        <w:rPr>
          <w:color w:val="000000"/>
          <w:sz w:val="26"/>
          <w:szCs w:val="26"/>
        </w:rPr>
        <w:t>-000</w:t>
      </w:r>
      <w:r w:rsidRPr="00E9060E">
        <w:rPr>
          <w:color w:val="000000"/>
          <w:sz w:val="26"/>
          <w:szCs w:val="26"/>
        </w:rPr>
        <w:t xml:space="preserve">. </w:t>
      </w:r>
      <w:r w:rsidR="00435EA4">
        <w:rPr>
          <w:color w:val="000000"/>
          <w:sz w:val="26"/>
          <w:szCs w:val="26"/>
        </w:rPr>
        <w:t xml:space="preserve"> </w:t>
      </w:r>
      <w:r w:rsidR="00435EA4" w:rsidRPr="00435EA4">
        <w:rPr>
          <w:color w:val="000000"/>
          <w:sz w:val="26"/>
          <w:szCs w:val="26"/>
        </w:rPr>
        <w:t xml:space="preserve">OMB can only have one OMB Control No. pending review at a time.  To submit the rulemaking timely to OMB, we assigned alternate “temporary” information collection numbers (FERC Form No. </w:t>
      </w:r>
      <w:r w:rsidR="00435EA4">
        <w:rPr>
          <w:color w:val="000000"/>
          <w:sz w:val="26"/>
          <w:szCs w:val="26"/>
        </w:rPr>
        <w:t>1T, 1-FT, and 3-QT (electric and gas</w:t>
      </w:r>
      <w:r w:rsidR="00435EA4" w:rsidRPr="00435EA4">
        <w:rPr>
          <w:color w:val="000000"/>
          <w:sz w:val="26"/>
          <w:szCs w:val="26"/>
        </w:rPr>
        <w:t xml:space="preserve">). </w:t>
      </w:r>
      <w:r>
        <w:rPr>
          <w:color w:val="000000"/>
          <w:sz w:val="26"/>
          <w:szCs w:val="26"/>
        </w:rPr>
        <w:t xml:space="preserve">  Accordingly, FERC Form Nos. 1T, 1-FT, and 3-QT represent the additional burden associated with the final rule in RM19-12-000.  </w:t>
      </w:r>
      <w:r w:rsidRPr="00797E1A">
        <w:rPr>
          <w:i/>
          <w:iCs/>
          <w:color w:val="000000"/>
          <w:sz w:val="26"/>
          <w:szCs w:val="26"/>
        </w:rPr>
        <w:t>Revisions to the Filing Process for Comm’n Forms</w:t>
      </w:r>
      <w:r w:rsidRPr="0050715C">
        <w:rPr>
          <w:color w:val="000000"/>
          <w:sz w:val="26"/>
          <w:szCs w:val="26"/>
        </w:rPr>
        <w:t>, Order No. 859, 167 FERC ¶ 61,241 (2019).</w:t>
      </w:r>
    </w:p>
    <w:p w14:paraId="3F677FC4" w14:textId="07010666" w:rsidR="00806460" w:rsidRDefault="00806460">
      <w:pPr>
        <w:pStyle w:val="FootnoteText"/>
      </w:pPr>
    </w:p>
  </w:footnote>
  <w:footnote w:id="3">
    <w:p w14:paraId="03455758" w14:textId="098F93CE" w:rsidR="00031E40" w:rsidRPr="00FD2FFF" w:rsidRDefault="00031E40" w:rsidP="00CC764D">
      <w:pPr>
        <w:pStyle w:val="FootnoteText"/>
        <w:ind w:firstLine="720"/>
        <w:rPr>
          <w:sz w:val="26"/>
          <w:szCs w:val="26"/>
        </w:rPr>
      </w:pPr>
      <w:r w:rsidRPr="00FD2FFF">
        <w:rPr>
          <w:rStyle w:val="FootnoteReference"/>
        </w:rPr>
        <w:footnoteRef/>
      </w:r>
      <w:r w:rsidRPr="00FD2FFF">
        <w:rPr>
          <w:sz w:val="26"/>
          <w:szCs w:val="26"/>
        </w:rPr>
        <w:t xml:space="preserve"> </w:t>
      </w:r>
      <w:r>
        <w:rPr>
          <w:sz w:val="26"/>
          <w:szCs w:val="26"/>
        </w:rPr>
        <w:t xml:space="preserve">For purposes of this notice, unless otherwise stated, </w:t>
      </w:r>
      <w:r w:rsidRPr="00FD2FFF">
        <w:rPr>
          <w:sz w:val="26"/>
          <w:szCs w:val="26"/>
        </w:rPr>
        <w:t xml:space="preserve">FERC Form Nos. </w:t>
      </w:r>
      <w:r>
        <w:rPr>
          <w:sz w:val="26"/>
          <w:szCs w:val="26"/>
        </w:rPr>
        <w:t>1 and 1T are  collectively referred to as “FERC Form No. 1,” FERC Form Nos. 1-F and 1-FT are collectively referred to as “FERC Form No. 1-F,” and FERC Form Nos. 3-Q (electric and natural gas)</w:t>
      </w:r>
      <w:r w:rsidRPr="00FD2FFF">
        <w:rPr>
          <w:sz w:val="26"/>
          <w:szCs w:val="26"/>
        </w:rPr>
        <w:t xml:space="preserve"> </w:t>
      </w:r>
      <w:r>
        <w:rPr>
          <w:sz w:val="26"/>
          <w:szCs w:val="26"/>
        </w:rPr>
        <w:t xml:space="preserve">and 3-QT (electric and natural gas) are collectively referred to as “FERC Form No. 3-Q.”  </w:t>
      </w:r>
    </w:p>
  </w:footnote>
  <w:footnote w:id="4">
    <w:p w14:paraId="16348E68" w14:textId="77777777" w:rsidR="00031E40" w:rsidRDefault="00031E40" w:rsidP="00CC764D">
      <w:pPr>
        <w:pStyle w:val="FootnoteText"/>
        <w:ind w:firstLine="720"/>
      </w:pPr>
      <w:r>
        <w:rPr>
          <w:rStyle w:val="FootnoteReference"/>
        </w:rPr>
        <w:footnoteRef/>
      </w:r>
      <w:r>
        <w:t xml:space="preserve"> </w:t>
      </w:r>
      <w:r w:rsidRPr="007E64D7">
        <w:rPr>
          <w:sz w:val="26"/>
          <w:szCs w:val="26"/>
        </w:rPr>
        <w:t>As detailed in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A82D5B">
        <w:rPr>
          <w:sz w:val="26"/>
          <w:szCs w:val="26"/>
        </w:rPr>
        <w:t>§</w:t>
      </w:r>
      <w:r>
        <w:rPr>
          <w:sz w:val="26"/>
          <w:szCs w:val="26"/>
        </w:rPr>
        <w:t xml:space="preserve"> </w:t>
      </w:r>
      <w:r w:rsidRPr="007E64D7">
        <w:rPr>
          <w:sz w:val="26"/>
          <w:szCs w:val="26"/>
        </w:rPr>
        <w:t>101 (Uniform System of Accounts Prescribed for Public Utilities and Licensees Subject to the Provision of the Federal Power Act, Genera</w:t>
      </w:r>
      <w:r>
        <w:rPr>
          <w:sz w:val="26"/>
          <w:szCs w:val="26"/>
        </w:rPr>
        <w:t xml:space="preserve">l Instructions) and 18 C.F.R. </w:t>
      </w:r>
      <w:r w:rsidRPr="00A82D5B">
        <w:rPr>
          <w:sz w:val="26"/>
          <w:szCs w:val="26"/>
        </w:rPr>
        <w:t>§</w:t>
      </w:r>
      <w:r>
        <w:rPr>
          <w:sz w:val="26"/>
          <w:szCs w:val="26"/>
        </w:rPr>
        <w:t xml:space="preserve"> 141.1</w:t>
      </w:r>
      <w:r w:rsidRPr="007E64D7">
        <w:rPr>
          <w:sz w:val="26"/>
          <w:szCs w:val="26"/>
        </w:rPr>
        <w:t>.</w:t>
      </w:r>
    </w:p>
  </w:footnote>
  <w:footnote w:id="5">
    <w:p w14:paraId="7947F18A" w14:textId="77777777" w:rsidR="00031E40" w:rsidRDefault="00031E40" w:rsidP="00CC764D">
      <w:pPr>
        <w:pStyle w:val="FootnoteText"/>
        <w:ind w:firstLine="720"/>
        <w:rPr>
          <w:color w:val="000000"/>
          <w:sz w:val="26"/>
          <w:szCs w:val="26"/>
        </w:rPr>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r>
        <w:rPr>
          <w:color w:val="000000"/>
          <w:sz w:val="26"/>
          <w:szCs w:val="26"/>
        </w:rPr>
        <w:t>.</w:t>
      </w:r>
    </w:p>
    <w:p w14:paraId="580A3018" w14:textId="77777777" w:rsidR="00031E40" w:rsidRDefault="00031E40" w:rsidP="00797140">
      <w:pPr>
        <w:pStyle w:val="FootnoteText"/>
      </w:pPr>
    </w:p>
  </w:footnote>
  <w:footnote w:id="6">
    <w:p w14:paraId="19E3F764" w14:textId="0B88398D" w:rsidR="00031E40" w:rsidRDefault="00031E40" w:rsidP="00CC764D">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defined as</w:t>
      </w:r>
      <w:r w:rsidRPr="006536D8">
        <w:rPr>
          <w:sz w:val="26"/>
          <w:szCs w:val="26"/>
        </w:rPr>
        <w:t xml:space="preserve"> the total time, effort, or financial resources expended by persons to generate, maintain, retain, disclose</w:t>
      </w:r>
      <w:r>
        <w:rPr>
          <w:sz w:val="26"/>
          <w:szCs w:val="26"/>
        </w:rPr>
        <w:t>,</w:t>
      </w:r>
      <w:r w:rsidRPr="006536D8">
        <w:rPr>
          <w:sz w:val="26"/>
          <w:szCs w:val="26"/>
        </w:rPr>
        <w:t xml:space="preserve"> or provide information to or for a Federal agency. </w:t>
      </w:r>
      <w:r>
        <w:rPr>
          <w:sz w:val="26"/>
          <w:szCs w:val="26"/>
        </w:rPr>
        <w:t xml:space="preserve"> </w:t>
      </w:r>
      <w:r w:rsidRPr="006536D8">
        <w:rPr>
          <w:sz w:val="26"/>
          <w:szCs w:val="26"/>
        </w:rPr>
        <w:t>For further explanation of what is included in the information collection burden, refer to Title 5 Code of Federal Regulations 1320.3.</w:t>
      </w:r>
      <w:r>
        <w:rPr>
          <w:sz w:val="26"/>
          <w:szCs w:val="26"/>
        </w:rPr>
        <w:t xml:space="preserve">  The burden hours and costs are rounded for ease of presentation.</w:t>
      </w:r>
    </w:p>
    <w:p w14:paraId="599675AB" w14:textId="77777777" w:rsidR="00031E40" w:rsidRPr="006536D8" w:rsidRDefault="00031E40" w:rsidP="00797140">
      <w:pPr>
        <w:pStyle w:val="FootnoteText"/>
        <w:rPr>
          <w:sz w:val="26"/>
          <w:szCs w:val="26"/>
        </w:rPr>
      </w:pPr>
    </w:p>
  </w:footnote>
  <w:footnote w:id="7">
    <w:p w14:paraId="7C2CFFC1" w14:textId="77777777" w:rsidR="00031E40" w:rsidRDefault="00031E40" w:rsidP="00CC764D">
      <w:pPr>
        <w:pStyle w:val="FootnoteText"/>
        <w:ind w:firstLine="720"/>
      </w:pPr>
      <w:r>
        <w:rPr>
          <w:rStyle w:val="FootnoteReference"/>
        </w:rPr>
        <w:footnoteRef/>
      </w:r>
      <w:r>
        <w:t xml:space="preserve"> </w:t>
      </w:r>
      <w:r w:rsidRPr="00A301F9">
        <w:rPr>
          <w:sz w:val="26"/>
          <w:szCs w:val="26"/>
        </w:rPr>
        <w:t>The cost is based on FERC’s 2021 Commission</w:t>
      </w:r>
      <w:r>
        <w:rPr>
          <w:sz w:val="26"/>
          <w:szCs w:val="26"/>
        </w:rPr>
        <w:t>-</w:t>
      </w:r>
      <w:r w:rsidRPr="00A301F9">
        <w:rPr>
          <w:sz w:val="26"/>
          <w:szCs w:val="26"/>
        </w:rPr>
        <w:t>wide average salary cost (salary plus benefits) of $87.00/hour. The Commission staff believes the FERC FTE (full-time equivalent) average cost for wages plus benefits is representative of the corresponding cost for the industry respondents.</w:t>
      </w:r>
      <w:r w:rsidRPr="00E1426D">
        <w:rPr>
          <w:sz w:val="26"/>
          <w:szCs w:val="26"/>
        </w:rPr>
        <w:t xml:space="preserve">  </w:t>
      </w:r>
    </w:p>
  </w:footnote>
  <w:footnote w:id="8">
    <w:p w14:paraId="655C78C3" w14:textId="77777777" w:rsidR="00031E40" w:rsidRPr="007E64D7" w:rsidRDefault="00031E40" w:rsidP="00CC764D">
      <w:pPr>
        <w:pStyle w:val="FootnoteText"/>
        <w:ind w:firstLine="720"/>
        <w:rPr>
          <w:sz w:val="26"/>
          <w:szCs w:val="26"/>
        </w:rPr>
      </w:pPr>
      <w:r w:rsidRPr="007E64D7">
        <w:rPr>
          <w:rStyle w:val="FootnoteReference"/>
        </w:rPr>
        <w:footnoteRef/>
      </w:r>
      <w:r w:rsidRPr="007E64D7">
        <w:rPr>
          <w:sz w:val="26"/>
          <w:szCs w:val="26"/>
        </w:rPr>
        <w:t xml:space="preserve"> As detailed in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101 (Uniform System of Accounts Prescribed for Public Utilities and Licensees Subject to the Provision of the Federal Power Act, General Instructions) and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141.2.</w:t>
      </w:r>
    </w:p>
  </w:footnote>
  <w:footnote w:id="9">
    <w:p w14:paraId="2791AF2D" w14:textId="77777777" w:rsidR="00031E40" w:rsidRDefault="00031E40" w:rsidP="00CC764D">
      <w:pPr>
        <w:pStyle w:val="FootnoteText"/>
        <w:ind w:firstLine="720"/>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p>
  </w:footnote>
  <w:footnote w:id="10">
    <w:p w14:paraId="1AFA1F20" w14:textId="77777777" w:rsidR="00031E40" w:rsidRPr="007E64D7" w:rsidRDefault="00031E40" w:rsidP="00CC764D">
      <w:pPr>
        <w:pStyle w:val="FootnoteText"/>
        <w:ind w:firstLine="720"/>
        <w:rPr>
          <w:sz w:val="26"/>
          <w:szCs w:val="26"/>
        </w:rPr>
      </w:pPr>
      <w:r w:rsidRPr="007E64D7">
        <w:rPr>
          <w:rStyle w:val="FootnoteReference"/>
        </w:rPr>
        <w:footnoteRef/>
      </w:r>
      <w:r w:rsidRPr="007E64D7">
        <w:rPr>
          <w:sz w:val="26"/>
          <w:szCs w:val="26"/>
        </w:rPr>
        <w:t xml:space="preserve">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 xml:space="preserve">260.1(b) states that for natural gas companies </w:t>
      </w:r>
      <w:r>
        <w:rPr>
          <w:sz w:val="26"/>
          <w:szCs w:val="26"/>
        </w:rPr>
        <w:t xml:space="preserve">as defined </w:t>
      </w:r>
      <w:r w:rsidRPr="007E64D7">
        <w:rPr>
          <w:sz w:val="26"/>
          <w:szCs w:val="26"/>
        </w:rPr>
        <w:t xml:space="preserve">by the Natural Gas Act, </w:t>
      </w:r>
      <w:r>
        <w:rPr>
          <w:sz w:val="26"/>
          <w:szCs w:val="26"/>
        </w:rPr>
        <w:t xml:space="preserve">Major </w:t>
      </w:r>
      <w:r w:rsidRPr="007E64D7">
        <w:rPr>
          <w:sz w:val="26"/>
          <w:szCs w:val="26"/>
        </w:rPr>
        <w:t>pertains to a company whose combined gas transported or stored for a fee exceed 50 million Dth in each of the three previous calendar years.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 xml:space="preserve">260.2(b) states that for natural gas companies as defined by the Natural Gas Act, </w:t>
      </w:r>
      <w:r>
        <w:rPr>
          <w:sz w:val="26"/>
          <w:szCs w:val="26"/>
        </w:rPr>
        <w:t xml:space="preserve">Non-Major </w:t>
      </w:r>
      <w:r w:rsidRPr="007E64D7">
        <w:rPr>
          <w:sz w:val="26"/>
          <w:szCs w:val="26"/>
        </w:rPr>
        <w:t xml:space="preserve">pertains to a company not meeting the filing threshold for </w:t>
      </w:r>
      <w:r>
        <w:rPr>
          <w:sz w:val="26"/>
          <w:szCs w:val="26"/>
        </w:rPr>
        <w:t>FERC Form No. 2</w:t>
      </w:r>
      <w:r w:rsidRPr="007E64D7">
        <w:rPr>
          <w:sz w:val="26"/>
          <w:szCs w:val="26"/>
        </w:rPr>
        <w:t>, but having total gas sales or volume transactions exceeding 200,000 Dth in each of the three previous calendar years.</w:t>
      </w:r>
    </w:p>
  </w:footnote>
  <w:footnote w:id="11">
    <w:p w14:paraId="0888D6EF" w14:textId="77777777" w:rsidR="00031E40" w:rsidRDefault="00031E40" w:rsidP="00CC764D">
      <w:pPr>
        <w:pStyle w:val="FootnoteText"/>
        <w:ind w:firstLine="720"/>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r>
        <w:rPr>
          <w:color w:val="00000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97F" w14:textId="19FF4849" w:rsidR="00031E40" w:rsidRDefault="00031E40" w:rsidP="00810D18">
    <w:pPr>
      <w:pStyle w:val="Header"/>
    </w:pPr>
    <w:r w:rsidRPr="002F542E">
      <w:t>D</w:t>
    </w:r>
    <w:r w:rsidRPr="00AE2905">
      <w:t>ocket No. IC22-3-000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13</w:t>
        </w:r>
        <w:r>
          <w:rPr>
            <w:noProof/>
          </w:rPr>
          <w:fldChar w:fldCharType="end"/>
        </w:r>
      </w:sdtContent>
    </w:sdt>
  </w:p>
  <w:p w14:paraId="10170C13" w14:textId="76D2DB34" w:rsidR="00031E40" w:rsidRDefault="00031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11"/>
  </w:num>
  <w:num w:numId="6">
    <w:abstractNumId w:val="0"/>
  </w:num>
  <w:num w:numId="7">
    <w:abstractNumId w:val="7"/>
  </w:num>
  <w:num w:numId="8">
    <w:abstractNumId w:val="5"/>
  </w:num>
  <w:num w:numId="9">
    <w:abstractNumId w:val="6"/>
  </w:num>
  <w:num w:numId="10">
    <w:abstractNumId w:val="12"/>
  </w:num>
  <w:num w:numId="11">
    <w:abstractNumId w:val="3"/>
  </w:num>
  <w:num w:numId="12">
    <w:abstractNumId w:val="8"/>
  </w:num>
  <w:num w:numId="13">
    <w:abstractNumId w:val="13"/>
  </w:num>
  <w:num w:numId="14">
    <w:abstractNumId w:val="1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1E40"/>
    <w:rsid w:val="0003365C"/>
    <w:rsid w:val="00034C49"/>
    <w:rsid w:val="00035ABE"/>
    <w:rsid w:val="000459B6"/>
    <w:rsid w:val="0005313C"/>
    <w:rsid w:val="00056C5D"/>
    <w:rsid w:val="00062427"/>
    <w:rsid w:val="0007084F"/>
    <w:rsid w:val="00080D67"/>
    <w:rsid w:val="000836F0"/>
    <w:rsid w:val="000861D3"/>
    <w:rsid w:val="00096CAD"/>
    <w:rsid w:val="000A0250"/>
    <w:rsid w:val="000A7E68"/>
    <w:rsid w:val="000E2568"/>
    <w:rsid w:val="000E4351"/>
    <w:rsid w:val="000F0B0E"/>
    <w:rsid w:val="000F33AE"/>
    <w:rsid w:val="0010087B"/>
    <w:rsid w:val="00112C9F"/>
    <w:rsid w:val="00114167"/>
    <w:rsid w:val="001240C7"/>
    <w:rsid w:val="00126669"/>
    <w:rsid w:val="00126F34"/>
    <w:rsid w:val="00134AAC"/>
    <w:rsid w:val="0014317D"/>
    <w:rsid w:val="001479DF"/>
    <w:rsid w:val="00150F12"/>
    <w:rsid w:val="0015578A"/>
    <w:rsid w:val="00155DE9"/>
    <w:rsid w:val="00156BBB"/>
    <w:rsid w:val="001600DF"/>
    <w:rsid w:val="00160B1A"/>
    <w:rsid w:val="00164968"/>
    <w:rsid w:val="00167BEB"/>
    <w:rsid w:val="00171725"/>
    <w:rsid w:val="0017530A"/>
    <w:rsid w:val="00181BF7"/>
    <w:rsid w:val="00191376"/>
    <w:rsid w:val="00194C4C"/>
    <w:rsid w:val="00195B70"/>
    <w:rsid w:val="001A6AD6"/>
    <w:rsid w:val="001B2388"/>
    <w:rsid w:val="001B5451"/>
    <w:rsid w:val="001B78B8"/>
    <w:rsid w:val="001D1794"/>
    <w:rsid w:val="001E6510"/>
    <w:rsid w:val="001E79D3"/>
    <w:rsid w:val="00200437"/>
    <w:rsid w:val="002023A4"/>
    <w:rsid w:val="00221774"/>
    <w:rsid w:val="00224BF2"/>
    <w:rsid w:val="0022783C"/>
    <w:rsid w:val="00254C99"/>
    <w:rsid w:val="0027045E"/>
    <w:rsid w:val="0027452E"/>
    <w:rsid w:val="00275320"/>
    <w:rsid w:val="00282E2B"/>
    <w:rsid w:val="00293D56"/>
    <w:rsid w:val="002A287C"/>
    <w:rsid w:val="002B531B"/>
    <w:rsid w:val="002B7AA8"/>
    <w:rsid w:val="002C654F"/>
    <w:rsid w:val="002D5237"/>
    <w:rsid w:val="002E0351"/>
    <w:rsid w:val="002E3F14"/>
    <w:rsid w:val="002F24E8"/>
    <w:rsid w:val="002F3841"/>
    <w:rsid w:val="002F3E94"/>
    <w:rsid w:val="002F697A"/>
    <w:rsid w:val="00301F76"/>
    <w:rsid w:val="00302F75"/>
    <w:rsid w:val="00303717"/>
    <w:rsid w:val="003060F0"/>
    <w:rsid w:val="003062C2"/>
    <w:rsid w:val="00310EFC"/>
    <w:rsid w:val="00311D90"/>
    <w:rsid w:val="003137DF"/>
    <w:rsid w:val="003149BC"/>
    <w:rsid w:val="00327D34"/>
    <w:rsid w:val="00330D48"/>
    <w:rsid w:val="003321DB"/>
    <w:rsid w:val="00334F14"/>
    <w:rsid w:val="00337BA7"/>
    <w:rsid w:val="0034195C"/>
    <w:rsid w:val="00343A03"/>
    <w:rsid w:val="00347056"/>
    <w:rsid w:val="00361371"/>
    <w:rsid w:val="00363638"/>
    <w:rsid w:val="00363F79"/>
    <w:rsid w:val="003641BE"/>
    <w:rsid w:val="00364234"/>
    <w:rsid w:val="00364E10"/>
    <w:rsid w:val="003673EC"/>
    <w:rsid w:val="00376525"/>
    <w:rsid w:val="00376E11"/>
    <w:rsid w:val="003770B4"/>
    <w:rsid w:val="0038431F"/>
    <w:rsid w:val="003960E0"/>
    <w:rsid w:val="003A1A72"/>
    <w:rsid w:val="003A3189"/>
    <w:rsid w:val="003A45AB"/>
    <w:rsid w:val="003C3E7A"/>
    <w:rsid w:val="003C5CBE"/>
    <w:rsid w:val="003C7BC3"/>
    <w:rsid w:val="003E44AD"/>
    <w:rsid w:val="003F5968"/>
    <w:rsid w:val="00406999"/>
    <w:rsid w:val="0040718A"/>
    <w:rsid w:val="0041529B"/>
    <w:rsid w:val="004241A7"/>
    <w:rsid w:val="00425DA2"/>
    <w:rsid w:val="00426898"/>
    <w:rsid w:val="00435C3F"/>
    <w:rsid w:val="00435EA4"/>
    <w:rsid w:val="00441314"/>
    <w:rsid w:val="00443282"/>
    <w:rsid w:val="0044338D"/>
    <w:rsid w:val="0045734B"/>
    <w:rsid w:val="0046033F"/>
    <w:rsid w:val="004609EE"/>
    <w:rsid w:val="004759C4"/>
    <w:rsid w:val="00485A51"/>
    <w:rsid w:val="004879AA"/>
    <w:rsid w:val="0049480F"/>
    <w:rsid w:val="004B7B57"/>
    <w:rsid w:val="004C70C8"/>
    <w:rsid w:val="004C77EF"/>
    <w:rsid w:val="004D27A2"/>
    <w:rsid w:val="004D3C7C"/>
    <w:rsid w:val="004D4F3D"/>
    <w:rsid w:val="004E22A3"/>
    <w:rsid w:val="004E4EAD"/>
    <w:rsid w:val="004F26DA"/>
    <w:rsid w:val="005079B6"/>
    <w:rsid w:val="005135EF"/>
    <w:rsid w:val="00513DA8"/>
    <w:rsid w:val="00514B50"/>
    <w:rsid w:val="00516493"/>
    <w:rsid w:val="00523373"/>
    <w:rsid w:val="0054073B"/>
    <w:rsid w:val="0054746C"/>
    <w:rsid w:val="005550C5"/>
    <w:rsid w:val="005648E2"/>
    <w:rsid w:val="00566C57"/>
    <w:rsid w:val="0058081B"/>
    <w:rsid w:val="00585F73"/>
    <w:rsid w:val="005929AF"/>
    <w:rsid w:val="005A0148"/>
    <w:rsid w:val="005A2F24"/>
    <w:rsid w:val="005A3F56"/>
    <w:rsid w:val="005A7903"/>
    <w:rsid w:val="005A7C58"/>
    <w:rsid w:val="005B4DA4"/>
    <w:rsid w:val="005C0D16"/>
    <w:rsid w:val="005C698C"/>
    <w:rsid w:val="005C6D4E"/>
    <w:rsid w:val="005D16A1"/>
    <w:rsid w:val="005E6D8A"/>
    <w:rsid w:val="005F2C47"/>
    <w:rsid w:val="005F3DAA"/>
    <w:rsid w:val="005F492A"/>
    <w:rsid w:val="005F726F"/>
    <w:rsid w:val="005F729D"/>
    <w:rsid w:val="006050BA"/>
    <w:rsid w:val="006128A5"/>
    <w:rsid w:val="006144F3"/>
    <w:rsid w:val="0062085E"/>
    <w:rsid w:val="00634374"/>
    <w:rsid w:val="00635460"/>
    <w:rsid w:val="0063716C"/>
    <w:rsid w:val="006374BA"/>
    <w:rsid w:val="00637ECC"/>
    <w:rsid w:val="00637F43"/>
    <w:rsid w:val="00642602"/>
    <w:rsid w:val="00644A1B"/>
    <w:rsid w:val="00650FA1"/>
    <w:rsid w:val="006536D8"/>
    <w:rsid w:val="00654BA4"/>
    <w:rsid w:val="0066188C"/>
    <w:rsid w:val="00665453"/>
    <w:rsid w:val="00666A01"/>
    <w:rsid w:val="00680D78"/>
    <w:rsid w:val="00682BF3"/>
    <w:rsid w:val="00685575"/>
    <w:rsid w:val="00692352"/>
    <w:rsid w:val="00695E65"/>
    <w:rsid w:val="006963BC"/>
    <w:rsid w:val="006A34AE"/>
    <w:rsid w:val="006A423E"/>
    <w:rsid w:val="006B6D4E"/>
    <w:rsid w:val="006C6B0C"/>
    <w:rsid w:val="006D2891"/>
    <w:rsid w:val="006D552E"/>
    <w:rsid w:val="006E10F4"/>
    <w:rsid w:val="006E75AA"/>
    <w:rsid w:val="006E7CBB"/>
    <w:rsid w:val="006F1498"/>
    <w:rsid w:val="006F3647"/>
    <w:rsid w:val="0070334B"/>
    <w:rsid w:val="00710170"/>
    <w:rsid w:val="00714F57"/>
    <w:rsid w:val="00727594"/>
    <w:rsid w:val="00727C5E"/>
    <w:rsid w:val="0073048D"/>
    <w:rsid w:val="00732110"/>
    <w:rsid w:val="007349A2"/>
    <w:rsid w:val="007356B8"/>
    <w:rsid w:val="00736572"/>
    <w:rsid w:val="00741C80"/>
    <w:rsid w:val="0074219E"/>
    <w:rsid w:val="0075009F"/>
    <w:rsid w:val="00754526"/>
    <w:rsid w:val="007563C9"/>
    <w:rsid w:val="00774A5F"/>
    <w:rsid w:val="00777183"/>
    <w:rsid w:val="0078033F"/>
    <w:rsid w:val="007816FC"/>
    <w:rsid w:val="00782ACA"/>
    <w:rsid w:val="00787461"/>
    <w:rsid w:val="00797140"/>
    <w:rsid w:val="007A7330"/>
    <w:rsid w:val="007B1AA4"/>
    <w:rsid w:val="007B588C"/>
    <w:rsid w:val="007C1916"/>
    <w:rsid w:val="007C2B2D"/>
    <w:rsid w:val="007C36D2"/>
    <w:rsid w:val="007C6AC2"/>
    <w:rsid w:val="007C729C"/>
    <w:rsid w:val="007C7337"/>
    <w:rsid w:val="007D3493"/>
    <w:rsid w:val="007E2F40"/>
    <w:rsid w:val="007F64F2"/>
    <w:rsid w:val="0080267E"/>
    <w:rsid w:val="00803CA2"/>
    <w:rsid w:val="00806460"/>
    <w:rsid w:val="00807CAC"/>
    <w:rsid w:val="00810D18"/>
    <w:rsid w:val="008115BF"/>
    <w:rsid w:val="00812B30"/>
    <w:rsid w:val="00821DAB"/>
    <w:rsid w:val="00824D81"/>
    <w:rsid w:val="00836DF9"/>
    <w:rsid w:val="00837AAB"/>
    <w:rsid w:val="0084158A"/>
    <w:rsid w:val="00847229"/>
    <w:rsid w:val="00852164"/>
    <w:rsid w:val="00853ABC"/>
    <w:rsid w:val="0085755E"/>
    <w:rsid w:val="0086717C"/>
    <w:rsid w:val="00872AB9"/>
    <w:rsid w:val="00873A70"/>
    <w:rsid w:val="00881405"/>
    <w:rsid w:val="0089069F"/>
    <w:rsid w:val="00895DA2"/>
    <w:rsid w:val="00897359"/>
    <w:rsid w:val="008A020E"/>
    <w:rsid w:val="008B5F0C"/>
    <w:rsid w:val="008B6E06"/>
    <w:rsid w:val="008C572B"/>
    <w:rsid w:val="008D25B7"/>
    <w:rsid w:val="008D300A"/>
    <w:rsid w:val="008D5479"/>
    <w:rsid w:val="008D5932"/>
    <w:rsid w:val="008E0B8C"/>
    <w:rsid w:val="008E0DF5"/>
    <w:rsid w:val="008E3273"/>
    <w:rsid w:val="008E5123"/>
    <w:rsid w:val="008E7400"/>
    <w:rsid w:val="008F3397"/>
    <w:rsid w:val="008F732A"/>
    <w:rsid w:val="00901C05"/>
    <w:rsid w:val="00901E64"/>
    <w:rsid w:val="0090337D"/>
    <w:rsid w:val="009179E9"/>
    <w:rsid w:val="0092666B"/>
    <w:rsid w:val="00937284"/>
    <w:rsid w:val="00937A3A"/>
    <w:rsid w:val="00940C0F"/>
    <w:rsid w:val="0095311D"/>
    <w:rsid w:val="00954CCB"/>
    <w:rsid w:val="009744C8"/>
    <w:rsid w:val="00981886"/>
    <w:rsid w:val="00990FEC"/>
    <w:rsid w:val="009A1B08"/>
    <w:rsid w:val="009A6E91"/>
    <w:rsid w:val="009B4450"/>
    <w:rsid w:val="009B747B"/>
    <w:rsid w:val="009C25C4"/>
    <w:rsid w:val="009C4A13"/>
    <w:rsid w:val="009C66E6"/>
    <w:rsid w:val="009D6460"/>
    <w:rsid w:val="009D7F11"/>
    <w:rsid w:val="009E0F58"/>
    <w:rsid w:val="009E5557"/>
    <w:rsid w:val="009E66F8"/>
    <w:rsid w:val="009F7DE3"/>
    <w:rsid w:val="00A038F9"/>
    <w:rsid w:val="00A07666"/>
    <w:rsid w:val="00A1585A"/>
    <w:rsid w:val="00A2534D"/>
    <w:rsid w:val="00A2604E"/>
    <w:rsid w:val="00A311A8"/>
    <w:rsid w:val="00A43A4A"/>
    <w:rsid w:val="00A507F0"/>
    <w:rsid w:val="00A642AE"/>
    <w:rsid w:val="00A664DF"/>
    <w:rsid w:val="00A713D0"/>
    <w:rsid w:val="00A72814"/>
    <w:rsid w:val="00A759B3"/>
    <w:rsid w:val="00A82A29"/>
    <w:rsid w:val="00A8344E"/>
    <w:rsid w:val="00A8690F"/>
    <w:rsid w:val="00A86D9E"/>
    <w:rsid w:val="00AA145E"/>
    <w:rsid w:val="00AA16C4"/>
    <w:rsid w:val="00AA4050"/>
    <w:rsid w:val="00AA516A"/>
    <w:rsid w:val="00AA5B0E"/>
    <w:rsid w:val="00AB1D59"/>
    <w:rsid w:val="00AB2ABE"/>
    <w:rsid w:val="00AC750B"/>
    <w:rsid w:val="00AC77B8"/>
    <w:rsid w:val="00AD4128"/>
    <w:rsid w:val="00AE1F12"/>
    <w:rsid w:val="00AE3783"/>
    <w:rsid w:val="00AE3A78"/>
    <w:rsid w:val="00AE4155"/>
    <w:rsid w:val="00AE4B7C"/>
    <w:rsid w:val="00AE6F5C"/>
    <w:rsid w:val="00AF349B"/>
    <w:rsid w:val="00B01B16"/>
    <w:rsid w:val="00B10CB6"/>
    <w:rsid w:val="00B13EE3"/>
    <w:rsid w:val="00B22C3A"/>
    <w:rsid w:val="00B22DCB"/>
    <w:rsid w:val="00B2382E"/>
    <w:rsid w:val="00B34A0B"/>
    <w:rsid w:val="00B4161E"/>
    <w:rsid w:val="00B447D7"/>
    <w:rsid w:val="00B46E93"/>
    <w:rsid w:val="00B46F03"/>
    <w:rsid w:val="00B5066A"/>
    <w:rsid w:val="00B55B8C"/>
    <w:rsid w:val="00B56882"/>
    <w:rsid w:val="00B65A09"/>
    <w:rsid w:val="00B757ED"/>
    <w:rsid w:val="00B76A1F"/>
    <w:rsid w:val="00B82F8C"/>
    <w:rsid w:val="00B85611"/>
    <w:rsid w:val="00B961C3"/>
    <w:rsid w:val="00BA0FBC"/>
    <w:rsid w:val="00BA218C"/>
    <w:rsid w:val="00BA5479"/>
    <w:rsid w:val="00BB179A"/>
    <w:rsid w:val="00BB207A"/>
    <w:rsid w:val="00BB2934"/>
    <w:rsid w:val="00BB7D82"/>
    <w:rsid w:val="00BC200B"/>
    <w:rsid w:val="00BC7791"/>
    <w:rsid w:val="00BD3172"/>
    <w:rsid w:val="00BD74AE"/>
    <w:rsid w:val="00BE3392"/>
    <w:rsid w:val="00BE3FE7"/>
    <w:rsid w:val="00BF29D8"/>
    <w:rsid w:val="00BF2D74"/>
    <w:rsid w:val="00BF38BC"/>
    <w:rsid w:val="00BF4CC8"/>
    <w:rsid w:val="00BF7AC7"/>
    <w:rsid w:val="00C1124F"/>
    <w:rsid w:val="00C138B6"/>
    <w:rsid w:val="00C237F7"/>
    <w:rsid w:val="00C341D4"/>
    <w:rsid w:val="00C37BFF"/>
    <w:rsid w:val="00C43D13"/>
    <w:rsid w:val="00C44372"/>
    <w:rsid w:val="00C51458"/>
    <w:rsid w:val="00C53580"/>
    <w:rsid w:val="00C55838"/>
    <w:rsid w:val="00C55F30"/>
    <w:rsid w:val="00C60184"/>
    <w:rsid w:val="00C71E55"/>
    <w:rsid w:val="00C728C5"/>
    <w:rsid w:val="00C734A0"/>
    <w:rsid w:val="00C77EF7"/>
    <w:rsid w:val="00C80A6C"/>
    <w:rsid w:val="00C81A97"/>
    <w:rsid w:val="00C820F1"/>
    <w:rsid w:val="00C82B93"/>
    <w:rsid w:val="00C91512"/>
    <w:rsid w:val="00CA0544"/>
    <w:rsid w:val="00CA3745"/>
    <w:rsid w:val="00CA6636"/>
    <w:rsid w:val="00CA6D76"/>
    <w:rsid w:val="00CB7448"/>
    <w:rsid w:val="00CB769C"/>
    <w:rsid w:val="00CC431F"/>
    <w:rsid w:val="00CC764D"/>
    <w:rsid w:val="00CD37C7"/>
    <w:rsid w:val="00CD57EB"/>
    <w:rsid w:val="00CD5C97"/>
    <w:rsid w:val="00CD786C"/>
    <w:rsid w:val="00CE02ED"/>
    <w:rsid w:val="00CE3598"/>
    <w:rsid w:val="00CF4753"/>
    <w:rsid w:val="00CF71E0"/>
    <w:rsid w:val="00D0083B"/>
    <w:rsid w:val="00D05297"/>
    <w:rsid w:val="00D42209"/>
    <w:rsid w:val="00D435DE"/>
    <w:rsid w:val="00D43B63"/>
    <w:rsid w:val="00D44183"/>
    <w:rsid w:val="00D50830"/>
    <w:rsid w:val="00D65D56"/>
    <w:rsid w:val="00D932E2"/>
    <w:rsid w:val="00D9709B"/>
    <w:rsid w:val="00D9761F"/>
    <w:rsid w:val="00DA0435"/>
    <w:rsid w:val="00DA529F"/>
    <w:rsid w:val="00DC5017"/>
    <w:rsid w:val="00DC540A"/>
    <w:rsid w:val="00DD18FF"/>
    <w:rsid w:val="00DD2ED3"/>
    <w:rsid w:val="00DD7F1B"/>
    <w:rsid w:val="00DE09FF"/>
    <w:rsid w:val="00E024B6"/>
    <w:rsid w:val="00E05C4F"/>
    <w:rsid w:val="00E13A02"/>
    <w:rsid w:val="00E31680"/>
    <w:rsid w:val="00E34382"/>
    <w:rsid w:val="00E3662E"/>
    <w:rsid w:val="00E41DB9"/>
    <w:rsid w:val="00E61374"/>
    <w:rsid w:val="00E655BE"/>
    <w:rsid w:val="00E74266"/>
    <w:rsid w:val="00E75CE9"/>
    <w:rsid w:val="00E762BB"/>
    <w:rsid w:val="00E77B33"/>
    <w:rsid w:val="00E808B6"/>
    <w:rsid w:val="00E8661B"/>
    <w:rsid w:val="00E91FD5"/>
    <w:rsid w:val="00E92E09"/>
    <w:rsid w:val="00E93759"/>
    <w:rsid w:val="00EA38EF"/>
    <w:rsid w:val="00EA6337"/>
    <w:rsid w:val="00EA689F"/>
    <w:rsid w:val="00EA6D12"/>
    <w:rsid w:val="00EB119D"/>
    <w:rsid w:val="00EB686B"/>
    <w:rsid w:val="00EB68EE"/>
    <w:rsid w:val="00EB749E"/>
    <w:rsid w:val="00EC3B34"/>
    <w:rsid w:val="00EF1D00"/>
    <w:rsid w:val="00EF2866"/>
    <w:rsid w:val="00EF33BE"/>
    <w:rsid w:val="00F0383C"/>
    <w:rsid w:val="00F0669A"/>
    <w:rsid w:val="00F11631"/>
    <w:rsid w:val="00F12A43"/>
    <w:rsid w:val="00F24AB0"/>
    <w:rsid w:val="00F309CB"/>
    <w:rsid w:val="00F30C2D"/>
    <w:rsid w:val="00F3319C"/>
    <w:rsid w:val="00F33E2E"/>
    <w:rsid w:val="00F44A0E"/>
    <w:rsid w:val="00F60C79"/>
    <w:rsid w:val="00F62A51"/>
    <w:rsid w:val="00F724D5"/>
    <w:rsid w:val="00F77D5B"/>
    <w:rsid w:val="00F8646E"/>
    <w:rsid w:val="00F9675E"/>
    <w:rsid w:val="00FB63C6"/>
    <w:rsid w:val="00FC3F00"/>
    <w:rsid w:val="00FD4F1F"/>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239FB7"/>
  <w15:docId w15:val="{A6813E19-D94B-4D9B-BB4D-16527DA4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38767292">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185220742">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39278016">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253074">
      <w:bodyDiv w:val="1"/>
      <w:marLeft w:val="0"/>
      <w:marRight w:val="0"/>
      <w:marTop w:val="0"/>
      <w:marBottom w:val="0"/>
      <w:divBdr>
        <w:top w:val="none" w:sz="0" w:space="0" w:color="auto"/>
        <w:left w:val="none" w:sz="0" w:space="0" w:color="auto"/>
        <w:bottom w:val="none" w:sz="0" w:space="0" w:color="auto"/>
        <w:right w:val="none" w:sz="0" w:space="0" w:color="auto"/>
      </w:divBdr>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9964E4D8-5BBF-40AE-874C-9F232213D73C}">
  <ds:schemaRefs>
    <ds:schemaRef ds:uri="http://schemas.openxmlformats.org/officeDocument/2006/bibliography"/>
  </ds:schemaRefs>
</ds:datastoreItem>
</file>

<file path=customXml/itemProps2.xml><?xml version="1.0" encoding="utf-8"?>
<ds:datastoreItem xmlns:ds="http://schemas.openxmlformats.org/officeDocument/2006/customXml" ds:itemID="{5BD2E411-67FC-4E7D-99C8-0BAC2F997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966F4D67-331A-42EA-8C0B-97B97406AD33}">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2</cp:revision>
  <cp:lastPrinted>2016-12-20T13:40:00Z</cp:lastPrinted>
  <dcterms:created xsi:type="dcterms:W3CDTF">2022-04-05T15:52:00Z</dcterms:created>
  <dcterms:modified xsi:type="dcterms:W3CDTF">2022-04-05T15:52:00Z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2022-04-05T15:52:55Z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864cab31-65da-467a-b834-39eed85d603d</vt:lpwstr>
  </property>
  <property fmtid="{D5CDD505-2E9C-101B-9397-08002B2CF9AE}" pid="8" name="MSIP_Label_6155a89b-0f08-4a93-8ea2-8a916d6643b5_ContentBits">
    <vt:lpwstr>0</vt:lpwstr>
  </property>
</Properties>
</file>