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0A08" w:rsidR="00EE07DD" w:rsidP="005E5E49" w:rsidRDefault="001065AA" w14:paraId="5D3AD7B7" w14:textId="497D16C2">
      <w:pPr>
        <w:spacing w:after="0" w:line="276" w:lineRule="auto"/>
        <w:jc w:val="center"/>
        <w:rPr>
          <w:rFonts w:ascii="Times New Roman" w:hAnsi="Times New Roman" w:cs="Times New Roman"/>
          <w:b/>
          <w:bCs/>
          <w:sz w:val="26"/>
          <w:szCs w:val="26"/>
        </w:rPr>
      </w:pPr>
      <w:bookmarkStart w:name="_Hlk97646206" w:id="0"/>
      <w:r>
        <w:rPr>
          <w:rFonts w:ascii="Times New Roman" w:hAnsi="Times New Roman" w:cs="Times New Roman"/>
          <w:b/>
          <w:bCs/>
          <w:sz w:val="26"/>
          <w:szCs w:val="26"/>
        </w:rPr>
        <w:t>Consolidated</w:t>
      </w:r>
      <w:bookmarkEnd w:id="0"/>
      <w:r>
        <w:rPr>
          <w:rFonts w:ascii="Times New Roman" w:hAnsi="Times New Roman" w:cs="Times New Roman"/>
          <w:b/>
          <w:bCs/>
          <w:sz w:val="26"/>
          <w:szCs w:val="26"/>
        </w:rPr>
        <w:t xml:space="preserve"> </w:t>
      </w:r>
      <w:r w:rsidRPr="00720A08" w:rsidR="00EE07DD">
        <w:rPr>
          <w:rFonts w:ascii="Times New Roman" w:hAnsi="Times New Roman" w:cs="Times New Roman"/>
          <w:b/>
          <w:bCs/>
          <w:sz w:val="26"/>
          <w:szCs w:val="26"/>
        </w:rPr>
        <w:t>Supporting Statement for</w:t>
      </w:r>
    </w:p>
    <w:p w:rsidRPr="00BE2088" w:rsidR="00BE2088" w:rsidP="00BE2088" w:rsidRDefault="00BE2088" w14:paraId="3D5B41A0" w14:textId="6A2A215C">
      <w:pPr>
        <w:spacing w:after="0" w:line="276" w:lineRule="auto"/>
        <w:jc w:val="center"/>
        <w:rPr>
          <w:rFonts w:ascii="Times New Roman" w:hAnsi="Times New Roman" w:cs="Times New Roman"/>
          <w:b/>
          <w:sz w:val="26"/>
          <w:szCs w:val="26"/>
        </w:rPr>
      </w:pPr>
      <w:r w:rsidRPr="00BE2088">
        <w:rPr>
          <w:rFonts w:ascii="Times New Roman" w:hAnsi="Times New Roman" w:cs="Times New Roman"/>
          <w:b/>
          <w:sz w:val="26"/>
          <w:szCs w:val="26"/>
        </w:rPr>
        <w:t>FERC</w:t>
      </w:r>
      <w:r w:rsidR="00E740FC">
        <w:rPr>
          <w:rFonts w:ascii="Times New Roman" w:hAnsi="Times New Roman" w:cs="Times New Roman"/>
          <w:b/>
          <w:sz w:val="26"/>
          <w:szCs w:val="26"/>
        </w:rPr>
        <w:t xml:space="preserve"> Form No. </w:t>
      </w:r>
      <w:r w:rsidRPr="00BE2088">
        <w:rPr>
          <w:rFonts w:ascii="Times New Roman" w:hAnsi="Times New Roman" w:cs="Times New Roman"/>
          <w:b/>
          <w:sz w:val="26"/>
          <w:szCs w:val="26"/>
        </w:rPr>
        <w:t>60 (Annual Report</w:t>
      </w:r>
      <w:r w:rsidR="002B4546">
        <w:rPr>
          <w:rFonts w:ascii="Times New Roman" w:hAnsi="Times New Roman" w:cs="Times New Roman"/>
          <w:b/>
          <w:sz w:val="26"/>
          <w:szCs w:val="26"/>
        </w:rPr>
        <w:t>s</w:t>
      </w:r>
      <w:r w:rsidRPr="00BE2088">
        <w:rPr>
          <w:rFonts w:ascii="Times New Roman" w:hAnsi="Times New Roman" w:cs="Times New Roman"/>
          <w:b/>
          <w:sz w:val="26"/>
          <w:szCs w:val="26"/>
        </w:rPr>
        <w:t xml:space="preserve"> of Centralized Service Companies); FERC-61 (Narrative Description of Service Company Functions); and FERC-555A (Preservation of Records of Holding Companies and Service Companies Subject to PUHCA 2005)</w:t>
      </w:r>
    </w:p>
    <w:p w:rsidR="00EB7F94" w:rsidP="00720A08" w:rsidRDefault="00BE2088" w14:paraId="51A0C6A3" w14:textId="62643E5E">
      <w:pPr>
        <w:spacing w:after="0" w:line="276" w:lineRule="auto"/>
        <w:jc w:val="center"/>
        <w:rPr>
          <w:rFonts w:ascii="Times New Roman" w:hAnsi="Times New Roman" w:cs="Times New Roman"/>
          <w:sz w:val="26"/>
          <w:szCs w:val="26"/>
        </w:rPr>
      </w:pPr>
      <w:r w:rsidRPr="00BE2088">
        <w:rPr>
          <w:rFonts w:ascii="Times New Roman" w:hAnsi="Times New Roman" w:cs="Times New Roman"/>
          <w:b/>
          <w:sz w:val="26"/>
          <w:szCs w:val="26"/>
        </w:rPr>
        <w:t xml:space="preserve"> </w:t>
      </w:r>
    </w:p>
    <w:p w:rsidR="00BE2088" w:rsidP="005E5E49" w:rsidRDefault="00E7287B" w14:paraId="4538930D" w14:textId="6DDC84B6">
      <w:pPr>
        <w:spacing w:after="0" w:line="276" w:lineRule="auto"/>
        <w:rPr>
          <w:rFonts w:ascii="Times New Roman" w:hAnsi="Times New Roman" w:cs="Times New Roman"/>
          <w:sz w:val="26"/>
          <w:szCs w:val="26"/>
        </w:rPr>
      </w:pPr>
      <w:r w:rsidRPr="00E7287B">
        <w:rPr>
          <w:rFonts w:ascii="Times New Roman" w:hAnsi="Times New Roman" w:cs="Times New Roman"/>
          <w:sz w:val="26"/>
          <w:szCs w:val="26"/>
        </w:rPr>
        <w:t>The Federal Energy Regulatory Commission (Commission</w:t>
      </w:r>
      <w:r w:rsidR="005E28CE">
        <w:rPr>
          <w:rFonts w:ascii="Times New Roman" w:hAnsi="Times New Roman" w:cs="Times New Roman"/>
          <w:sz w:val="26"/>
          <w:szCs w:val="26"/>
        </w:rPr>
        <w:t xml:space="preserve"> or FERC</w:t>
      </w:r>
      <w:r w:rsidRPr="00E7287B">
        <w:rPr>
          <w:rFonts w:ascii="Times New Roman" w:hAnsi="Times New Roman" w:cs="Times New Roman"/>
          <w:sz w:val="26"/>
          <w:szCs w:val="26"/>
        </w:rPr>
        <w:t xml:space="preserve">) requests that the Office of Management and Budget (OMB) </w:t>
      </w:r>
      <w:r w:rsidR="00BA7761">
        <w:rPr>
          <w:rFonts w:ascii="Times New Roman" w:hAnsi="Times New Roman" w:cs="Times New Roman"/>
          <w:sz w:val="26"/>
          <w:szCs w:val="26"/>
        </w:rPr>
        <w:t>approve, for three years,</w:t>
      </w:r>
      <w:r w:rsidRPr="00E7287B">
        <w:rPr>
          <w:rFonts w:ascii="Times New Roman" w:hAnsi="Times New Roman" w:cs="Times New Roman"/>
          <w:sz w:val="26"/>
          <w:szCs w:val="26"/>
        </w:rPr>
        <w:t xml:space="preserve"> the information coll</w:t>
      </w:r>
      <w:r w:rsidR="00BE2088">
        <w:rPr>
          <w:rFonts w:ascii="Times New Roman" w:hAnsi="Times New Roman" w:cs="Times New Roman"/>
          <w:sz w:val="26"/>
          <w:szCs w:val="26"/>
        </w:rPr>
        <w:t xml:space="preserve">ection requirements in FERC Form </w:t>
      </w:r>
      <w:r w:rsidR="00E740FC">
        <w:rPr>
          <w:rFonts w:ascii="Times New Roman" w:hAnsi="Times New Roman" w:cs="Times New Roman"/>
          <w:sz w:val="26"/>
          <w:szCs w:val="26"/>
        </w:rPr>
        <w:t>No</w:t>
      </w:r>
      <w:r w:rsidR="00A81BDF">
        <w:rPr>
          <w:rFonts w:ascii="Times New Roman" w:hAnsi="Times New Roman" w:cs="Times New Roman"/>
          <w:sz w:val="26"/>
          <w:szCs w:val="26"/>
        </w:rPr>
        <w:t>s</w:t>
      </w:r>
      <w:r w:rsidR="00E740FC">
        <w:rPr>
          <w:rFonts w:ascii="Times New Roman" w:hAnsi="Times New Roman" w:cs="Times New Roman"/>
          <w:sz w:val="26"/>
          <w:szCs w:val="26"/>
        </w:rPr>
        <w:t xml:space="preserve">. </w:t>
      </w:r>
      <w:r w:rsidR="00BE2088">
        <w:rPr>
          <w:rFonts w:ascii="Times New Roman" w:hAnsi="Times New Roman" w:cs="Times New Roman"/>
          <w:sz w:val="26"/>
          <w:szCs w:val="26"/>
        </w:rPr>
        <w:t>60</w:t>
      </w:r>
      <w:r w:rsidR="00A81BDF">
        <w:rPr>
          <w:rFonts w:ascii="Times New Roman" w:hAnsi="Times New Roman" w:cs="Times New Roman"/>
          <w:sz w:val="26"/>
          <w:szCs w:val="26"/>
        </w:rPr>
        <w:t xml:space="preserve"> and 60-A</w:t>
      </w:r>
      <w:r w:rsidR="009D62CD">
        <w:rPr>
          <w:rFonts w:ascii="Times New Roman" w:hAnsi="Times New Roman" w:cs="Times New Roman"/>
          <w:sz w:val="26"/>
          <w:szCs w:val="26"/>
        </w:rPr>
        <w:t>,</w:t>
      </w:r>
      <w:r w:rsidR="00BA7761">
        <w:rPr>
          <w:rStyle w:val="FootnoteReference"/>
          <w:rFonts w:ascii="Times New Roman" w:hAnsi="Times New Roman" w:cs="Times New Roman"/>
          <w:b/>
          <w:sz w:val="26"/>
          <w:szCs w:val="26"/>
        </w:rPr>
        <w:footnoteReference w:id="2"/>
      </w:r>
      <w:r w:rsidR="00BE2088">
        <w:rPr>
          <w:rFonts w:ascii="Times New Roman" w:hAnsi="Times New Roman" w:cs="Times New Roman"/>
          <w:sz w:val="26"/>
          <w:szCs w:val="26"/>
        </w:rPr>
        <w:t xml:space="preserve"> FERC-61, and FERC-555A under OMB Control No. 1902-0215</w:t>
      </w:r>
      <w:r w:rsidR="00BA7761">
        <w:rPr>
          <w:rFonts w:ascii="Times New Roman" w:hAnsi="Times New Roman" w:cs="Times New Roman"/>
          <w:sz w:val="26"/>
          <w:szCs w:val="26"/>
        </w:rPr>
        <w:t>, with no changes to the reporting requirements</w:t>
      </w:r>
      <w:r w:rsidR="00BE2088">
        <w:rPr>
          <w:rFonts w:ascii="Times New Roman" w:hAnsi="Times New Roman" w:cs="Times New Roman"/>
          <w:sz w:val="26"/>
          <w:szCs w:val="26"/>
        </w:rPr>
        <w:t>:</w:t>
      </w:r>
    </w:p>
    <w:p w:rsidRPr="00BE2088" w:rsidR="00BE2088" w:rsidP="00BE2088" w:rsidRDefault="00BE2088" w14:paraId="64CACC51" w14:textId="3FDC341A">
      <w:pPr>
        <w:numPr>
          <w:ilvl w:val="0"/>
          <w:numId w:val="14"/>
        </w:num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FERC Form No. 60 (Annual Report</w:t>
      </w:r>
      <w:r w:rsidR="002B4546">
        <w:rPr>
          <w:rFonts w:ascii="Times New Roman" w:hAnsi="Times New Roman" w:cs="Times New Roman"/>
          <w:sz w:val="26"/>
          <w:szCs w:val="26"/>
        </w:rPr>
        <w:t>s</w:t>
      </w:r>
      <w:r w:rsidRPr="00BE2088">
        <w:rPr>
          <w:rFonts w:ascii="Times New Roman" w:hAnsi="Times New Roman" w:cs="Times New Roman"/>
          <w:sz w:val="26"/>
          <w:szCs w:val="26"/>
        </w:rPr>
        <w:t xml:space="preserve"> of Centrali</w:t>
      </w:r>
      <w:r w:rsidR="003D0AA4">
        <w:rPr>
          <w:rFonts w:ascii="Times New Roman" w:hAnsi="Times New Roman" w:cs="Times New Roman"/>
          <w:sz w:val="26"/>
          <w:szCs w:val="26"/>
        </w:rPr>
        <w:t>zed Service Companies)</w:t>
      </w:r>
      <w:r w:rsidR="009D62CD">
        <w:rPr>
          <w:rFonts w:ascii="Times New Roman" w:hAnsi="Times New Roman" w:cs="Times New Roman"/>
          <w:sz w:val="26"/>
          <w:szCs w:val="26"/>
        </w:rPr>
        <w:t>;</w:t>
      </w:r>
      <w:r w:rsidR="003D0AA4">
        <w:rPr>
          <w:rStyle w:val="FootnoteReference"/>
          <w:rFonts w:ascii="Times New Roman" w:hAnsi="Times New Roman" w:cs="Times New Roman"/>
          <w:sz w:val="26"/>
          <w:szCs w:val="26"/>
        </w:rPr>
        <w:footnoteReference w:id="3"/>
      </w:r>
    </w:p>
    <w:p w:rsidRPr="00BE2088" w:rsidR="00BE2088" w:rsidP="00BE2088" w:rsidRDefault="00BE2088" w14:paraId="530D2BC5" w14:textId="7DC79831">
      <w:pPr>
        <w:numPr>
          <w:ilvl w:val="0"/>
          <w:numId w:val="14"/>
        </w:num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FERC-61 (Narrative Description of</w:t>
      </w:r>
      <w:r w:rsidR="003D0AA4">
        <w:rPr>
          <w:rFonts w:ascii="Times New Roman" w:hAnsi="Times New Roman" w:cs="Times New Roman"/>
          <w:sz w:val="26"/>
          <w:szCs w:val="26"/>
        </w:rPr>
        <w:t xml:space="preserve"> Service Company Functions)</w:t>
      </w:r>
      <w:r w:rsidR="009D62CD">
        <w:rPr>
          <w:rFonts w:ascii="Times New Roman" w:hAnsi="Times New Roman" w:cs="Times New Roman"/>
          <w:sz w:val="26"/>
          <w:szCs w:val="26"/>
        </w:rPr>
        <w:t>;</w:t>
      </w:r>
      <w:r w:rsidR="003D0AA4">
        <w:rPr>
          <w:rStyle w:val="FootnoteReference"/>
          <w:rFonts w:ascii="Times New Roman" w:hAnsi="Times New Roman" w:cs="Times New Roman"/>
          <w:sz w:val="26"/>
          <w:szCs w:val="26"/>
        </w:rPr>
        <w:footnoteReference w:id="4"/>
      </w:r>
      <w:r w:rsidRPr="00BE2088">
        <w:rPr>
          <w:rFonts w:ascii="Times New Roman" w:hAnsi="Times New Roman" w:cs="Times New Roman"/>
          <w:sz w:val="26"/>
          <w:szCs w:val="26"/>
        </w:rPr>
        <w:t xml:space="preserve"> </w:t>
      </w:r>
      <w:r w:rsidR="003D0AA4">
        <w:rPr>
          <w:rFonts w:ascii="Times New Roman" w:hAnsi="Times New Roman" w:cs="Times New Roman"/>
          <w:sz w:val="26"/>
          <w:szCs w:val="26"/>
        </w:rPr>
        <w:t>and</w:t>
      </w:r>
    </w:p>
    <w:p w:rsidRPr="00BE2088" w:rsidR="00BE2088" w:rsidP="00BE2088" w:rsidRDefault="00BE2088" w14:paraId="3B55176F" w14:textId="5BB8E7A0">
      <w:pPr>
        <w:numPr>
          <w:ilvl w:val="0"/>
          <w:numId w:val="14"/>
        </w:num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FERC-555A (Preservation of Records of Holding Companies and Service Comp</w:t>
      </w:r>
      <w:r w:rsidR="003D0AA4">
        <w:rPr>
          <w:rFonts w:ascii="Times New Roman" w:hAnsi="Times New Roman" w:cs="Times New Roman"/>
          <w:sz w:val="26"/>
          <w:szCs w:val="26"/>
        </w:rPr>
        <w:t>anies Subject to PUHCA 2005)</w:t>
      </w:r>
      <w:r w:rsidR="002B4546">
        <w:rPr>
          <w:rFonts w:ascii="Times New Roman" w:hAnsi="Times New Roman" w:cs="Times New Roman"/>
          <w:sz w:val="26"/>
          <w:szCs w:val="26"/>
        </w:rPr>
        <w:t>.</w:t>
      </w:r>
      <w:r w:rsidR="003D0AA4">
        <w:rPr>
          <w:rStyle w:val="FootnoteReference"/>
          <w:rFonts w:ascii="Times New Roman" w:hAnsi="Times New Roman" w:cs="Times New Roman"/>
          <w:sz w:val="26"/>
          <w:szCs w:val="26"/>
        </w:rPr>
        <w:footnoteReference w:id="5"/>
      </w:r>
    </w:p>
    <w:p w:rsidRPr="007B29B4" w:rsidR="007B29B4" w:rsidP="005E5E49" w:rsidRDefault="007B29B4" w14:paraId="02F1F2BF" w14:textId="77777777">
      <w:pPr>
        <w:spacing w:after="0" w:line="276" w:lineRule="auto"/>
        <w:ind w:left="720"/>
        <w:rPr>
          <w:rFonts w:ascii="Times New Roman" w:hAnsi="Times New Roman" w:cs="Times New Roman"/>
          <w:sz w:val="26"/>
          <w:szCs w:val="26"/>
        </w:rPr>
      </w:pPr>
    </w:p>
    <w:p w:rsidRPr="001A153B" w:rsidR="00EE07DD" w:rsidP="005E5E49" w:rsidRDefault="00EE07DD" w14:paraId="16FA34C6" w14:textId="77777777">
      <w:pPr>
        <w:numPr>
          <w:ilvl w:val="0"/>
          <w:numId w:val="2"/>
        </w:numPr>
        <w:spacing w:after="0" w:line="276"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rsidRPr="001A153B" w:rsidR="00EE07DD" w:rsidP="005E5E49" w:rsidRDefault="00EE07DD" w14:paraId="536BEA34" w14:textId="07D53328">
      <w:pPr>
        <w:spacing w:after="0" w:line="276" w:lineRule="auto"/>
        <w:rPr>
          <w:rFonts w:ascii="Times New Roman" w:hAnsi="Times New Roman" w:cs="Times New Roman"/>
          <w:b/>
          <w:sz w:val="26"/>
          <w:szCs w:val="26"/>
        </w:rPr>
      </w:pPr>
    </w:p>
    <w:p w:rsidR="00BE2088" w:rsidP="00BE2088" w:rsidRDefault="00BE2088" w14:paraId="6A009A2E" w14:textId="66AC04AE">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 xml:space="preserve">In accordance with the Energy Policy Act of 2005, the Commission implemented the repeal of </w:t>
      </w:r>
      <w:r w:rsidR="00BE78AF">
        <w:rPr>
          <w:rFonts w:ascii="Times New Roman" w:hAnsi="Times New Roman" w:cs="Times New Roman"/>
          <w:sz w:val="26"/>
          <w:szCs w:val="26"/>
        </w:rPr>
        <w:t>the Public Utility Holding Company Act of 1935 (</w:t>
      </w:r>
      <w:r w:rsidRPr="00BE2088">
        <w:rPr>
          <w:rFonts w:ascii="Times New Roman" w:hAnsi="Times New Roman" w:cs="Times New Roman"/>
          <w:sz w:val="26"/>
          <w:szCs w:val="26"/>
        </w:rPr>
        <w:t>PUHCA 1935</w:t>
      </w:r>
      <w:r w:rsidR="00BE78AF">
        <w:rPr>
          <w:rFonts w:ascii="Times New Roman" w:hAnsi="Times New Roman" w:cs="Times New Roman"/>
          <w:sz w:val="26"/>
          <w:szCs w:val="26"/>
        </w:rPr>
        <w:t>)</w:t>
      </w:r>
      <w:r w:rsidRPr="00BE2088">
        <w:rPr>
          <w:rFonts w:ascii="Times New Roman" w:hAnsi="Times New Roman" w:cs="Times New Roman"/>
          <w:sz w:val="26"/>
          <w:szCs w:val="26"/>
        </w:rPr>
        <w:t xml:space="preserve"> and implemented the provisions of a new</w:t>
      </w:r>
      <w:r w:rsidR="00BE78AF">
        <w:rPr>
          <w:rFonts w:ascii="Times New Roman" w:hAnsi="Times New Roman" w:cs="Times New Roman"/>
          <w:sz w:val="26"/>
          <w:szCs w:val="26"/>
        </w:rPr>
        <w:t>ly enacted</w:t>
      </w:r>
      <w:r w:rsidRPr="00BE2088">
        <w:rPr>
          <w:rFonts w:ascii="Times New Roman" w:hAnsi="Times New Roman" w:cs="Times New Roman"/>
          <w:sz w:val="26"/>
          <w:szCs w:val="26"/>
        </w:rPr>
        <w:t xml:space="preserve"> </w:t>
      </w:r>
      <w:r w:rsidR="00BE78AF">
        <w:rPr>
          <w:rFonts w:ascii="Times New Roman" w:hAnsi="Times New Roman" w:cs="Times New Roman"/>
          <w:sz w:val="26"/>
          <w:szCs w:val="26"/>
        </w:rPr>
        <w:t xml:space="preserve">Public Utility Holding Company Act </w:t>
      </w:r>
      <w:r w:rsidR="00987FB6">
        <w:rPr>
          <w:rFonts w:ascii="Times New Roman" w:hAnsi="Times New Roman" w:cs="Times New Roman"/>
          <w:sz w:val="26"/>
          <w:szCs w:val="26"/>
        </w:rPr>
        <w:t xml:space="preserve">of </w:t>
      </w:r>
      <w:r w:rsidR="00BE78AF">
        <w:rPr>
          <w:rFonts w:ascii="Times New Roman" w:hAnsi="Times New Roman" w:cs="Times New Roman"/>
          <w:sz w:val="26"/>
          <w:szCs w:val="26"/>
        </w:rPr>
        <w:lastRenderedPageBreak/>
        <w:t>2005 (</w:t>
      </w:r>
      <w:r w:rsidRPr="00BE2088">
        <w:rPr>
          <w:rFonts w:ascii="Times New Roman" w:hAnsi="Times New Roman" w:cs="Times New Roman"/>
          <w:sz w:val="26"/>
          <w:szCs w:val="26"/>
        </w:rPr>
        <w:t>PUHCA 2005</w:t>
      </w:r>
      <w:r w:rsidR="00BE78AF">
        <w:rPr>
          <w:rFonts w:ascii="Times New Roman" w:hAnsi="Times New Roman" w:cs="Times New Roman"/>
          <w:sz w:val="26"/>
          <w:szCs w:val="26"/>
        </w:rPr>
        <w:t>)</w:t>
      </w:r>
      <w:r w:rsidRPr="00BE2088">
        <w:rPr>
          <w:rFonts w:ascii="Times New Roman" w:hAnsi="Times New Roman" w:cs="Times New Roman"/>
          <w:sz w:val="26"/>
          <w:szCs w:val="26"/>
        </w:rPr>
        <w:t>.</w:t>
      </w:r>
      <w:r w:rsidR="00B5591D">
        <w:rPr>
          <w:rFonts w:ascii="Times New Roman" w:hAnsi="Times New Roman" w:cs="Times New Roman"/>
          <w:sz w:val="26"/>
          <w:szCs w:val="26"/>
        </w:rPr>
        <w:t xml:space="preserve">  </w:t>
      </w:r>
      <w:r w:rsidRPr="00B5591D" w:rsidR="00B5591D">
        <w:rPr>
          <w:rFonts w:ascii="Times New Roman" w:hAnsi="Times New Roman" w:cs="Times New Roman"/>
          <w:sz w:val="26"/>
          <w:szCs w:val="26"/>
        </w:rPr>
        <w:t xml:space="preserve">Pursuant to PUHCA 2005, the Commission requires centralized service companies to file </w:t>
      </w:r>
      <w:r w:rsidR="002B4546">
        <w:rPr>
          <w:rFonts w:ascii="Times New Roman" w:hAnsi="Times New Roman" w:cs="Times New Roman"/>
          <w:sz w:val="26"/>
          <w:szCs w:val="26"/>
        </w:rPr>
        <w:t xml:space="preserve">FERC </w:t>
      </w:r>
      <w:r w:rsidRPr="00B5591D" w:rsidR="00B5591D">
        <w:rPr>
          <w:rFonts w:ascii="Times New Roman" w:hAnsi="Times New Roman" w:cs="Times New Roman"/>
          <w:sz w:val="26"/>
          <w:szCs w:val="26"/>
        </w:rPr>
        <w:t xml:space="preserve">Form No. 60, unless the company is exempted or granted a waiver pursuant to the Commission’s regulations.  The information collected in </w:t>
      </w:r>
      <w:r w:rsidR="002B4546">
        <w:rPr>
          <w:rFonts w:ascii="Times New Roman" w:hAnsi="Times New Roman" w:cs="Times New Roman"/>
          <w:sz w:val="26"/>
          <w:szCs w:val="26"/>
        </w:rPr>
        <w:t xml:space="preserve">FERC </w:t>
      </w:r>
      <w:r w:rsidRPr="00B5591D" w:rsidR="00B5591D">
        <w:rPr>
          <w:rFonts w:ascii="Times New Roman" w:hAnsi="Times New Roman" w:cs="Times New Roman"/>
          <w:sz w:val="26"/>
          <w:szCs w:val="26"/>
        </w:rPr>
        <w:t>Form No. 60 enables better monitoring for cross-</w:t>
      </w:r>
      <w:r w:rsidRPr="00B5591D" w:rsidR="0067484B">
        <w:rPr>
          <w:rFonts w:ascii="Times New Roman" w:hAnsi="Times New Roman" w:cs="Times New Roman"/>
          <w:sz w:val="26"/>
          <w:szCs w:val="26"/>
        </w:rPr>
        <w:t>subsidization and</w:t>
      </w:r>
      <w:r w:rsidRPr="00B5591D" w:rsidR="00B5591D">
        <w:rPr>
          <w:rFonts w:ascii="Times New Roman" w:hAnsi="Times New Roman" w:cs="Times New Roman"/>
          <w:sz w:val="26"/>
          <w:szCs w:val="26"/>
        </w:rPr>
        <w:t xml:space="preserve"> aids the Commission in carrying out its statutory responsibilities.  In addition, centralized service companies are required to follow the Commission’s preservation of records requirements for centralized service companies.</w:t>
      </w:r>
    </w:p>
    <w:p w:rsidRPr="00BE2088" w:rsidR="00B5591D" w:rsidP="00BE2088" w:rsidRDefault="00B5591D" w14:paraId="579CB69E" w14:textId="77777777">
      <w:pPr>
        <w:spacing w:after="0" w:line="276" w:lineRule="auto"/>
        <w:rPr>
          <w:rFonts w:ascii="Times New Roman" w:hAnsi="Times New Roman" w:cs="Times New Roman"/>
          <w:sz w:val="26"/>
          <w:szCs w:val="26"/>
        </w:rPr>
      </w:pPr>
    </w:p>
    <w:p w:rsidRPr="00BE2088" w:rsidR="00BE2088" w:rsidP="00BE2088" w:rsidRDefault="00BE2088" w14:paraId="75E5B244" w14:textId="77777777">
      <w:pPr>
        <w:spacing w:after="0" w:line="276" w:lineRule="auto"/>
        <w:rPr>
          <w:rFonts w:ascii="Times New Roman" w:hAnsi="Times New Roman" w:cs="Times New Roman"/>
          <w:sz w:val="26"/>
          <w:szCs w:val="26"/>
        </w:rPr>
      </w:pPr>
    </w:p>
    <w:p w:rsidRPr="00BE2088" w:rsidR="00BE2088" w:rsidP="00BE2088" w:rsidRDefault="00BE2088" w14:paraId="07F4CB79" w14:textId="77777777">
      <w:pPr>
        <w:numPr>
          <w:ilvl w:val="0"/>
          <w:numId w:val="15"/>
        </w:numPr>
        <w:spacing w:after="0" w:line="276" w:lineRule="auto"/>
        <w:rPr>
          <w:rFonts w:ascii="Times New Roman" w:hAnsi="Times New Roman" w:cs="Times New Roman"/>
          <w:b/>
          <w:sz w:val="26"/>
          <w:szCs w:val="26"/>
        </w:rPr>
      </w:pPr>
      <w:r w:rsidRPr="00BE2088">
        <w:rPr>
          <w:rFonts w:ascii="Times New Roman" w:hAnsi="Times New Roman" w:cs="Times New Roman"/>
          <w:b/>
          <w:sz w:val="26"/>
          <w:szCs w:val="26"/>
        </w:rPr>
        <w:t>HOW, BY WHOM, AND FOR WHAT PURPOSE THE INFORMATION IS TO BE USED AND THE CONSEQUENCES OF NOT COLLECTING THE INFORMATION</w:t>
      </w:r>
    </w:p>
    <w:p w:rsidRPr="00BE2088" w:rsidR="00BE2088" w:rsidP="00BE2088" w:rsidRDefault="00BE2088" w14:paraId="552EA2AB" w14:textId="77777777">
      <w:pPr>
        <w:spacing w:after="0" w:line="276" w:lineRule="auto"/>
        <w:rPr>
          <w:rFonts w:ascii="Times New Roman" w:hAnsi="Times New Roman" w:cs="Times New Roman"/>
          <w:sz w:val="26"/>
          <w:szCs w:val="26"/>
        </w:rPr>
      </w:pPr>
    </w:p>
    <w:p w:rsidRPr="00BE2088" w:rsidR="00BE2088" w:rsidP="00BE2088" w:rsidRDefault="00BE2088" w14:paraId="39F60F06" w14:textId="728B1582">
      <w:pPr>
        <w:spacing w:after="0" w:line="276" w:lineRule="auto"/>
        <w:rPr>
          <w:rFonts w:ascii="Times New Roman" w:hAnsi="Times New Roman" w:cs="Times New Roman"/>
          <w:sz w:val="26"/>
          <w:szCs w:val="26"/>
        </w:rPr>
      </w:pPr>
      <w:r w:rsidRPr="00BE2088">
        <w:rPr>
          <w:rFonts w:ascii="Times New Roman" w:hAnsi="Times New Roman" w:cs="Times New Roman"/>
          <w:b/>
          <w:sz w:val="26"/>
          <w:szCs w:val="26"/>
        </w:rPr>
        <w:t>FERC Form</w:t>
      </w:r>
      <w:r w:rsidR="00E740FC">
        <w:rPr>
          <w:rFonts w:ascii="Times New Roman" w:hAnsi="Times New Roman" w:cs="Times New Roman"/>
          <w:b/>
          <w:sz w:val="26"/>
          <w:szCs w:val="26"/>
        </w:rPr>
        <w:t xml:space="preserve"> No.</w:t>
      </w:r>
      <w:r w:rsidRPr="00BE2088">
        <w:rPr>
          <w:rFonts w:ascii="Times New Roman" w:hAnsi="Times New Roman" w:cs="Times New Roman"/>
          <w:b/>
          <w:sz w:val="26"/>
          <w:szCs w:val="26"/>
        </w:rPr>
        <w:t xml:space="preserve"> </w:t>
      </w:r>
      <w:r w:rsidR="00E740FC">
        <w:rPr>
          <w:rFonts w:ascii="Times New Roman" w:hAnsi="Times New Roman" w:cs="Times New Roman"/>
          <w:b/>
          <w:sz w:val="26"/>
          <w:szCs w:val="26"/>
        </w:rPr>
        <w:t>60</w:t>
      </w:r>
      <w:r w:rsidR="00BA7761">
        <w:rPr>
          <w:rFonts w:ascii="Times New Roman" w:hAnsi="Times New Roman" w:cs="Times New Roman"/>
          <w:b/>
          <w:sz w:val="26"/>
          <w:szCs w:val="26"/>
        </w:rPr>
        <w:t>.</w:t>
      </w:r>
      <w:r w:rsidR="00E740FC">
        <w:rPr>
          <w:rFonts w:ascii="Times New Roman" w:hAnsi="Times New Roman" w:cs="Times New Roman"/>
          <w:b/>
          <w:sz w:val="26"/>
          <w:szCs w:val="26"/>
        </w:rPr>
        <w:t xml:space="preserve"> </w:t>
      </w:r>
      <w:r w:rsidR="00BA7761">
        <w:rPr>
          <w:rFonts w:ascii="Times New Roman" w:hAnsi="Times New Roman" w:cs="Times New Roman"/>
          <w:b/>
          <w:sz w:val="26"/>
          <w:szCs w:val="26"/>
        </w:rPr>
        <w:t xml:space="preserve"> </w:t>
      </w:r>
      <w:r w:rsidR="00E740FC">
        <w:rPr>
          <w:rFonts w:ascii="Times New Roman" w:hAnsi="Times New Roman" w:cs="Times New Roman"/>
          <w:sz w:val="26"/>
          <w:szCs w:val="26"/>
        </w:rPr>
        <w:t xml:space="preserve">FERC </w:t>
      </w:r>
      <w:r w:rsidRPr="00BE2088">
        <w:rPr>
          <w:rFonts w:ascii="Times New Roman" w:hAnsi="Times New Roman" w:cs="Times New Roman"/>
          <w:sz w:val="26"/>
          <w:szCs w:val="26"/>
        </w:rPr>
        <w:t xml:space="preserve">Form No. 60 is an annual reporting requirement </w:t>
      </w:r>
      <w:r w:rsidR="000E39B6">
        <w:rPr>
          <w:rFonts w:ascii="Times New Roman" w:hAnsi="Times New Roman" w:cs="Times New Roman"/>
          <w:sz w:val="26"/>
          <w:szCs w:val="26"/>
        </w:rPr>
        <w:t>for centralized service companies</w:t>
      </w:r>
      <w:r w:rsidR="002B4546">
        <w:rPr>
          <w:rFonts w:ascii="Times New Roman" w:hAnsi="Times New Roman" w:cs="Times New Roman"/>
          <w:sz w:val="26"/>
          <w:szCs w:val="26"/>
        </w:rPr>
        <w:t>.</w:t>
      </w:r>
      <w:r w:rsidR="000E39B6">
        <w:rPr>
          <w:rFonts w:ascii="Times New Roman" w:hAnsi="Times New Roman" w:cs="Times New Roman"/>
          <w:sz w:val="26"/>
          <w:szCs w:val="26"/>
        </w:rPr>
        <w:t xml:space="preserve"> </w:t>
      </w:r>
      <w:r w:rsidR="00B86F57">
        <w:rPr>
          <w:rFonts w:ascii="Times New Roman" w:hAnsi="Times New Roman" w:cs="Times New Roman"/>
          <w:sz w:val="26"/>
          <w:szCs w:val="26"/>
        </w:rPr>
        <w:t xml:space="preserve"> </w:t>
      </w:r>
      <w:r w:rsidRPr="00BE2088">
        <w:rPr>
          <w:rFonts w:ascii="Times New Roman" w:hAnsi="Times New Roman" w:cs="Times New Roman"/>
          <w:sz w:val="26"/>
          <w:szCs w:val="26"/>
        </w:rPr>
        <w:t xml:space="preserve">The report’s function is to collect financial information (including balance sheet, assets, liabilities, </w:t>
      </w:r>
      <w:r w:rsidR="00342C1D">
        <w:rPr>
          <w:rFonts w:ascii="Times New Roman" w:hAnsi="Times New Roman" w:cs="Times New Roman"/>
          <w:sz w:val="26"/>
          <w:szCs w:val="26"/>
        </w:rPr>
        <w:t xml:space="preserve">and </w:t>
      </w:r>
      <w:r w:rsidRPr="00BE2088">
        <w:rPr>
          <w:rFonts w:ascii="Times New Roman" w:hAnsi="Times New Roman" w:cs="Times New Roman"/>
          <w:sz w:val="26"/>
          <w:szCs w:val="26"/>
        </w:rPr>
        <w:t xml:space="preserve">billing and charges for associated and non-associated companies) from centralized service companies subject to the </w:t>
      </w:r>
      <w:r w:rsidR="000E39B6">
        <w:rPr>
          <w:rFonts w:ascii="Times New Roman" w:hAnsi="Times New Roman" w:cs="Times New Roman"/>
          <w:sz w:val="26"/>
          <w:szCs w:val="26"/>
        </w:rPr>
        <w:t xml:space="preserve">Commission’s </w:t>
      </w:r>
      <w:r w:rsidRPr="00BE2088">
        <w:rPr>
          <w:rFonts w:ascii="Times New Roman" w:hAnsi="Times New Roman" w:cs="Times New Roman"/>
          <w:sz w:val="26"/>
          <w:szCs w:val="26"/>
        </w:rPr>
        <w:t>jurisdiction.  Unless Commission rule exempts or grants a waiver pursuant to 18 C</w:t>
      </w:r>
      <w:r w:rsidR="00342C1D">
        <w:rPr>
          <w:rFonts w:ascii="Times New Roman" w:hAnsi="Times New Roman" w:cs="Times New Roman"/>
          <w:sz w:val="26"/>
          <w:szCs w:val="26"/>
        </w:rPr>
        <w:t>.</w:t>
      </w:r>
      <w:r w:rsidRPr="00BE2088">
        <w:rPr>
          <w:rFonts w:ascii="Times New Roman" w:hAnsi="Times New Roman" w:cs="Times New Roman"/>
          <w:sz w:val="26"/>
          <w:szCs w:val="26"/>
        </w:rPr>
        <w:t>F</w:t>
      </w:r>
      <w:r w:rsidR="00342C1D">
        <w:rPr>
          <w:rFonts w:ascii="Times New Roman" w:hAnsi="Times New Roman" w:cs="Times New Roman"/>
          <w:sz w:val="26"/>
          <w:szCs w:val="26"/>
        </w:rPr>
        <w:t>.</w:t>
      </w:r>
      <w:r w:rsidRPr="00BE2088">
        <w:rPr>
          <w:rFonts w:ascii="Times New Roman" w:hAnsi="Times New Roman" w:cs="Times New Roman"/>
          <w:sz w:val="26"/>
          <w:szCs w:val="26"/>
        </w:rPr>
        <w:t>R</w:t>
      </w:r>
      <w:r w:rsidR="00342C1D">
        <w:rPr>
          <w:rFonts w:ascii="Times New Roman" w:hAnsi="Times New Roman" w:cs="Times New Roman"/>
          <w:sz w:val="26"/>
          <w:szCs w:val="26"/>
        </w:rPr>
        <w:t>.</w:t>
      </w:r>
      <w:r w:rsidRPr="00BE2088">
        <w:rPr>
          <w:rFonts w:ascii="Times New Roman" w:hAnsi="Times New Roman" w:cs="Times New Roman"/>
          <w:sz w:val="26"/>
          <w:szCs w:val="26"/>
        </w:rPr>
        <w:t xml:space="preserve"> </w:t>
      </w:r>
      <w:r w:rsidRPr="00342C1D" w:rsidR="00342C1D">
        <w:rPr>
          <w:rFonts w:ascii="Times New Roman" w:hAnsi="Times New Roman" w:cs="Times New Roman"/>
          <w:sz w:val="26"/>
          <w:szCs w:val="26"/>
        </w:rPr>
        <w:t>§§</w:t>
      </w:r>
      <w:r w:rsidR="00342C1D">
        <w:rPr>
          <w:rFonts w:ascii="Times New Roman" w:hAnsi="Times New Roman" w:cs="Times New Roman"/>
          <w:sz w:val="26"/>
          <w:szCs w:val="26"/>
        </w:rPr>
        <w:t xml:space="preserve"> </w:t>
      </w:r>
      <w:r w:rsidRPr="00BE2088">
        <w:rPr>
          <w:rFonts w:ascii="Times New Roman" w:hAnsi="Times New Roman" w:cs="Times New Roman"/>
          <w:sz w:val="26"/>
          <w:szCs w:val="26"/>
        </w:rPr>
        <w:t xml:space="preserve">366.3 and 366.4 to the holding company system, every centralized service company in a holding company system must prepare and file electronically with the </w:t>
      </w:r>
      <w:r w:rsidR="00B5591D">
        <w:rPr>
          <w:rFonts w:ascii="Times New Roman" w:hAnsi="Times New Roman" w:cs="Times New Roman"/>
          <w:sz w:val="26"/>
          <w:szCs w:val="26"/>
        </w:rPr>
        <w:t>Commission,</w:t>
      </w:r>
      <w:r w:rsidRPr="00BE2088">
        <w:rPr>
          <w:rFonts w:ascii="Times New Roman" w:hAnsi="Times New Roman" w:cs="Times New Roman"/>
          <w:sz w:val="26"/>
          <w:szCs w:val="26"/>
        </w:rPr>
        <w:t xml:space="preserve"> the </w:t>
      </w:r>
      <w:r w:rsidR="00B5591D">
        <w:rPr>
          <w:rFonts w:ascii="Times New Roman" w:hAnsi="Times New Roman" w:cs="Times New Roman"/>
          <w:sz w:val="26"/>
          <w:szCs w:val="26"/>
        </w:rPr>
        <w:t xml:space="preserve">FERC </w:t>
      </w:r>
      <w:r w:rsidRPr="00BE2088">
        <w:rPr>
          <w:rFonts w:ascii="Times New Roman" w:hAnsi="Times New Roman" w:cs="Times New Roman"/>
          <w:sz w:val="26"/>
          <w:szCs w:val="26"/>
        </w:rPr>
        <w:t xml:space="preserve">Form No. 60, pursuant to the General Instructions in the form. </w:t>
      </w:r>
    </w:p>
    <w:p w:rsidRPr="00BE2088" w:rsidR="00BE2088" w:rsidP="00BE2088" w:rsidRDefault="00BE2088" w14:paraId="2FAB35DE" w14:textId="77777777">
      <w:pPr>
        <w:spacing w:after="0" w:line="276" w:lineRule="auto"/>
        <w:rPr>
          <w:rFonts w:ascii="Times New Roman" w:hAnsi="Times New Roman" w:cs="Times New Roman"/>
          <w:b/>
          <w:sz w:val="26"/>
          <w:szCs w:val="26"/>
        </w:rPr>
      </w:pPr>
    </w:p>
    <w:p w:rsidRPr="00BE2088" w:rsidR="00BE2088" w:rsidP="00BE2088" w:rsidRDefault="00BE2088" w14:paraId="563E5393" w14:textId="67EF50D4">
      <w:pPr>
        <w:spacing w:after="0" w:line="276" w:lineRule="auto"/>
        <w:rPr>
          <w:rFonts w:ascii="Times New Roman" w:hAnsi="Times New Roman" w:cs="Times New Roman"/>
          <w:sz w:val="26"/>
          <w:szCs w:val="26"/>
        </w:rPr>
      </w:pPr>
      <w:r w:rsidRPr="00BE2088">
        <w:rPr>
          <w:rFonts w:ascii="Times New Roman" w:hAnsi="Times New Roman" w:cs="Times New Roman"/>
          <w:b/>
          <w:sz w:val="26"/>
          <w:szCs w:val="26"/>
        </w:rPr>
        <w:t xml:space="preserve">FERC-61.  </w:t>
      </w:r>
      <w:r w:rsidRPr="00BE2088">
        <w:rPr>
          <w:rFonts w:ascii="Times New Roman" w:hAnsi="Times New Roman" w:cs="Times New Roman"/>
          <w:sz w:val="26"/>
          <w:szCs w:val="26"/>
        </w:rPr>
        <w:t xml:space="preserve">FERC-61 is a filing requirement for service companies in holding company systems (including special purpose companies) that are currently exempt or granted a waiver of </w:t>
      </w:r>
      <w:r w:rsidR="00B5591D">
        <w:rPr>
          <w:rFonts w:ascii="Times New Roman" w:hAnsi="Times New Roman" w:cs="Times New Roman"/>
          <w:sz w:val="26"/>
          <w:szCs w:val="26"/>
        </w:rPr>
        <w:t>the Commission’s</w:t>
      </w:r>
      <w:r w:rsidRPr="00BE2088">
        <w:rPr>
          <w:rFonts w:ascii="Times New Roman" w:hAnsi="Times New Roman" w:cs="Times New Roman"/>
          <w:sz w:val="26"/>
          <w:szCs w:val="26"/>
        </w:rPr>
        <w:t xml:space="preserve"> regulations and would not have to file FERC Form</w:t>
      </w:r>
      <w:r w:rsidR="00E740FC">
        <w:rPr>
          <w:rFonts w:ascii="Times New Roman" w:hAnsi="Times New Roman" w:cs="Times New Roman"/>
          <w:sz w:val="26"/>
          <w:szCs w:val="26"/>
        </w:rPr>
        <w:t xml:space="preserve"> No. </w:t>
      </w:r>
      <w:r w:rsidRPr="00BE2088">
        <w:rPr>
          <w:rFonts w:ascii="Times New Roman" w:hAnsi="Times New Roman" w:cs="Times New Roman"/>
          <w:sz w:val="26"/>
          <w:szCs w:val="26"/>
        </w:rPr>
        <w:t xml:space="preserve">60.  Instead, those service companies are required to file, on an annual basis, </w:t>
      </w:r>
      <w:r w:rsidR="00E849B0">
        <w:rPr>
          <w:rFonts w:ascii="Times New Roman" w:hAnsi="Times New Roman" w:cs="Times New Roman"/>
          <w:sz w:val="26"/>
          <w:szCs w:val="26"/>
        </w:rPr>
        <w:t xml:space="preserve">the FERC-61, which is </w:t>
      </w:r>
      <w:r w:rsidRPr="00BE2088">
        <w:rPr>
          <w:rFonts w:ascii="Times New Roman" w:hAnsi="Times New Roman" w:cs="Times New Roman"/>
          <w:sz w:val="26"/>
          <w:szCs w:val="26"/>
        </w:rPr>
        <w:t xml:space="preserve">a narrative description of the service company’s functions during the prior calendar year.  In complying, a holding company may make a single filing on behalf of </w:t>
      </w:r>
      <w:proofErr w:type="gramStart"/>
      <w:r w:rsidRPr="00BE2088">
        <w:rPr>
          <w:rFonts w:ascii="Times New Roman" w:hAnsi="Times New Roman" w:cs="Times New Roman"/>
          <w:sz w:val="26"/>
          <w:szCs w:val="26"/>
        </w:rPr>
        <w:t>all of</w:t>
      </w:r>
      <w:proofErr w:type="gramEnd"/>
      <w:r w:rsidRPr="00BE2088">
        <w:rPr>
          <w:rFonts w:ascii="Times New Roman" w:hAnsi="Times New Roman" w:cs="Times New Roman"/>
          <w:sz w:val="26"/>
          <w:szCs w:val="26"/>
        </w:rPr>
        <w:t xml:space="preserve"> its service company subsidiaries.  </w:t>
      </w:r>
    </w:p>
    <w:p w:rsidRPr="00BE2088" w:rsidR="00BE2088" w:rsidP="00BE2088" w:rsidRDefault="00BE2088" w14:paraId="301904A5" w14:textId="77777777">
      <w:pPr>
        <w:spacing w:after="0" w:line="276" w:lineRule="auto"/>
        <w:rPr>
          <w:rFonts w:ascii="Times New Roman" w:hAnsi="Times New Roman" w:cs="Times New Roman"/>
          <w:sz w:val="26"/>
          <w:szCs w:val="26"/>
        </w:rPr>
      </w:pPr>
    </w:p>
    <w:p w:rsidRPr="00BE2088" w:rsidR="00BE2088" w:rsidP="00BE2088" w:rsidRDefault="00BE2088" w14:paraId="4AD40A67" w14:textId="6D268C54">
      <w:pPr>
        <w:spacing w:after="0" w:line="276" w:lineRule="auto"/>
        <w:rPr>
          <w:rFonts w:ascii="Times New Roman" w:hAnsi="Times New Roman" w:cs="Times New Roman"/>
          <w:sz w:val="26"/>
          <w:szCs w:val="26"/>
        </w:rPr>
      </w:pPr>
      <w:r w:rsidRPr="00BE2088">
        <w:rPr>
          <w:rFonts w:ascii="Times New Roman" w:hAnsi="Times New Roman" w:cs="Times New Roman"/>
          <w:b/>
          <w:sz w:val="26"/>
          <w:szCs w:val="26"/>
        </w:rPr>
        <w:t xml:space="preserve">FERC-555A.  </w:t>
      </w:r>
      <w:r w:rsidR="000E39B6">
        <w:rPr>
          <w:rFonts w:ascii="Times New Roman" w:hAnsi="Times New Roman" w:cs="Times New Roman"/>
          <w:sz w:val="26"/>
          <w:szCs w:val="26"/>
        </w:rPr>
        <w:t>The Commiss</w:t>
      </w:r>
      <w:r w:rsidR="00B5591D">
        <w:rPr>
          <w:rFonts w:ascii="Times New Roman" w:hAnsi="Times New Roman" w:cs="Times New Roman"/>
          <w:sz w:val="26"/>
          <w:szCs w:val="26"/>
        </w:rPr>
        <w:t>i</w:t>
      </w:r>
      <w:r w:rsidR="000E39B6">
        <w:rPr>
          <w:rFonts w:ascii="Times New Roman" w:hAnsi="Times New Roman" w:cs="Times New Roman"/>
          <w:sz w:val="26"/>
          <w:szCs w:val="26"/>
        </w:rPr>
        <w:t>on’s regulations</w:t>
      </w:r>
      <w:r w:rsidRPr="00BE2088" w:rsidR="000E39B6">
        <w:rPr>
          <w:rFonts w:ascii="Times New Roman" w:hAnsi="Times New Roman" w:cs="Times New Roman"/>
          <w:sz w:val="26"/>
          <w:szCs w:val="26"/>
        </w:rPr>
        <w:t xml:space="preserve"> </w:t>
      </w:r>
      <w:r w:rsidRPr="00BE2088">
        <w:rPr>
          <w:rFonts w:ascii="Times New Roman" w:hAnsi="Times New Roman" w:cs="Times New Roman"/>
          <w:sz w:val="26"/>
          <w:szCs w:val="26"/>
        </w:rPr>
        <w:t xml:space="preserve">prescribe a mandated preservation of records requirement for holding companies and service companies (unless otherwise exempted by </w:t>
      </w:r>
      <w:r w:rsidR="00B5591D">
        <w:rPr>
          <w:rFonts w:ascii="Times New Roman" w:hAnsi="Times New Roman" w:cs="Times New Roman"/>
          <w:sz w:val="26"/>
          <w:szCs w:val="26"/>
        </w:rPr>
        <w:t>the Commission</w:t>
      </w:r>
      <w:r w:rsidRPr="00BE2088">
        <w:rPr>
          <w:rFonts w:ascii="Times New Roman" w:hAnsi="Times New Roman" w:cs="Times New Roman"/>
          <w:sz w:val="26"/>
          <w:szCs w:val="26"/>
        </w:rPr>
        <w:t xml:space="preserve">).  This requires them to maintain and make available to </w:t>
      </w:r>
      <w:r w:rsidR="00B5591D">
        <w:rPr>
          <w:rFonts w:ascii="Times New Roman" w:hAnsi="Times New Roman" w:cs="Times New Roman"/>
          <w:sz w:val="26"/>
          <w:szCs w:val="26"/>
        </w:rPr>
        <w:t>the Commission</w:t>
      </w:r>
      <w:r w:rsidRPr="00BE2088">
        <w:rPr>
          <w:rFonts w:ascii="Times New Roman" w:hAnsi="Times New Roman" w:cs="Times New Roman"/>
          <w:sz w:val="26"/>
          <w:szCs w:val="26"/>
        </w:rPr>
        <w:t xml:space="preserve"> their books and records.  The preservation of records requirement provides for uniform records retention by holding companies and centralized service companies subject to PUHCA 2005.</w:t>
      </w:r>
    </w:p>
    <w:p w:rsidRPr="00BE2088" w:rsidR="00BE2088" w:rsidP="00BE2088" w:rsidRDefault="00BE2088" w14:paraId="439FF0CD" w14:textId="77777777">
      <w:pPr>
        <w:spacing w:after="0" w:line="276" w:lineRule="auto"/>
        <w:rPr>
          <w:rFonts w:ascii="Times New Roman" w:hAnsi="Times New Roman" w:cs="Times New Roman"/>
          <w:sz w:val="26"/>
          <w:szCs w:val="26"/>
        </w:rPr>
      </w:pPr>
    </w:p>
    <w:p w:rsidRPr="00BE2088" w:rsidR="00BE2088" w:rsidP="00BE2088" w:rsidRDefault="00BE2088" w14:paraId="69E5CB13" w14:textId="5BB6D5D5">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Data from the FERC Form</w:t>
      </w:r>
      <w:r w:rsidR="00E740FC">
        <w:rPr>
          <w:rFonts w:ascii="Times New Roman" w:hAnsi="Times New Roman" w:cs="Times New Roman"/>
          <w:sz w:val="26"/>
          <w:szCs w:val="26"/>
        </w:rPr>
        <w:t xml:space="preserve"> No.</w:t>
      </w:r>
      <w:r w:rsidRPr="00BE2088">
        <w:rPr>
          <w:rFonts w:ascii="Times New Roman" w:hAnsi="Times New Roman" w:cs="Times New Roman"/>
          <w:sz w:val="26"/>
          <w:szCs w:val="26"/>
        </w:rPr>
        <w:t xml:space="preserve"> 60</w:t>
      </w:r>
      <w:r w:rsidR="009D62CD">
        <w:rPr>
          <w:rFonts w:ascii="Times New Roman" w:hAnsi="Times New Roman" w:cs="Times New Roman"/>
          <w:sz w:val="26"/>
          <w:szCs w:val="26"/>
        </w:rPr>
        <w:t xml:space="preserve"> and</w:t>
      </w:r>
      <w:r w:rsidRPr="00BE2088">
        <w:rPr>
          <w:rFonts w:ascii="Times New Roman" w:hAnsi="Times New Roman" w:cs="Times New Roman"/>
          <w:sz w:val="26"/>
          <w:szCs w:val="26"/>
        </w:rPr>
        <w:t xml:space="preserve"> FERC-61, </w:t>
      </w:r>
      <w:r w:rsidR="000E739D">
        <w:rPr>
          <w:rFonts w:ascii="Times New Roman" w:hAnsi="Times New Roman" w:cs="Times New Roman"/>
          <w:sz w:val="26"/>
          <w:szCs w:val="26"/>
        </w:rPr>
        <w:t>as retained by the requirements</w:t>
      </w:r>
      <w:r w:rsidRPr="00BE2088" w:rsidR="000E739D">
        <w:rPr>
          <w:rFonts w:ascii="Times New Roman" w:hAnsi="Times New Roman" w:cs="Times New Roman"/>
          <w:sz w:val="26"/>
          <w:szCs w:val="26"/>
        </w:rPr>
        <w:t xml:space="preserve"> </w:t>
      </w:r>
      <w:r w:rsidR="000E739D">
        <w:rPr>
          <w:rFonts w:ascii="Times New Roman" w:hAnsi="Times New Roman" w:cs="Times New Roman"/>
          <w:sz w:val="26"/>
          <w:szCs w:val="26"/>
        </w:rPr>
        <w:t xml:space="preserve">of the </w:t>
      </w:r>
      <w:r w:rsidRPr="00BE2088">
        <w:rPr>
          <w:rFonts w:ascii="Times New Roman" w:hAnsi="Times New Roman" w:cs="Times New Roman"/>
          <w:sz w:val="26"/>
          <w:szCs w:val="26"/>
        </w:rPr>
        <w:t>FERC-555A</w:t>
      </w:r>
      <w:r w:rsidR="00BA7761">
        <w:rPr>
          <w:rFonts w:ascii="Times New Roman" w:hAnsi="Times New Roman" w:cs="Times New Roman"/>
          <w:sz w:val="26"/>
          <w:szCs w:val="26"/>
        </w:rPr>
        <w:t>,</w:t>
      </w:r>
      <w:r w:rsidR="00C4715A">
        <w:rPr>
          <w:rFonts w:ascii="Times New Roman" w:hAnsi="Times New Roman" w:cs="Times New Roman"/>
          <w:sz w:val="26"/>
          <w:szCs w:val="26"/>
        </w:rPr>
        <w:t xml:space="preserve"> </w:t>
      </w:r>
      <w:r w:rsidRPr="00BE2088">
        <w:rPr>
          <w:rFonts w:ascii="Times New Roman" w:hAnsi="Times New Roman" w:cs="Times New Roman"/>
          <w:sz w:val="26"/>
          <w:szCs w:val="26"/>
        </w:rPr>
        <w:t xml:space="preserve">provide a level of transparency that: 1) helps protect ratepayers from pass-through of improper service company costs, 2) enables </w:t>
      </w:r>
      <w:r w:rsidR="000E39B6">
        <w:rPr>
          <w:rFonts w:ascii="Times New Roman" w:hAnsi="Times New Roman" w:cs="Times New Roman"/>
          <w:sz w:val="26"/>
          <w:szCs w:val="26"/>
        </w:rPr>
        <w:t>the Commission</w:t>
      </w:r>
      <w:r w:rsidRPr="00BE2088" w:rsidR="000E39B6">
        <w:rPr>
          <w:rFonts w:ascii="Times New Roman" w:hAnsi="Times New Roman" w:cs="Times New Roman"/>
          <w:sz w:val="26"/>
          <w:szCs w:val="26"/>
        </w:rPr>
        <w:t xml:space="preserve"> </w:t>
      </w:r>
      <w:r w:rsidRPr="00BE2088">
        <w:rPr>
          <w:rFonts w:ascii="Times New Roman" w:hAnsi="Times New Roman" w:cs="Times New Roman"/>
          <w:sz w:val="26"/>
          <w:szCs w:val="26"/>
        </w:rPr>
        <w:t xml:space="preserve">to review and determine cost allocations (among holding company members) for certain non-power goods and services, 3) aids </w:t>
      </w:r>
      <w:r w:rsidR="000E39B6">
        <w:rPr>
          <w:rFonts w:ascii="Times New Roman" w:hAnsi="Times New Roman" w:cs="Times New Roman"/>
          <w:sz w:val="26"/>
          <w:szCs w:val="26"/>
        </w:rPr>
        <w:t>the Commission</w:t>
      </w:r>
      <w:r w:rsidRPr="00BE2088" w:rsidR="000E39B6">
        <w:rPr>
          <w:rFonts w:ascii="Times New Roman" w:hAnsi="Times New Roman" w:cs="Times New Roman"/>
          <w:sz w:val="26"/>
          <w:szCs w:val="26"/>
        </w:rPr>
        <w:t xml:space="preserve"> </w:t>
      </w:r>
      <w:r w:rsidRPr="00BE2088">
        <w:rPr>
          <w:rFonts w:ascii="Times New Roman" w:hAnsi="Times New Roman" w:cs="Times New Roman"/>
          <w:sz w:val="26"/>
          <w:szCs w:val="26"/>
        </w:rPr>
        <w:t xml:space="preserve">in meeting its oversight and market monitoring obligations, and 4) benefits the public, both as ratepayers and investors.  In addition, the </w:t>
      </w:r>
      <w:r w:rsidR="000E39B6">
        <w:rPr>
          <w:rFonts w:ascii="Times New Roman" w:hAnsi="Times New Roman" w:cs="Times New Roman"/>
          <w:sz w:val="26"/>
          <w:szCs w:val="26"/>
        </w:rPr>
        <w:t>Commission’s</w:t>
      </w:r>
      <w:r w:rsidRPr="00BE2088" w:rsidR="000E39B6">
        <w:rPr>
          <w:rFonts w:ascii="Times New Roman" w:hAnsi="Times New Roman" w:cs="Times New Roman"/>
          <w:sz w:val="26"/>
          <w:szCs w:val="26"/>
        </w:rPr>
        <w:t xml:space="preserve"> </w:t>
      </w:r>
      <w:r w:rsidRPr="00BE2088">
        <w:rPr>
          <w:rFonts w:ascii="Times New Roman" w:hAnsi="Times New Roman" w:cs="Times New Roman"/>
          <w:sz w:val="26"/>
          <w:szCs w:val="26"/>
        </w:rPr>
        <w:t>audit staff use</w:t>
      </w:r>
      <w:r w:rsidR="00E849B0">
        <w:rPr>
          <w:rFonts w:ascii="Times New Roman" w:hAnsi="Times New Roman" w:cs="Times New Roman"/>
          <w:sz w:val="26"/>
          <w:szCs w:val="26"/>
        </w:rPr>
        <w:t>s</w:t>
      </w:r>
      <w:r w:rsidRPr="00BE2088">
        <w:rPr>
          <w:rFonts w:ascii="Times New Roman" w:hAnsi="Times New Roman" w:cs="Times New Roman"/>
          <w:sz w:val="26"/>
          <w:szCs w:val="26"/>
        </w:rPr>
        <w:t xml:space="preserve"> these records during compliance reviews and special analyses.  </w:t>
      </w:r>
    </w:p>
    <w:p w:rsidRPr="00BE2088" w:rsidR="00BE2088" w:rsidP="00BE2088" w:rsidRDefault="00BE2088" w14:paraId="2FAC999B" w14:textId="77777777">
      <w:pPr>
        <w:spacing w:after="0" w:line="276" w:lineRule="auto"/>
        <w:rPr>
          <w:rFonts w:ascii="Times New Roman" w:hAnsi="Times New Roman" w:cs="Times New Roman"/>
          <w:sz w:val="26"/>
          <w:szCs w:val="26"/>
        </w:rPr>
      </w:pPr>
    </w:p>
    <w:p w:rsidRPr="00BE2088" w:rsidR="00BE2088" w:rsidP="00BE2088" w:rsidRDefault="00BE2088" w14:paraId="0B8D92E6" w14:textId="3F541B36">
      <w:pPr>
        <w:spacing w:after="0" w:line="276" w:lineRule="auto"/>
        <w:rPr>
          <w:rFonts w:ascii="Times New Roman" w:hAnsi="Times New Roman" w:cs="Times New Roman"/>
          <w:iCs/>
          <w:sz w:val="26"/>
          <w:szCs w:val="26"/>
        </w:rPr>
      </w:pPr>
      <w:r w:rsidRPr="00BE2088">
        <w:rPr>
          <w:rFonts w:ascii="Times New Roman" w:hAnsi="Times New Roman" w:cs="Times New Roman"/>
          <w:sz w:val="26"/>
          <w:szCs w:val="26"/>
        </w:rPr>
        <w:t xml:space="preserve">If data from the FERC Form </w:t>
      </w:r>
      <w:r w:rsidR="00E740FC">
        <w:rPr>
          <w:rFonts w:ascii="Times New Roman" w:hAnsi="Times New Roman" w:cs="Times New Roman"/>
          <w:sz w:val="26"/>
          <w:szCs w:val="26"/>
        </w:rPr>
        <w:t xml:space="preserve">No. </w:t>
      </w:r>
      <w:r w:rsidRPr="00BE2088">
        <w:rPr>
          <w:rFonts w:ascii="Times New Roman" w:hAnsi="Times New Roman" w:cs="Times New Roman"/>
          <w:sz w:val="26"/>
          <w:szCs w:val="26"/>
        </w:rPr>
        <w:t xml:space="preserve">60, FERC-61, and FERC-555A were not available, </w:t>
      </w:r>
      <w:r w:rsidR="000E39B6">
        <w:rPr>
          <w:rFonts w:ascii="Times New Roman" w:hAnsi="Times New Roman" w:cs="Times New Roman"/>
          <w:sz w:val="26"/>
          <w:szCs w:val="26"/>
        </w:rPr>
        <w:t>it would be difficult for the Commission</w:t>
      </w:r>
      <w:r w:rsidRPr="00BE2088">
        <w:rPr>
          <w:rFonts w:ascii="Times New Roman" w:hAnsi="Times New Roman" w:cs="Times New Roman"/>
          <w:sz w:val="26"/>
          <w:szCs w:val="26"/>
        </w:rPr>
        <w:t xml:space="preserve"> to meet its </w:t>
      </w:r>
      <w:r w:rsidR="008A2A17">
        <w:rPr>
          <w:rFonts w:ascii="Times New Roman" w:hAnsi="Times New Roman" w:cs="Times New Roman"/>
          <w:sz w:val="26"/>
          <w:szCs w:val="26"/>
        </w:rPr>
        <w:t xml:space="preserve">mandatory review </w:t>
      </w:r>
      <w:r w:rsidRPr="00BE2088">
        <w:rPr>
          <w:rFonts w:ascii="Times New Roman" w:hAnsi="Times New Roman" w:cs="Times New Roman"/>
          <w:sz w:val="26"/>
          <w:szCs w:val="26"/>
        </w:rPr>
        <w:t>responsibilities</w:t>
      </w:r>
      <w:r w:rsidR="008A2A17">
        <w:rPr>
          <w:rFonts w:ascii="Times New Roman" w:hAnsi="Times New Roman" w:cs="Times New Roman"/>
          <w:sz w:val="26"/>
          <w:szCs w:val="26"/>
        </w:rPr>
        <w:t xml:space="preserve"> because it w</w:t>
      </w:r>
      <w:r w:rsidRPr="00BE2088">
        <w:rPr>
          <w:rFonts w:ascii="Times New Roman" w:hAnsi="Times New Roman" w:cs="Times New Roman"/>
          <w:sz w:val="26"/>
          <w:szCs w:val="26"/>
        </w:rPr>
        <w:t xml:space="preserve">ould </w:t>
      </w:r>
      <w:r w:rsidR="000E39B6">
        <w:rPr>
          <w:rFonts w:ascii="Times New Roman" w:hAnsi="Times New Roman" w:cs="Times New Roman"/>
          <w:sz w:val="26"/>
          <w:szCs w:val="26"/>
        </w:rPr>
        <w:t>have fewer of the</w:t>
      </w:r>
      <w:r w:rsidRPr="00BE2088">
        <w:rPr>
          <w:rFonts w:ascii="Times New Roman" w:hAnsi="Times New Roman" w:cs="Times New Roman"/>
          <w:sz w:val="26"/>
          <w:szCs w:val="26"/>
        </w:rPr>
        <w:t xml:space="preserve"> regulatory mechanisms ne</w:t>
      </w:r>
      <w:r w:rsidR="008A2A17">
        <w:rPr>
          <w:rFonts w:ascii="Times New Roman" w:hAnsi="Times New Roman" w:cs="Times New Roman"/>
          <w:sz w:val="26"/>
          <w:szCs w:val="26"/>
        </w:rPr>
        <w:t>eded</w:t>
      </w:r>
      <w:r w:rsidRPr="00BE2088">
        <w:rPr>
          <w:rFonts w:ascii="Times New Roman" w:hAnsi="Times New Roman" w:cs="Times New Roman"/>
          <w:sz w:val="26"/>
          <w:szCs w:val="26"/>
        </w:rPr>
        <w:t xml:space="preserve"> to ensure </w:t>
      </w:r>
      <w:r w:rsidR="000E39B6">
        <w:rPr>
          <w:rFonts w:ascii="Times New Roman" w:hAnsi="Times New Roman" w:cs="Times New Roman"/>
          <w:sz w:val="26"/>
          <w:szCs w:val="26"/>
        </w:rPr>
        <w:t xml:space="preserve">transparency and </w:t>
      </w:r>
      <w:r w:rsidR="008A2A17">
        <w:rPr>
          <w:rFonts w:ascii="Times New Roman" w:hAnsi="Times New Roman" w:cs="Times New Roman"/>
          <w:sz w:val="26"/>
          <w:szCs w:val="26"/>
        </w:rPr>
        <w:t xml:space="preserve">to </w:t>
      </w:r>
      <w:r w:rsidR="000E39B6">
        <w:rPr>
          <w:rFonts w:ascii="Times New Roman" w:hAnsi="Times New Roman" w:cs="Times New Roman"/>
          <w:sz w:val="26"/>
          <w:szCs w:val="26"/>
        </w:rPr>
        <w:t>protect ratepayers</w:t>
      </w:r>
      <w:r w:rsidRPr="00BE2088">
        <w:rPr>
          <w:rFonts w:ascii="Times New Roman" w:hAnsi="Times New Roman" w:cs="Times New Roman"/>
          <w:sz w:val="26"/>
          <w:szCs w:val="26"/>
        </w:rPr>
        <w:t>.</w:t>
      </w:r>
    </w:p>
    <w:p w:rsidRPr="001A153B" w:rsidR="00EE07DD" w:rsidP="005E5E49" w:rsidRDefault="00EE07DD" w14:paraId="7D4D2E53" w14:textId="77777777">
      <w:pPr>
        <w:spacing w:after="0" w:line="276" w:lineRule="auto"/>
        <w:rPr>
          <w:rFonts w:ascii="Times New Roman" w:hAnsi="Times New Roman" w:cs="Times New Roman"/>
          <w:sz w:val="26"/>
          <w:szCs w:val="26"/>
        </w:rPr>
      </w:pPr>
    </w:p>
    <w:p w:rsidRPr="001A153B" w:rsidR="00EE07DD" w:rsidP="005E5E49" w:rsidRDefault="00EE07DD" w14:paraId="14F73053" w14:textId="77777777">
      <w:pPr>
        <w:numPr>
          <w:ilvl w:val="0"/>
          <w:numId w:val="2"/>
        </w:numPr>
        <w:spacing w:after="0" w:line="276"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rsidR="004232B1" w:rsidP="005E5E49" w:rsidRDefault="004232B1" w14:paraId="6A059187" w14:textId="77777777">
      <w:pPr>
        <w:spacing w:after="0" w:line="276" w:lineRule="auto"/>
        <w:rPr>
          <w:rFonts w:ascii="Times New Roman" w:hAnsi="Times New Roman" w:cs="Times New Roman"/>
          <w:sz w:val="26"/>
          <w:szCs w:val="26"/>
        </w:rPr>
      </w:pPr>
    </w:p>
    <w:p w:rsidRPr="002671BE" w:rsidR="002671BE" w:rsidP="002671BE" w:rsidRDefault="000E739D" w14:paraId="2E2C51A2" w14:textId="0B793D3A">
      <w:pPr>
        <w:spacing w:after="0" w:line="276" w:lineRule="auto"/>
        <w:rPr>
          <w:rFonts w:ascii="Times New Roman" w:hAnsi="Times New Roman" w:eastAsia="Calibri" w:cs="Times New Roman"/>
          <w:sz w:val="26"/>
          <w:szCs w:val="26"/>
        </w:rPr>
      </w:pPr>
      <w:r w:rsidRPr="000E739D">
        <w:rPr>
          <w:rFonts w:ascii="Times New Roman" w:hAnsi="Times New Roman" w:eastAsia="Calibri" w:cs="Times New Roman"/>
          <w:sz w:val="26"/>
          <w:szCs w:val="26"/>
        </w:rPr>
        <w:t xml:space="preserve">The </w:t>
      </w:r>
      <w:r w:rsidR="009D62CD">
        <w:rPr>
          <w:rFonts w:ascii="Times New Roman" w:hAnsi="Times New Roman" w:eastAsia="Calibri" w:cs="Times New Roman"/>
          <w:sz w:val="26"/>
          <w:szCs w:val="26"/>
        </w:rPr>
        <w:t xml:space="preserve">FERC </w:t>
      </w:r>
      <w:r>
        <w:rPr>
          <w:rFonts w:ascii="Times New Roman" w:hAnsi="Times New Roman" w:eastAsia="Calibri" w:cs="Times New Roman"/>
          <w:sz w:val="26"/>
          <w:szCs w:val="26"/>
        </w:rPr>
        <w:t>Form No. 60 is</w:t>
      </w:r>
      <w:r w:rsidRPr="000E739D">
        <w:rPr>
          <w:rFonts w:ascii="Times New Roman" w:hAnsi="Times New Roman" w:eastAsia="Calibri" w:cs="Times New Roman"/>
          <w:sz w:val="26"/>
          <w:szCs w:val="26"/>
        </w:rPr>
        <w:t xml:space="preserve"> filed electronically in XBRL </w:t>
      </w:r>
      <w:r>
        <w:rPr>
          <w:rFonts w:ascii="Times New Roman" w:hAnsi="Times New Roman" w:eastAsia="Calibri" w:cs="Times New Roman"/>
          <w:sz w:val="26"/>
          <w:szCs w:val="26"/>
        </w:rPr>
        <w:t xml:space="preserve">pursuant to the requirements of Order </w:t>
      </w:r>
      <w:r w:rsidR="00D26F9B">
        <w:rPr>
          <w:rFonts w:ascii="Times New Roman" w:hAnsi="Times New Roman" w:eastAsia="Calibri" w:cs="Times New Roman"/>
          <w:sz w:val="26"/>
          <w:szCs w:val="26"/>
        </w:rPr>
        <w:t xml:space="preserve">No. </w:t>
      </w:r>
      <w:r>
        <w:rPr>
          <w:rFonts w:ascii="Times New Roman" w:hAnsi="Times New Roman" w:eastAsia="Calibri" w:cs="Times New Roman"/>
          <w:sz w:val="26"/>
          <w:szCs w:val="26"/>
        </w:rPr>
        <w:t xml:space="preserve">859. </w:t>
      </w:r>
      <w:r w:rsidR="00D64AEE">
        <w:rPr>
          <w:rFonts w:ascii="Times New Roman" w:hAnsi="Times New Roman" w:eastAsia="Calibri" w:cs="Times New Roman"/>
          <w:sz w:val="26"/>
          <w:szCs w:val="26"/>
        </w:rPr>
        <w:t xml:space="preserve"> </w:t>
      </w:r>
      <w:r w:rsidRPr="002671BE" w:rsidR="002671BE">
        <w:rPr>
          <w:rFonts w:ascii="Times New Roman" w:hAnsi="Times New Roman" w:eastAsia="Calibri" w:cs="Times New Roman"/>
          <w:sz w:val="26"/>
          <w:szCs w:val="26"/>
        </w:rPr>
        <w:t>Further details r</w:t>
      </w:r>
      <w:r w:rsidR="00E740FC">
        <w:rPr>
          <w:rFonts w:ascii="Times New Roman" w:hAnsi="Times New Roman" w:eastAsia="Calibri" w:cs="Times New Roman"/>
          <w:sz w:val="26"/>
          <w:szCs w:val="26"/>
        </w:rPr>
        <w:t xml:space="preserve">egarding submission of the FERC Form No. </w:t>
      </w:r>
      <w:r w:rsidRPr="002671BE" w:rsidR="002671BE">
        <w:rPr>
          <w:rFonts w:ascii="Times New Roman" w:hAnsi="Times New Roman" w:eastAsia="Calibri" w:cs="Times New Roman"/>
          <w:sz w:val="26"/>
          <w:szCs w:val="26"/>
        </w:rPr>
        <w:t xml:space="preserve">60 </w:t>
      </w:r>
      <w:r w:rsidR="00DC0FDF">
        <w:rPr>
          <w:rFonts w:ascii="Times New Roman" w:hAnsi="Times New Roman" w:eastAsia="Calibri" w:cs="Times New Roman"/>
          <w:sz w:val="26"/>
          <w:szCs w:val="26"/>
        </w:rPr>
        <w:t xml:space="preserve">and FERC-61 </w:t>
      </w:r>
      <w:r w:rsidRPr="002671BE" w:rsidR="002671BE">
        <w:rPr>
          <w:rFonts w:ascii="Times New Roman" w:hAnsi="Times New Roman" w:eastAsia="Calibri" w:cs="Times New Roman"/>
          <w:sz w:val="26"/>
          <w:szCs w:val="26"/>
        </w:rPr>
        <w:t xml:space="preserve">can be found </w:t>
      </w:r>
      <w:r w:rsidR="000E39B6">
        <w:rPr>
          <w:rFonts w:ascii="Times New Roman" w:hAnsi="Times New Roman" w:eastAsia="Calibri" w:cs="Times New Roman"/>
          <w:sz w:val="26"/>
          <w:szCs w:val="26"/>
        </w:rPr>
        <w:t>at</w:t>
      </w:r>
      <w:r w:rsidRPr="002671BE" w:rsidR="002671BE">
        <w:rPr>
          <w:rFonts w:ascii="Times New Roman" w:hAnsi="Times New Roman" w:eastAsia="Calibri" w:cs="Times New Roman"/>
          <w:sz w:val="26"/>
          <w:szCs w:val="26"/>
        </w:rPr>
        <w:t xml:space="preserve"> </w:t>
      </w:r>
      <w:hyperlink w:history="1" r:id="rId12">
        <w:r w:rsidRPr="00434793" w:rsidR="00DC0FDF">
          <w:rPr>
            <w:rStyle w:val="Hyperlink"/>
            <w:rFonts w:eastAsia="Calibri"/>
            <w:sz w:val="26"/>
            <w:szCs w:val="26"/>
          </w:rPr>
          <w:t>https://www.ferc.gov/filing-forms/service-companies-filing-forms</w:t>
        </w:r>
      </w:hyperlink>
      <w:r w:rsidRPr="002671BE" w:rsidR="002671BE">
        <w:rPr>
          <w:rFonts w:ascii="Times New Roman" w:hAnsi="Times New Roman" w:eastAsia="Calibri" w:cs="Times New Roman"/>
          <w:sz w:val="26"/>
          <w:szCs w:val="26"/>
        </w:rPr>
        <w:t>.  FERC-61 can also be electronically filed.</w:t>
      </w:r>
    </w:p>
    <w:p w:rsidR="004232B1" w:rsidP="005E5E49" w:rsidRDefault="004232B1" w14:paraId="6C9EBE58" w14:textId="77777777">
      <w:pPr>
        <w:spacing w:after="0" w:line="276" w:lineRule="auto"/>
        <w:rPr>
          <w:rFonts w:ascii="Times New Roman" w:hAnsi="Times New Roman" w:cs="Times New Roman"/>
          <w:b/>
          <w:sz w:val="26"/>
          <w:szCs w:val="26"/>
        </w:rPr>
      </w:pPr>
    </w:p>
    <w:p w:rsidRPr="001A153B" w:rsidR="00EE07DD" w:rsidP="005E5E49" w:rsidRDefault="00EE07DD" w14:paraId="20F92025" w14:textId="5637503A">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 xml:space="preserve">DESCRIBE EFFORTS TO IDENTIFY DUPLICATION AND SHOW SPECIFICALLY WHY ANY SIMILAR INFORMATION ALREADY AVAILABLE CANNOT BE USED OR MODIFIED FOR USE FOR THE PURPOSE(S) DESCRIBED IN </w:t>
      </w:r>
      <w:r w:rsidRPr="00A776BD">
        <w:rPr>
          <w:rFonts w:ascii="Times New Roman" w:hAnsi="Times New Roman" w:cs="Times New Roman"/>
          <w:b/>
          <w:sz w:val="26"/>
          <w:szCs w:val="26"/>
        </w:rPr>
        <w:t xml:space="preserve">INSTRUCTION </w:t>
      </w:r>
      <w:r w:rsidRPr="00A776BD" w:rsidR="00D02A53">
        <w:rPr>
          <w:rFonts w:ascii="Times New Roman" w:hAnsi="Times New Roman" w:cs="Times New Roman"/>
          <w:b/>
          <w:sz w:val="26"/>
          <w:szCs w:val="26"/>
        </w:rPr>
        <w:t>SECTION</w:t>
      </w:r>
      <w:r w:rsidRPr="00E66F43" w:rsidR="00D02A53">
        <w:rPr>
          <w:rFonts w:ascii="Times New Roman" w:hAnsi="Times New Roman" w:cs="Times New Roman"/>
          <w:b/>
          <w:sz w:val="26"/>
          <w:szCs w:val="26"/>
        </w:rPr>
        <w:t xml:space="preserve"> </w:t>
      </w:r>
      <w:r w:rsidRPr="00E66F43">
        <w:rPr>
          <w:rFonts w:ascii="Times New Roman" w:hAnsi="Times New Roman" w:cs="Times New Roman"/>
          <w:b/>
          <w:sz w:val="26"/>
          <w:szCs w:val="26"/>
        </w:rPr>
        <w:t>N</w:t>
      </w:r>
      <w:r w:rsidRPr="001A153B">
        <w:rPr>
          <w:rFonts w:ascii="Times New Roman" w:hAnsi="Times New Roman" w:cs="Times New Roman"/>
          <w:b/>
          <w:sz w:val="26"/>
          <w:szCs w:val="26"/>
        </w:rPr>
        <w:t>O. 2</w:t>
      </w:r>
    </w:p>
    <w:p w:rsidR="00EE07DD" w:rsidP="005E5E49" w:rsidRDefault="00EE07DD" w14:paraId="1052EDC2" w14:textId="77777777">
      <w:pPr>
        <w:spacing w:after="0" w:line="276" w:lineRule="auto"/>
        <w:rPr>
          <w:rFonts w:ascii="Times New Roman" w:hAnsi="Times New Roman" w:cs="Times New Roman"/>
          <w:sz w:val="26"/>
          <w:szCs w:val="26"/>
        </w:rPr>
      </w:pPr>
    </w:p>
    <w:p w:rsidRPr="001A153B" w:rsidR="001E6E08" w:rsidP="005E5E49" w:rsidRDefault="001E6E08" w14:paraId="50C2A855" w14:textId="40BF2D00">
      <w:pPr>
        <w:spacing w:after="0" w:line="276" w:lineRule="auto"/>
        <w:rPr>
          <w:rFonts w:ascii="Times New Roman" w:hAnsi="Times New Roman" w:cs="Times New Roman"/>
          <w:sz w:val="26"/>
          <w:szCs w:val="26"/>
        </w:rPr>
      </w:pPr>
      <w:r w:rsidRPr="001E6E08">
        <w:rPr>
          <w:rFonts w:ascii="Times New Roman" w:hAnsi="Times New Roman" w:cs="Times New Roman"/>
          <w:sz w:val="26"/>
          <w:szCs w:val="26"/>
        </w:rPr>
        <w:t xml:space="preserve">While some jurisdictional entities may file similar </w:t>
      </w:r>
      <w:r w:rsidR="00DE10FA">
        <w:rPr>
          <w:rFonts w:ascii="Times New Roman" w:hAnsi="Times New Roman" w:cs="Times New Roman"/>
          <w:sz w:val="26"/>
          <w:szCs w:val="26"/>
        </w:rPr>
        <w:t xml:space="preserve">financial </w:t>
      </w:r>
      <w:r w:rsidRPr="001E6E08">
        <w:rPr>
          <w:rFonts w:ascii="Times New Roman" w:hAnsi="Times New Roman" w:cs="Times New Roman"/>
          <w:sz w:val="26"/>
          <w:szCs w:val="26"/>
        </w:rPr>
        <w:t xml:space="preserve">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w:t>
      </w:r>
      <w:proofErr w:type="gramStart"/>
      <w:r w:rsidRPr="001E6E08">
        <w:rPr>
          <w:rFonts w:ascii="Times New Roman" w:hAnsi="Times New Roman" w:cs="Times New Roman"/>
          <w:sz w:val="26"/>
          <w:szCs w:val="26"/>
        </w:rPr>
        <w:t>a majority of</w:t>
      </w:r>
      <w:proofErr w:type="gramEnd"/>
      <w:r w:rsidRPr="001E6E08">
        <w:rPr>
          <w:rFonts w:ascii="Times New Roman" w:hAnsi="Times New Roman" w:cs="Times New Roman"/>
          <w:sz w:val="26"/>
          <w:szCs w:val="26"/>
        </w:rPr>
        <w:t xml:space="preserve"> the jurisdictional entities that it regulates file financial information with the SEC that consolidates their assets, liabilities</w:t>
      </w:r>
      <w:r w:rsidR="00EC703D">
        <w:rPr>
          <w:rFonts w:ascii="Times New Roman" w:hAnsi="Times New Roman" w:cs="Times New Roman"/>
          <w:sz w:val="26"/>
          <w:szCs w:val="26"/>
        </w:rPr>
        <w:t>,</w:t>
      </w:r>
      <w:r w:rsidRPr="001E6E08">
        <w:rPr>
          <w:rFonts w:ascii="Times New Roman" w:hAnsi="Times New Roman" w:cs="Times New Roman"/>
          <w:sz w:val="26"/>
          <w:szCs w:val="26"/>
        </w:rPr>
        <w:t xml:space="preserve"> and profits with their parent company, or combine the regulated and unregulated operations in the reports to the SEC.  While consolidation is </w:t>
      </w:r>
      <w:r w:rsidRPr="001E6E08">
        <w:rPr>
          <w:rFonts w:ascii="Times New Roman" w:hAnsi="Times New Roman" w:cs="Times New Roman"/>
          <w:sz w:val="26"/>
          <w:szCs w:val="26"/>
        </w:rPr>
        <w:lastRenderedPageBreak/>
        <w:t xml:space="preserve">appropriate for SEC reporting, the Commission requires more detailed information concerning the results of operations, and the financial position of each jurisdictional entity </w:t>
      </w:r>
      <w:proofErr w:type="gramStart"/>
      <w:r w:rsidRPr="001E6E08">
        <w:rPr>
          <w:rFonts w:ascii="Times New Roman" w:hAnsi="Times New Roman" w:cs="Times New Roman"/>
          <w:sz w:val="26"/>
          <w:szCs w:val="26"/>
        </w:rPr>
        <w:t>in order to</w:t>
      </w:r>
      <w:proofErr w:type="gramEnd"/>
      <w:r w:rsidRPr="001E6E08">
        <w:rPr>
          <w:rFonts w:ascii="Times New Roman" w:hAnsi="Times New Roman" w:cs="Times New Roman"/>
          <w:sz w:val="26"/>
          <w:szCs w:val="26"/>
        </w:rPr>
        <w:t xml:space="preserve"> meet its regulatory needs.  Therefore, the Commission has required jurisdictional entities to file financial information on a jurisdictional entity level basis using a uniform system of accounts.</w:t>
      </w:r>
    </w:p>
    <w:p w:rsidRPr="001A153B" w:rsidR="00EE07DD" w:rsidP="005E5E49" w:rsidRDefault="00EE07DD" w14:paraId="0843F8BE" w14:textId="77777777">
      <w:pPr>
        <w:spacing w:after="0" w:line="276" w:lineRule="auto"/>
        <w:rPr>
          <w:rFonts w:ascii="Times New Roman" w:hAnsi="Times New Roman" w:cs="Times New Roman"/>
          <w:sz w:val="26"/>
          <w:szCs w:val="26"/>
        </w:rPr>
      </w:pPr>
    </w:p>
    <w:p w:rsidR="00EE07DD" w:rsidP="005E5E49" w:rsidRDefault="00EE07DD" w14:paraId="32AA365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rsidRPr="001A153B" w:rsidR="0004391B" w:rsidP="0035596B" w:rsidRDefault="0004391B" w14:paraId="108638F3" w14:textId="77777777">
      <w:pPr>
        <w:spacing w:after="0" w:line="276" w:lineRule="auto"/>
        <w:ind w:left="360"/>
        <w:rPr>
          <w:rFonts w:ascii="Times New Roman" w:hAnsi="Times New Roman" w:cs="Times New Roman"/>
          <w:b/>
          <w:sz w:val="26"/>
          <w:szCs w:val="26"/>
        </w:rPr>
      </w:pPr>
    </w:p>
    <w:p w:rsidR="0004391B" w:rsidP="005E5E49" w:rsidRDefault="0004391B" w14:paraId="1647418F" w14:textId="2E52B96F">
      <w:pPr>
        <w:spacing w:after="0" w:line="276" w:lineRule="auto"/>
        <w:rPr>
          <w:rFonts w:ascii="Times New Roman" w:hAnsi="Times New Roman" w:cs="Times New Roman"/>
          <w:bCs/>
          <w:sz w:val="26"/>
          <w:szCs w:val="26"/>
        </w:rPr>
      </w:pPr>
      <w:r w:rsidRPr="0004391B">
        <w:rPr>
          <w:rFonts w:ascii="Times New Roman" w:hAnsi="Times New Roman" w:cs="Times New Roman"/>
          <w:sz w:val="26"/>
          <w:szCs w:val="26"/>
        </w:rPr>
        <w:t xml:space="preserve">The information requirements under </w:t>
      </w:r>
      <w:r w:rsidR="001D2653">
        <w:rPr>
          <w:rFonts w:ascii="Times New Roman" w:hAnsi="Times New Roman" w:cs="Times New Roman"/>
          <w:sz w:val="26"/>
          <w:szCs w:val="26"/>
        </w:rPr>
        <w:t xml:space="preserve">FERC </w:t>
      </w:r>
      <w:r w:rsidRPr="0004391B">
        <w:rPr>
          <w:rFonts w:ascii="Times New Roman" w:hAnsi="Times New Roman" w:cs="Times New Roman"/>
          <w:sz w:val="26"/>
          <w:szCs w:val="26"/>
        </w:rPr>
        <w:t>Form No. 60 apply to jurisdictional entities.  C</w:t>
      </w:r>
      <w:r w:rsidR="00E66F43">
        <w:rPr>
          <w:rFonts w:ascii="Times New Roman" w:hAnsi="Times New Roman" w:cs="Times New Roman"/>
          <w:sz w:val="26"/>
          <w:szCs w:val="26"/>
        </w:rPr>
        <w:t xml:space="preserve">ompanies that do not </w:t>
      </w:r>
      <w:r w:rsidRPr="0004391B">
        <w:rPr>
          <w:rFonts w:ascii="Times New Roman" w:hAnsi="Times New Roman" w:cs="Times New Roman"/>
          <w:sz w:val="26"/>
          <w:szCs w:val="26"/>
        </w:rPr>
        <w:t xml:space="preserve">file </w:t>
      </w:r>
      <w:r w:rsidR="001D2653">
        <w:rPr>
          <w:rFonts w:ascii="Times New Roman" w:hAnsi="Times New Roman" w:cs="Times New Roman"/>
          <w:sz w:val="26"/>
          <w:szCs w:val="26"/>
        </w:rPr>
        <w:t xml:space="preserve">the FERC </w:t>
      </w:r>
      <w:r w:rsidRPr="0004391B">
        <w:rPr>
          <w:rFonts w:ascii="Times New Roman" w:hAnsi="Times New Roman" w:cs="Times New Roman"/>
          <w:sz w:val="26"/>
          <w:szCs w:val="26"/>
        </w:rPr>
        <w:t>Form No. 60 use the FERC-61 to reduce burden on those small entities.  In general, holding companies to which the rules apply are not small entities.</w:t>
      </w:r>
      <w:r>
        <w:rPr>
          <w:rFonts w:ascii="Times New Roman" w:hAnsi="Times New Roman" w:cs="Times New Roman"/>
          <w:sz w:val="26"/>
          <w:szCs w:val="26"/>
        </w:rPr>
        <w:t xml:space="preserve">  </w:t>
      </w:r>
      <w:r w:rsidRPr="0004391B">
        <w:rPr>
          <w:rFonts w:ascii="Times New Roman" w:hAnsi="Times New Roman" w:cs="Times New Roman"/>
          <w:bCs/>
          <w:sz w:val="26"/>
          <w:szCs w:val="26"/>
        </w:rPr>
        <w:t xml:space="preserve">If the reporting requirements represent an undue burden on small businesses, the affected entity may seek a waiver of the </w:t>
      </w:r>
      <w:r w:rsidR="00E66F43">
        <w:rPr>
          <w:rFonts w:ascii="Times New Roman" w:hAnsi="Times New Roman" w:cs="Times New Roman"/>
          <w:bCs/>
          <w:sz w:val="26"/>
          <w:szCs w:val="26"/>
        </w:rPr>
        <w:t>reporting</w:t>
      </w:r>
      <w:r w:rsidRPr="0004391B">
        <w:rPr>
          <w:rFonts w:ascii="Times New Roman" w:hAnsi="Times New Roman" w:cs="Times New Roman"/>
          <w:bCs/>
          <w:sz w:val="26"/>
          <w:szCs w:val="26"/>
        </w:rPr>
        <w:t xml:space="preserve"> requirements from the Commission.  However, the Commission believes that the information collected on these forms is the minimum necessary to provide a meaningful review of financial conditions and would impose the least possible burden on entities.  </w:t>
      </w:r>
    </w:p>
    <w:p w:rsidRPr="001A153B" w:rsidR="00BE2088" w:rsidP="005E5E49" w:rsidRDefault="00BE2088" w14:paraId="798A4FA0" w14:textId="77777777">
      <w:pPr>
        <w:spacing w:after="0" w:line="276" w:lineRule="auto"/>
        <w:rPr>
          <w:rFonts w:ascii="Times New Roman" w:hAnsi="Times New Roman" w:cs="Times New Roman"/>
          <w:sz w:val="26"/>
          <w:szCs w:val="26"/>
        </w:rPr>
      </w:pPr>
    </w:p>
    <w:p w:rsidRPr="001A153B" w:rsidR="00EE07DD" w:rsidP="005E5E49" w:rsidRDefault="00EE07DD" w14:paraId="2E49DB8E"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rsidRPr="001A153B" w:rsidR="00EE07DD" w:rsidP="005E5E49" w:rsidRDefault="00EE07DD" w14:paraId="6278A170" w14:textId="77777777">
      <w:pPr>
        <w:spacing w:after="0" w:line="276" w:lineRule="auto"/>
        <w:rPr>
          <w:rFonts w:ascii="Times New Roman" w:hAnsi="Times New Roman" w:cs="Times New Roman"/>
          <w:sz w:val="26"/>
          <w:szCs w:val="26"/>
        </w:rPr>
      </w:pPr>
    </w:p>
    <w:p w:rsidRPr="00BE2088" w:rsidR="00A33B76" w:rsidP="00A33B76" w:rsidRDefault="00A33B76" w14:paraId="7B53DDAE" w14:textId="16192122">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Data from the FERC Form</w:t>
      </w:r>
      <w:r>
        <w:rPr>
          <w:rFonts w:ascii="Times New Roman" w:hAnsi="Times New Roman" w:cs="Times New Roman"/>
          <w:sz w:val="26"/>
          <w:szCs w:val="26"/>
        </w:rPr>
        <w:t xml:space="preserve"> No.</w:t>
      </w:r>
      <w:r w:rsidR="007E6F9B">
        <w:rPr>
          <w:rFonts w:ascii="Times New Roman" w:hAnsi="Times New Roman" w:cs="Times New Roman"/>
          <w:sz w:val="26"/>
          <w:szCs w:val="26"/>
        </w:rPr>
        <w:t xml:space="preserve"> 60</w:t>
      </w:r>
      <w:r w:rsidRPr="00BE2088">
        <w:rPr>
          <w:rFonts w:ascii="Times New Roman" w:hAnsi="Times New Roman" w:cs="Times New Roman"/>
          <w:sz w:val="26"/>
          <w:szCs w:val="26"/>
        </w:rPr>
        <w:t xml:space="preserve"> </w:t>
      </w:r>
      <w:r w:rsidR="007E6F9B">
        <w:rPr>
          <w:rFonts w:ascii="Times New Roman" w:hAnsi="Times New Roman" w:cs="Times New Roman"/>
          <w:sz w:val="26"/>
          <w:szCs w:val="26"/>
        </w:rPr>
        <w:t>and FERC-61</w:t>
      </w:r>
      <w:r w:rsidRPr="00BE2088">
        <w:rPr>
          <w:rFonts w:ascii="Times New Roman" w:hAnsi="Times New Roman" w:cs="Times New Roman"/>
          <w:sz w:val="26"/>
          <w:szCs w:val="26"/>
        </w:rPr>
        <w:t xml:space="preserve"> provide a level of transparency that: 1) helps protect ratepayers from pass-through of improper service company costs, 2) enables </w:t>
      </w:r>
      <w:r>
        <w:rPr>
          <w:rFonts w:ascii="Times New Roman" w:hAnsi="Times New Roman" w:cs="Times New Roman"/>
          <w:sz w:val="26"/>
          <w:szCs w:val="26"/>
        </w:rPr>
        <w:t>the Commission</w:t>
      </w:r>
      <w:r w:rsidRPr="00BE2088">
        <w:rPr>
          <w:rFonts w:ascii="Times New Roman" w:hAnsi="Times New Roman" w:cs="Times New Roman"/>
          <w:sz w:val="26"/>
          <w:szCs w:val="26"/>
        </w:rPr>
        <w:t xml:space="preserve"> to review and determine cost allocations (among holding company members) for certain non-power goods and services, 3) aids </w:t>
      </w:r>
      <w:r>
        <w:rPr>
          <w:rFonts w:ascii="Times New Roman" w:hAnsi="Times New Roman" w:cs="Times New Roman"/>
          <w:sz w:val="26"/>
          <w:szCs w:val="26"/>
        </w:rPr>
        <w:t>the Commission</w:t>
      </w:r>
      <w:r w:rsidRPr="00BE2088">
        <w:rPr>
          <w:rFonts w:ascii="Times New Roman" w:hAnsi="Times New Roman" w:cs="Times New Roman"/>
          <w:sz w:val="26"/>
          <w:szCs w:val="26"/>
        </w:rPr>
        <w:t xml:space="preserve"> in meeting its oversight and market monitoring obligations, and 4) benefits the public, both as ratepayers and investors.  In addition, the </w:t>
      </w:r>
      <w:r>
        <w:rPr>
          <w:rFonts w:ascii="Times New Roman" w:hAnsi="Times New Roman" w:cs="Times New Roman"/>
          <w:sz w:val="26"/>
          <w:szCs w:val="26"/>
        </w:rPr>
        <w:t>Commission’s</w:t>
      </w:r>
      <w:r w:rsidRPr="00BE2088">
        <w:rPr>
          <w:rFonts w:ascii="Times New Roman" w:hAnsi="Times New Roman" w:cs="Times New Roman"/>
          <w:sz w:val="26"/>
          <w:szCs w:val="26"/>
        </w:rPr>
        <w:t xml:space="preserve"> audit staff use these records during compliance reviews and special analyses.  </w:t>
      </w:r>
    </w:p>
    <w:p w:rsidRPr="00BE2088" w:rsidR="00A33B76" w:rsidP="00A33B76" w:rsidRDefault="00A33B76" w14:paraId="5B6C43C3" w14:textId="77777777">
      <w:pPr>
        <w:spacing w:after="0" w:line="276" w:lineRule="auto"/>
        <w:rPr>
          <w:rFonts w:ascii="Times New Roman" w:hAnsi="Times New Roman" w:cs="Times New Roman"/>
          <w:sz w:val="26"/>
          <w:szCs w:val="26"/>
        </w:rPr>
      </w:pPr>
    </w:p>
    <w:p w:rsidR="007E6F9B" w:rsidP="00A33B76" w:rsidRDefault="00A33B76" w14:paraId="797C8C34" w14:textId="4E1121B8">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 xml:space="preserve">If data from the FERC Form </w:t>
      </w:r>
      <w:r>
        <w:rPr>
          <w:rFonts w:ascii="Times New Roman" w:hAnsi="Times New Roman" w:cs="Times New Roman"/>
          <w:sz w:val="26"/>
          <w:szCs w:val="26"/>
        </w:rPr>
        <w:t xml:space="preserve">No. </w:t>
      </w:r>
      <w:r w:rsidR="007E6F9B">
        <w:rPr>
          <w:rFonts w:ascii="Times New Roman" w:hAnsi="Times New Roman" w:cs="Times New Roman"/>
          <w:sz w:val="26"/>
          <w:szCs w:val="26"/>
        </w:rPr>
        <w:t>60 and FERC-61</w:t>
      </w:r>
      <w:r w:rsidRPr="00BE2088">
        <w:rPr>
          <w:rFonts w:ascii="Times New Roman" w:hAnsi="Times New Roman" w:cs="Times New Roman"/>
          <w:sz w:val="26"/>
          <w:szCs w:val="26"/>
        </w:rPr>
        <w:t xml:space="preserve"> were </w:t>
      </w:r>
      <w:r>
        <w:rPr>
          <w:rFonts w:ascii="Times New Roman" w:hAnsi="Times New Roman" w:cs="Times New Roman"/>
          <w:sz w:val="26"/>
          <w:szCs w:val="26"/>
        </w:rPr>
        <w:t>collected less frequently</w:t>
      </w:r>
      <w:r w:rsidRPr="00BE2088">
        <w:rPr>
          <w:rFonts w:ascii="Times New Roman" w:hAnsi="Times New Roman" w:cs="Times New Roman"/>
          <w:sz w:val="26"/>
          <w:szCs w:val="26"/>
        </w:rPr>
        <w:t xml:space="preserve">, </w:t>
      </w:r>
      <w:r w:rsidR="0004391B">
        <w:rPr>
          <w:rFonts w:ascii="Times New Roman" w:hAnsi="Times New Roman" w:cs="Times New Roman"/>
          <w:sz w:val="26"/>
          <w:szCs w:val="26"/>
        </w:rPr>
        <w:t xml:space="preserve">the Commission </w:t>
      </w:r>
      <w:r>
        <w:rPr>
          <w:rFonts w:ascii="Times New Roman" w:hAnsi="Times New Roman" w:cs="Times New Roman"/>
          <w:sz w:val="26"/>
          <w:szCs w:val="26"/>
        </w:rPr>
        <w:t xml:space="preserve">would </w:t>
      </w:r>
      <w:r w:rsidR="0004391B">
        <w:rPr>
          <w:rFonts w:ascii="Times New Roman" w:hAnsi="Times New Roman" w:cs="Times New Roman"/>
          <w:sz w:val="26"/>
          <w:szCs w:val="26"/>
        </w:rPr>
        <w:t xml:space="preserve">have </w:t>
      </w:r>
      <w:r>
        <w:rPr>
          <w:rFonts w:ascii="Times New Roman" w:hAnsi="Times New Roman" w:cs="Times New Roman"/>
          <w:sz w:val="26"/>
          <w:szCs w:val="26"/>
        </w:rPr>
        <w:t>difficult</w:t>
      </w:r>
      <w:r w:rsidR="0004391B">
        <w:rPr>
          <w:rFonts w:ascii="Times New Roman" w:hAnsi="Times New Roman" w:cs="Times New Roman"/>
          <w:sz w:val="26"/>
          <w:szCs w:val="26"/>
        </w:rPr>
        <w:t>y performing i</w:t>
      </w:r>
      <w:r w:rsidR="002D2613">
        <w:rPr>
          <w:rFonts w:ascii="Times New Roman" w:hAnsi="Times New Roman" w:cs="Times New Roman"/>
          <w:sz w:val="26"/>
          <w:szCs w:val="26"/>
        </w:rPr>
        <w:t>t</w:t>
      </w:r>
      <w:r w:rsidR="0004391B">
        <w:rPr>
          <w:rFonts w:ascii="Times New Roman" w:hAnsi="Times New Roman" w:cs="Times New Roman"/>
          <w:sz w:val="26"/>
          <w:szCs w:val="26"/>
        </w:rPr>
        <w:t>s mandated review responsibilities</w:t>
      </w:r>
      <w:r w:rsidRPr="00BE2088">
        <w:rPr>
          <w:rFonts w:ascii="Times New Roman" w:hAnsi="Times New Roman" w:cs="Times New Roman"/>
          <w:sz w:val="26"/>
          <w:szCs w:val="26"/>
        </w:rPr>
        <w:t xml:space="preserve"> and </w:t>
      </w:r>
      <w:r w:rsidR="0004391B">
        <w:rPr>
          <w:rFonts w:ascii="Times New Roman" w:hAnsi="Times New Roman" w:cs="Times New Roman"/>
          <w:sz w:val="26"/>
          <w:szCs w:val="26"/>
        </w:rPr>
        <w:t>would</w:t>
      </w:r>
      <w:r w:rsidRPr="00BE2088">
        <w:rPr>
          <w:rFonts w:ascii="Times New Roman" w:hAnsi="Times New Roman" w:cs="Times New Roman"/>
          <w:sz w:val="26"/>
          <w:szCs w:val="26"/>
        </w:rPr>
        <w:t xml:space="preserve"> </w:t>
      </w:r>
      <w:r>
        <w:rPr>
          <w:rFonts w:ascii="Times New Roman" w:hAnsi="Times New Roman" w:cs="Times New Roman"/>
          <w:sz w:val="26"/>
          <w:szCs w:val="26"/>
        </w:rPr>
        <w:t>have fewer of the</w:t>
      </w:r>
      <w:r w:rsidRPr="00BE2088">
        <w:rPr>
          <w:rFonts w:ascii="Times New Roman" w:hAnsi="Times New Roman" w:cs="Times New Roman"/>
          <w:sz w:val="26"/>
          <w:szCs w:val="26"/>
        </w:rPr>
        <w:t xml:space="preserve"> regulatory mechanisms necessary to ensure </w:t>
      </w:r>
      <w:r>
        <w:rPr>
          <w:rFonts w:ascii="Times New Roman" w:hAnsi="Times New Roman" w:cs="Times New Roman"/>
          <w:sz w:val="26"/>
          <w:szCs w:val="26"/>
        </w:rPr>
        <w:t>transparency, protect ratepayers, and confirm that rates are just and reasonable</w:t>
      </w:r>
      <w:r w:rsidRPr="00BE2088">
        <w:rPr>
          <w:rFonts w:ascii="Times New Roman" w:hAnsi="Times New Roman" w:cs="Times New Roman"/>
          <w:sz w:val="26"/>
          <w:szCs w:val="26"/>
        </w:rPr>
        <w:t>.</w:t>
      </w:r>
      <w:r>
        <w:rPr>
          <w:rFonts w:ascii="Times New Roman" w:hAnsi="Times New Roman" w:cs="Times New Roman"/>
          <w:sz w:val="26"/>
          <w:szCs w:val="26"/>
        </w:rPr>
        <w:t xml:space="preserve">  </w:t>
      </w:r>
    </w:p>
    <w:p w:rsidR="007E6F9B" w:rsidP="00A33B76" w:rsidRDefault="007E6F9B" w14:paraId="51257E0E" w14:textId="77777777">
      <w:pPr>
        <w:spacing w:after="0" w:line="276" w:lineRule="auto"/>
        <w:rPr>
          <w:rFonts w:ascii="Times New Roman" w:hAnsi="Times New Roman" w:cs="Times New Roman"/>
          <w:sz w:val="26"/>
          <w:szCs w:val="26"/>
        </w:rPr>
      </w:pPr>
    </w:p>
    <w:p w:rsidRPr="0004391B" w:rsidR="007E6F9B" w:rsidP="00A33B76" w:rsidRDefault="007E6F9B" w14:paraId="2661C00C" w14:textId="1D6892DE">
      <w:pPr>
        <w:spacing w:after="0" w:line="276" w:lineRule="auto"/>
        <w:rPr>
          <w:rFonts w:ascii="Times New Roman" w:hAnsi="Times New Roman" w:cs="Times New Roman"/>
          <w:sz w:val="26"/>
          <w:szCs w:val="26"/>
        </w:rPr>
      </w:pPr>
      <w:r w:rsidRPr="0035596B">
        <w:rPr>
          <w:rFonts w:ascii="Times New Roman" w:hAnsi="Times New Roman" w:cs="Times New Roman"/>
          <w:b/>
          <w:sz w:val="26"/>
          <w:szCs w:val="26"/>
        </w:rPr>
        <w:t xml:space="preserve">FERC-555A.  </w:t>
      </w:r>
      <w:r w:rsidRPr="0035596B">
        <w:rPr>
          <w:rFonts w:ascii="Times New Roman" w:hAnsi="Times New Roman" w:cs="Times New Roman"/>
          <w:sz w:val="26"/>
          <w:szCs w:val="26"/>
        </w:rPr>
        <w:t xml:space="preserve">These records are not filed with the Commission but are retained by jurisdictional companies.  Absent the availability of these records, the Commission would </w:t>
      </w:r>
      <w:r w:rsidRPr="0004391B" w:rsidR="0004391B">
        <w:rPr>
          <w:rFonts w:ascii="Times New Roman" w:hAnsi="Times New Roman" w:cs="Times New Roman"/>
          <w:sz w:val="26"/>
          <w:szCs w:val="26"/>
        </w:rPr>
        <w:lastRenderedPageBreak/>
        <w:t>have fewer of the regulatory mechanisms necessary to ensure transparency, protect ratepayers, and confirm that rates are just and reasonable</w:t>
      </w:r>
      <w:r w:rsidR="00DE10FA">
        <w:rPr>
          <w:rFonts w:ascii="Times New Roman" w:hAnsi="Times New Roman" w:cs="Times New Roman"/>
          <w:sz w:val="26"/>
          <w:szCs w:val="26"/>
        </w:rPr>
        <w:t>.</w:t>
      </w:r>
      <w:r w:rsidRPr="0004391B" w:rsidDel="0004391B" w:rsidR="0004391B">
        <w:rPr>
          <w:rFonts w:ascii="Times New Roman" w:hAnsi="Times New Roman" w:cs="Times New Roman"/>
          <w:sz w:val="26"/>
          <w:szCs w:val="26"/>
        </w:rPr>
        <w:t xml:space="preserve"> </w:t>
      </w:r>
    </w:p>
    <w:p w:rsidRPr="00BE2088" w:rsidR="00BE2088" w:rsidP="00BE2088" w:rsidRDefault="00BE2088" w14:paraId="68B196E1" w14:textId="77777777">
      <w:pPr>
        <w:spacing w:after="0" w:line="276" w:lineRule="auto"/>
        <w:rPr>
          <w:rFonts w:ascii="Times New Roman" w:hAnsi="Times New Roman" w:cs="Times New Roman"/>
          <w:sz w:val="26"/>
          <w:szCs w:val="26"/>
        </w:rPr>
      </w:pPr>
    </w:p>
    <w:p w:rsidR="00684381" w:rsidP="00684381" w:rsidRDefault="00EE07DD" w14:paraId="28A8CDB1"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rsidRPr="00684381" w:rsidR="00684381" w:rsidP="00684381" w:rsidRDefault="00684381" w14:paraId="6DEEE287" w14:textId="77777777">
      <w:pPr>
        <w:spacing w:after="0" w:line="276" w:lineRule="auto"/>
        <w:ind w:left="360"/>
        <w:rPr>
          <w:rFonts w:ascii="Times New Roman" w:hAnsi="Times New Roman" w:cs="Times New Roman"/>
          <w:b/>
          <w:sz w:val="26"/>
          <w:szCs w:val="26"/>
        </w:rPr>
      </w:pPr>
    </w:p>
    <w:p w:rsidR="008A2A17" w:rsidP="003C1F6F" w:rsidRDefault="00E740FC" w14:paraId="21427354" w14:textId="2D5F2A8B">
      <w:pPr>
        <w:spacing w:after="0" w:line="276" w:lineRule="auto"/>
        <w:rPr>
          <w:rFonts w:ascii="Times New Roman" w:hAnsi="Times New Roman" w:eastAsia="Calibri" w:cs="Times New Roman"/>
          <w:sz w:val="26"/>
          <w:szCs w:val="26"/>
        </w:rPr>
      </w:pPr>
      <w:r w:rsidRPr="00684381">
        <w:rPr>
          <w:rFonts w:ascii="Times New Roman" w:hAnsi="Times New Roman" w:eastAsia="Calibri" w:cs="Times New Roman"/>
          <w:sz w:val="26"/>
          <w:szCs w:val="26"/>
        </w:rPr>
        <w:t xml:space="preserve">The Commission assumed responsibility for the reporting requirements formerly required by the SEC and streamlined those requirements.  The FERC-555A recordkeeping requirements are based on the </w:t>
      </w:r>
      <w:r w:rsidR="008A2A17">
        <w:rPr>
          <w:rFonts w:ascii="Times New Roman" w:hAnsi="Times New Roman" w:eastAsia="Calibri" w:cs="Times New Roman"/>
          <w:sz w:val="26"/>
          <w:szCs w:val="26"/>
        </w:rPr>
        <w:t>FERC-555</w:t>
      </w:r>
      <w:r w:rsidR="003C1F6F">
        <w:rPr>
          <w:rStyle w:val="FootnoteReference"/>
          <w:rFonts w:ascii="Times New Roman" w:hAnsi="Times New Roman" w:eastAsia="Calibri" w:cs="Times New Roman"/>
          <w:sz w:val="26"/>
          <w:szCs w:val="26"/>
        </w:rPr>
        <w:footnoteReference w:id="6"/>
      </w:r>
      <w:r w:rsidR="008A2A17">
        <w:rPr>
          <w:rFonts w:ascii="Times New Roman" w:hAnsi="Times New Roman" w:eastAsia="Calibri" w:cs="Times New Roman"/>
          <w:sz w:val="26"/>
          <w:szCs w:val="26"/>
        </w:rPr>
        <w:t xml:space="preserve"> </w:t>
      </w:r>
      <w:r w:rsidR="003C1F6F">
        <w:rPr>
          <w:rFonts w:ascii="Times New Roman" w:hAnsi="Times New Roman" w:eastAsia="Calibri" w:cs="Times New Roman"/>
          <w:sz w:val="26"/>
          <w:szCs w:val="26"/>
        </w:rPr>
        <w:t xml:space="preserve">recordkeeping </w:t>
      </w:r>
      <w:r w:rsidR="008A2A17">
        <w:rPr>
          <w:rFonts w:ascii="Times New Roman" w:hAnsi="Times New Roman" w:eastAsia="Calibri" w:cs="Times New Roman"/>
          <w:sz w:val="26"/>
          <w:szCs w:val="26"/>
        </w:rPr>
        <w:t xml:space="preserve">requirements </w:t>
      </w:r>
      <w:r w:rsidRPr="008A2A17" w:rsidR="008A2A17">
        <w:rPr>
          <w:rFonts w:ascii="Times New Roman" w:hAnsi="Times New Roman" w:eastAsia="Calibri" w:cs="Times New Roman"/>
          <w:sz w:val="26"/>
          <w:szCs w:val="26"/>
        </w:rPr>
        <w:t>(OMB Control No. 1902-0098)</w:t>
      </w:r>
      <w:r w:rsidR="008A2A17">
        <w:rPr>
          <w:rFonts w:ascii="Times New Roman" w:hAnsi="Times New Roman" w:eastAsia="Calibri" w:cs="Times New Roman"/>
          <w:sz w:val="26"/>
          <w:szCs w:val="26"/>
        </w:rPr>
        <w:t xml:space="preserve"> pertaining to regulated public utilities, natural gas </w:t>
      </w:r>
      <w:r w:rsidR="003C1F6F">
        <w:rPr>
          <w:rFonts w:ascii="Times New Roman" w:hAnsi="Times New Roman" w:eastAsia="Calibri" w:cs="Times New Roman"/>
          <w:sz w:val="26"/>
          <w:szCs w:val="26"/>
        </w:rPr>
        <w:t>companies</w:t>
      </w:r>
      <w:r w:rsidR="00542FFE">
        <w:rPr>
          <w:rFonts w:ascii="Times New Roman" w:hAnsi="Times New Roman" w:eastAsia="Calibri" w:cs="Times New Roman"/>
          <w:sz w:val="26"/>
          <w:szCs w:val="26"/>
        </w:rPr>
        <w:t>,</w:t>
      </w:r>
      <w:r w:rsidR="003C1F6F">
        <w:rPr>
          <w:rFonts w:ascii="Times New Roman" w:hAnsi="Times New Roman" w:eastAsia="Calibri" w:cs="Times New Roman"/>
          <w:sz w:val="26"/>
          <w:szCs w:val="26"/>
        </w:rPr>
        <w:t xml:space="preserve"> </w:t>
      </w:r>
      <w:r w:rsidR="008A2A17">
        <w:rPr>
          <w:rFonts w:ascii="Times New Roman" w:hAnsi="Times New Roman" w:eastAsia="Calibri" w:cs="Times New Roman"/>
          <w:sz w:val="26"/>
          <w:szCs w:val="26"/>
        </w:rPr>
        <w:t xml:space="preserve">and oil pipeline companies subject to the Commission’s jurisdiction.  </w:t>
      </w:r>
    </w:p>
    <w:p w:rsidR="008A2A17" w:rsidP="003C124B" w:rsidRDefault="008A2A17" w14:paraId="5EFB52F1" w14:textId="77777777">
      <w:pPr>
        <w:spacing w:after="0" w:line="276" w:lineRule="auto"/>
        <w:rPr>
          <w:rFonts w:ascii="Times New Roman" w:hAnsi="Times New Roman" w:eastAsia="Calibri" w:cs="Times New Roman"/>
          <w:sz w:val="26"/>
          <w:szCs w:val="26"/>
        </w:rPr>
      </w:pPr>
    </w:p>
    <w:p w:rsidR="00E740FC" w:rsidP="008B513A" w:rsidRDefault="00E740FC" w14:paraId="68C578EA" w14:textId="2EE38C51">
      <w:pPr>
        <w:spacing w:after="0" w:line="276" w:lineRule="auto"/>
        <w:rPr>
          <w:rFonts w:ascii="Times New Roman" w:hAnsi="Times New Roman" w:eastAsia="Calibri" w:cs="Times New Roman"/>
          <w:sz w:val="26"/>
          <w:szCs w:val="26"/>
        </w:rPr>
      </w:pPr>
      <w:r w:rsidRPr="00684381">
        <w:rPr>
          <w:rFonts w:ascii="Times New Roman" w:hAnsi="Times New Roman" w:eastAsia="Calibri" w:cs="Times New Roman"/>
          <w:sz w:val="26"/>
          <w:szCs w:val="26"/>
        </w:rPr>
        <w:t>Most</w:t>
      </w:r>
      <w:r w:rsidR="005273F0">
        <w:rPr>
          <w:rFonts w:ascii="Times New Roman" w:hAnsi="Times New Roman" w:eastAsia="Calibri" w:cs="Times New Roman"/>
          <w:sz w:val="26"/>
          <w:szCs w:val="26"/>
        </w:rPr>
        <w:t>,</w:t>
      </w:r>
      <w:r w:rsidRPr="00684381">
        <w:rPr>
          <w:rFonts w:ascii="Times New Roman" w:hAnsi="Times New Roman" w:eastAsia="Calibri" w:cs="Times New Roman"/>
          <w:sz w:val="26"/>
          <w:szCs w:val="26"/>
        </w:rPr>
        <w:t xml:space="preserve"> if not all</w:t>
      </w:r>
      <w:r w:rsidR="00542FFE">
        <w:rPr>
          <w:rFonts w:ascii="Times New Roman" w:hAnsi="Times New Roman" w:eastAsia="Calibri" w:cs="Times New Roman"/>
          <w:sz w:val="26"/>
          <w:szCs w:val="26"/>
        </w:rPr>
        <w:t>,</w:t>
      </w:r>
      <w:r w:rsidRPr="00684381">
        <w:rPr>
          <w:rFonts w:ascii="Times New Roman" w:hAnsi="Times New Roman" w:eastAsia="Calibri" w:cs="Times New Roman"/>
          <w:sz w:val="26"/>
          <w:szCs w:val="26"/>
        </w:rPr>
        <w:t xml:space="preserve"> of the holding companies that are subject to these FERC-555A requirements include electric</w:t>
      </w:r>
      <w:r w:rsidR="0004391B">
        <w:rPr>
          <w:rFonts w:ascii="Times New Roman" w:hAnsi="Times New Roman" w:eastAsia="Calibri" w:cs="Times New Roman"/>
          <w:sz w:val="26"/>
          <w:szCs w:val="26"/>
        </w:rPr>
        <w:t xml:space="preserve">, </w:t>
      </w:r>
      <w:r w:rsidRPr="00684381">
        <w:rPr>
          <w:rFonts w:ascii="Times New Roman" w:hAnsi="Times New Roman" w:eastAsia="Calibri" w:cs="Times New Roman"/>
          <w:sz w:val="26"/>
          <w:szCs w:val="26"/>
        </w:rPr>
        <w:t>gas</w:t>
      </w:r>
      <w:r w:rsidR="0004391B">
        <w:rPr>
          <w:rFonts w:ascii="Times New Roman" w:hAnsi="Times New Roman" w:eastAsia="Calibri" w:cs="Times New Roman"/>
          <w:sz w:val="26"/>
          <w:szCs w:val="26"/>
        </w:rPr>
        <w:t xml:space="preserve">, and </w:t>
      </w:r>
      <w:r w:rsidRPr="00684381">
        <w:rPr>
          <w:rFonts w:ascii="Times New Roman" w:hAnsi="Times New Roman" w:eastAsia="Calibri" w:cs="Times New Roman"/>
          <w:sz w:val="26"/>
          <w:szCs w:val="26"/>
        </w:rPr>
        <w:t xml:space="preserve">oil utilities as part of their corporate structure.  For this reason, it is critical that the information collection for the holding and service companies mirror generally the public utility retention requirements.  For this reason, </w:t>
      </w:r>
      <w:r w:rsidR="00610457">
        <w:rPr>
          <w:rFonts w:ascii="Times New Roman" w:hAnsi="Times New Roman" w:eastAsia="Calibri" w:cs="Times New Roman"/>
          <w:sz w:val="26"/>
          <w:szCs w:val="26"/>
        </w:rPr>
        <w:t>s</w:t>
      </w:r>
      <w:r w:rsidRPr="00684381">
        <w:rPr>
          <w:rFonts w:ascii="Times New Roman" w:hAnsi="Times New Roman" w:eastAsia="Calibri" w:cs="Times New Roman"/>
          <w:sz w:val="26"/>
          <w:szCs w:val="26"/>
        </w:rPr>
        <w:t>ome record schedules in 18</w:t>
      </w:r>
      <w:r w:rsidR="0004391B">
        <w:rPr>
          <w:rFonts w:ascii="Times New Roman" w:hAnsi="Times New Roman" w:eastAsia="Calibri" w:cs="Times New Roman"/>
          <w:sz w:val="26"/>
          <w:szCs w:val="26"/>
        </w:rPr>
        <w:t xml:space="preserve"> </w:t>
      </w:r>
      <w:r w:rsidRPr="00684381">
        <w:rPr>
          <w:rFonts w:ascii="Times New Roman" w:hAnsi="Times New Roman" w:eastAsia="Calibri" w:cs="Times New Roman"/>
          <w:sz w:val="26"/>
          <w:szCs w:val="26"/>
        </w:rPr>
        <w:t>C</w:t>
      </w:r>
      <w:r w:rsidR="00542FFE">
        <w:rPr>
          <w:rFonts w:ascii="Times New Roman" w:hAnsi="Times New Roman" w:eastAsia="Calibri" w:cs="Times New Roman"/>
          <w:sz w:val="26"/>
          <w:szCs w:val="26"/>
        </w:rPr>
        <w:t>.</w:t>
      </w:r>
      <w:r w:rsidRPr="00684381">
        <w:rPr>
          <w:rFonts w:ascii="Times New Roman" w:hAnsi="Times New Roman" w:eastAsia="Calibri" w:cs="Times New Roman"/>
          <w:sz w:val="26"/>
          <w:szCs w:val="26"/>
        </w:rPr>
        <w:t>F</w:t>
      </w:r>
      <w:r w:rsidR="00542FFE">
        <w:rPr>
          <w:rFonts w:ascii="Times New Roman" w:hAnsi="Times New Roman" w:eastAsia="Calibri" w:cs="Times New Roman"/>
          <w:sz w:val="26"/>
          <w:szCs w:val="26"/>
        </w:rPr>
        <w:t>.</w:t>
      </w:r>
      <w:r w:rsidRPr="00684381">
        <w:rPr>
          <w:rFonts w:ascii="Times New Roman" w:hAnsi="Times New Roman" w:eastAsia="Calibri" w:cs="Times New Roman"/>
          <w:sz w:val="26"/>
          <w:szCs w:val="26"/>
        </w:rPr>
        <w:t>R</w:t>
      </w:r>
      <w:r w:rsidR="00542FFE">
        <w:rPr>
          <w:rFonts w:ascii="Times New Roman" w:hAnsi="Times New Roman" w:eastAsia="Calibri" w:cs="Times New Roman"/>
          <w:sz w:val="26"/>
          <w:szCs w:val="26"/>
        </w:rPr>
        <w:t>.</w:t>
      </w:r>
      <w:r w:rsidRPr="00684381">
        <w:rPr>
          <w:rFonts w:ascii="Times New Roman" w:hAnsi="Times New Roman" w:eastAsia="Calibri" w:cs="Times New Roman"/>
          <w:sz w:val="26"/>
          <w:szCs w:val="26"/>
        </w:rPr>
        <w:t xml:space="preserve"> Part 368.3 (included at Attachment A) require retention longer than </w:t>
      </w:r>
      <w:r w:rsidR="0004391B">
        <w:rPr>
          <w:rFonts w:ascii="Times New Roman" w:hAnsi="Times New Roman" w:eastAsia="Calibri" w:cs="Times New Roman"/>
          <w:sz w:val="26"/>
          <w:szCs w:val="26"/>
        </w:rPr>
        <w:t>three</w:t>
      </w:r>
      <w:r w:rsidRPr="00684381">
        <w:rPr>
          <w:rFonts w:ascii="Times New Roman" w:hAnsi="Times New Roman" w:eastAsia="Calibri" w:cs="Times New Roman"/>
          <w:sz w:val="26"/>
          <w:szCs w:val="26"/>
        </w:rPr>
        <w:t xml:space="preserve"> years</w:t>
      </w:r>
      <w:r w:rsidR="005273F0">
        <w:rPr>
          <w:rFonts w:ascii="Times New Roman" w:hAnsi="Times New Roman" w:eastAsia="Calibri" w:cs="Times New Roman"/>
          <w:sz w:val="26"/>
          <w:szCs w:val="26"/>
        </w:rPr>
        <w:t>.</w:t>
      </w:r>
      <w:r w:rsidRPr="00684381">
        <w:rPr>
          <w:rFonts w:ascii="Times New Roman" w:hAnsi="Times New Roman" w:eastAsia="Calibri" w:cs="Times New Roman"/>
          <w:sz w:val="26"/>
          <w:szCs w:val="26"/>
          <w:vertAlign w:val="superscript"/>
        </w:rPr>
        <w:footnoteReference w:id="7"/>
      </w:r>
      <w:r w:rsidRPr="00684381">
        <w:rPr>
          <w:rFonts w:ascii="Times New Roman" w:hAnsi="Times New Roman" w:eastAsia="Calibri" w:cs="Times New Roman"/>
          <w:sz w:val="26"/>
          <w:szCs w:val="26"/>
        </w:rPr>
        <w:t xml:space="preserve">  Those items include:</w:t>
      </w:r>
    </w:p>
    <w:p w:rsidRPr="00684381" w:rsidR="003C1F6F" w:rsidP="00A25678" w:rsidRDefault="003C1F6F" w14:paraId="23C7B7DB" w14:textId="77777777">
      <w:pPr>
        <w:spacing w:after="0" w:line="276" w:lineRule="auto"/>
        <w:rPr>
          <w:rFonts w:ascii="Times New Roman" w:hAnsi="Times New Roman" w:eastAsia="Calibri" w:cs="Times New Roman"/>
          <w:sz w:val="26"/>
          <w:szCs w:val="26"/>
        </w:rPr>
      </w:pPr>
    </w:p>
    <w:p w:rsidRPr="00684381" w:rsidR="00E740FC" w:rsidP="00684381" w:rsidRDefault="00E740FC" w14:paraId="7ABC913B" w14:textId="77777777">
      <w:pPr>
        <w:numPr>
          <w:ilvl w:val="0"/>
          <w:numId w:val="19"/>
        </w:numPr>
        <w:spacing w:after="0" w:line="276" w:lineRule="auto"/>
        <w:ind w:right="2160"/>
        <w:jc w:val="both"/>
        <w:rPr>
          <w:rFonts w:ascii="Times New Roman" w:hAnsi="Times New Roman" w:eastAsia="Calibri" w:cs="Times New Roman"/>
          <w:sz w:val="26"/>
          <w:szCs w:val="26"/>
        </w:rPr>
      </w:pPr>
      <w:r w:rsidRPr="00684381">
        <w:rPr>
          <w:rFonts w:ascii="Times New Roman" w:hAnsi="Times New Roman" w:eastAsia="Calibri" w:cs="Times New Roman"/>
          <w:sz w:val="26"/>
          <w:szCs w:val="26"/>
        </w:rPr>
        <w:t xml:space="preserve">organizational documents </w:t>
      </w:r>
    </w:p>
    <w:p w:rsidRPr="00684381" w:rsidR="00E740FC" w:rsidP="00684381" w:rsidRDefault="00E740FC" w14:paraId="2F1C77AD" w14:textId="77777777">
      <w:pPr>
        <w:numPr>
          <w:ilvl w:val="0"/>
          <w:numId w:val="19"/>
        </w:numPr>
        <w:spacing w:after="0" w:line="276" w:lineRule="auto"/>
        <w:ind w:right="2160"/>
        <w:jc w:val="both"/>
        <w:rPr>
          <w:rFonts w:ascii="Times New Roman" w:hAnsi="Times New Roman" w:eastAsia="Calibri" w:cs="Times New Roman"/>
          <w:sz w:val="26"/>
          <w:szCs w:val="26"/>
        </w:rPr>
      </w:pPr>
      <w:r w:rsidRPr="00684381">
        <w:rPr>
          <w:rFonts w:ascii="Times New Roman" w:hAnsi="Times New Roman" w:eastAsia="Calibri" w:cs="Times New Roman"/>
          <w:sz w:val="26"/>
          <w:szCs w:val="26"/>
        </w:rPr>
        <w:t xml:space="preserve">accountants’ and auditors’ reports </w:t>
      </w:r>
    </w:p>
    <w:p w:rsidRPr="00684381" w:rsidR="00E740FC" w:rsidP="00684381" w:rsidRDefault="00E740FC" w14:paraId="7227E968" w14:textId="77777777">
      <w:pPr>
        <w:numPr>
          <w:ilvl w:val="0"/>
          <w:numId w:val="19"/>
        </w:numPr>
        <w:spacing w:after="0" w:line="276" w:lineRule="auto"/>
        <w:ind w:right="2160"/>
        <w:jc w:val="both"/>
        <w:rPr>
          <w:rFonts w:ascii="Times New Roman" w:hAnsi="Times New Roman" w:eastAsia="Calibri" w:cs="Times New Roman"/>
          <w:sz w:val="26"/>
          <w:szCs w:val="26"/>
        </w:rPr>
      </w:pPr>
      <w:r w:rsidRPr="00684381">
        <w:rPr>
          <w:rFonts w:ascii="Times New Roman" w:hAnsi="Times New Roman" w:eastAsia="Calibri" w:cs="Times New Roman"/>
          <w:sz w:val="26"/>
          <w:szCs w:val="26"/>
        </w:rPr>
        <w:t>ledgers</w:t>
      </w:r>
    </w:p>
    <w:p w:rsidRPr="00684381" w:rsidR="00684381" w:rsidP="00684381" w:rsidRDefault="00E740FC" w14:paraId="431FF3DD" w14:textId="77777777">
      <w:pPr>
        <w:numPr>
          <w:ilvl w:val="0"/>
          <w:numId w:val="19"/>
        </w:numPr>
        <w:spacing w:after="0" w:line="276" w:lineRule="auto"/>
        <w:ind w:right="2160"/>
        <w:jc w:val="both"/>
        <w:rPr>
          <w:rFonts w:ascii="Times New Roman" w:hAnsi="Times New Roman" w:eastAsia="Calibri" w:cs="Times New Roman"/>
          <w:sz w:val="26"/>
          <w:szCs w:val="26"/>
        </w:rPr>
      </w:pPr>
      <w:r w:rsidRPr="00684381">
        <w:rPr>
          <w:rFonts w:ascii="Times New Roman" w:hAnsi="Times New Roman" w:eastAsia="Calibri" w:cs="Times New Roman"/>
          <w:sz w:val="26"/>
          <w:szCs w:val="26"/>
        </w:rPr>
        <w:t>journal entries and vouchers</w:t>
      </w:r>
    </w:p>
    <w:p w:rsidRPr="00684381" w:rsidR="00684381" w:rsidP="00684381" w:rsidRDefault="00684381" w14:paraId="6F3D19CB" w14:textId="77777777">
      <w:pPr>
        <w:spacing w:after="0" w:line="276" w:lineRule="auto"/>
        <w:ind w:left="360" w:right="2160"/>
        <w:jc w:val="both"/>
        <w:rPr>
          <w:rFonts w:ascii="Times New Roman" w:hAnsi="Times New Roman" w:eastAsia="Calibri" w:cs="Times New Roman"/>
          <w:sz w:val="26"/>
          <w:szCs w:val="26"/>
        </w:rPr>
      </w:pPr>
    </w:p>
    <w:p w:rsidRPr="00684381" w:rsidR="00E740FC" w:rsidP="00230646" w:rsidRDefault="00E740FC" w14:paraId="49C70215" w14:textId="133A62DE">
      <w:pPr>
        <w:spacing w:after="0" w:line="276" w:lineRule="auto"/>
        <w:rPr>
          <w:rFonts w:ascii="Times New Roman" w:hAnsi="Times New Roman" w:eastAsia="Calibri" w:cs="Times New Roman"/>
          <w:sz w:val="26"/>
          <w:szCs w:val="26"/>
        </w:rPr>
      </w:pPr>
      <w:r w:rsidRPr="00684381">
        <w:rPr>
          <w:rFonts w:ascii="Times New Roman" w:hAnsi="Times New Roman" w:eastAsia="Calibri" w:cs="Times New Roman"/>
          <w:sz w:val="26"/>
          <w:szCs w:val="26"/>
        </w:rPr>
        <w:t xml:space="preserve">These documents </w:t>
      </w:r>
      <w:r w:rsidR="00610457">
        <w:rPr>
          <w:rFonts w:ascii="Times New Roman" w:hAnsi="Times New Roman" w:eastAsia="Calibri" w:cs="Times New Roman"/>
          <w:sz w:val="26"/>
          <w:szCs w:val="26"/>
        </w:rPr>
        <w:t>provide a level of transparency that assist the Commission in carrying out its mandated review responsibilities</w:t>
      </w:r>
      <w:r w:rsidRPr="00684381">
        <w:rPr>
          <w:rFonts w:ascii="Times New Roman" w:hAnsi="Times New Roman" w:eastAsia="Calibri" w:cs="Times New Roman"/>
          <w:sz w:val="26"/>
          <w:szCs w:val="26"/>
        </w:rPr>
        <w:t xml:space="preserve">.  </w:t>
      </w:r>
      <w:r w:rsidR="00C30434">
        <w:rPr>
          <w:rFonts w:ascii="Times New Roman" w:hAnsi="Times New Roman" w:eastAsia="Calibri" w:cs="Times New Roman"/>
          <w:sz w:val="26"/>
          <w:szCs w:val="26"/>
        </w:rPr>
        <w:t xml:space="preserve">Jurisdictional companies may file for a request for a rate change at any </w:t>
      </w:r>
      <w:proofErr w:type="gramStart"/>
      <w:r w:rsidR="00C30434">
        <w:rPr>
          <w:rFonts w:ascii="Times New Roman" w:hAnsi="Times New Roman" w:eastAsia="Calibri" w:cs="Times New Roman"/>
          <w:sz w:val="26"/>
          <w:szCs w:val="26"/>
        </w:rPr>
        <w:t>time, but</w:t>
      </w:r>
      <w:proofErr w:type="gramEnd"/>
      <w:r w:rsidR="00C30434">
        <w:rPr>
          <w:rFonts w:ascii="Times New Roman" w:hAnsi="Times New Roman" w:eastAsia="Calibri" w:cs="Times New Roman"/>
          <w:sz w:val="26"/>
          <w:szCs w:val="26"/>
        </w:rPr>
        <w:t xml:space="preserve"> are not required to do so.  In addition, the Commission can require prospective changes to a company’s rates </w:t>
      </w:r>
      <w:r w:rsidR="003C1F6F">
        <w:rPr>
          <w:rFonts w:ascii="Times New Roman" w:hAnsi="Times New Roman" w:eastAsia="Calibri" w:cs="Times New Roman"/>
          <w:sz w:val="26"/>
          <w:szCs w:val="26"/>
        </w:rPr>
        <w:t xml:space="preserve">based </w:t>
      </w:r>
      <w:r w:rsidR="00C30434">
        <w:rPr>
          <w:rFonts w:ascii="Times New Roman" w:hAnsi="Times New Roman" w:eastAsia="Calibri" w:cs="Times New Roman"/>
          <w:sz w:val="26"/>
          <w:szCs w:val="26"/>
        </w:rPr>
        <w:t xml:space="preserve">on its own motion or upon complaint from an interested party.  Thus, </w:t>
      </w:r>
      <w:r w:rsidRPr="00684381">
        <w:rPr>
          <w:rFonts w:ascii="Times New Roman" w:hAnsi="Times New Roman" w:eastAsia="Calibri" w:cs="Times New Roman"/>
          <w:sz w:val="26"/>
          <w:szCs w:val="26"/>
        </w:rPr>
        <w:t xml:space="preserve">retention of data beyond </w:t>
      </w:r>
      <w:r w:rsidR="0004391B">
        <w:rPr>
          <w:rFonts w:ascii="Times New Roman" w:hAnsi="Times New Roman" w:eastAsia="Calibri" w:cs="Times New Roman"/>
          <w:sz w:val="26"/>
          <w:szCs w:val="26"/>
        </w:rPr>
        <w:t>three</w:t>
      </w:r>
      <w:r w:rsidRPr="00684381">
        <w:rPr>
          <w:rFonts w:ascii="Times New Roman" w:hAnsi="Times New Roman" w:eastAsia="Calibri" w:cs="Times New Roman"/>
          <w:sz w:val="26"/>
          <w:szCs w:val="26"/>
        </w:rPr>
        <w:t xml:space="preserve"> years is necessary for </w:t>
      </w:r>
      <w:r w:rsidR="0004391B">
        <w:rPr>
          <w:rFonts w:ascii="Times New Roman" w:hAnsi="Times New Roman" w:eastAsia="Calibri" w:cs="Times New Roman"/>
          <w:sz w:val="26"/>
          <w:szCs w:val="26"/>
        </w:rPr>
        <w:t>Commission s</w:t>
      </w:r>
      <w:r w:rsidRPr="00684381">
        <w:rPr>
          <w:rFonts w:ascii="Times New Roman" w:hAnsi="Times New Roman" w:eastAsia="Calibri" w:cs="Times New Roman"/>
          <w:sz w:val="26"/>
          <w:szCs w:val="26"/>
        </w:rPr>
        <w:t>taff to adequately assess data submitted by entities</w:t>
      </w:r>
      <w:r w:rsidR="0004391B">
        <w:rPr>
          <w:rFonts w:ascii="Times New Roman" w:hAnsi="Times New Roman" w:eastAsia="Calibri" w:cs="Times New Roman"/>
          <w:sz w:val="26"/>
          <w:szCs w:val="26"/>
        </w:rPr>
        <w:t>,</w:t>
      </w:r>
      <w:r w:rsidRPr="00684381">
        <w:rPr>
          <w:rFonts w:ascii="Times New Roman" w:hAnsi="Times New Roman" w:eastAsia="Calibri" w:cs="Times New Roman"/>
          <w:sz w:val="26"/>
          <w:szCs w:val="26"/>
        </w:rPr>
        <w:t xml:space="preserve"> including the holding and service companies.  </w:t>
      </w:r>
      <w:r w:rsidR="00610457">
        <w:rPr>
          <w:rFonts w:ascii="Times New Roman" w:hAnsi="Times New Roman" w:eastAsia="Calibri" w:cs="Times New Roman"/>
          <w:sz w:val="26"/>
          <w:szCs w:val="26"/>
        </w:rPr>
        <w:t xml:space="preserve">In addition, </w:t>
      </w:r>
      <w:r w:rsidRPr="00684381">
        <w:rPr>
          <w:rFonts w:ascii="Times New Roman" w:hAnsi="Times New Roman" w:eastAsia="Calibri" w:cs="Times New Roman"/>
          <w:sz w:val="26"/>
          <w:szCs w:val="26"/>
        </w:rPr>
        <w:t xml:space="preserve">the Commission </w:t>
      </w:r>
      <w:r w:rsidR="00610457">
        <w:rPr>
          <w:rFonts w:ascii="Times New Roman" w:hAnsi="Times New Roman" w:eastAsia="Calibri" w:cs="Times New Roman"/>
          <w:sz w:val="26"/>
          <w:szCs w:val="26"/>
        </w:rPr>
        <w:t xml:space="preserve">conducts </w:t>
      </w:r>
      <w:r w:rsidRPr="00684381">
        <w:rPr>
          <w:rFonts w:ascii="Times New Roman" w:hAnsi="Times New Roman" w:eastAsia="Calibri" w:cs="Times New Roman"/>
          <w:sz w:val="26"/>
          <w:szCs w:val="26"/>
        </w:rPr>
        <w:t xml:space="preserve">audits of selected entities, and these periods under audit can require data beyond </w:t>
      </w:r>
      <w:r w:rsidR="00610457">
        <w:rPr>
          <w:rFonts w:ascii="Times New Roman" w:hAnsi="Times New Roman" w:eastAsia="Calibri" w:cs="Times New Roman"/>
          <w:sz w:val="26"/>
          <w:szCs w:val="26"/>
        </w:rPr>
        <w:t>three</w:t>
      </w:r>
      <w:r w:rsidRPr="00684381">
        <w:rPr>
          <w:rFonts w:ascii="Times New Roman" w:hAnsi="Times New Roman" w:eastAsia="Calibri" w:cs="Times New Roman"/>
          <w:sz w:val="26"/>
          <w:szCs w:val="26"/>
        </w:rPr>
        <w:t xml:space="preserve"> years to demonstrate compliance with the audited areas.</w:t>
      </w:r>
    </w:p>
    <w:p w:rsidRPr="001A153B" w:rsidR="00EE07DD" w:rsidP="005E5E49" w:rsidRDefault="00EE07DD" w14:paraId="356293DF" w14:textId="77777777">
      <w:pPr>
        <w:spacing w:after="0" w:line="276" w:lineRule="auto"/>
        <w:rPr>
          <w:rFonts w:ascii="Times New Roman" w:hAnsi="Times New Roman" w:cs="Times New Roman"/>
          <w:sz w:val="26"/>
          <w:szCs w:val="26"/>
        </w:rPr>
      </w:pPr>
    </w:p>
    <w:p w:rsidRPr="001A153B" w:rsidR="00EE07DD" w:rsidP="005E5E49" w:rsidRDefault="00EE07DD" w14:paraId="21CF9A9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Pr="001A153B" w:rsidR="003009CB">
        <w:rPr>
          <w:rFonts w:ascii="Times New Roman" w:hAnsi="Times New Roman" w:cs="Times New Roman"/>
          <w:b/>
          <w:sz w:val="26"/>
          <w:szCs w:val="26"/>
        </w:rPr>
        <w:t xml:space="preserve"> TO THESE COMMENTS</w:t>
      </w:r>
    </w:p>
    <w:p w:rsidR="00F45983" w:rsidP="005E5E49" w:rsidRDefault="00F45983" w14:paraId="499557BD" w14:textId="77777777">
      <w:pPr>
        <w:spacing w:after="0" w:line="276" w:lineRule="auto"/>
        <w:rPr>
          <w:rFonts w:ascii="Times New Roman" w:hAnsi="Times New Roman" w:cs="Times New Roman"/>
          <w:bCs/>
          <w:sz w:val="26"/>
          <w:szCs w:val="26"/>
        </w:rPr>
      </w:pPr>
    </w:p>
    <w:p w:rsidRPr="008633A0" w:rsidR="00F45983" w:rsidP="005E5E49" w:rsidRDefault="00F45983" w14:paraId="0153B8E4" w14:textId="07C4A4D1">
      <w:pPr>
        <w:spacing w:after="0" w:line="276" w:lineRule="auto"/>
        <w:rPr>
          <w:rFonts w:ascii="Times New Roman" w:hAnsi="Times New Roman" w:cs="Times New Roman"/>
          <w:bCs/>
          <w:sz w:val="26"/>
          <w:szCs w:val="26"/>
        </w:rPr>
      </w:pPr>
      <w:r w:rsidRPr="00F45983">
        <w:rPr>
          <w:rFonts w:ascii="Times New Roman" w:hAnsi="Times New Roman" w:cs="Times New Roman"/>
          <w:bCs/>
          <w:sz w:val="26"/>
          <w:szCs w:val="26"/>
        </w:rPr>
        <w:t>In accordance with OMB requirements</w:t>
      </w:r>
      <w:r w:rsidR="005273F0">
        <w:rPr>
          <w:rFonts w:ascii="Times New Roman" w:hAnsi="Times New Roman" w:cs="Times New Roman"/>
          <w:bCs/>
          <w:sz w:val="26"/>
          <w:szCs w:val="26"/>
        </w:rPr>
        <w:t>,</w:t>
      </w:r>
      <w:r w:rsidRPr="00F45983">
        <w:rPr>
          <w:rFonts w:ascii="Times New Roman" w:hAnsi="Times New Roman" w:cs="Times New Roman"/>
          <w:b/>
          <w:bCs/>
          <w:sz w:val="26"/>
          <w:szCs w:val="26"/>
          <w:vertAlign w:val="superscript"/>
        </w:rPr>
        <w:footnoteReference w:id="8"/>
      </w:r>
      <w:r w:rsidRPr="00F45983">
        <w:rPr>
          <w:rFonts w:ascii="Times New Roman" w:hAnsi="Times New Roman" w:cs="Times New Roman"/>
          <w:bCs/>
          <w:sz w:val="26"/>
          <w:szCs w:val="26"/>
        </w:rPr>
        <w:t xml:space="preserve"> the Commission published a 60-day </w:t>
      </w:r>
      <w:r w:rsidR="00EA1620">
        <w:rPr>
          <w:rFonts w:ascii="Times New Roman" w:hAnsi="Times New Roman" w:cs="Times New Roman"/>
          <w:bCs/>
          <w:sz w:val="26"/>
          <w:szCs w:val="26"/>
        </w:rPr>
        <w:t>N</w:t>
      </w:r>
      <w:r w:rsidRPr="00F45983">
        <w:rPr>
          <w:rFonts w:ascii="Times New Roman" w:hAnsi="Times New Roman" w:cs="Times New Roman"/>
          <w:bCs/>
          <w:sz w:val="26"/>
          <w:szCs w:val="26"/>
        </w:rPr>
        <w:t>otice</w:t>
      </w:r>
      <w:r w:rsidRPr="00F45983">
        <w:rPr>
          <w:rFonts w:ascii="Times New Roman" w:hAnsi="Times New Roman" w:cs="Times New Roman"/>
          <w:bCs/>
          <w:sz w:val="26"/>
          <w:szCs w:val="26"/>
          <w:vertAlign w:val="superscript"/>
        </w:rPr>
        <w:footnoteReference w:id="9"/>
      </w:r>
      <w:r w:rsidRPr="00F45983">
        <w:rPr>
          <w:rFonts w:ascii="Times New Roman" w:hAnsi="Times New Roman" w:cs="Times New Roman"/>
          <w:bCs/>
          <w:sz w:val="26"/>
          <w:szCs w:val="26"/>
        </w:rPr>
        <w:t xml:space="preserve"> </w:t>
      </w:r>
      <w:r w:rsidR="005273F0">
        <w:rPr>
          <w:rFonts w:ascii="Times New Roman" w:hAnsi="Times New Roman" w:cs="Times New Roman"/>
          <w:bCs/>
          <w:sz w:val="26"/>
          <w:szCs w:val="26"/>
        </w:rPr>
        <w:t xml:space="preserve">on </w:t>
      </w:r>
      <w:r w:rsidR="009D62CD">
        <w:rPr>
          <w:rFonts w:ascii="Times New Roman" w:hAnsi="Times New Roman" w:cs="Times New Roman"/>
          <w:bCs/>
          <w:sz w:val="26"/>
          <w:szCs w:val="26"/>
        </w:rPr>
        <w:t xml:space="preserve">November 18, </w:t>
      </w:r>
      <w:proofErr w:type="gramStart"/>
      <w:r w:rsidR="005273F0">
        <w:rPr>
          <w:rFonts w:ascii="Times New Roman" w:hAnsi="Times New Roman" w:cs="Times New Roman"/>
          <w:bCs/>
          <w:sz w:val="26"/>
          <w:szCs w:val="26"/>
        </w:rPr>
        <w:t>2021</w:t>
      </w:r>
      <w:proofErr w:type="gramEnd"/>
      <w:r w:rsidR="005273F0">
        <w:rPr>
          <w:rFonts w:ascii="Times New Roman" w:hAnsi="Times New Roman" w:cs="Times New Roman"/>
          <w:bCs/>
          <w:sz w:val="26"/>
          <w:szCs w:val="26"/>
        </w:rPr>
        <w:t xml:space="preserve"> </w:t>
      </w:r>
      <w:r w:rsidRPr="00F45983">
        <w:rPr>
          <w:rFonts w:ascii="Times New Roman" w:hAnsi="Times New Roman" w:cs="Times New Roman"/>
          <w:bCs/>
          <w:sz w:val="26"/>
          <w:szCs w:val="26"/>
        </w:rPr>
        <w:t xml:space="preserve">and </w:t>
      </w:r>
      <w:r w:rsidR="005273F0">
        <w:rPr>
          <w:rFonts w:ascii="Times New Roman" w:hAnsi="Times New Roman" w:cs="Times New Roman"/>
          <w:bCs/>
          <w:sz w:val="26"/>
          <w:szCs w:val="26"/>
        </w:rPr>
        <w:t>issued a</w:t>
      </w:r>
      <w:r w:rsidRPr="00F45983">
        <w:rPr>
          <w:rFonts w:ascii="Times New Roman" w:hAnsi="Times New Roman" w:cs="Times New Roman"/>
          <w:bCs/>
          <w:sz w:val="26"/>
          <w:szCs w:val="26"/>
        </w:rPr>
        <w:t xml:space="preserve"> 30-day </w:t>
      </w:r>
      <w:r w:rsidR="00EA1620">
        <w:rPr>
          <w:rFonts w:ascii="Times New Roman" w:hAnsi="Times New Roman" w:cs="Times New Roman"/>
          <w:bCs/>
          <w:sz w:val="26"/>
          <w:szCs w:val="26"/>
        </w:rPr>
        <w:t>N</w:t>
      </w:r>
      <w:r w:rsidRPr="00F45983">
        <w:rPr>
          <w:rFonts w:ascii="Times New Roman" w:hAnsi="Times New Roman" w:cs="Times New Roman"/>
          <w:bCs/>
          <w:sz w:val="26"/>
          <w:szCs w:val="26"/>
        </w:rPr>
        <w:t>otice to t</w:t>
      </w:r>
      <w:r w:rsidR="005273F0">
        <w:rPr>
          <w:rFonts w:ascii="Times New Roman" w:hAnsi="Times New Roman" w:cs="Times New Roman"/>
          <w:bCs/>
          <w:sz w:val="26"/>
          <w:szCs w:val="26"/>
        </w:rPr>
        <w:t>he public on</w:t>
      </w:r>
      <w:r w:rsidR="00DF2120">
        <w:rPr>
          <w:rFonts w:ascii="Times New Roman" w:hAnsi="Times New Roman" w:cs="Times New Roman"/>
          <w:bCs/>
          <w:sz w:val="26"/>
          <w:szCs w:val="26"/>
        </w:rPr>
        <w:t xml:space="preserve"> April 1, 2022,</w:t>
      </w:r>
      <w:r w:rsidR="005D75C3">
        <w:rPr>
          <w:rFonts w:ascii="Times New Roman" w:hAnsi="Times New Roman" w:cs="Times New Roman"/>
          <w:bCs/>
          <w:sz w:val="26"/>
          <w:szCs w:val="26"/>
        </w:rPr>
        <w:t xml:space="preserve"> </w:t>
      </w:r>
      <w:r w:rsidRPr="005D75C3" w:rsidR="005D75C3">
        <w:rPr>
          <w:rFonts w:ascii="Times New Roman" w:hAnsi="Times New Roman" w:cs="Times New Roman"/>
          <w:bCs/>
          <w:sz w:val="26"/>
          <w:szCs w:val="26"/>
        </w:rPr>
        <w:t>providing the public with an opportunity to comment on the information collections</w:t>
      </w:r>
      <w:r w:rsidRPr="00F45983">
        <w:rPr>
          <w:rFonts w:ascii="Times New Roman" w:hAnsi="Times New Roman" w:cs="Times New Roman"/>
          <w:bCs/>
          <w:sz w:val="26"/>
          <w:szCs w:val="26"/>
        </w:rPr>
        <w:t xml:space="preserve">. </w:t>
      </w:r>
      <w:r w:rsidR="005273F0">
        <w:rPr>
          <w:rFonts w:ascii="Times New Roman" w:hAnsi="Times New Roman" w:cs="Times New Roman"/>
          <w:bCs/>
          <w:sz w:val="26"/>
          <w:szCs w:val="26"/>
        </w:rPr>
        <w:t xml:space="preserve"> </w:t>
      </w:r>
      <w:bookmarkStart w:name="_Hlk98232575" w:id="1"/>
      <w:r w:rsidRPr="00F45983">
        <w:rPr>
          <w:rFonts w:ascii="Times New Roman" w:hAnsi="Times New Roman" w:cs="Times New Roman"/>
          <w:bCs/>
          <w:sz w:val="26"/>
          <w:szCs w:val="26"/>
        </w:rPr>
        <w:t xml:space="preserve">In the public notices, the Commission noted that it would be requesting a three-year extension of the public reporting burden with no change to the existing requirements concerning the collection of data.  </w:t>
      </w:r>
      <w:bookmarkEnd w:id="1"/>
      <w:r w:rsidRPr="00F45983">
        <w:rPr>
          <w:rFonts w:ascii="Times New Roman" w:hAnsi="Times New Roman" w:cs="Times New Roman"/>
          <w:bCs/>
          <w:sz w:val="26"/>
          <w:szCs w:val="26"/>
        </w:rPr>
        <w:t>No comments were received.</w:t>
      </w:r>
    </w:p>
    <w:p w:rsidRPr="001A153B" w:rsidR="003009CB" w:rsidP="005E5E49" w:rsidRDefault="003009CB" w14:paraId="239BD839" w14:textId="77777777">
      <w:pPr>
        <w:spacing w:after="0" w:line="276" w:lineRule="auto"/>
        <w:rPr>
          <w:rFonts w:ascii="Times New Roman" w:hAnsi="Times New Roman" w:cs="Times New Roman"/>
          <w:bCs/>
          <w:sz w:val="26"/>
          <w:szCs w:val="26"/>
        </w:rPr>
      </w:pPr>
    </w:p>
    <w:p w:rsidRPr="001A153B" w:rsidR="00EE07DD" w:rsidP="005E5E49" w:rsidRDefault="00EE07DD" w14:paraId="2CC2D2C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rsidRPr="001A153B" w:rsidR="00EE07DD" w:rsidP="005E5E49" w:rsidRDefault="00EE07DD" w14:paraId="491E0958" w14:textId="77777777">
      <w:pPr>
        <w:spacing w:after="0" w:line="276" w:lineRule="auto"/>
        <w:rPr>
          <w:rFonts w:ascii="Times New Roman" w:hAnsi="Times New Roman" w:cs="Times New Roman"/>
          <w:sz w:val="26"/>
          <w:szCs w:val="26"/>
        </w:rPr>
      </w:pPr>
    </w:p>
    <w:p w:rsidRPr="001A153B" w:rsidR="00EE07DD" w:rsidP="005E5E49" w:rsidRDefault="00EE07DD" w14:paraId="20594D03" w14:textId="0978F79B">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w:t>
      </w:r>
      <w:r w:rsidR="009D62CD">
        <w:rPr>
          <w:rFonts w:ascii="Times New Roman" w:hAnsi="Times New Roman" w:cs="Times New Roman"/>
          <w:sz w:val="26"/>
          <w:szCs w:val="26"/>
        </w:rPr>
        <w:t>to</w:t>
      </w:r>
      <w:r w:rsidRPr="001A153B">
        <w:rPr>
          <w:rFonts w:ascii="Times New Roman" w:hAnsi="Times New Roman" w:cs="Times New Roman"/>
          <w:sz w:val="26"/>
          <w:szCs w:val="26"/>
        </w:rPr>
        <w:t xml:space="preserve"> respondents related to </w:t>
      </w:r>
      <w:r w:rsidRPr="001A153B" w:rsidR="003009CB">
        <w:rPr>
          <w:rFonts w:ascii="Times New Roman" w:hAnsi="Times New Roman" w:cs="Times New Roman"/>
          <w:sz w:val="26"/>
          <w:szCs w:val="26"/>
        </w:rPr>
        <w:t>th</w:t>
      </w:r>
      <w:r w:rsidR="002671BE">
        <w:rPr>
          <w:rFonts w:ascii="Times New Roman" w:hAnsi="Times New Roman" w:cs="Times New Roman"/>
          <w:sz w:val="26"/>
          <w:szCs w:val="26"/>
        </w:rPr>
        <w:t>ese</w:t>
      </w:r>
      <w:r w:rsidRPr="001A153B" w:rsidR="003009CB">
        <w:rPr>
          <w:rFonts w:ascii="Times New Roman" w:hAnsi="Times New Roman" w:cs="Times New Roman"/>
          <w:sz w:val="26"/>
          <w:szCs w:val="26"/>
        </w:rPr>
        <w:t xml:space="preserve"> </w:t>
      </w:r>
      <w:r w:rsidRPr="001A153B">
        <w:rPr>
          <w:rFonts w:ascii="Times New Roman" w:hAnsi="Times New Roman" w:cs="Times New Roman"/>
          <w:sz w:val="26"/>
          <w:szCs w:val="26"/>
        </w:rPr>
        <w:t>collection</w:t>
      </w:r>
      <w:r w:rsidR="002671BE">
        <w:rPr>
          <w:rFonts w:ascii="Times New Roman" w:hAnsi="Times New Roman" w:cs="Times New Roman"/>
          <w:sz w:val="26"/>
          <w:szCs w:val="26"/>
        </w:rPr>
        <w:t>s</w:t>
      </w:r>
      <w:r w:rsidRPr="001A153B">
        <w:rPr>
          <w:rFonts w:ascii="Times New Roman" w:hAnsi="Times New Roman" w:cs="Times New Roman"/>
          <w:sz w:val="26"/>
          <w:szCs w:val="26"/>
        </w:rPr>
        <w:t>.</w:t>
      </w:r>
    </w:p>
    <w:p w:rsidRPr="001A153B" w:rsidR="00EE07DD" w:rsidP="005E5E49" w:rsidRDefault="00EE07DD" w14:paraId="1CEC2FFA" w14:textId="77777777">
      <w:pPr>
        <w:spacing w:after="0" w:line="276" w:lineRule="auto"/>
        <w:rPr>
          <w:rFonts w:ascii="Times New Roman" w:hAnsi="Times New Roman" w:cs="Times New Roman"/>
          <w:sz w:val="26"/>
          <w:szCs w:val="26"/>
        </w:rPr>
      </w:pPr>
    </w:p>
    <w:p w:rsidRPr="001A153B" w:rsidR="00EE07DD" w:rsidP="005E5E49" w:rsidRDefault="00EE07DD" w14:paraId="2BF9530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rsidR="009B3AA9" w:rsidP="005E5E49" w:rsidRDefault="009B3AA9" w14:paraId="16F2F8C8" w14:textId="77777777">
      <w:pPr>
        <w:spacing w:after="0" w:line="276" w:lineRule="auto"/>
        <w:rPr>
          <w:rFonts w:ascii="Times New Roman" w:hAnsi="Times New Roman" w:cs="Times New Roman"/>
          <w:sz w:val="26"/>
          <w:szCs w:val="26"/>
        </w:rPr>
      </w:pPr>
    </w:p>
    <w:p w:rsidRPr="008764BF" w:rsidR="007E6F9B" w:rsidP="005E5E49" w:rsidRDefault="005058F1" w14:paraId="255B6417" w14:textId="2CE9D02B">
      <w:pPr>
        <w:spacing w:after="0" w:line="276" w:lineRule="auto"/>
        <w:rPr>
          <w:rFonts w:ascii="Times New Roman" w:hAnsi="Times New Roman" w:cs="Times New Roman"/>
          <w:sz w:val="26"/>
          <w:szCs w:val="26"/>
        </w:rPr>
      </w:pPr>
      <w:r w:rsidRPr="000441D9">
        <w:rPr>
          <w:rFonts w:ascii="Times New Roman" w:hAnsi="Times New Roman" w:cs="Times New Roman"/>
          <w:sz w:val="26"/>
          <w:szCs w:val="26"/>
        </w:rPr>
        <w:t xml:space="preserve">The </w:t>
      </w:r>
      <w:r w:rsidR="003C1F6F">
        <w:rPr>
          <w:rFonts w:ascii="Times New Roman" w:hAnsi="Times New Roman" w:cs="Times New Roman"/>
          <w:sz w:val="26"/>
          <w:szCs w:val="26"/>
        </w:rPr>
        <w:t xml:space="preserve">information </w:t>
      </w:r>
      <w:r w:rsidR="007E0193">
        <w:rPr>
          <w:rFonts w:ascii="Times New Roman" w:hAnsi="Times New Roman" w:cs="Times New Roman"/>
          <w:sz w:val="26"/>
          <w:szCs w:val="26"/>
        </w:rPr>
        <w:t xml:space="preserve">collected </w:t>
      </w:r>
      <w:r w:rsidR="003C1F6F">
        <w:rPr>
          <w:rFonts w:ascii="Times New Roman" w:hAnsi="Times New Roman" w:cs="Times New Roman"/>
          <w:sz w:val="26"/>
          <w:szCs w:val="26"/>
        </w:rPr>
        <w:t xml:space="preserve">in FERC Form No. 60 and FERC-61 is </w:t>
      </w:r>
      <w:r w:rsidR="00AD0D46">
        <w:rPr>
          <w:rFonts w:ascii="Times New Roman" w:hAnsi="Times New Roman" w:cs="Times New Roman"/>
          <w:sz w:val="26"/>
          <w:szCs w:val="26"/>
        </w:rPr>
        <w:t>publicly</w:t>
      </w:r>
      <w:r w:rsidR="003C1F6F">
        <w:rPr>
          <w:rFonts w:ascii="Times New Roman" w:hAnsi="Times New Roman" w:cs="Times New Roman"/>
          <w:sz w:val="26"/>
          <w:szCs w:val="26"/>
        </w:rPr>
        <w:t xml:space="preserve"> available.  </w:t>
      </w:r>
      <w:r w:rsidRPr="0035596B" w:rsidR="008764BF">
        <w:rPr>
          <w:rFonts w:ascii="Times New Roman" w:hAnsi="Times New Roman" w:cs="Times New Roman"/>
          <w:sz w:val="26"/>
          <w:szCs w:val="26"/>
        </w:rPr>
        <w:t>However, the Commission will consider specific requests for confidential treatment (e.g.</w:t>
      </w:r>
      <w:r w:rsidR="00DA17AD">
        <w:rPr>
          <w:rFonts w:ascii="Times New Roman" w:hAnsi="Times New Roman" w:cs="Times New Roman"/>
          <w:sz w:val="26"/>
          <w:szCs w:val="26"/>
        </w:rPr>
        <w:t>,</w:t>
      </w:r>
      <w:r w:rsidRPr="0035596B" w:rsidR="008764BF">
        <w:rPr>
          <w:rFonts w:ascii="Times New Roman" w:hAnsi="Times New Roman" w:cs="Times New Roman"/>
          <w:sz w:val="26"/>
          <w:szCs w:val="26"/>
        </w:rPr>
        <w:t xml:space="preserve"> Critical Energy/Electric Infrastructure Information [CEII] or non-public) to the extent permitted by law.</w:t>
      </w:r>
      <w:r w:rsidRPr="0035596B" w:rsidR="008764BF">
        <w:rPr>
          <w:rFonts w:ascii="Times New Roman" w:hAnsi="Times New Roman" w:eastAsia="Calibri" w:cs="Times New Roman"/>
          <w:b/>
          <w:sz w:val="26"/>
          <w:szCs w:val="26"/>
          <w:vertAlign w:val="superscript"/>
        </w:rPr>
        <w:footnoteReference w:id="10"/>
      </w:r>
      <w:r w:rsidRPr="0035596B" w:rsidR="008764BF">
        <w:rPr>
          <w:rFonts w:ascii="Times New Roman" w:hAnsi="Times New Roman" w:eastAsia="Calibri" w:cs="Times New Roman"/>
          <w:sz w:val="26"/>
          <w:szCs w:val="26"/>
        </w:rPr>
        <w:t xml:space="preserve"> </w:t>
      </w:r>
      <w:r w:rsidRPr="0035596B" w:rsidR="008764BF">
        <w:rPr>
          <w:rFonts w:ascii="Times New Roman" w:hAnsi="Times New Roman" w:cs="Times New Roman"/>
          <w:sz w:val="26"/>
          <w:szCs w:val="26"/>
        </w:rPr>
        <w:t xml:space="preserve"> </w:t>
      </w:r>
      <w:r w:rsidRPr="007E0193" w:rsidR="007E0193">
        <w:rPr>
          <w:rFonts w:ascii="Times New Roman" w:hAnsi="Times New Roman" w:cs="Times New Roman"/>
          <w:sz w:val="26"/>
          <w:szCs w:val="26"/>
        </w:rPr>
        <w:t xml:space="preserve">The Commission will review each request for confidential treatment on a case-by-case basis. </w:t>
      </w:r>
      <w:r w:rsidRPr="0035596B" w:rsidR="008764BF">
        <w:rPr>
          <w:rFonts w:ascii="Times New Roman" w:hAnsi="Times New Roman" w:cs="Times New Roman"/>
          <w:sz w:val="26"/>
          <w:szCs w:val="26"/>
        </w:rPr>
        <w:t xml:space="preserve">  </w:t>
      </w:r>
    </w:p>
    <w:p w:rsidRPr="001A153B" w:rsidR="007E6F9B" w:rsidP="005E5E49" w:rsidRDefault="007E6F9B" w14:paraId="4604389F" w14:textId="77777777">
      <w:pPr>
        <w:spacing w:after="0" w:line="276" w:lineRule="auto"/>
        <w:rPr>
          <w:rFonts w:ascii="Times New Roman" w:hAnsi="Times New Roman" w:cs="Times New Roman"/>
          <w:sz w:val="26"/>
          <w:szCs w:val="26"/>
        </w:rPr>
      </w:pPr>
    </w:p>
    <w:p w:rsidRPr="001A153B" w:rsidR="00EE07DD" w:rsidP="005E5E49" w:rsidRDefault="00EE07DD" w14:paraId="5267E9C2" w14:textId="77777777">
      <w:pPr>
        <w:numPr>
          <w:ilvl w:val="0"/>
          <w:numId w:val="2"/>
        </w:numPr>
        <w:spacing w:after="0" w:line="276"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Pr="001A153B" w:rsidR="00EE07DD" w:rsidP="005E5E49" w:rsidRDefault="00EE07DD" w14:paraId="777F88C5" w14:textId="77777777">
      <w:pPr>
        <w:spacing w:after="0" w:line="276" w:lineRule="auto"/>
        <w:rPr>
          <w:rFonts w:ascii="Times New Roman" w:hAnsi="Times New Roman" w:cs="Times New Roman"/>
          <w:b/>
          <w:bCs/>
          <w:sz w:val="26"/>
          <w:szCs w:val="26"/>
        </w:rPr>
      </w:pPr>
    </w:p>
    <w:p w:rsidRPr="001A153B" w:rsidR="00EE07DD" w:rsidP="005E5E49" w:rsidRDefault="002E6E27" w14:paraId="72AEF0D7" w14:textId="7F7770CE">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lastRenderedPageBreak/>
        <w:t>Th</w:t>
      </w:r>
      <w:r w:rsidR="002671BE">
        <w:rPr>
          <w:rFonts w:ascii="Times New Roman" w:hAnsi="Times New Roman" w:cs="Times New Roman"/>
          <w:sz w:val="26"/>
          <w:szCs w:val="26"/>
        </w:rPr>
        <w:t>ese</w:t>
      </w:r>
      <w:r w:rsidRPr="001A153B">
        <w:rPr>
          <w:rFonts w:ascii="Times New Roman" w:hAnsi="Times New Roman" w:cs="Times New Roman"/>
          <w:sz w:val="26"/>
          <w:szCs w:val="26"/>
        </w:rPr>
        <w:t xml:space="preserve"> </w:t>
      </w:r>
      <w:r w:rsidRPr="001A153B" w:rsidR="00EE07DD">
        <w:rPr>
          <w:rFonts w:ascii="Times New Roman" w:hAnsi="Times New Roman" w:cs="Times New Roman"/>
          <w:sz w:val="26"/>
          <w:szCs w:val="26"/>
        </w:rPr>
        <w:t>collection</w:t>
      </w:r>
      <w:r w:rsidR="002671BE">
        <w:rPr>
          <w:rFonts w:ascii="Times New Roman" w:hAnsi="Times New Roman" w:cs="Times New Roman"/>
          <w:sz w:val="26"/>
          <w:szCs w:val="26"/>
        </w:rPr>
        <w:t>s</w:t>
      </w:r>
      <w:r w:rsidRPr="001A153B" w:rsidR="00EE07DD">
        <w:rPr>
          <w:rFonts w:ascii="Times New Roman" w:hAnsi="Times New Roman" w:cs="Times New Roman"/>
          <w:sz w:val="26"/>
          <w:szCs w:val="26"/>
        </w:rPr>
        <w:t xml:space="preserve"> do not contain any questions of a sensitive nature.  </w:t>
      </w:r>
    </w:p>
    <w:p w:rsidRPr="001A153B" w:rsidR="00EE07DD" w:rsidP="005E5E49" w:rsidRDefault="00EE07DD" w14:paraId="3C5A4AF0" w14:textId="77777777">
      <w:pPr>
        <w:spacing w:after="0" w:line="276" w:lineRule="auto"/>
        <w:rPr>
          <w:rFonts w:ascii="Times New Roman" w:hAnsi="Times New Roman" w:cs="Times New Roman"/>
          <w:sz w:val="26"/>
          <w:szCs w:val="26"/>
        </w:rPr>
      </w:pPr>
    </w:p>
    <w:p w:rsidRPr="001A153B" w:rsidR="00EE07DD" w:rsidP="005E5E49" w:rsidRDefault="00EE07DD" w14:paraId="6EF9A324"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rsidRPr="001A153B" w:rsidR="00EE07DD" w:rsidP="005E5E49" w:rsidRDefault="00EE07DD" w14:paraId="79F480A1" w14:textId="77777777">
      <w:pPr>
        <w:spacing w:after="0" w:line="276" w:lineRule="auto"/>
        <w:rPr>
          <w:rFonts w:ascii="Times New Roman" w:hAnsi="Times New Roman" w:cs="Times New Roman"/>
          <w:sz w:val="26"/>
          <w:szCs w:val="26"/>
        </w:rPr>
      </w:pPr>
    </w:p>
    <w:p w:rsidR="001907FC" w:rsidP="00945E1B" w:rsidRDefault="00EE07DD" w14:paraId="7C70DE3C" w14:textId="0759EDC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 following table</w:t>
      </w:r>
      <w:r w:rsidR="00652DB6">
        <w:rPr>
          <w:rFonts w:ascii="Times New Roman" w:hAnsi="Times New Roman" w:cs="Times New Roman"/>
          <w:sz w:val="26"/>
          <w:szCs w:val="26"/>
        </w:rPr>
        <w:t>s</w:t>
      </w:r>
      <w:r w:rsidRPr="001A153B">
        <w:rPr>
          <w:rFonts w:ascii="Times New Roman" w:hAnsi="Times New Roman" w:cs="Times New Roman"/>
          <w:sz w:val="26"/>
          <w:szCs w:val="26"/>
        </w:rPr>
        <w:t xml:space="preserve"> provide the estimated annual burden</w:t>
      </w:r>
      <w:r w:rsidR="00202139">
        <w:rPr>
          <w:rStyle w:val="FootnoteReference"/>
          <w:rFonts w:ascii="Times New Roman" w:hAnsi="Times New Roman" w:cs="Times New Roman"/>
          <w:sz w:val="26"/>
          <w:szCs w:val="26"/>
        </w:rPr>
        <w:footnoteReference w:id="11"/>
      </w:r>
      <w:r w:rsidRPr="001A153B">
        <w:rPr>
          <w:rFonts w:ascii="Times New Roman" w:hAnsi="Times New Roman" w:cs="Times New Roman"/>
          <w:sz w:val="26"/>
          <w:szCs w:val="26"/>
        </w:rPr>
        <w:t xml:space="preserve"> and cost</w:t>
      </w:r>
      <w:r w:rsidR="00202139">
        <w:rPr>
          <w:rStyle w:val="FootnoteReference"/>
          <w:rFonts w:ascii="Times New Roman" w:hAnsi="Times New Roman" w:cs="Times New Roman"/>
          <w:sz w:val="26"/>
          <w:szCs w:val="26"/>
        </w:rPr>
        <w:footnoteReference w:id="12"/>
      </w:r>
      <w:r w:rsidRPr="001A153B">
        <w:rPr>
          <w:rFonts w:ascii="Times New Roman" w:hAnsi="Times New Roman" w:cs="Times New Roman"/>
          <w:sz w:val="26"/>
          <w:szCs w:val="26"/>
        </w:rPr>
        <w:t xml:space="preserve"> related to </w:t>
      </w:r>
      <w:r w:rsidR="002671BE">
        <w:rPr>
          <w:rFonts w:ascii="Times New Roman" w:hAnsi="Times New Roman" w:cs="Times New Roman"/>
          <w:sz w:val="26"/>
          <w:szCs w:val="26"/>
        </w:rPr>
        <w:t>the FERC Form No. 60, FERC-61, and FERC-555A</w:t>
      </w:r>
      <w:r w:rsidR="002C460A">
        <w:rPr>
          <w:rFonts w:ascii="Times New Roman" w:hAnsi="Times New Roman" w:cs="Times New Roman"/>
          <w:sz w:val="26"/>
          <w:szCs w:val="26"/>
        </w:rPr>
        <w:t xml:space="preserve"> </w:t>
      </w:r>
      <w:r w:rsidRPr="001A153B">
        <w:rPr>
          <w:rFonts w:ascii="Times New Roman" w:hAnsi="Times New Roman" w:cs="Times New Roman"/>
          <w:sz w:val="26"/>
          <w:szCs w:val="26"/>
        </w:rPr>
        <w:t>info</w:t>
      </w:r>
      <w:r w:rsidR="001907FC">
        <w:rPr>
          <w:rFonts w:ascii="Times New Roman" w:hAnsi="Times New Roman" w:cs="Times New Roman"/>
          <w:sz w:val="26"/>
          <w:szCs w:val="26"/>
        </w:rPr>
        <w:t>rmation collection requirements</w:t>
      </w:r>
      <w:r w:rsidR="00570228">
        <w:rPr>
          <w:rFonts w:ascii="Times New Roman" w:hAnsi="Times New Roman" w:cs="Times New Roman"/>
          <w:sz w:val="26"/>
          <w:szCs w:val="26"/>
        </w:rPr>
        <w:t>:</w:t>
      </w:r>
    </w:p>
    <w:p w:rsidR="00647B0B" w:rsidP="00945E1B" w:rsidRDefault="00647B0B" w14:paraId="1E572DEB" w14:textId="77777777">
      <w:pPr>
        <w:spacing w:after="0" w:line="276" w:lineRule="auto"/>
        <w:rPr>
          <w:rFonts w:ascii="Times New Roman" w:hAnsi="Times New Roman" w:cs="Times New Roman"/>
          <w:sz w:val="26"/>
          <w:szCs w:val="26"/>
        </w:rPr>
      </w:pPr>
    </w:p>
    <w:p w:rsidR="001B775E" w:rsidP="001B775E" w:rsidRDefault="00DF2120" w14:paraId="3C566338" w14:textId="518B135A">
      <w:pPr>
        <w:spacing w:line="480" w:lineRule="auto"/>
      </w:pPr>
      <w:r w:rsidRPr="004557E0">
        <w:rPr>
          <w:noProof/>
        </w:rPr>
        <w:drawing>
          <wp:inline distT="0" distB="0" distL="0" distR="0" wp14:anchorId="5F723EE2" wp14:editId="7829B12F">
            <wp:extent cx="5943600" cy="2599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599055"/>
                    </a:xfrm>
                    <a:prstGeom prst="rect">
                      <a:avLst/>
                    </a:prstGeom>
                    <a:noFill/>
                    <a:ln>
                      <a:noFill/>
                    </a:ln>
                  </pic:spPr>
                </pic:pic>
              </a:graphicData>
            </a:graphic>
          </wp:inline>
        </w:drawing>
      </w:r>
    </w:p>
    <w:p w:rsidR="001B775E" w:rsidP="001B775E" w:rsidRDefault="00DF2120" w14:paraId="59292F43" w14:textId="46BE3A91">
      <w:pPr>
        <w:spacing w:line="480" w:lineRule="auto"/>
      </w:pPr>
      <w:r w:rsidRPr="004557E0">
        <w:rPr>
          <w:noProof/>
        </w:rPr>
        <w:lastRenderedPageBreak/>
        <w:drawing>
          <wp:inline distT="0" distB="0" distL="0" distR="0" wp14:anchorId="0AD9B79A" wp14:editId="1669FEBF">
            <wp:extent cx="5943600" cy="1953349"/>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53349"/>
                    </a:xfrm>
                    <a:prstGeom prst="rect">
                      <a:avLst/>
                    </a:prstGeom>
                    <a:noFill/>
                    <a:ln>
                      <a:noFill/>
                    </a:ln>
                  </pic:spPr>
                </pic:pic>
              </a:graphicData>
            </a:graphic>
          </wp:inline>
        </w:drawing>
      </w:r>
    </w:p>
    <w:p w:rsidR="001B775E" w:rsidP="001B775E" w:rsidRDefault="00DF2120" w14:paraId="1C0707F7" w14:textId="109702AA">
      <w:pPr>
        <w:spacing w:line="480" w:lineRule="auto"/>
      </w:pPr>
      <w:r w:rsidRPr="004557E0">
        <w:rPr>
          <w:noProof/>
        </w:rPr>
        <w:drawing>
          <wp:inline distT="0" distB="0" distL="0" distR="0" wp14:anchorId="0C4DEA29" wp14:editId="78284A99">
            <wp:extent cx="5943600" cy="241028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410285"/>
                    </a:xfrm>
                    <a:prstGeom prst="rect">
                      <a:avLst/>
                    </a:prstGeom>
                    <a:noFill/>
                    <a:ln>
                      <a:noFill/>
                    </a:ln>
                  </pic:spPr>
                </pic:pic>
              </a:graphicData>
            </a:graphic>
          </wp:inline>
        </w:drawing>
      </w:r>
    </w:p>
    <w:p w:rsidR="001B775E" w:rsidP="001B775E" w:rsidRDefault="00DF2120" w14:paraId="54C9546A" w14:textId="10A5BA4D">
      <w:pPr>
        <w:spacing w:line="480" w:lineRule="auto"/>
      </w:pPr>
      <w:r w:rsidRPr="004557E0">
        <w:rPr>
          <w:noProof/>
        </w:rPr>
        <w:drawing>
          <wp:inline distT="0" distB="0" distL="0" distR="0" wp14:anchorId="40E8C9FB" wp14:editId="3D9969E4">
            <wp:extent cx="3587750" cy="1771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7750" cy="1771650"/>
                    </a:xfrm>
                    <a:prstGeom prst="rect">
                      <a:avLst/>
                    </a:prstGeom>
                    <a:noFill/>
                    <a:ln>
                      <a:noFill/>
                    </a:ln>
                  </pic:spPr>
                </pic:pic>
              </a:graphicData>
            </a:graphic>
          </wp:inline>
        </w:drawing>
      </w:r>
    </w:p>
    <w:p w:rsidRPr="001B775E" w:rsidR="001B775E" w:rsidDel="00FC5072" w:rsidP="001B775E" w:rsidRDefault="001B775E" w14:paraId="191C2CEC" w14:textId="66404CE0">
      <w:pPr>
        <w:spacing w:line="480" w:lineRule="auto"/>
        <w:rPr>
          <w:rFonts w:ascii="Times New Roman" w:hAnsi="Times New Roman" w:cs="Times New Roman"/>
          <w:sz w:val="26"/>
          <w:szCs w:val="26"/>
        </w:rPr>
      </w:pPr>
      <w:bookmarkStart w:name="_Hlk99015313" w:id="2"/>
      <w:r w:rsidRPr="000976D8">
        <w:rPr>
          <w:rFonts w:ascii="Times New Roman" w:hAnsi="Times New Roman" w:cs="Times New Roman"/>
          <w:b/>
          <w:bCs/>
          <w:sz w:val="26"/>
          <w:szCs w:val="26"/>
          <w:u w:val="single"/>
        </w:rPr>
        <w:t>Total Annual Cost</w:t>
      </w:r>
      <w:r w:rsidR="00966DB6">
        <w:rPr>
          <w:rFonts w:ascii="Times New Roman" w:hAnsi="Times New Roman" w:cs="Times New Roman"/>
          <w:b/>
          <w:bCs/>
          <w:sz w:val="26"/>
          <w:szCs w:val="26"/>
          <w:u w:val="single"/>
        </w:rPr>
        <w:t xml:space="preserve"> Burden</w:t>
      </w:r>
      <w:r w:rsidRPr="001B775E">
        <w:rPr>
          <w:rFonts w:ascii="Times New Roman" w:hAnsi="Times New Roman" w:cs="Times New Roman"/>
          <w:sz w:val="26"/>
          <w:szCs w:val="26"/>
        </w:rPr>
        <w:t xml:space="preserve">: </w:t>
      </w:r>
      <w:r w:rsidRPr="000976D8">
        <w:rPr>
          <w:rFonts w:ascii="Times New Roman" w:hAnsi="Times New Roman" w:cs="Times New Roman"/>
          <w:sz w:val="26"/>
          <w:szCs w:val="26"/>
        </w:rPr>
        <w:t>$5,009,444</w:t>
      </w:r>
      <w:r w:rsidRPr="001B775E">
        <w:rPr>
          <w:rFonts w:ascii="Times New Roman" w:hAnsi="Times New Roman" w:cs="Times New Roman"/>
          <w:sz w:val="26"/>
          <w:szCs w:val="26"/>
        </w:rPr>
        <w:t xml:space="preserve"> (</w:t>
      </w:r>
      <w:r w:rsidR="00B526CB">
        <w:rPr>
          <w:rFonts w:ascii="Times New Roman" w:hAnsi="Times New Roman" w:cs="Times New Roman"/>
          <w:sz w:val="26"/>
          <w:szCs w:val="26"/>
        </w:rPr>
        <w:t>FERC Form No. 60, FERC-</w:t>
      </w:r>
      <w:proofErr w:type="gramStart"/>
      <w:r w:rsidR="00B526CB">
        <w:rPr>
          <w:rFonts w:ascii="Times New Roman" w:hAnsi="Times New Roman" w:cs="Times New Roman"/>
          <w:sz w:val="26"/>
          <w:szCs w:val="26"/>
        </w:rPr>
        <w:t>61</w:t>
      </w:r>
      <w:proofErr w:type="gramEnd"/>
      <w:r w:rsidR="00B526CB">
        <w:rPr>
          <w:rFonts w:ascii="Times New Roman" w:hAnsi="Times New Roman" w:cs="Times New Roman"/>
          <w:sz w:val="26"/>
          <w:szCs w:val="26"/>
        </w:rPr>
        <w:t xml:space="preserve"> and FERC 555-A Labor Cost</w:t>
      </w:r>
      <w:r w:rsidRPr="001B775E">
        <w:rPr>
          <w:rFonts w:ascii="Times New Roman" w:hAnsi="Times New Roman" w:cs="Times New Roman"/>
          <w:sz w:val="26"/>
          <w:szCs w:val="26"/>
        </w:rPr>
        <w:t>) + $49,148</w:t>
      </w:r>
      <w:r w:rsidR="007B1783">
        <w:rPr>
          <w:rFonts w:ascii="Times New Roman" w:hAnsi="Times New Roman" w:cs="Times New Roman"/>
          <w:sz w:val="26"/>
          <w:szCs w:val="26"/>
        </w:rPr>
        <w:t xml:space="preserve"> </w:t>
      </w:r>
      <w:r w:rsidRPr="001B775E">
        <w:rPr>
          <w:rFonts w:ascii="Times New Roman" w:hAnsi="Times New Roman" w:cs="Times New Roman"/>
          <w:sz w:val="26"/>
          <w:szCs w:val="26"/>
        </w:rPr>
        <w:t>(</w:t>
      </w:r>
      <w:r w:rsidR="00B526CB">
        <w:rPr>
          <w:rFonts w:ascii="Times New Roman" w:hAnsi="Times New Roman" w:cs="Times New Roman"/>
          <w:sz w:val="26"/>
          <w:szCs w:val="26"/>
        </w:rPr>
        <w:t xml:space="preserve">FERC 555-A </w:t>
      </w:r>
      <w:r w:rsidRPr="001B775E">
        <w:rPr>
          <w:rFonts w:ascii="Times New Roman" w:hAnsi="Times New Roman" w:cs="Times New Roman"/>
          <w:sz w:val="26"/>
          <w:szCs w:val="26"/>
        </w:rPr>
        <w:t xml:space="preserve">Record Retention </w:t>
      </w:r>
      <w:r w:rsidR="00B526CB">
        <w:rPr>
          <w:rFonts w:ascii="Times New Roman" w:hAnsi="Times New Roman" w:cs="Times New Roman"/>
          <w:sz w:val="26"/>
          <w:szCs w:val="26"/>
        </w:rPr>
        <w:t>S</w:t>
      </w:r>
      <w:r w:rsidRPr="001B775E">
        <w:rPr>
          <w:rFonts w:ascii="Times New Roman" w:hAnsi="Times New Roman" w:cs="Times New Roman"/>
          <w:sz w:val="26"/>
          <w:szCs w:val="26"/>
        </w:rPr>
        <w:t xml:space="preserve">torage </w:t>
      </w:r>
      <w:r w:rsidR="00B526CB">
        <w:rPr>
          <w:rFonts w:ascii="Times New Roman" w:hAnsi="Times New Roman" w:cs="Times New Roman"/>
          <w:sz w:val="26"/>
          <w:szCs w:val="26"/>
        </w:rPr>
        <w:t>C</w:t>
      </w:r>
      <w:r w:rsidRPr="001B775E">
        <w:rPr>
          <w:rFonts w:ascii="Times New Roman" w:hAnsi="Times New Roman" w:cs="Times New Roman"/>
          <w:sz w:val="26"/>
          <w:szCs w:val="26"/>
        </w:rPr>
        <w:t>ost) = $5,058,592.</w:t>
      </w:r>
    </w:p>
    <w:bookmarkEnd w:id="2"/>
    <w:p w:rsidRPr="001B775E" w:rsidR="001B775E" w:rsidP="001B775E" w:rsidRDefault="00966DB6" w14:paraId="68F40FE8" w14:textId="388B459D">
      <w:pPr>
        <w:spacing w:line="480" w:lineRule="auto"/>
        <w:rPr>
          <w:rFonts w:ascii="Times New Roman" w:hAnsi="Times New Roman" w:cs="Times New Roman"/>
          <w:sz w:val="26"/>
          <w:szCs w:val="26"/>
        </w:rPr>
      </w:pPr>
      <w:r w:rsidRPr="000976D8">
        <w:rPr>
          <w:rFonts w:ascii="Times New Roman" w:hAnsi="Times New Roman" w:cs="Times New Roman"/>
          <w:b/>
          <w:bCs/>
          <w:sz w:val="26"/>
          <w:szCs w:val="26"/>
          <w:u w:val="single"/>
        </w:rPr>
        <w:t>B</w:t>
      </w:r>
      <w:r w:rsidRPr="000976D8" w:rsidR="001B775E">
        <w:rPr>
          <w:rFonts w:ascii="Times New Roman" w:hAnsi="Times New Roman" w:cs="Times New Roman"/>
          <w:b/>
          <w:bCs/>
          <w:sz w:val="26"/>
          <w:szCs w:val="26"/>
          <w:u w:val="single"/>
        </w:rPr>
        <w:t xml:space="preserve">reakdown </w:t>
      </w:r>
      <w:r>
        <w:rPr>
          <w:rFonts w:ascii="Times New Roman" w:hAnsi="Times New Roman" w:cs="Times New Roman"/>
          <w:b/>
          <w:bCs/>
          <w:sz w:val="26"/>
          <w:szCs w:val="26"/>
          <w:u w:val="single"/>
        </w:rPr>
        <w:t xml:space="preserve">of </w:t>
      </w:r>
      <w:r w:rsidRPr="000976D8">
        <w:rPr>
          <w:rFonts w:ascii="Times New Roman" w:hAnsi="Times New Roman" w:cs="Times New Roman"/>
          <w:b/>
          <w:bCs/>
          <w:sz w:val="26"/>
          <w:szCs w:val="26"/>
          <w:u w:val="single"/>
        </w:rPr>
        <w:t>C</w:t>
      </w:r>
      <w:r w:rsidRPr="000976D8" w:rsidR="001B775E">
        <w:rPr>
          <w:rFonts w:ascii="Times New Roman" w:hAnsi="Times New Roman" w:cs="Times New Roman"/>
          <w:b/>
          <w:bCs/>
          <w:sz w:val="26"/>
          <w:szCs w:val="26"/>
          <w:u w:val="single"/>
        </w:rPr>
        <w:t xml:space="preserve">ost </w:t>
      </w:r>
      <w:r w:rsidRPr="000976D8">
        <w:rPr>
          <w:rFonts w:ascii="Times New Roman" w:hAnsi="Times New Roman" w:cs="Times New Roman"/>
          <w:b/>
          <w:bCs/>
          <w:sz w:val="26"/>
          <w:szCs w:val="26"/>
          <w:u w:val="single"/>
        </w:rPr>
        <w:t>C</w:t>
      </w:r>
      <w:r w:rsidRPr="000976D8" w:rsidR="001B775E">
        <w:rPr>
          <w:rFonts w:ascii="Times New Roman" w:hAnsi="Times New Roman" w:cs="Times New Roman"/>
          <w:b/>
          <w:bCs/>
          <w:sz w:val="26"/>
          <w:szCs w:val="26"/>
          <w:u w:val="single"/>
        </w:rPr>
        <w:t>ategories</w:t>
      </w:r>
      <w:r w:rsidRPr="001B775E" w:rsidR="001B775E">
        <w:rPr>
          <w:rFonts w:ascii="Times New Roman" w:hAnsi="Times New Roman" w:cs="Times New Roman"/>
          <w:sz w:val="26"/>
          <w:szCs w:val="26"/>
        </w:rPr>
        <w:t>:</w:t>
      </w:r>
    </w:p>
    <w:p w:rsidRPr="001B775E" w:rsidR="001B775E" w:rsidP="001B775E" w:rsidRDefault="001B775E" w14:paraId="76131DA1" w14:textId="04298FF9">
      <w:pPr>
        <w:spacing w:line="480" w:lineRule="auto"/>
        <w:rPr>
          <w:rFonts w:ascii="Times New Roman" w:hAnsi="Times New Roman" w:cs="Times New Roman"/>
          <w:sz w:val="26"/>
          <w:szCs w:val="26"/>
        </w:rPr>
      </w:pPr>
      <w:r w:rsidRPr="001B775E">
        <w:rPr>
          <w:rFonts w:ascii="Times New Roman" w:hAnsi="Times New Roman" w:cs="Times New Roman"/>
          <w:sz w:val="26"/>
          <w:szCs w:val="26"/>
        </w:rPr>
        <w:lastRenderedPageBreak/>
        <w:tab/>
      </w:r>
      <w:r w:rsidRPr="001B775E">
        <w:rPr>
          <w:rFonts w:ascii="Times New Roman" w:hAnsi="Times New Roman" w:cs="Times New Roman"/>
          <w:b/>
          <w:sz w:val="26"/>
          <w:szCs w:val="26"/>
          <w:u w:val="single"/>
        </w:rPr>
        <w:t>Labor Cost</w:t>
      </w:r>
      <w:r w:rsidRPr="001B775E">
        <w:rPr>
          <w:rFonts w:ascii="Times New Roman" w:hAnsi="Times New Roman" w:cs="Times New Roman"/>
          <w:b/>
          <w:sz w:val="26"/>
          <w:szCs w:val="26"/>
        </w:rPr>
        <w:t>:</w:t>
      </w:r>
      <w:r w:rsidRPr="001B775E">
        <w:rPr>
          <w:rFonts w:ascii="Times New Roman" w:hAnsi="Times New Roman" w:cs="Times New Roman"/>
          <w:sz w:val="26"/>
          <w:szCs w:val="26"/>
        </w:rPr>
        <w:t xml:space="preserve"> The total estimated annual cost for labor burden to respondents is $5,009,444 [$285,012 (FERC Form No. 60) + $3,520 (FERC-61) + $4,720,912 (FERC-555A)]</w:t>
      </w:r>
      <w:r w:rsidR="00966DB6">
        <w:rPr>
          <w:rFonts w:ascii="Times New Roman" w:hAnsi="Times New Roman" w:cs="Times New Roman"/>
          <w:sz w:val="26"/>
          <w:szCs w:val="26"/>
        </w:rPr>
        <w:t>.  The Labor Cost was calculated for each collection as follows:</w:t>
      </w:r>
    </w:p>
    <w:p w:rsidRPr="001B775E" w:rsidR="001B775E" w:rsidP="001B775E" w:rsidRDefault="001B775E" w14:paraId="5664AE56" w14:textId="77777777">
      <w:pPr>
        <w:spacing w:line="480" w:lineRule="auto"/>
        <w:ind w:firstLine="720"/>
        <w:rPr>
          <w:rFonts w:ascii="Times New Roman" w:hAnsi="Times New Roman" w:cs="Times New Roman"/>
          <w:sz w:val="26"/>
          <w:szCs w:val="26"/>
        </w:rPr>
      </w:pPr>
      <w:r w:rsidRPr="001B775E">
        <w:rPr>
          <w:rFonts w:ascii="Times New Roman" w:hAnsi="Times New Roman" w:cs="Times New Roman"/>
          <w:sz w:val="26"/>
          <w:szCs w:val="26"/>
          <w:u w:val="single"/>
        </w:rPr>
        <w:t>FERC Form No. 60</w:t>
      </w:r>
      <w:r w:rsidRPr="001B775E">
        <w:rPr>
          <w:rFonts w:ascii="Times New Roman" w:hAnsi="Times New Roman" w:cs="Times New Roman"/>
          <w:sz w:val="26"/>
          <w:szCs w:val="26"/>
        </w:rPr>
        <w:t>:  42 respondents x $6,786 per respondent = $285,012</w:t>
      </w:r>
    </w:p>
    <w:p w:rsidRPr="001B775E" w:rsidR="001B775E" w:rsidP="001B775E" w:rsidRDefault="001B775E" w14:paraId="6F80F507" w14:textId="77777777">
      <w:pPr>
        <w:spacing w:line="480" w:lineRule="auto"/>
        <w:ind w:firstLine="720"/>
        <w:rPr>
          <w:rFonts w:ascii="Times New Roman" w:hAnsi="Times New Roman" w:cs="Times New Roman"/>
          <w:sz w:val="26"/>
          <w:szCs w:val="26"/>
        </w:rPr>
      </w:pPr>
      <w:r w:rsidRPr="001B775E">
        <w:rPr>
          <w:rFonts w:ascii="Times New Roman" w:hAnsi="Times New Roman" w:cs="Times New Roman"/>
          <w:sz w:val="26"/>
          <w:szCs w:val="26"/>
          <w:u w:val="single"/>
        </w:rPr>
        <w:t>FERC-61</w:t>
      </w:r>
      <w:r w:rsidRPr="001B775E">
        <w:rPr>
          <w:rFonts w:ascii="Times New Roman" w:hAnsi="Times New Roman" w:cs="Times New Roman"/>
          <w:sz w:val="26"/>
          <w:szCs w:val="26"/>
        </w:rPr>
        <w:t>:  80 respondents x $44 per respondent = $3,520</w:t>
      </w:r>
    </w:p>
    <w:p w:rsidRPr="001B775E" w:rsidR="001B775E" w:rsidP="001B775E" w:rsidRDefault="001B775E" w14:paraId="4144FAF0" w14:textId="77777777">
      <w:pPr>
        <w:spacing w:line="480" w:lineRule="auto"/>
        <w:ind w:firstLine="720"/>
        <w:rPr>
          <w:rFonts w:ascii="Times New Roman" w:hAnsi="Times New Roman" w:cs="Times New Roman"/>
          <w:i/>
          <w:sz w:val="26"/>
          <w:szCs w:val="26"/>
        </w:rPr>
      </w:pPr>
      <w:r w:rsidRPr="001B775E">
        <w:rPr>
          <w:rFonts w:ascii="Times New Roman" w:hAnsi="Times New Roman" w:cs="Times New Roman"/>
          <w:iCs/>
          <w:sz w:val="26"/>
          <w:szCs w:val="26"/>
          <w:u w:val="single"/>
        </w:rPr>
        <w:t>FERC-555A</w:t>
      </w:r>
      <w:r w:rsidRPr="001B775E">
        <w:rPr>
          <w:rFonts w:ascii="Times New Roman" w:hAnsi="Times New Roman" w:cs="Times New Roman"/>
          <w:i/>
          <w:sz w:val="26"/>
          <w:szCs w:val="26"/>
          <w:u w:val="single"/>
        </w:rPr>
        <w:t>:</w:t>
      </w:r>
      <w:r w:rsidRPr="001B775E">
        <w:rPr>
          <w:rFonts w:ascii="Times New Roman" w:hAnsi="Times New Roman" w:cs="Times New Roman"/>
          <w:sz w:val="26"/>
          <w:szCs w:val="26"/>
        </w:rPr>
        <w:t xml:space="preserve"> 122 respondents x $38,696 per respondent = $4,720,912</w:t>
      </w:r>
    </w:p>
    <w:p w:rsidRPr="001B775E" w:rsidR="001B775E" w:rsidP="001B775E" w:rsidRDefault="00966DB6" w14:paraId="0E5BAA86" w14:textId="01077C97">
      <w:pPr>
        <w:spacing w:line="480" w:lineRule="auto"/>
        <w:ind w:firstLine="720"/>
        <w:rPr>
          <w:rFonts w:ascii="Times New Roman" w:hAnsi="Times New Roman" w:cs="Times New Roman"/>
          <w:sz w:val="26"/>
          <w:szCs w:val="26"/>
        </w:rPr>
      </w:pPr>
      <w:r>
        <w:rPr>
          <w:rFonts w:ascii="Times New Roman" w:hAnsi="Times New Roman" w:cs="Times New Roman"/>
          <w:b/>
          <w:sz w:val="26"/>
          <w:szCs w:val="26"/>
          <w:u w:val="single"/>
        </w:rPr>
        <w:t>Record Retention/</w:t>
      </w:r>
      <w:r w:rsidRPr="001B775E" w:rsidR="001B775E">
        <w:rPr>
          <w:rFonts w:ascii="Times New Roman" w:hAnsi="Times New Roman" w:cs="Times New Roman"/>
          <w:b/>
          <w:sz w:val="26"/>
          <w:szCs w:val="26"/>
          <w:u w:val="single"/>
        </w:rPr>
        <w:t>Storage Cost:</w:t>
      </w:r>
      <w:r w:rsidRPr="00720A08" w:rsidR="001B775E">
        <w:rPr>
          <w:rStyle w:val="FootnoteReference"/>
          <w:rFonts w:ascii="Times New Roman" w:hAnsi="Times New Roman" w:cs="Times New Roman"/>
          <w:sz w:val="26"/>
          <w:szCs w:val="26"/>
        </w:rPr>
        <w:footnoteReference w:id="13"/>
      </w:r>
      <w:r w:rsidRPr="001B775E" w:rsidR="001B775E">
        <w:rPr>
          <w:rFonts w:ascii="Times New Roman" w:hAnsi="Times New Roman" w:cs="Times New Roman"/>
          <w:b/>
          <w:sz w:val="26"/>
          <w:szCs w:val="26"/>
        </w:rPr>
        <w:t xml:space="preserve"> </w:t>
      </w:r>
      <w:r w:rsidRPr="001B775E" w:rsidR="001B775E">
        <w:rPr>
          <w:rFonts w:ascii="Times New Roman" w:hAnsi="Times New Roman" w:cs="Times New Roman"/>
          <w:sz w:val="26"/>
          <w:szCs w:val="26"/>
        </w:rPr>
        <w:t>In addition to the labor (burden cost provided above), there are additional costs that represent record retention and storage costs:</w:t>
      </w:r>
    </w:p>
    <w:p w:rsidRPr="001B775E" w:rsidR="001B775E" w:rsidP="001B775E" w:rsidRDefault="001B775E" w14:paraId="6DA98848" w14:textId="77777777">
      <w:pPr>
        <w:numPr>
          <w:ilvl w:val="0"/>
          <w:numId w:val="17"/>
        </w:numPr>
        <w:spacing w:after="0" w:line="480" w:lineRule="auto"/>
        <w:rPr>
          <w:rFonts w:ascii="Times New Roman" w:hAnsi="Times New Roman" w:cs="Times New Roman"/>
          <w:sz w:val="26"/>
          <w:szCs w:val="26"/>
        </w:rPr>
      </w:pPr>
      <w:r w:rsidRPr="001B775E">
        <w:rPr>
          <w:rFonts w:ascii="Times New Roman" w:hAnsi="Times New Roman" w:cs="Times New Roman"/>
          <w:sz w:val="26"/>
          <w:szCs w:val="26"/>
        </w:rPr>
        <w:t xml:space="preserve">Paper storage costs (using an estimate of 60 cubic feet x $6.46 per cubic foot): $387.60 per respondent annually.  Total annual paper storage cost to industry ($387.60 x 122 respondents): $47,287.  This estimate assumes that a respondent stores the same volume of paper as it did in the past and that the cost of such storage has not changed.  We expect that this estimate should trend downward over time as more companies move away from paper storage and rely more heavily on electronic storage. </w:t>
      </w:r>
    </w:p>
    <w:p w:rsidRPr="001B775E" w:rsidR="001B775E" w:rsidP="001B775E" w:rsidRDefault="001B775E" w14:paraId="1BDE1570" w14:textId="77777777">
      <w:pPr>
        <w:numPr>
          <w:ilvl w:val="0"/>
          <w:numId w:val="17"/>
        </w:numPr>
        <w:spacing w:after="0" w:line="480" w:lineRule="auto"/>
        <w:rPr>
          <w:rFonts w:ascii="Times New Roman" w:hAnsi="Times New Roman" w:cs="Times New Roman"/>
          <w:sz w:val="26"/>
          <w:szCs w:val="26"/>
        </w:rPr>
      </w:pPr>
      <w:r w:rsidRPr="001B775E">
        <w:rPr>
          <w:rFonts w:ascii="Times New Roman" w:hAnsi="Times New Roman" w:cs="Times New Roman"/>
          <w:sz w:val="26"/>
          <w:szCs w:val="26"/>
        </w:rPr>
        <w:t xml:space="preserve">Electronic storage costs: $15.25 per respondent annually.  Total annual electronic storage cost to industry ($15.25 x 122 respondents): $1,861.  This calculation retains the previous estimate that storage of 1GB per year is $15.25.  We expect that this estimate should trend downward over time </w:t>
      </w:r>
      <w:r w:rsidRPr="001B775E">
        <w:rPr>
          <w:rFonts w:ascii="Times New Roman" w:hAnsi="Times New Roman" w:cs="Times New Roman"/>
          <w:sz w:val="26"/>
          <w:szCs w:val="26"/>
        </w:rPr>
        <w:lastRenderedPageBreak/>
        <w:t xml:space="preserve">as the cost of electronic storage technology, including cloud storage, continues to decrease.  For example, external hard drives of approximately 500GB are available for approximately $50.  In addition, cloud storage plans from multiple providers for 1TB of storage (with a reasonable </w:t>
      </w:r>
      <w:proofErr w:type="gramStart"/>
      <w:r w:rsidRPr="001B775E">
        <w:rPr>
          <w:rFonts w:ascii="Times New Roman" w:hAnsi="Times New Roman" w:cs="Times New Roman"/>
          <w:sz w:val="26"/>
          <w:szCs w:val="26"/>
        </w:rPr>
        <w:t>amount</w:t>
      </w:r>
      <w:proofErr w:type="gramEnd"/>
      <w:r w:rsidRPr="001B775E">
        <w:rPr>
          <w:rFonts w:ascii="Times New Roman" w:hAnsi="Times New Roman" w:cs="Times New Roman"/>
          <w:sz w:val="26"/>
          <w:szCs w:val="26"/>
        </w:rPr>
        <w:t xml:space="preserve"> of requests and data transfers) are available for less than $35 per month.   </w:t>
      </w:r>
    </w:p>
    <w:p w:rsidRPr="002671BE" w:rsidR="002671BE" w:rsidP="001B775E" w:rsidRDefault="002671BE" w14:paraId="08DC914B" w14:textId="77777777">
      <w:pPr>
        <w:spacing w:after="0" w:line="276" w:lineRule="auto"/>
        <w:rPr>
          <w:rFonts w:ascii="Times New Roman" w:hAnsi="Times New Roman" w:cs="Times New Roman"/>
          <w:b/>
          <w:sz w:val="26"/>
          <w:szCs w:val="26"/>
        </w:rPr>
      </w:pPr>
    </w:p>
    <w:p w:rsidRPr="00FB148F" w:rsidR="00EE07DD" w:rsidP="005E5E49" w:rsidRDefault="00EE07DD" w14:paraId="253F5B2A" w14:textId="77777777">
      <w:pPr>
        <w:numPr>
          <w:ilvl w:val="0"/>
          <w:numId w:val="2"/>
        </w:numPr>
        <w:spacing w:after="0" w:line="276"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rsidR="00EE07DD" w:rsidP="0035596B" w:rsidRDefault="00EE07DD" w14:paraId="0A9916BB" w14:textId="15A63138">
      <w:pPr>
        <w:spacing w:after="0" w:line="276" w:lineRule="auto"/>
        <w:rPr>
          <w:rFonts w:ascii="Times New Roman" w:hAnsi="Times New Roman" w:cs="Times New Roman"/>
          <w:sz w:val="26"/>
          <w:szCs w:val="26"/>
        </w:rPr>
      </w:pPr>
    </w:p>
    <w:p w:rsidRPr="002671BE" w:rsidR="002671BE" w:rsidP="002671BE" w:rsidRDefault="00E2127C" w14:paraId="180F02AE" w14:textId="5575AA26">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There are no </w:t>
      </w:r>
      <w:r w:rsidR="00652DB6">
        <w:rPr>
          <w:rFonts w:ascii="Times New Roman" w:hAnsi="Times New Roman" w:cs="Times New Roman"/>
          <w:sz w:val="26"/>
          <w:szCs w:val="26"/>
        </w:rPr>
        <w:t xml:space="preserve">capital or </w:t>
      </w:r>
      <w:r>
        <w:rPr>
          <w:rFonts w:ascii="Times New Roman" w:hAnsi="Times New Roman" w:cs="Times New Roman"/>
          <w:sz w:val="26"/>
          <w:szCs w:val="26"/>
        </w:rPr>
        <w:t>start-up costs</w:t>
      </w:r>
      <w:r w:rsidRPr="00652DB6" w:rsidR="00652DB6">
        <w:rPr>
          <w:rFonts w:ascii="Times New Roman" w:hAnsi="Times New Roman" w:cs="Times New Roman"/>
          <w:sz w:val="26"/>
          <w:szCs w:val="26"/>
        </w:rPr>
        <w:t xml:space="preserve"> related to this information collection request.  </w:t>
      </w:r>
      <w:r w:rsidRPr="002671BE" w:rsidR="002671BE">
        <w:rPr>
          <w:rFonts w:ascii="Times New Roman" w:hAnsi="Times New Roman" w:cs="Times New Roman"/>
          <w:sz w:val="26"/>
          <w:szCs w:val="26"/>
        </w:rPr>
        <w:t>All costs for FERC</w:t>
      </w:r>
      <w:r w:rsidR="00DB1603">
        <w:rPr>
          <w:rFonts w:ascii="Times New Roman" w:hAnsi="Times New Roman" w:cs="Times New Roman"/>
          <w:sz w:val="26"/>
          <w:szCs w:val="26"/>
        </w:rPr>
        <w:t xml:space="preserve"> Form No.</w:t>
      </w:r>
      <w:r>
        <w:rPr>
          <w:rFonts w:ascii="Times New Roman" w:hAnsi="Times New Roman" w:cs="Times New Roman"/>
          <w:sz w:val="26"/>
          <w:szCs w:val="26"/>
        </w:rPr>
        <w:t xml:space="preserve"> </w:t>
      </w:r>
      <w:r w:rsidRPr="002671BE" w:rsidR="002671BE">
        <w:rPr>
          <w:rFonts w:ascii="Times New Roman" w:hAnsi="Times New Roman" w:cs="Times New Roman"/>
          <w:sz w:val="26"/>
          <w:szCs w:val="26"/>
        </w:rPr>
        <w:t xml:space="preserve">60 and </w:t>
      </w:r>
      <w:r w:rsidR="00DB1603">
        <w:rPr>
          <w:rFonts w:ascii="Times New Roman" w:hAnsi="Times New Roman" w:cs="Times New Roman"/>
          <w:sz w:val="26"/>
          <w:szCs w:val="26"/>
        </w:rPr>
        <w:t>FERC</w:t>
      </w:r>
      <w:r w:rsidRPr="002671BE" w:rsidR="002671BE">
        <w:rPr>
          <w:rFonts w:ascii="Times New Roman" w:hAnsi="Times New Roman" w:cs="Times New Roman"/>
          <w:sz w:val="26"/>
          <w:szCs w:val="26"/>
        </w:rPr>
        <w:t xml:space="preserve">-61 are related to </w:t>
      </w:r>
      <w:r w:rsidR="00A25678">
        <w:rPr>
          <w:rFonts w:ascii="Times New Roman" w:hAnsi="Times New Roman" w:cs="Times New Roman"/>
          <w:sz w:val="26"/>
          <w:szCs w:val="26"/>
        </w:rPr>
        <w:t xml:space="preserve">labor </w:t>
      </w:r>
      <w:r w:rsidRPr="002671BE" w:rsidR="002671BE">
        <w:rPr>
          <w:rFonts w:ascii="Times New Roman" w:hAnsi="Times New Roman" w:cs="Times New Roman"/>
          <w:sz w:val="26"/>
          <w:szCs w:val="26"/>
        </w:rPr>
        <w:t>burden hours</w:t>
      </w:r>
      <w:r w:rsidR="00A25678">
        <w:rPr>
          <w:rFonts w:ascii="Times New Roman" w:hAnsi="Times New Roman" w:cs="Times New Roman"/>
          <w:sz w:val="26"/>
          <w:szCs w:val="26"/>
        </w:rPr>
        <w:t xml:space="preserve">.  In addition, the costs for the </w:t>
      </w:r>
      <w:r w:rsidRPr="002671BE" w:rsidR="002671BE">
        <w:rPr>
          <w:rFonts w:ascii="Times New Roman" w:hAnsi="Times New Roman" w:cs="Times New Roman"/>
          <w:sz w:val="26"/>
          <w:szCs w:val="26"/>
        </w:rPr>
        <w:t>FERC-555A</w:t>
      </w:r>
      <w:r w:rsidR="00A25678">
        <w:rPr>
          <w:rFonts w:ascii="Times New Roman" w:hAnsi="Times New Roman" w:cs="Times New Roman"/>
          <w:sz w:val="26"/>
          <w:szCs w:val="26"/>
        </w:rPr>
        <w:t xml:space="preserve"> includes </w:t>
      </w:r>
      <w:r w:rsidR="00085D69">
        <w:rPr>
          <w:rFonts w:ascii="Times New Roman" w:hAnsi="Times New Roman" w:cs="Times New Roman"/>
          <w:sz w:val="26"/>
          <w:szCs w:val="26"/>
        </w:rPr>
        <w:t xml:space="preserve">a labor burden and </w:t>
      </w:r>
      <w:r w:rsidR="00A25678">
        <w:rPr>
          <w:rFonts w:ascii="Times New Roman" w:hAnsi="Times New Roman" w:cs="Times New Roman"/>
          <w:sz w:val="26"/>
          <w:szCs w:val="26"/>
        </w:rPr>
        <w:t>a storage burden</w:t>
      </w:r>
      <w:r w:rsidRPr="002671BE" w:rsidR="002671BE">
        <w:rPr>
          <w:rFonts w:ascii="Times New Roman" w:hAnsi="Times New Roman" w:cs="Times New Roman"/>
          <w:sz w:val="26"/>
          <w:szCs w:val="26"/>
        </w:rPr>
        <w:t>.</w:t>
      </w:r>
      <w:r w:rsidR="00A25678">
        <w:rPr>
          <w:rFonts w:ascii="Times New Roman" w:hAnsi="Times New Roman" w:cs="Times New Roman"/>
          <w:sz w:val="26"/>
          <w:szCs w:val="26"/>
        </w:rPr>
        <w:t xml:space="preserve">  See Sections 12 (above)</w:t>
      </w:r>
      <w:r>
        <w:rPr>
          <w:rFonts w:ascii="Times New Roman" w:hAnsi="Times New Roman" w:cs="Times New Roman"/>
          <w:sz w:val="26"/>
          <w:szCs w:val="26"/>
        </w:rPr>
        <w:t xml:space="preserve"> and 15 (below) in this supporting statement</w:t>
      </w:r>
      <w:r w:rsidR="00A25678">
        <w:rPr>
          <w:rFonts w:ascii="Times New Roman" w:hAnsi="Times New Roman" w:cs="Times New Roman"/>
          <w:sz w:val="26"/>
          <w:szCs w:val="26"/>
        </w:rPr>
        <w:t>.</w:t>
      </w:r>
    </w:p>
    <w:p w:rsidRPr="002671BE" w:rsidR="002671BE" w:rsidP="002671BE" w:rsidRDefault="002671BE" w14:paraId="12E68290" w14:textId="77777777">
      <w:pPr>
        <w:spacing w:after="0" w:line="276" w:lineRule="auto"/>
        <w:rPr>
          <w:rFonts w:ascii="Times New Roman" w:hAnsi="Times New Roman" w:cs="Times New Roman"/>
          <w:sz w:val="26"/>
          <w:szCs w:val="26"/>
        </w:rPr>
      </w:pPr>
    </w:p>
    <w:p w:rsidRPr="002671BE" w:rsidR="002671BE" w:rsidP="002671BE" w:rsidRDefault="002671BE" w14:paraId="302B8E61" w14:textId="0ACFAF4F">
      <w:pPr>
        <w:spacing w:after="0" w:line="276" w:lineRule="auto"/>
        <w:rPr>
          <w:rFonts w:ascii="Times New Roman" w:hAnsi="Times New Roman" w:cs="Times New Roman"/>
          <w:sz w:val="26"/>
          <w:szCs w:val="26"/>
        </w:rPr>
      </w:pPr>
      <w:r w:rsidRPr="000B04BA">
        <w:rPr>
          <w:rFonts w:ascii="Times New Roman" w:hAnsi="Times New Roman" w:cs="Times New Roman"/>
          <w:sz w:val="26"/>
          <w:szCs w:val="26"/>
          <w:u w:val="single"/>
        </w:rPr>
        <w:t>Total Capital and Start-up cost</w:t>
      </w:r>
      <w:r w:rsidRPr="002671BE">
        <w:rPr>
          <w:rFonts w:ascii="Times New Roman" w:hAnsi="Times New Roman" w:cs="Times New Roman"/>
          <w:sz w:val="26"/>
          <w:szCs w:val="26"/>
        </w:rPr>
        <w:t>: $0</w:t>
      </w:r>
    </w:p>
    <w:p w:rsidRPr="002671BE" w:rsidR="002671BE" w:rsidP="002671BE" w:rsidRDefault="002671BE" w14:paraId="1201DE55" w14:textId="2B51FE7F">
      <w:pPr>
        <w:spacing w:after="0" w:line="276" w:lineRule="auto"/>
        <w:rPr>
          <w:rFonts w:ascii="Times New Roman" w:hAnsi="Times New Roman" w:cs="Times New Roman"/>
          <w:sz w:val="26"/>
          <w:szCs w:val="26"/>
        </w:rPr>
      </w:pPr>
      <w:r w:rsidRPr="000B04BA">
        <w:rPr>
          <w:rFonts w:ascii="Times New Roman" w:hAnsi="Times New Roman" w:cs="Times New Roman"/>
          <w:sz w:val="26"/>
          <w:szCs w:val="26"/>
          <w:u w:val="single"/>
        </w:rPr>
        <w:t>Total Operation, Maintenance, and Purchase of Services for FERC-555A</w:t>
      </w:r>
      <w:r w:rsidR="008B2F4C">
        <w:rPr>
          <w:rFonts w:ascii="Times New Roman" w:hAnsi="Times New Roman" w:cs="Times New Roman"/>
          <w:sz w:val="26"/>
          <w:szCs w:val="26"/>
        </w:rPr>
        <w:t>: $</w:t>
      </w:r>
      <w:r w:rsidR="00640254">
        <w:rPr>
          <w:rFonts w:ascii="Times New Roman" w:hAnsi="Times New Roman" w:cs="Times New Roman"/>
          <w:sz w:val="26"/>
          <w:szCs w:val="26"/>
        </w:rPr>
        <w:t>49,148</w:t>
      </w:r>
    </w:p>
    <w:p w:rsidRPr="002671BE" w:rsidR="002671BE" w:rsidP="002671BE" w:rsidRDefault="002671BE" w14:paraId="6CBB141B" w14:textId="3BD4F05D">
      <w:pPr>
        <w:spacing w:after="0" w:line="276" w:lineRule="auto"/>
        <w:rPr>
          <w:rFonts w:ascii="Times New Roman" w:hAnsi="Times New Roman" w:cs="Times New Roman"/>
          <w:sz w:val="26"/>
          <w:szCs w:val="26"/>
        </w:rPr>
      </w:pPr>
      <w:r w:rsidRPr="000B04BA">
        <w:rPr>
          <w:rFonts w:ascii="Times New Roman" w:hAnsi="Times New Roman" w:cs="Times New Roman"/>
          <w:sz w:val="26"/>
          <w:szCs w:val="26"/>
          <w:u w:val="single"/>
        </w:rPr>
        <w:t xml:space="preserve">For the FERC-555A, </w:t>
      </w:r>
      <w:r w:rsidR="008B2F4C">
        <w:rPr>
          <w:rFonts w:ascii="Times New Roman" w:hAnsi="Times New Roman" w:cs="Times New Roman"/>
          <w:sz w:val="26"/>
          <w:szCs w:val="26"/>
          <w:u w:val="single"/>
        </w:rPr>
        <w:t xml:space="preserve">a breakdown of </w:t>
      </w:r>
      <w:r w:rsidRPr="000B04BA">
        <w:rPr>
          <w:rFonts w:ascii="Times New Roman" w:hAnsi="Times New Roman" w:cs="Times New Roman"/>
          <w:sz w:val="26"/>
          <w:szCs w:val="26"/>
          <w:u w:val="single"/>
        </w:rPr>
        <w:t>costs</w:t>
      </w:r>
      <w:r w:rsidR="008B2F4C">
        <w:rPr>
          <w:rFonts w:ascii="Times New Roman" w:hAnsi="Times New Roman" w:cs="Times New Roman"/>
          <w:sz w:val="26"/>
          <w:szCs w:val="26"/>
          <w:u w:val="single"/>
        </w:rPr>
        <w:t xml:space="preserve"> associated with Operation, Maintenance, and Purchase of Services follows</w:t>
      </w:r>
      <w:r w:rsidR="00057CB1">
        <w:rPr>
          <w:rFonts w:ascii="Times New Roman" w:hAnsi="Times New Roman" w:cs="Times New Roman"/>
          <w:sz w:val="26"/>
          <w:szCs w:val="26"/>
        </w:rPr>
        <w:t>:</w:t>
      </w:r>
    </w:p>
    <w:p w:rsidRPr="002671BE" w:rsidR="002671BE" w:rsidP="002671BE" w:rsidRDefault="002671BE" w14:paraId="5FFF369C" w14:textId="360B2F1A">
      <w:pPr>
        <w:numPr>
          <w:ilvl w:val="0"/>
          <w:numId w:val="18"/>
        </w:numPr>
        <w:spacing w:after="0" w:line="276" w:lineRule="auto"/>
        <w:rPr>
          <w:rFonts w:ascii="Times New Roman" w:hAnsi="Times New Roman" w:cs="Times New Roman"/>
          <w:sz w:val="26"/>
          <w:szCs w:val="26"/>
        </w:rPr>
      </w:pPr>
      <w:r w:rsidRPr="002671BE">
        <w:rPr>
          <w:rFonts w:ascii="Times New Roman" w:hAnsi="Times New Roman" w:cs="Times New Roman"/>
          <w:sz w:val="26"/>
          <w:szCs w:val="26"/>
        </w:rPr>
        <w:t xml:space="preserve">50% of the records are paper.  </w:t>
      </w:r>
      <w:r w:rsidR="006963CA">
        <w:rPr>
          <w:rFonts w:ascii="Times New Roman" w:hAnsi="Times New Roman" w:cs="Times New Roman"/>
          <w:sz w:val="26"/>
          <w:szCs w:val="26"/>
        </w:rPr>
        <w:t>Annual p</w:t>
      </w:r>
      <w:r w:rsidRPr="002671BE">
        <w:rPr>
          <w:rFonts w:ascii="Times New Roman" w:hAnsi="Times New Roman" w:cs="Times New Roman"/>
          <w:sz w:val="26"/>
          <w:szCs w:val="26"/>
        </w:rPr>
        <w:t xml:space="preserve">aper storage costs </w:t>
      </w:r>
      <w:r w:rsidR="00057CB1">
        <w:rPr>
          <w:rFonts w:ascii="Times New Roman" w:hAnsi="Times New Roman" w:cs="Times New Roman"/>
          <w:sz w:val="26"/>
          <w:szCs w:val="26"/>
        </w:rPr>
        <w:t>(using an estimate of 60 ft</w:t>
      </w:r>
      <w:r w:rsidRPr="006963CA" w:rsidR="00057CB1">
        <w:rPr>
          <w:rFonts w:ascii="Times New Roman" w:hAnsi="Times New Roman" w:cs="Times New Roman"/>
          <w:sz w:val="26"/>
          <w:szCs w:val="26"/>
          <w:vertAlign w:val="superscript"/>
        </w:rPr>
        <w:t>3</w:t>
      </w:r>
      <w:r w:rsidR="006963CA">
        <w:rPr>
          <w:rFonts w:ascii="Times New Roman" w:hAnsi="Times New Roman" w:cs="Times New Roman"/>
          <w:sz w:val="26"/>
          <w:szCs w:val="26"/>
        </w:rPr>
        <w:t>/respondent</w:t>
      </w:r>
      <w:r w:rsidR="00057CB1">
        <w:rPr>
          <w:rFonts w:ascii="Times New Roman" w:hAnsi="Times New Roman" w:cs="Times New Roman"/>
          <w:sz w:val="26"/>
          <w:szCs w:val="26"/>
        </w:rPr>
        <w:t xml:space="preserve"> * $6.46/ft</w:t>
      </w:r>
      <w:r w:rsidRPr="006963CA" w:rsidR="00057CB1">
        <w:rPr>
          <w:rFonts w:ascii="Times New Roman" w:hAnsi="Times New Roman" w:cs="Times New Roman"/>
          <w:sz w:val="26"/>
          <w:szCs w:val="26"/>
          <w:vertAlign w:val="superscript"/>
        </w:rPr>
        <w:t>3</w:t>
      </w:r>
      <w:r w:rsidR="006963CA">
        <w:rPr>
          <w:rFonts w:ascii="Times New Roman" w:hAnsi="Times New Roman" w:cs="Times New Roman"/>
          <w:sz w:val="26"/>
          <w:szCs w:val="26"/>
          <w:vertAlign w:val="superscript"/>
        </w:rPr>
        <w:t xml:space="preserve"> </w:t>
      </w:r>
      <w:r w:rsidR="006963CA">
        <w:rPr>
          <w:rFonts w:ascii="Times New Roman" w:hAnsi="Times New Roman" w:cs="Times New Roman"/>
          <w:sz w:val="26"/>
          <w:szCs w:val="26"/>
        </w:rPr>
        <w:t>= $387.60/respondent</w:t>
      </w:r>
      <w:r w:rsidR="00057CB1">
        <w:rPr>
          <w:rFonts w:ascii="Times New Roman" w:hAnsi="Times New Roman" w:cs="Times New Roman"/>
          <w:sz w:val="26"/>
          <w:szCs w:val="26"/>
        </w:rPr>
        <w:t xml:space="preserve">): </w:t>
      </w:r>
      <w:r w:rsidR="006963CA">
        <w:rPr>
          <w:rFonts w:ascii="Times New Roman" w:hAnsi="Times New Roman" w:cs="Times New Roman"/>
          <w:sz w:val="26"/>
          <w:szCs w:val="26"/>
        </w:rPr>
        <w:t>$387.60/respondent * 1</w:t>
      </w:r>
      <w:r w:rsidR="00C83B00">
        <w:rPr>
          <w:rFonts w:ascii="Times New Roman" w:hAnsi="Times New Roman" w:cs="Times New Roman"/>
          <w:sz w:val="26"/>
          <w:szCs w:val="26"/>
        </w:rPr>
        <w:t xml:space="preserve">22 </w:t>
      </w:r>
      <w:r w:rsidR="006963CA">
        <w:rPr>
          <w:rFonts w:ascii="Times New Roman" w:hAnsi="Times New Roman" w:cs="Times New Roman"/>
          <w:sz w:val="26"/>
          <w:szCs w:val="26"/>
        </w:rPr>
        <w:t xml:space="preserve">respondents = </w:t>
      </w:r>
      <w:r w:rsidR="00057CB1">
        <w:rPr>
          <w:rFonts w:ascii="Times New Roman" w:hAnsi="Times New Roman" w:cs="Times New Roman"/>
          <w:sz w:val="26"/>
          <w:szCs w:val="26"/>
        </w:rPr>
        <w:t>$</w:t>
      </w:r>
      <w:r w:rsidRPr="001B775E" w:rsidR="00C83B00">
        <w:rPr>
          <w:rFonts w:ascii="Times New Roman" w:hAnsi="Times New Roman" w:cs="Times New Roman"/>
          <w:sz w:val="26"/>
          <w:szCs w:val="26"/>
        </w:rPr>
        <w:t>47,287</w:t>
      </w:r>
    </w:p>
    <w:p w:rsidR="002671BE" w:rsidP="002671BE" w:rsidRDefault="002671BE" w14:paraId="5CDEE09A" w14:textId="634A32CB">
      <w:pPr>
        <w:numPr>
          <w:ilvl w:val="0"/>
          <w:numId w:val="18"/>
        </w:numPr>
        <w:spacing w:after="0" w:line="276" w:lineRule="auto"/>
        <w:rPr>
          <w:rFonts w:ascii="Times New Roman" w:hAnsi="Times New Roman" w:cs="Times New Roman"/>
          <w:sz w:val="26"/>
          <w:szCs w:val="26"/>
        </w:rPr>
      </w:pPr>
      <w:r w:rsidRPr="002671BE">
        <w:rPr>
          <w:rFonts w:ascii="Times New Roman" w:hAnsi="Times New Roman" w:cs="Times New Roman"/>
          <w:sz w:val="26"/>
          <w:szCs w:val="26"/>
        </w:rPr>
        <w:t xml:space="preserve">50% of the records are electronic.  </w:t>
      </w:r>
      <w:r w:rsidR="006963CA">
        <w:rPr>
          <w:rFonts w:ascii="Times New Roman" w:hAnsi="Times New Roman" w:cs="Times New Roman"/>
          <w:sz w:val="26"/>
          <w:szCs w:val="26"/>
        </w:rPr>
        <w:t>Annual e</w:t>
      </w:r>
      <w:r w:rsidRPr="002671BE">
        <w:rPr>
          <w:rFonts w:ascii="Times New Roman" w:hAnsi="Times New Roman" w:cs="Times New Roman"/>
          <w:sz w:val="26"/>
          <w:szCs w:val="26"/>
        </w:rPr>
        <w:t>lectronic storage cost is $15.25/year</w:t>
      </w:r>
      <w:r w:rsidR="00057CB1">
        <w:rPr>
          <w:rFonts w:ascii="Times New Roman" w:hAnsi="Times New Roman" w:cs="Times New Roman"/>
          <w:sz w:val="26"/>
          <w:szCs w:val="26"/>
        </w:rPr>
        <w:t xml:space="preserve"> for each entity, or $</w:t>
      </w:r>
      <w:r w:rsidRPr="001B775E" w:rsidR="00C83B00">
        <w:rPr>
          <w:rFonts w:ascii="Times New Roman" w:hAnsi="Times New Roman" w:cs="Times New Roman"/>
          <w:sz w:val="26"/>
          <w:szCs w:val="26"/>
        </w:rPr>
        <w:t>1,861</w:t>
      </w:r>
      <w:r w:rsidR="00A21098">
        <w:rPr>
          <w:rFonts w:ascii="Times New Roman" w:hAnsi="Times New Roman" w:cs="Times New Roman"/>
          <w:sz w:val="26"/>
          <w:szCs w:val="26"/>
        </w:rPr>
        <w:t xml:space="preserve"> </w:t>
      </w:r>
      <w:r w:rsidRPr="002671BE">
        <w:rPr>
          <w:rFonts w:ascii="Times New Roman" w:hAnsi="Times New Roman" w:cs="Times New Roman"/>
          <w:sz w:val="26"/>
          <w:szCs w:val="26"/>
        </w:rPr>
        <w:t xml:space="preserve">for all </w:t>
      </w:r>
      <w:r w:rsidR="006963CA">
        <w:rPr>
          <w:rFonts w:ascii="Times New Roman" w:hAnsi="Times New Roman" w:cs="Times New Roman"/>
          <w:sz w:val="26"/>
          <w:szCs w:val="26"/>
        </w:rPr>
        <w:t>1</w:t>
      </w:r>
      <w:r w:rsidR="00C83B00">
        <w:rPr>
          <w:rFonts w:ascii="Times New Roman" w:hAnsi="Times New Roman" w:cs="Times New Roman"/>
          <w:sz w:val="26"/>
          <w:szCs w:val="26"/>
        </w:rPr>
        <w:t>22</w:t>
      </w:r>
      <w:r w:rsidR="006963CA">
        <w:rPr>
          <w:rFonts w:ascii="Times New Roman" w:hAnsi="Times New Roman" w:cs="Times New Roman"/>
          <w:sz w:val="26"/>
          <w:szCs w:val="26"/>
        </w:rPr>
        <w:t xml:space="preserve"> respondents (1</w:t>
      </w:r>
      <w:r w:rsidR="00C83B00">
        <w:rPr>
          <w:rFonts w:ascii="Times New Roman" w:hAnsi="Times New Roman" w:cs="Times New Roman"/>
          <w:sz w:val="26"/>
          <w:szCs w:val="26"/>
        </w:rPr>
        <w:t>22 r</w:t>
      </w:r>
      <w:r w:rsidR="006963CA">
        <w:rPr>
          <w:rFonts w:ascii="Times New Roman" w:hAnsi="Times New Roman" w:cs="Times New Roman"/>
          <w:sz w:val="26"/>
          <w:szCs w:val="26"/>
        </w:rPr>
        <w:t xml:space="preserve">espondents * $15.25/respondent = $ </w:t>
      </w:r>
      <w:r w:rsidRPr="001B775E" w:rsidR="00C83B00">
        <w:rPr>
          <w:rFonts w:ascii="Times New Roman" w:hAnsi="Times New Roman" w:cs="Times New Roman"/>
          <w:sz w:val="26"/>
          <w:szCs w:val="26"/>
        </w:rPr>
        <w:t>1,861</w:t>
      </w:r>
      <w:r w:rsidR="006963CA">
        <w:rPr>
          <w:rFonts w:ascii="Times New Roman" w:hAnsi="Times New Roman" w:cs="Times New Roman"/>
          <w:sz w:val="26"/>
          <w:szCs w:val="26"/>
        </w:rPr>
        <w:t>).</w:t>
      </w:r>
    </w:p>
    <w:p w:rsidRPr="002671BE" w:rsidR="006963CA" w:rsidP="006963CA" w:rsidRDefault="006963CA" w14:paraId="4F7CF816" w14:textId="11998E23">
      <w:pPr>
        <w:spacing w:after="0" w:line="276" w:lineRule="auto"/>
        <w:ind w:left="1440"/>
        <w:rPr>
          <w:rFonts w:ascii="Times New Roman" w:hAnsi="Times New Roman" w:cs="Times New Roman"/>
          <w:sz w:val="26"/>
          <w:szCs w:val="26"/>
        </w:rPr>
      </w:pPr>
    </w:p>
    <w:p w:rsidRPr="002671BE" w:rsidR="002671BE" w:rsidP="002671BE" w:rsidRDefault="002671BE" w14:paraId="6D5B5D4B" w14:textId="1E0D621A">
      <w:pPr>
        <w:spacing w:after="0" w:line="276" w:lineRule="auto"/>
        <w:rPr>
          <w:rFonts w:ascii="Times New Roman" w:hAnsi="Times New Roman" w:cs="Times New Roman"/>
          <w:sz w:val="26"/>
          <w:szCs w:val="26"/>
        </w:rPr>
      </w:pPr>
      <w:r w:rsidRPr="002671BE">
        <w:rPr>
          <w:rFonts w:ascii="Times New Roman" w:hAnsi="Times New Roman" w:cs="Times New Roman"/>
          <w:sz w:val="26"/>
          <w:szCs w:val="26"/>
        </w:rPr>
        <w:t xml:space="preserve">Total </w:t>
      </w:r>
      <w:r w:rsidR="006963CA">
        <w:rPr>
          <w:rFonts w:ascii="Times New Roman" w:hAnsi="Times New Roman" w:cs="Times New Roman"/>
          <w:sz w:val="26"/>
          <w:szCs w:val="26"/>
        </w:rPr>
        <w:t xml:space="preserve">annual </w:t>
      </w:r>
      <w:r w:rsidRPr="002671BE">
        <w:rPr>
          <w:rFonts w:ascii="Times New Roman" w:hAnsi="Times New Roman" w:cs="Times New Roman"/>
          <w:sz w:val="26"/>
          <w:szCs w:val="26"/>
        </w:rPr>
        <w:t>record storage cost for FERC-555</w:t>
      </w:r>
      <w:r w:rsidR="00057CB1">
        <w:rPr>
          <w:rFonts w:ascii="Times New Roman" w:hAnsi="Times New Roman" w:cs="Times New Roman"/>
          <w:sz w:val="26"/>
          <w:szCs w:val="26"/>
        </w:rPr>
        <w:t>A for all entities is $</w:t>
      </w:r>
      <w:r w:rsidRPr="005111E7" w:rsidR="00705642">
        <w:rPr>
          <w:rFonts w:ascii="Times New Roman" w:hAnsi="Times New Roman" w:cs="Times New Roman"/>
          <w:sz w:val="26"/>
          <w:szCs w:val="26"/>
        </w:rPr>
        <w:t>49,148</w:t>
      </w:r>
      <w:r w:rsidRPr="005111E7" w:rsidR="006963CA">
        <w:rPr>
          <w:rFonts w:ascii="Times New Roman" w:hAnsi="Times New Roman" w:cs="Times New Roman"/>
          <w:sz w:val="26"/>
          <w:szCs w:val="26"/>
        </w:rPr>
        <w:t xml:space="preserve"> ($</w:t>
      </w:r>
      <w:r w:rsidRPr="005111E7" w:rsidR="005A0862">
        <w:rPr>
          <w:rFonts w:ascii="Times New Roman" w:hAnsi="Times New Roman" w:cs="Times New Roman"/>
          <w:sz w:val="26"/>
          <w:szCs w:val="26"/>
        </w:rPr>
        <w:t xml:space="preserve">47,287 </w:t>
      </w:r>
      <w:r w:rsidRPr="005111E7" w:rsidR="006963CA">
        <w:rPr>
          <w:rFonts w:ascii="Times New Roman" w:hAnsi="Times New Roman" w:cs="Times New Roman"/>
          <w:sz w:val="26"/>
          <w:szCs w:val="26"/>
        </w:rPr>
        <w:t>+ $</w:t>
      </w:r>
      <w:r w:rsidRPr="005111E7" w:rsidR="005A0862">
        <w:rPr>
          <w:rFonts w:ascii="Times New Roman" w:hAnsi="Times New Roman" w:cs="Times New Roman"/>
          <w:sz w:val="26"/>
          <w:szCs w:val="26"/>
        </w:rPr>
        <w:t>1,861</w:t>
      </w:r>
      <w:r w:rsidRPr="005111E7" w:rsidR="006963CA">
        <w:rPr>
          <w:rFonts w:ascii="Times New Roman" w:hAnsi="Times New Roman" w:cs="Times New Roman"/>
          <w:sz w:val="26"/>
          <w:szCs w:val="26"/>
        </w:rPr>
        <w:t>= $</w:t>
      </w:r>
      <w:r w:rsidRPr="005111E7" w:rsidR="005A0862">
        <w:rPr>
          <w:rFonts w:ascii="Times New Roman" w:hAnsi="Times New Roman" w:cs="Times New Roman"/>
          <w:sz w:val="26"/>
          <w:szCs w:val="26"/>
        </w:rPr>
        <w:t>49,148</w:t>
      </w:r>
      <w:r w:rsidRPr="005111E7" w:rsidR="000B04BA">
        <w:rPr>
          <w:rFonts w:ascii="Times New Roman" w:hAnsi="Times New Roman" w:cs="Times New Roman"/>
          <w:sz w:val="26"/>
          <w:szCs w:val="26"/>
        </w:rPr>
        <w:t>)</w:t>
      </w:r>
      <w:r w:rsidRPr="005111E7">
        <w:rPr>
          <w:rFonts w:ascii="Times New Roman" w:hAnsi="Times New Roman" w:cs="Times New Roman"/>
          <w:sz w:val="26"/>
          <w:szCs w:val="26"/>
        </w:rPr>
        <w:t>.</w:t>
      </w:r>
    </w:p>
    <w:p w:rsidRPr="001A153B" w:rsidR="00EE07DD" w:rsidP="005E5E49" w:rsidRDefault="00EE07DD" w14:paraId="4369C45D" w14:textId="3BBC6255">
      <w:pPr>
        <w:spacing w:after="0" w:line="276" w:lineRule="auto"/>
        <w:rPr>
          <w:rFonts w:ascii="Times New Roman" w:hAnsi="Times New Roman" w:cs="Times New Roman"/>
          <w:sz w:val="26"/>
          <w:szCs w:val="26"/>
        </w:rPr>
      </w:pPr>
    </w:p>
    <w:p w:rsidRPr="001A153B" w:rsidR="00EE07DD" w:rsidP="005E5E49" w:rsidRDefault="00EE07DD" w14:paraId="4B9EF89B"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rsidRPr="001A153B" w:rsidR="00EE07DD" w:rsidP="005E5E49" w:rsidRDefault="00EE07DD" w14:paraId="34543224" w14:textId="77777777">
      <w:pPr>
        <w:spacing w:after="0" w:line="276" w:lineRule="auto"/>
        <w:rPr>
          <w:rFonts w:ascii="Times New Roman" w:hAnsi="Times New Roman" w:cs="Times New Roman"/>
          <w:sz w:val="26"/>
          <w:szCs w:val="26"/>
        </w:rPr>
      </w:pPr>
    </w:p>
    <w:p w:rsidRPr="000D140E" w:rsidR="000D140E" w:rsidP="000D140E" w:rsidRDefault="000D140E" w14:paraId="47DF58CB" w14:textId="77777777">
      <w:pPr>
        <w:spacing w:after="0" w:line="276" w:lineRule="auto"/>
        <w:rPr>
          <w:rFonts w:ascii="Times New Roman" w:hAnsi="Times New Roman" w:cs="Times New Roman"/>
          <w:sz w:val="26"/>
          <w:szCs w:val="26"/>
        </w:rPr>
      </w:pPr>
      <w:r w:rsidRPr="000D140E">
        <w:rPr>
          <w:rFonts w:ascii="Times New Roman" w:hAnsi="Times New Roman" w:cs="Times New Roman"/>
          <w:sz w:val="26"/>
          <w:szCs w:val="26"/>
        </w:rPr>
        <w:lastRenderedPageBreak/>
        <w:t>The estimate of the cost for ‘analysis and processing of filings’</w:t>
      </w:r>
      <w:r w:rsidRPr="000D140E">
        <w:rPr>
          <w:rFonts w:ascii="Times New Roman" w:hAnsi="Times New Roman" w:cs="Times New Roman"/>
          <w:sz w:val="26"/>
          <w:szCs w:val="26"/>
          <w:vertAlign w:val="superscript"/>
        </w:rPr>
        <w:footnoteReference w:id="14"/>
      </w:r>
      <w:r w:rsidRPr="000D140E">
        <w:rPr>
          <w:rFonts w:ascii="Times New Roman" w:hAnsi="Times New Roman" w:cs="Times New Roman"/>
          <w:sz w:val="26"/>
          <w:szCs w:val="26"/>
          <w:vertAlign w:val="superscript"/>
        </w:rPr>
        <w:t xml:space="preserve"> </w:t>
      </w:r>
      <w:r w:rsidRPr="000D140E">
        <w:rPr>
          <w:rFonts w:ascii="Times New Roman" w:hAnsi="Times New Roman" w:cs="Times New Roman"/>
          <w:sz w:val="26"/>
          <w:szCs w:val="26"/>
        </w:rP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2021, as noted.)</w:t>
      </w:r>
    </w:p>
    <w:p w:rsidR="000D140E" w:rsidP="005E5E49" w:rsidRDefault="000D140E" w14:paraId="0960A5CD" w14:textId="77777777">
      <w:pPr>
        <w:spacing w:after="0" w:line="276" w:lineRule="auto"/>
        <w:rPr>
          <w:rFonts w:ascii="Times New Roman" w:hAnsi="Times New Roman" w:cs="Times New Roman"/>
          <w:sz w:val="26"/>
          <w:szCs w:val="26"/>
        </w:rPr>
      </w:pPr>
    </w:p>
    <w:p w:rsidRPr="001A153B" w:rsidR="00EE07DD" w:rsidP="005E5E49" w:rsidRDefault="00EE07DD" w14:paraId="1D14609A" w14:textId="1D99A0EB">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w:t>
      </w:r>
      <w:r w:rsidRPr="005C3272" w:rsidR="005C3272">
        <w:rPr>
          <w:rFonts w:ascii="Times New Roman" w:hAnsi="Times New Roman" w:cs="Times New Roman"/>
          <w:sz w:val="26"/>
          <w:szCs w:val="26"/>
        </w:rPr>
        <w:t xml:space="preserve">Paperwork Reduction Act </w:t>
      </w:r>
      <w:r w:rsidR="005C3272">
        <w:rPr>
          <w:rFonts w:ascii="Times New Roman" w:hAnsi="Times New Roman" w:cs="Times New Roman"/>
          <w:sz w:val="26"/>
          <w:szCs w:val="26"/>
        </w:rPr>
        <w:t>(</w:t>
      </w:r>
      <w:r w:rsidRPr="001A153B">
        <w:rPr>
          <w:rFonts w:ascii="Times New Roman" w:hAnsi="Times New Roman" w:cs="Times New Roman"/>
          <w:sz w:val="26"/>
          <w:szCs w:val="26"/>
        </w:rPr>
        <w:t>PRA</w:t>
      </w:r>
      <w:r w:rsidR="005C3272">
        <w:rPr>
          <w:rFonts w:ascii="Times New Roman" w:hAnsi="Times New Roman" w:cs="Times New Roman"/>
          <w:sz w:val="26"/>
          <w:szCs w:val="26"/>
        </w:rPr>
        <w:t>)</w:t>
      </w:r>
      <w:r w:rsidRPr="001A153B">
        <w:rPr>
          <w:rFonts w:ascii="Times New Roman" w:hAnsi="Times New Roman" w:cs="Times New Roman"/>
          <w:sz w:val="26"/>
          <w:szCs w:val="26"/>
        </w:rPr>
        <w:t xml:space="preserve"> Administ</w:t>
      </w:r>
      <w:r w:rsidR="001F499B">
        <w:rPr>
          <w:rFonts w:ascii="Times New Roman" w:hAnsi="Times New Roman" w:cs="Times New Roman"/>
          <w:sz w:val="26"/>
          <w:szCs w:val="26"/>
        </w:rPr>
        <w:t>rative Cost (estimate of $</w:t>
      </w:r>
      <w:r w:rsidR="00821764">
        <w:rPr>
          <w:rFonts w:ascii="Times New Roman" w:hAnsi="Times New Roman" w:cs="Times New Roman"/>
          <w:sz w:val="26"/>
          <w:szCs w:val="26"/>
        </w:rPr>
        <w:t>8</w:t>
      </w:r>
      <w:r w:rsidR="001F499B">
        <w:rPr>
          <w:rFonts w:ascii="Times New Roman" w:hAnsi="Times New Roman" w:cs="Times New Roman"/>
          <w:sz w:val="26"/>
          <w:szCs w:val="26"/>
        </w:rPr>
        <w:t>,</w:t>
      </w:r>
      <w:r w:rsidR="00F00627">
        <w:rPr>
          <w:rFonts w:ascii="Times New Roman" w:hAnsi="Times New Roman" w:cs="Times New Roman"/>
          <w:sz w:val="26"/>
          <w:szCs w:val="26"/>
        </w:rPr>
        <w:t>273</w:t>
      </w:r>
      <w:r w:rsidRPr="001A153B">
        <w:rPr>
          <w:rFonts w:ascii="Times New Roman" w:hAnsi="Times New Roman" w:cs="Times New Roman"/>
          <w:sz w:val="26"/>
          <w:szCs w:val="26"/>
        </w:rPr>
        <w:t xml:space="preserve"> per collection annually) is </w:t>
      </w:r>
      <w:r w:rsidR="00347B6B">
        <w:rPr>
          <w:rFonts w:ascii="Times New Roman" w:hAnsi="Times New Roman" w:cs="Times New Roman"/>
          <w:sz w:val="26"/>
          <w:szCs w:val="26"/>
        </w:rPr>
        <w:t xml:space="preserve">the average annual FERC cost </w:t>
      </w:r>
      <w:r w:rsidRPr="001A153B">
        <w:rPr>
          <w:rFonts w:ascii="Times New Roman" w:hAnsi="Times New Roman" w:cs="Times New Roman"/>
          <w:sz w:val="26"/>
          <w:szCs w:val="26"/>
        </w:rPr>
        <w:t>associated with preparing, issuing, and submitting materials necessary to comply with the PRA of 1995 for rulemakings, orders, or any other vehicle used to create, m</w:t>
      </w:r>
      <w:r w:rsidR="007C2290">
        <w:rPr>
          <w:rFonts w:ascii="Times New Roman" w:hAnsi="Times New Roman" w:cs="Times New Roman"/>
          <w:sz w:val="26"/>
          <w:szCs w:val="26"/>
        </w:rPr>
        <w:t>o</w:t>
      </w:r>
      <w:r w:rsidRPr="001A153B">
        <w:rPr>
          <w:rFonts w:ascii="Times New Roman" w:hAnsi="Times New Roman" w:cs="Times New Roman"/>
          <w:sz w:val="26"/>
          <w:szCs w:val="26"/>
        </w:rPr>
        <w:t xml:space="preserve">dify, extend, or discontinue an information collection.  </w:t>
      </w:r>
      <w:r w:rsidR="00347B6B">
        <w:rPr>
          <w:rFonts w:ascii="Times New Roman" w:hAnsi="Times New Roman" w:cs="Times New Roman"/>
          <w:sz w:val="26"/>
          <w:szCs w:val="26"/>
        </w:rPr>
        <w:t xml:space="preserve">It also includes the cost of publishing the necessary notices </w:t>
      </w:r>
      <w:r w:rsidR="003706A1">
        <w:rPr>
          <w:rFonts w:ascii="Times New Roman" w:hAnsi="Times New Roman" w:cs="Times New Roman"/>
          <w:sz w:val="26"/>
          <w:szCs w:val="26"/>
        </w:rPr>
        <w:t>in the Federal Register</w:t>
      </w:r>
      <w:r w:rsidRPr="001A153B">
        <w:rPr>
          <w:rFonts w:ascii="Times New Roman" w:hAnsi="Times New Roman" w:cs="Times New Roman"/>
          <w:sz w:val="26"/>
          <w:szCs w:val="26"/>
        </w:rPr>
        <w:t xml:space="preserve">. </w:t>
      </w:r>
    </w:p>
    <w:p w:rsidRPr="001A153B" w:rsidR="0030502F" w:rsidP="005E5E49" w:rsidRDefault="0030502F" w14:paraId="5CA5884B" w14:textId="77777777">
      <w:pPr>
        <w:spacing w:after="0" w:line="276"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1A153B" w:rsidR="00EE07DD" w:rsidTr="000D140E" w14:paraId="5CB0A7F2"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1A153B" w:rsidR="00EE07DD" w:rsidP="00041CA6" w:rsidRDefault="00EE07DD" w14:paraId="4A1D8286" w14:textId="77777777">
            <w:pPr>
              <w:spacing w:after="0"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1A153B" w:rsidR="00EE07DD" w:rsidP="00041CA6" w:rsidRDefault="00EE07DD" w14:paraId="692519AE"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1A153B" w:rsidR="00EE07DD" w:rsidP="00041CA6" w:rsidRDefault="00EE07DD" w14:paraId="4F572198"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Pr="001A153B" w:rsidR="00EE07DD" w:rsidTr="000D140E" w14:paraId="786C7D04" w14:textId="77777777">
        <w:tc>
          <w:tcPr>
            <w:tcW w:w="3182" w:type="dxa"/>
            <w:tcBorders>
              <w:top w:val="single" w:color="auto" w:sz="4" w:space="0"/>
              <w:left w:val="single" w:color="auto" w:sz="4" w:space="0"/>
              <w:bottom w:val="single" w:color="auto" w:sz="4" w:space="0"/>
              <w:right w:val="single" w:color="auto" w:sz="4" w:space="0"/>
            </w:tcBorders>
            <w:hideMark/>
          </w:tcPr>
          <w:p w:rsidRPr="001A153B" w:rsidR="00EE07DD" w:rsidP="00041CA6" w:rsidRDefault="00EE07DD" w14:paraId="0027E60E" w14:textId="27507E38">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bookmarkStart w:name="_Ref5801728" w:id="3"/>
            <w:r w:rsidRPr="001A153B">
              <w:rPr>
                <w:rFonts w:ascii="Times New Roman" w:hAnsi="Times New Roman" w:cs="Times New Roman"/>
                <w:sz w:val="26"/>
                <w:szCs w:val="26"/>
                <w:vertAlign w:val="superscript"/>
              </w:rPr>
              <w:footnoteReference w:id="15"/>
            </w:r>
            <w:bookmarkEnd w:id="3"/>
            <w:r w:rsidR="006963CA">
              <w:rPr>
                <w:rFonts w:ascii="Times New Roman" w:hAnsi="Times New Roman" w:cs="Times New Roman"/>
                <w:sz w:val="26"/>
                <w:szCs w:val="26"/>
              </w:rPr>
              <w:t xml:space="preserve"> for FERC Form No. 60</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1A153B" w:rsidR="00EE07DD" w:rsidP="00041CA6" w:rsidRDefault="00EE07DD" w14:paraId="15B15339" w14:textId="2F8CCEB1">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r w:rsidR="006963CA">
              <w:rPr>
                <w:rFonts w:ascii="Times New Roman" w:hAnsi="Times New Roman" w:cs="Times New Roman"/>
                <w:sz w:val="26"/>
                <w:szCs w:val="26"/>
              </w:rPr>
              <w:t>.5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1A153B" w:rsidR="00EE07DD" w:rsidP="00041CA6" w:rsidRDefault="000441D9" w14:paraId="4ED264A9" w14:textId="105F8B0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F56268" w:rsidR="00F56268">
              <w:rPr>
                <w:rFonts w:ascii="Times New Roman" w:hAnsi="Times New Roman" w:cs="Times New Roman"/>
                <w:sz w:val="26"/>
                <w:szCs w:val="26"/>
              </w:rPr>
              <w:t>90,</w:t>
            </w:r>
            <w:r w:rsidR="00EC0B52">
              <w:rPr>
                <w:rFonts w:ascii="Times New Roman" w:hAnsi="Times New Roman" w:cs="Times New Roman"/>
                <w:sz w:val="26"/>
                <w:szCs w:val="26"/>
              </w:rPr>
              <w:t>352</w:t>
            </w:r>
          </w:p>
        </w:tc>
      </w:tr>
      <w:tr w:rsidRPr="001A153B" w:rsidR="006963CA" w:rsidTr="000D140E" w14:paraId="11F92432" w14:textId="77777777">
        <w:tc>
          <w:tcPr>
            <w:tcW w:w="3182" w:type="dxa"/>
            <w:tcBorders>
              <w:top w:val="single" w:color="auto" w:sz="4" w:space="0"/>
              <w:left w:val="single" w:color="auto" w:sz="4" w:space="0"/>
              <w:bottom w:val="single" w:color="auto" w:sz="4" w:space="0"/>
              <w:right w:val="single" w:color="auto" w:sz="4" w:space="0"/>
            </w:tcBorders>
          </w:tcPr>
          <w:p w:rsidRPr="001A153B" w:rsidR="006963CA" w:rsidP="00041CA6" w:rsidRDefault="00EA71E7" w14:paraId="2EC5ADF6" w14:textId="7DE97BAC">
            <w:pPr>
              <w:spacing w:after="0" w:line="240" w:lineRule="auto"/>
              <w:rPr>
                <w:rFonts w:ascii="Times New Roman" w:hAnsi="Times New Roman" w:cs="Times New Roman"/>
                <w:sz w:val="26"/>
                <w:szCs w:val="26"/>
              </w:rPr>
            </w:pPr>
            <w:r w:rsidRPr="00EA71E7">
              <w:rPr>
                <w:rFonts w:ascii="Times New Roman" w:hAnsi="Times New Roman" w:cs="Times New Roman"/>
                <w:sz w:val="26"/>
                <w:szCs w:val="26"/>
              </w:rPr>
              <w:t xml:space="preserve">Analysis and Processing of </w:t>
            </w:r>
            <w:r w:rsidRPr="00EA71E7" w:rsidR="00705642">
              <w:rPr>
                <w:rFonts w:ascii="Times New Roman" w:hAnsi="Times New Roman" w:cs="Times New Roman"/>
                <w:sz w:val="26"/>
                <w:szCs w:val="26"/>
              </w:rPr>
              <w:t>filings</w:t>
            </w:r>
            <w:r w:rsidR="00705642">
              <w:rPr>
                <w:rFonts w:ascii="Times New Roman" w:hAnsi="Times New Roman" w:cs="Times New Roman"/>
                <w:sz w:val="26"/>
                <w:szCs w:val="26"/>
                <w:vertAlign w:val="superscript"/>
              </w:rPr>
              <w:t>14</w:t>
            </w:r>
            <w:r w:rsidRPr="00EA71E7" w:rsidR="00705642">
              <w:rPr>
                <w:rFonts w:ascii="Times New Roman" w:hAnsi="Times New Roman" w:cs="Times New Roman"/>
                <w:sz w:val="26"/>
                <w:szCs w:val="26"/>
              </w:rPr>
              <w:t xml:space="preserve"> </w:t>
            </w:r>
            <w:r>
              <w:rPr>
                <w:rFonts w:ascii="Times New Roman" w:hAnsi="Times New Roman" w:cs="Times New Roman"/>
                <w:sz w:val="26"/>
                <w:szCs w:val="26"/>
              </w:rPr>
              <w:t xml:space="preserve">for </w:t>
            </w:r>
            <w:r w:rsidR="006963CA">
              <w:rPr>
                <w:rFonts w:ascii="Times New Roman" w:hAnsi="Times New Roman" w:cs="Times New Roman"/>
                <w:sz w:val="26"/>
                <w:szCs w:val="26"/>
              </w:rPr>
              <w:t>FERC-61</w:t>
            </w:r>
          </w:p>
        </w:tc>
        <w:tc>
          <w:tcPr>
            <w:tcW w:w="3201" w:type="dxa"/>
            <w:tcBorders>
              <w:top w:val="single" w:color="auto" w:sz="4" w:space="0"/>
              <w:left w:val="single" w:color="auto" w:sz="4" w:space="0"/>
              <w:bottom w:val="single" w:color="auto" w:sz="4" w:space="0"/>
              <w:right w:val="single" w:color="auto" w:sz="4" w:space="0"/>
            </w:tcBorders>
            <w:vAlign w:val="bottom"/>
          </w:tcPr>
          <w:p w:rsidRPr="001A153B" w:rsidR="006963CA" w:rsidP="00041CA6" w:rsidRDefault="006963CA" w14:paraId="70AF821E" w14:textId="645BC47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0.1</w:t>
            </w:r>
          </w:p>
        </w:tc>
        <w:tc>
          <w:tcPr>
            <w:tcW w:w="2995" w:type="dxa"/>
            <w:tcBorders>
              <w:top w:val="single" w:color="auto" w:sz="4" w:space="0"/>
              <w:left w:val="single" w:color="auto" w:sz="4" w:space="0"/>
              <w:bottom w:val="single" w:color="auto" w:sz="4" w:space="0"/>
              <w:right w:val="single" w:color="auto" w:sz="4" w:space="0"/>
            </w:tcBorders>
            <w:vAlign w:val="bottom"/>
          </w:tcPr>
          <w:p w:rsidRPr="001A153B" w:rsidR="006963CA" w:rsidP="00041CA6" w:rsidRDefault="000441D9" w14:paraId="181FAB3E" w14:textId="7548ACE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F56268" w:rsidR="00F56268">
              <w:rPr>
                <w:rFonts w:ascii="Times New Roman" w:hAnsi="Times New Roman" w:cs="Times New Roman"/>
                <w:sz w:val="26"/>
                <w:szCs w:val="26"/>
              </w:rPr>
              <w:t>18,070</w:t>
            </w:r>
          </w:p>
        </w:tc>
      </w:tr>
      <w:tr w:rsidRPr="001A153B" w:rsidR="006963CA" w:rsidTr="000D140E" w14:paraId="4779D0EA" w14:textId="77777777">
        <w:tc>
          <w:tcPr>
            <w:tcW w:w="3182" w:type="dxa"/>
            <w:tcBorders>
              <w:top w:val="single" w:color="auto" w:sz="4" w:space="0"/>
              <w:left w:val="single" w:color="auto" w:sz="4" w:space="0"/>
              <w:bottom w:val="single" w:color="auto" w:sz="4" w:space="0"/>
              <w:right w:val="single" w:color="auto" w:sz="4" w:space="0"/>
            </w:tcBorders>
          </w:tcPr>
          <w:p w:rsidRPr="001A153B" w:rsidR="006963CA" w:rsidP="00041CA6" w:rsidRDefault="00EA71E7" w14:paraId="23B0BF20" w14:textId="013A7039">
            <w:pPr>
              <w:spacing w:after="0" w:line="240" w:lineRule="auto"/>
              <w:rPr>
                <w:rFonts w:ascii="Times New Roman" w:hAnsi="Times New Roman" w:cs="Times New Roman"/>
                <w:sz w:val="26"/>
                <w:szCs w:val="26"/>
              </w:rPr>
            </w:pPr>
            <w:r w:rsidRPr="00EA71E7">
              <w:rPr>
                <w:rFonts w:ascii="Times New Roman" w:hAnsi="Times New Roman" w:cs="Times New Roman"/>
                <w:sz w:val="26"/>
                <w:szCs w:val="26"/>
              </w:rPr>
              <w:t xml:space="preserve">Analysis and Processing of filings </w:t>
            </w:r>
            <w:r>
              <w:rPr>
                <w:rFonts w:ascii="Times New Roman" w:hAnsi="Times New Roman" w:cs="Times New Roman"/>
                <w:sz w:val="26"/>
                <w:szCs w:val="26"/>
              </w:rPr>
              <w:t xml:space="preserve">for </w:t>
            </w:r>
            <w:r w:rsidR="006963CA">
              <w:rPr>
                <w:rFonts w:ascii="Times New Roman" w:hAnsi="Times New Roman" w:cs="Times New Roman"/>
                <w:sz w:val="26"/>
                <w:szCs w:val="26"/>
              </w:rPr>
              <w:t>FERC-555A</w:t>
            </w:r>
          </w:p>
        </w:tc>
        <w:tc>
          <w:tcPr>
            <w:tcW w:w="3201" w:type="dxa"/>
            <w:tcBorders>
              <w:top w:val="single" w:color="auto" w:sz="4" w:space="0"/>
              <w:left w:val="single" w:color="auto" w:sz="4" w:space="0"/>
              <w:bottom w:val="single" w:color="auto" w:sz="4" w:space="0"/>
              <w:right w:val="single" w:color="auto" w:sz="4" w:space="0"/>
            </w:tcBorders>
            <w:vAlign w:val="bottom"/>
          </w:tcPr>
          <w:p w:rsidRPr="000441D9" w:rsidR="006963CA" w:rsidRDefault="00E2127C" w14:paraId="4EA0E519" w14:textId="14520915">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0</w:t>
            </w:r>
          </w:p>
        </w:tc>
        <w:tc>
          <w:tcPr>
            <w:tcW w:w="2995" w:type="dxa"/>
            <w:tcBorders>
              <w:top w:val="single" w:color="auto" w:sz="4" w:space="0"/>
              <w:left w:val="single" w:color="auto" w:sz="4" w:space="0"/>
              <w:bottom w:val="single" w:color="auto" w:sz="4" w:space="0"/>
              <w:right w:val="single" w:color="auto" w:sz="4" w:space="0"/>
            </w:tcBorders>
            <w:vAlign w:val="bottom"/>
          </w:tcPr>
          <w:p w:rsidRPr="000441D9" w:rsidR="006963CA" w:rsidP="00041CA6" w:rsidRDefault="00E2127C" w14:paraId="0D81CBF3" w14:textId="2A331C9C">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$0</w:t>
            </w:r>
          </w:p>
        </w:tc>
      </w:tr>
      <w:tr w:rsidRPr="001A153B" w:rsidR="00EE07DD" w:rsidTr="000D140E" w14:paraId="58ADFFFD" w14:textId="77777777">
        <w:tc>
          <w:tcPr>
            <w:tcW w:w="3182" w:type="dxa"/>
            <w:tcBorders>
              <w:top w:val="single" w:color="auto" w:sz="4" w:space="0"/>
              <w:left w:val="single" w:color="auto" w:sz="4" w:space="0"/>
              <w:bottom w:val="single" w:color="auto" w:sz="4" w:space="0"/>
              <w:right w:val="single" w:color="auto" w:sz="4" w:space="0"/>
            </w:tcBorders>
            <w:hideMark/>
          </w:tcPr>
          <w:p w:rsidRPr="001A153B" w:rsidR="00EE07DD" w:rsidP="00A57102" w:rsidRDefault="00945E1B" w14:paraId="7504FBC2" w14:textId="79338A74">
            <w:pPr>
              <w:spacing w:after="0" w:line="240" w:lineRule="auto"/>
              <w:rPr>
                <w:rFonts w:ascii="Times New Roman" w:hAnsi="Times New Roman" w:cs="Times New Roman"/>
                <w:sz w:val="26"/>
                <w:szCs w:val="26"/>
              </w:rPr>
            </w:pPr>
            <w:r>
              <w:rPr>
                <w:rFonts w:ascii="Times New Roman" w:hAnsi="Times New Roman" w:cs="Times New Roman"/>
                <w:sz w:val="26"/>
                <w:szCs w:val="26"/>
              </w:rPr>
              <w:t>PRA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bottom"/>
          </w:tcPr>
          <w:p w:rsidRPr="000441D9" w:rsidR="00EE07DD" w:rsidP="00041CA6" w:rsidRDefault="00EE07DD" w14:paraId="5B3B44AD"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0441D9" w:rsidR="00EE07DD" w:rsidP="00041CA6" w:rsidRDefault="00EE07DD" w14:paraId="0BC67CCA" w14:textId="5C75FCBA">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w:t>
            </w:r>
            <w:r w:rsidR="00F56268">
              <w:rPr>
                <w:rFonts w:ascii="Times New Roman" w:hAnsi="Times New Roman" w:cs="Times New Roman"/>
                <w:sz w:val="26"/>
                <w:szCs w:val="26"/>
              </w:rPr>
              <w:t>8</w:t>
            </w:r>
            <w:r w:rsidRPr="000441D9" w:rsidR="00945E1B">
              <w:rPr>
                <w:rFonts w:ascii="Times New Roman" w:hAnsi="Times New Roman" w:cs="Times New Roman"/>
                <w:sz w:val="26"/>
                <w:szCs w:val="26"/>
              </w:rPr>
              <w:t>,</w:t>
            </w:r>
            <w:r w:rsidR="00F56268">
              <w:rPr>
                <w:rFonts w:ascii="Times New Roman" w:hAnsi="Times New Roman" w:cs="Times New Roman"/>
                <w:sz w:val="26"/>
                <w:szCs w:val="26"/>
              </w:rPr>
              <w:t>273</w:t>
            </w:r>
          </w:p>
        </w:tc>
      </w:tr>
      <w:tr w:rsidRPr="001A153B" w:rsidR="00EE07DD" w:rsidTr="000D140E" w14:paraId="05041B54" w14:textId="77777777">
        <w:tc>
          <w:tcPr>
            <w:tcW w:w="3182" w:type="dxa"/>
            <w:tcBorders>
              <w:top w:val="single" w:color="auto" w:sz="4" w:space="0"/>
              <w:left w:val="single" w:color="auto" w:sz="4" w:space="0"/>
              <w:bottom w:val="single" w:color="auto" w:sz="4" w:space="0"/>
              <w:right w:val="single" w:color="auto" w:sz="4" w:space="0"/>
            </w:tcBorders>
            <w:hideMark/>
          </w:tcPr>
          <w:p w:rsidRPr="001A153B" w:rsidR="00EE07DD" w:rsidP="00041CA6" w:rsidRDefault="00EE07DD" w14:paraId="26426600"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441D9" w:rsidR="00EE07DD" w:rsidP="00041CA6" w:rsidRDefault="00EE07DD" w14:paraId="5C4FE6B7"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0441D9" w:rsidR="00EE07DD" w:rsidRDefault="00EA71E7" w14:paraId="0052D6B9" w14:textId="135D2CE4">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w:t>
            </w:r>
            <w:r w:rsidR="007F4613">
              <w:rPr>
                <w:rFonts w:ascii="Times New Roman" w:hAnsi="Times New Roman" w:cs="Times New Roman"/>
                <w:sz w:val="26"/>
                <w:szCs w:val="26"/>
              </w:rPr>
              <w:t>116,695</w:t>
            </w:r>
          </w:p>
        </w:tc>
      </w:tr>
    </w:tbl>
    <w:p w:rsidRPr="001A153B" w:rsidR="00EE07DD" w:rsidP="005E5E49" w:rsidRDefault="00EE07DD" w14:paraId="099907C3" w14:textId="77777777">
      <w:pPr>
        <w:spacing w:after="0" w:line="276" w:lineRule="auto"/>
        <w:rPr>
          <w:rFonts w:ascii="Times New Roman" w:hAnsi="Times New Roman" w:cs="Times New Roman"/>
          <w:sz w:val="26"/>
          <w:szCs w:val="26"/>
        </w:rPr>
      </w:pPr>
    </w:p>
    <w:p w:rsidR="00EE07DD" w:rsidP="005E5E49" w:rsidRDefault="00EE07DD" w14:paraId="4ECB8610"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rsidR="002C34BC" w:rsidP="008B2F4C" w:rsidRDefault="002C34BC" w14:paraId="37CD359A" w14:textId="26694EBA">
      <w:pPr>
        <w:spacing w:after="0" w:line="276" w:lineRule="auto"/>
        <w:rPr>
          <w:rFonts w:ascii="Times New Roman" w:hAnsi="Times New Roman" w:cs="Times New Roman"/>
          <w:b/>
          <w:sz w:val="26"/>
          <w:szCs w:val="26"/>
        </w:rPr>
      </w:pPr>
    </w:p>
    <w:p w:rsidR="002C34BC" w:rsidP="008B2F4C" w:rsidRDefault="00365644" w14:paraId="26E47BAC" w14:textId="0927AF8E">
      <w:pPr>
        <w:spacing w:after="0" w:line="276" w:lineRule="auto"/>
        <w:rPr>
          <w:rFonts w:ascii="Times New Roman" w:hAnsi="Times New Roman" w:cs="Times New Roman"/>
          <w:sz w:val="26"/>
          <w:szCs w:val="26"/>
        </w:rPr>
      </w:pPr>
      <w:r w:rsidRPr="00794AD3">
        <w:rPr>
          <w:rFonts w:ascii="Times New Roman" w:hAnsi="Times New Roman" w:cs="Times New Roman"/>
          <w:b/>
          <w:sz w:val="26"/>
          <w:szCs w:val="26"/>
        </w:rPr>
        <w:t>Program changes.</w:t>
      </w:r>
      <w:r>
        <w:rPr>
          <w:rFonts w:ascii="Times New Roman" w:hAnsi="Times New Roman" w:cs="Times New Roman"/>
          <w:sz w:val="26"/>
          <w:szCs w:val="26"/>
        </w:rPr>
        <w:t xml:space="preserve">  </w:t>
      </w:r>
      <w:r w:rsidR="002C34BC">
        <w:rPr>
          <w:rFonts w:ascii="Times New Roman" w:hAnsi="Times New Roman" w:cs="Times New Roman"/>
          <w:sz w:val="26"/>
          <w:szCs w:val="26"/>
        </w:rPr>
        <w:t xml:space="preserve">There are no </w:t>
      </w:r>
      <w:r w:rsidR="00332E80">
        <w:rPr>
          <w:rFonts w:ascii="Times New Roman" w:hAnsi="Times New Roman" w:cs="Times New Roman"/>
          <w:sz w:val="26"/>
          <w:szCs w:val="26"/>
        </w:rPr>
        <w:t xml:space="preserve">program </w:t>
      </w:r>
      <w:r w:rsidR="002C34BC">
        <w:rPr>
          <w:rFonts w:ascii="Times New Roman" w:hAnsi="Times New Roman" w:cs="Times New Roman"/>
          <w:sz w:val="26"/>
          <w:szCs w:val="26"/>
        </w:rPr>
        <w:t xml:space="preserve">changes to the reporting </w:t>
      </w:r>
      <w:r>
        <w:rPr>
          <w:rFonts w:ascii="Times New Roman" w:hAnsi="Times New Roman" w:cs="Times New Roman"/>
          <w:sz w:val="26"/>
          <w:szCs w:val="26"/>
        </w:rPr>
        <w:t xml:space="preserve">or recordkeeping </w:t>
      </w:r>
      <w:r w:rsidR="002C34BC">
        <w:rPr>
          <w:rFonts w:ascii="Times New Roman" w:hAnsi="Times New Roman" w:cs="Times New Roman"/>
          <w:sz w:val="26"/>
          <w:szCs w:val="26"/>
        </w:rPr>
        <w:t>requirement</w:t>
      </w:r>
      <w:r>
        <w:rPr>
          <w:rFonts w:ascii="Times New Roman" w:hAnsi="Times New Roman" w:cs="Times New Roman"/>
          <w:sz w:val="26"/>
          <w:szCs w:val="26"/>
        </w:rPr>
        <w:t>s</w:t>
      </w:r>
      <w:r w:rsidR="002C34BC">
        <w:rPr>
          <w:rFonts w:ascii="Times New Roman" w:hAnsi="Times New Roman" w:cs="Times New Roman"/>
          <w:sz w:val="26"/>
          <w:szCs w:val="26"/>
        </w:rPr>
        <w:t xml:space="preserve">.  </w:t>
      </w:r>
    </w:p>
    <w:p w:rsidR="009161F8" w:rsidP="008B2F4C" w:rsidRDefault="009161F8" w14:paraId="365E80B4" w14:textId="77777777">
      <w:pPr>
        <w:spacing w:after="0" w:line="276" w:lineRule="auto"/>
        <w:rPr>
          <w:rFonts w:ascii="Times New Roman" w:hAnsi="Times New Roman" w:cs="Times New Roman"/>
          <w:sz w:val="26"/>
          <w:szCs w:val="26"/>
        </w:rPr>
      </w:pPr>
    </w:p>
    <w:p w:rsidRPr="00794AD3" w:rsidR="00365644" w:rsidP="008B2F4C" w:rsidRDefault="00365644" w14:paraId="140D21AB" w14:textId="77777777">
      <w:pPr>
        <w:spacing w:after="0" w:line="276" w:lineRule="auto"/>
        <w:rPr>
          <w:rFonts w:ascii="Times New Roman" w:hAnsi="Times New Roman" w:cs="Times New Roman"/>
          <w:b/>
          <w:sz w:val="26"/>
          <w:szCs w:val="26"/>
        </w:rPr>
      </w:pPr>
      <w:r w:rsidRPr="00794AD3">
        <w:rPr>
          <w:rFonts w:ascii="Times New Roman" w:hAnsi="Times New Roman" w:cs="Times New Roman"/>
          <w:b/>
          <w:sz w:val="26"/>
          <w:szCs w:val="26"/>
        </w:rPr>
        <w:t>Adjustment to Estimates.</w:t>
      </w:r>
    </w:p>
    <w:p w:rsidRPr="00794AD3" w:rsidR="009161F8" w:rsidP="00794AD3" w:rsidRDefault="009161F8" w14:paraId="627C49F0" w14:textId="4E322F56">
      <w:pPr>
        <w:pStyle w:val="ListParagraph"/>
        <w:numPr>
          <w:ilvl w:val="0"/>
          <w:numId w:val="20"/>
        </w:numPr>
        <w:spacing w:after="0" w:line="276" w:lineRule="auto"/>
        <w:rPr>
          <w:rFonts w:ascii="Times New Roman" w:hAnsi="Times New Roman" w:cs="Times New Roman"/>
          <w:sz w:val="26"/>
          <w:szCs w:val="26"/>
        </w:rPr>
      </w:pPr>
      <w:r w:rsidRPr="00794AD3">
        <w:rPr>
          <w:rFonts w:ascii="Times New Roman" w:hAnsi="Times New Roman" w:cs="Times New Roman"/>
          <w:sz w:val="26"/>
          <w:szCs w:val="26"/>
        </w:rPr>
        <w:lastRenderedPageBreak/>
        <w:t xml:space="preserve">The FERC Form No. 60 reporting burden </w:t>
      </w:r>
      <w:r w:rsidR="00C3024A">
        <w:rPr>
          <w:rFonts w:ascii="Times New Roman" w:hAnsi="Times New Roman" w:cs="Times New Roman"/>
          <w:sz w:val="26"/>
          <w:szCs w:val="26"/>
        </w:rPr>
        <w:t>experienced an increase of 3 responses annually based on fluctuations in market activity.</w:t>
      </w:r>
      <w:r w:rsidR="00916BA0">
        <w:rPr>
          <w:rFonts w:ascii="Times New Roman" w:hAnsi="Times New Roman" w:cs="Times New Roman"/>
          <w:sz w:val="26"/>
          <w:szCs w:val="26"/>
        </w:rPr>
        <w:t xml:space="preserve">  </w:t>
      </w:r>
      <w:r w:rsidRPr="003B718C" w:rsidR="00916BA0">
        <w:rPr>
          <w:rFonts w:ascii="Times New Roman" w:hAnsi="Times New Roman" w:cs="Times New Roman"/>
          <w:sz w:val="26"/>
          <w:szCs w:val="26"/>
        </w:rPr>
        <w:t>The hourly burden per response remains unchanged.</w:t>
      </w:r>
      <w:r w:rsidR="00916BA0">
        <w:rPr>
          <w:rFonts w:ascii="Times New Roman" w:hAnsi="Times New Roman" w:cs="Times New Roman"/>
          <w:sz w:val="26"/>
          <w:szCs w:val="26"/>
        </w:rPr>
        <w:t xml:space="preserve">  </w:t>
      </w:r>
      <w:r w:rsidRPr="003B718C" w:rsidR="00EC0B52">
        <w:rPr>
          <w:rFonts w:ascii="Times New Roman" w:hAnsi="Times New Roman" w:cs="Times New Roman"/>
          <w:sz w:val="26"/>
          <w:szCs w:val="26"/>
        </w:rPr>
        <w:t xml:space="preserve">Overall, </w:t>
      </w:r>
      <w:r w:rsidR="00EC0B52">
        <w:rPr>
          <w:rFonts w:ascii="Times New Roman" w:hAnsi="Times New Roman" w:cs="Times New Roman"/>
          <w:sz w:val="26"/>
          <w:szCs w:val="26"/>
        </w:rPr>
        <w:t>Form No. 60</w:t>
      </w:r>
      <w:r w:rsidRPr="003B718C" w:rsidR="00EC0B52">
        <w:rPr>
          <w:rFonts w:ascii="Times New Roman" w:hAnsi="Times New Roman" w:cs="Times New Roman"/>
          <w:sz w:val="26"/>
          <w:szCs w:val="26"/>
        </w:rPr>
        <w:t xml:space="preserve"> reporting burden </w:t>
      </w:r>
      <w:r w:rsidR="00EC0B52">
        <w:rPr>
          <w:rFonts w:ascii="Times New Roman" w:hAnsi="Times New Roman" w:cs="Times New Roman"/>
          <w:sz w:val="26"/>
          <w:szCs w:val="26"/>
        </w:rPr>
        <w:t>increased</w:t>
      </w:r>
      <w:r w:rsidRPr="003B718C" w:rsidR="00EC0B52">
        <w:rPr>
          <w:rFonts w:ascii="Times New Roman" w:hAnsi="Times New Roman" w:cs="Times New Roman"/>
          <w:sz w:val="26"/>
          <w:szCs w:val="26"/>
        </w:rPr>
        <w:t xml:space="preserve"> by </w:t>
      </w:r>
      <w:r w:rsidR="00EC0B52">
        <w:rPr>
          <w:rFonts w:ascii="Times New Roman" w:hAnsi="Times New Roman" w:cs="Times New Roman"/>
          <w:sz w:val="26"/>
          <w:szCs w:val="26"/>
        </w:rPr>
        <w:t>35</w:t>
      </w:r>
      <w:r w:rsidRPr="003B718C" w:rsidR="00EC0B52">
        <w:rPr>
          <w:rFonts w:ascii="Times New Roman" w:hAnsi="Times New Roman" w:cs="Times New Roman"/>
          <w:sz w:val="26"/>
          <w:szCs w:val="26"/>
        </w:rPr>
        <w:t>1 hours annually.</w:t>
      </w:r>
    </w:p>
    <w:p w:rsidR="009161F8" w:rsidP="008B2F4C" w:rsidRDefault="009161F8" w14:paraId="5FCB5DC6" w14:textId="77777777">
      <w:pPr>
        <w:spacing w:after="0" w:line="276" w:lineRule="auto"/>
        <w:rPr>
          <w:rFonts w:ascii="Times New Roman" w:hAnsi="Times New Roman" w:cs="Times New Roman"/>
          <w:sz w:val="26"/>
          <w:szCs w:val="26"/>
        </w:rPr>
      </w:pPr>
    </w:p>
    <w:p w:rsidRPr="000976D8" w:rsidR="009161F8" w:rsidP="00794AD3" w:rsidRDefault="009161F8" w14:paraId="09F9E759" w14:textId="632D72ED">
      <w:pPr>
        <w:pStyle w:val="ListParagraph"/>
        <w:numPr>
          <w:ilvl w:val="0"/>
          <w:numId w:val="20"/>
        </w:numPr>
        <w:spacing w:after="0" w:line="276" w:lineRule="auto"/>
        <w:rPr>
          <w:rFonts w:ascii="Times New Roman" w:hAnsi="Times New Roman" w:cs="Times New Roman"/>
          <w:sz w:val="26"/>
          <w:szCs w:val="26"/>
        </w:rPr>
      </w:pPr>
      <w:r w:rsidRPr="000976D8">
        <w:rPr>
          <w:rFonts w:ascii="Times New Roman" w:hAnsi="Times New Roman" w:cs="Times New Roman"/>
          <w:sz w:val="26"/>
          <w:szCs w:val="26"/>
        </w:rPr>
        <w:t xml:space="preserve">The FERC-61 reporting burden experienced </w:t>
      </w:r>
      <w:r w:rsidR="00EC0B52">
        <w:rPr>
          <w:rFonts w:ascii="Times New Roman" w:hAnsi="Times New Roman" w:cs="Times New Roman"/>
          <w:sz w:val="26"/>
          <w:szCs w:val="26"/>
        </w:rPr>
        <w:t>an increase</w:t>
      </w:r>
      <w:r w:rsidRPr="000976D8">
        <w:rPr>
          <w:rFonts w:ascii="Times New Roman" w:hAnsi="Times New Roman" w:cs="Times New Roman"/>
          <w:sz w:val="26"/>
          <w:szCs w:val="26"/>
        </w:rPr>
        <w:t xml:space="preserve"> of </w:t>
      </w:r>
      <w:r w:rsidRPr="000976D8" w:rsidR="00640254">
        <w:rPr>
          <w:rFonts w:ascii="Times New Roman" w:hAnsi="Times New Roman" w:cs="Times New Roman"/>
          <w:sz w:val="26"/>
          <w:szCs w:val="26"/>
        </w:rPr>
        <w:t xml:space="preserve">2 </w:t>
      </w:r>
      <w:r w:rsidRPr="000976D8">
        <w:rPr>
          <w:rFonts w:ascii="Times New Roman" w:hAnsi="Times New Roman" w:cs="Times New Roman"/>
          <w:sz w:val="26"/>
          <w:szCs w:val="26"/>
        </w:rPr>
        <w:t>responses annually based on fluctuations in market activity.  The hourly burden per response remain</w:t>
      </w:r>
      <w:r w:rsidRPr="000976D8" w:rsidR="000441D9">
        <w:rPr>
          <w:rFonts w:ascii="Times New Roman" w:hAnsi="Times New Roman" w:cs="Times New Roman"/>
          <w:sz w:val="26"/>
          <w:szCs w:val="26"/>
        </w:rPr>
        <w:t xml:space="preserve">s unchanged. </w:t>
      </w:r>
      <w:r w:rsidRPr="000976D8" w:rsidR="00761ED4">
        <w:rPr>
          <w:rFonts w:ascii="Times New Roman" w:hAnsi="Times New Roman" w:cs="Times New Roman"/>
          <w:sz w:val="26"/>
          <w:szCs w:val="26"/>
        </w:rPr>
        <w:t xml:space="preserve"> </w:t>
      </w:r>
      <w:r w:rsidRPr="000976D8" w:rsidR="000441D9">
        <w:rPr>
          <w:rFonts w:ascii="Times New Roman" w:hAnsi="Times New Roman" w:cs="Times New Roman"/>
          <w:sz w:val="26"/>
          <w:szCs w:val="26"/>
        </w:rPr>
        <w:t xml:space="preserve">Overall, FERC-61 reporting burden </w:t>
      </w:r>
      <w:r w:rsidR="00EC0B52">
        <w:rPr>
          <w:rFonts w:ascii="Times New Roman" w:hAnsi="Times New Roman" w:cs="Times New Roman"/>
          <w:sz w:val="26"/>
          <w:szCs w:val="26"/>
        </w:rPr>
        <w:t>increased</w:t>
      </w:r>
      <w:r w:rsidRPr="000976D8" w:rsidR="00EC0B52">
        <w:rPr>
          <w:rFonts w:ascii="Times New Roman" w:hAnsi="Times New Roman" w:cs="Times New Roman"/>
          <w:sz w:val="26"/>
          <w:szCs w:val="26"/>
        </w:rPr>
        <w:t xml:space="preserve"> </w:t>
      </w:r>
      <w:r w:rsidRPr="000976D8">
        <w:rPr>
          <w:rFonts w:ascii="Times New Roman" w:hAnsi="Times New Roman" w:cs="Times New Roman"/>
          <w:sz w:val="26"/>
          <w:szCs w:val="26"/>
        </w:rPr>
        <w:t xml:space="preserve">by </w:t>
      </w:r>
      <w:r w:rsidR="00EC0B52">
        <w:rPr>
          <w:rFonts w:ascii="Times New Roman" w:hAnsi="Times New Roman" w:cs="Times New Roman"/>
          <w:sz w:val="26"/>
          <w:szCs w:val="26"/>
        </w:rPr>
        <w:t>1 hour</w:t>
      </w:r>
      <w:r w:rsidRPr="000976D8">
        <w:rPr>
          <w:rFonts w:ascii="Times New Roman" w:hAnsi="Times New Roman" w:cs="Times New Roman"/>
          <w:sz w:val="26"/>
          <w:szCs w:val="26"/>
        </w:rPr>
        <w:t xml:space="preserve"> annually.</w:t>
      </w:r>
    </w:p>
    <w:p w:rsidR="009161F8" w:rsidP="008B2F4C" w:rsidRDefault="009161F8" w14:paraId="50A55FA5" w14:textId="77777777">
      <w:pPr>
        <w:spacing w:after="0" w:line="276" w:lineRule="auto"/>
        <w:rPr>
          <w:rFonts w:ascii="Times New Roman" w:hAnsi="Times New Roman" w:cs="Times New Roman"/>
          <w:sz w:val="26"/>
          <w:szCs w:val="26"/>
        </w:rPr>
      </w:pPr>
    </w:p>
    <w:p w:rsidRPr="00794AD3" w:rsidR="00B92712" w:rsidP="00794AD3" w:rsidRDefault="009161F8" w14:paraId="7151FA5E" w14:textId="0301B01F">
      <w:pPr>
        <w:pStyle w:val="ListParagraph"/>
        <w:numPr>
          <w:ilvl w:val="0"/>
          <w:numId w:val="20"/>
        </w:numPr>
        <w:spacing w:after="0" w:line="276" w:lineRule="auto"/>
        <w:rPr>
          <w:rFonts w:ascii="Times New Roman" w:hAnsi="Times New Roman" w:cs="Times New Roman"/>
          <w:b/>
          <w:sz w:val="26"/>
          <w:szCs w:val="26"/>
        </w:rPr>
      </w:pPr>
      <w:r w:rsidRPr="00794AD3">
        <w:rPr>
          <w:rFonts w:ascii="Times New Roman" w:hAnsi="Times New Roman" w:cs="Times New Roman"/>
          <w:sz w:val="26"/>
          <w:szCs w:val="26"/>
        </w:rPr>
        <w:t xml:space="preserve">The FERC-555A reporting burden experienced an increase </w:t>
      </w:r>
      <w:r w:rsidR="00640254">
        <w:rPr>
          <w:rFonts w:ascii="Times New Roman" w:hAnsi="Times New Roman" w:cs="Times New Roman"/>
          <w:sz w:val="26"/>
          <w:szCs w:val="26"/>
        </w:rPr>
        <w:t>+5</w:t>
      </w:r>
      <w:r w:rsidRPr="00794AD3">
        <w:rPr>
          <w:rFonts w:ascii="Times New Roman" w:hAnsi="Times New Roman" w:cs="Times New Roman"/>
          <w:sz w:val="26"/>
          <w:szCs w:val="26"/>
        </w:rPr>
        <w:t xml:space="preserve"> annually also based on activity within industry.  The hourly burden </w:t>
      </w:r>
      <w:r w:rsidR="00FA135F">
        <w:rPr>
          <w:rFonts w:ascii="Times New Roman" w:hAnsi="Times New Roman" w:cs="Times New Roman"/>
          <w:sz w:val="26"/>
          <w:szCs w:val="26"/>
        </w:rPr>
        <w:t xml:space="preserve">per response </w:t>
      </w:r>
      <w:r w:rsidRPr="00794AD3" w:rsidR="000441D9">
        <w:rPr>
          <w:rFonts w:ascii="Times New Roman" w:hAnsi="Times New Roman" w:cs="Times New Roman"/>
          <w:sz w:val="26"/>
          <w:szCs w:val="26"/>
        </w:rPr>
        <w:t xml:space="preserve">remains unchanged.  Overall, FERC-555A reporting burden increased by </w:t>
      </w:r>
      <w:r w:rsidR="00EC0B52">
        <w:rPr>
          <w:rFonts w:ascii="Times New Roman" w:hAnsi="Times New Roman" w:cs="Times New Roman"/>
          <w:sz w:val="26"/>
          <w:szCs w:val="26"/>
        </w:rPr>
        <w:t>5,400</w:t>
      </w:r>
      <w:r w:rsidRPr="00794AD3" w:rsidR="000441D9">
        <w:rPr>
          <w:rFonts w:ascii="Times New Roman" w:hAnsi="Times New Roman" w:cs="Times New Roman"/>
          <w:sz w:val="26"/>
          <w:szCs w:val="26"/>
        </w:rPr>
        <w:t xml:space="preserve"> hours annually.</w:t>
      </w:r>
    </w:p>
    <w:p w:rsidRPr="001A153B" w:rsidR="00EE07DD" w:rsidP="005E5E49" w:rsidRDefault="00EE07DD" w14:paraId="7EC22ED4" w14:textId="2D65E6F2">
      <w:pPr>
        <w:spacing w:after="0" w:line="276" w:lineRule="auto"/>
        <w:rPr>
          <w:rFonts w:ascii="Times New Roman" w:hAnsi="Times New Roman" w:cs="Times New Roman"/>
          <w:sz w:val="26"/>
          <w:szCs w:val="26"/>
        </w:rPr>
      </w:pPr>
    </w:p>
    <w:p w:rsidR="00945E1B" w:rsidP="00945E1B" w:rsidRDefault="00945E1B" w14:paraId="1C8BF4AA" w14:textId="521B79DD">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00965E15" w:rsidP="005E5E49" w:rsidRDefault="00965E15" w14:paraId="552537F4" w14:textId="77777777">
      <w:pPr>
        <w:spacing w:after="0" w:line="276" w:lineRule="auto"/>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1A153B" w:rsidR="00553E4B" w:rsidTr="00022939" w14:paraId="6BFD0D23"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0FE06AE1" w14:textId="55AF2A28">
            <w:pPr>
              <w:spacing w:after="0" w:line="240" w:lineRule="auto"/>
              <w:rPr>
                <w:rFonts w:ascii="Times New Roman" w:hAnsi="Times New Roman" w:cs="Times New Roman"/>
                <w:b/>
                <w:sz w:val="26"/>
                <w:szCs w:val="26"/>
              </w:rPr>
            </w:pP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2F70E80C" w14:textId="44EE06DE">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1982D194"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4AAEDD9A"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317837AF"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Pr="001A153B" w:rsidR="00C83B00" w:rsidTr="00C83B00" w14:paraId="2291A558" w14:textId="77777777">
        <w:trPr>
          <w:trHeight w:val="591"/>
        </w:trPr>
        <w:tc>
          <w:tcPr>
            <w:tcW w:w="2679"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65EDEC60" w14:textId="77777777">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640254" w14:paraId="73921808" w14:textId="42D4F940">
            <w:pPr>
              <w:spacing w:after="0" w:line="240" w:lineRule="auto"/>
              <w:jc w:val="right"/>
              <w:rPr>
                <w:rFonts w:ascii="Times New Roman" w:hAnsi="Times New Roman" w:cs="Times New Roman"/>
                <w:sz w:val="26"/>
                <w:szCs w:val="26"/>
              </w:rPr>
            </w:pPr>
            <w:r w:rsidRPr="000976D8">
              <w:rPr>
                <w:rFonts w:ascii="Times New Roman" w:hAnsi="Times New Roman" w:cs="Times New Roman"/>
                <w:sz w:val="26"/>
                <w:szCs w:val="26"/>
              </w:rPr>
              <w:t>244</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46B0E018" w14:textId="43C4454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234</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7F4613" w14:paraId="0A91D5DC" w14:textId="72CE3C7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17C603EF" w14:textId="3AC5DED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Pr="001A153B" w:rsidR="00C83B00" w:rsidTr="00C83B00" w14:paraId="52175776" w14:textId="77777777">
        <w:trPr>
          <w:trHeight w:val="674"/>
        </w:trPr>
        <w:tc>
          <w:tcPr>
            <w:tcW w:w="2679"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4880D951" w14:textId="6AE16FC0">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EC0B52" w14:paraId="121DC2AF" w14:textId="6CF1E18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135,076</w:t>
            </w:r>
          </w:p>
        </w:tc>
        <w:tc>
          <w:tcPr>
            <w:tcW w:w="1620"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C83B00" w14:paraId="1AC26747" w14:textId="7AFAF09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129,324</w:t>
            </w:r>
          </w:p>
        </w:tc>
        <w:tc>
          <w:tcPr>
            <w:tcW w:w="1800"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EC0B52" w14:paraId="2F00CF02" w14:textId="1666734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5,752</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4D124CC1" w14:textId="4E3350A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Pr="001A153B" w:rsidR="00C83B00" w:rsidTr="00C83B00" w14:paraId="341CC373" w14:textId="77777777">
        <w:trPr>
          <w:trHeight w:val="295"/>
        </w:trPr>
        <w:tc>
          <w:tcPr>
            <w:tcW w:w="2679"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6483316B" w14:textId="64E361F2">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6F111D" w14:paraId="180BB0C3" w14:textId="792DC380">
            <w:pPr>
              <w:spacing w:after="0" w:line="240" w:lineRule="auto"/>
              <w:jc w:val="right"/>
              <w:rPr>
                <w:rFonts w:ascii="Times New Roman" w:hAnsi="Times New Roman" w:cs="Times New Roman"/>
                <w:sz w:val="26"/>
                <w:szCs w:val="26"/>
              </w:rPr>
            </w:pPr>
            <w:r w:rsidRPr="005A0862">
              <w:rPr>
                <w:rFonts w:ascii="Times New Roman" w:hAnsi="Times New Roman" w:cs="Times New Roman"/>
                <w:sz w:val="26"/>
                <w:szCs w:val="26"/>
              </w:rPr>
              <w:t>49,148</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1388E8FB" w14:textId="516B68D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$47,133</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065EAB3F" w14:textId="7361464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EC0B52">
              <w:rPr>
                <w:rFonts w:ascii="Times New Roman" w:hAnsi="Times New Roman" w:cs="Times New Roman"/>
                <w:sz w:val="26"/>
                <w:szCs w:val="26"/>
              </w:rPr>
              <w:t>2,015</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78DC3CFE" w14:textId="5B84411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76658D" w:rsidP="005E5E49" w:rsidRDefault="0076658D" w14:paraId="3F4392F6" w14:textId="77777777">
      <w:pPr>
        <w:spacing w:after="0" w:line="276" w:lineRule="auto"/>
        <w:rPr>
          <w:rFonts w:ascii="Times New Roman" w:hAnsi="Times New Roman" w:cs="Times New Roman"/>
          <w:sz w:val="26"/>
          <w:szCs w:val="26"/>
        </w:rPr>
      </w:pPr>
    </w:p>
    <w:p w:rsidRPr="001A153B" w:rsidR="00EE07DD" w:rsidP="005E5E49" w:rsidRDefault="00EE07DD" w14:paraId="1E69C388"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rsidRPr="001A153B" w:rsidR="00EE07DD" w:rsidP="005E5E49" w:rsidRDefault="00EE07DD" w14:paraId="5A7EFBEA" w14:textId="77777777">
      <w:pPr>
        <w:spacing w:after="0" w:line="276" w:lineRule="auto"/>
        <w:rPr>
          <w:rFonts w:ascii="Times New Roman" w:hAnsi="Times New Roman" w:cs="Times New Roman"/>
          <w:sz w:val="26"/>
          <w:szCs w:val="26"/>
        </w:rPr>
      </w:pPr>
    </w:p>
    <w:p w:rsidRPr="001A153B" w:rsidR="00EE07DD" w:rsidP="005E5E49" w:rsidRDefault="00EE07DD" w14:paraId="54933319" w14:textId="77777777">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rsidRPr="001A153B" w:rsidR="00EE07DD" w:rsidP="005E5E49" w:rsidRDefault="00EE07DD" w14:paraId="2E1C1FEC" w14:textId="77777777">
      <w:pPr>
        <w:spacing w:after="0" w:line="276" w:lineRule="auto"/>
        <w:rPr>
          <w:rFonts w:ascii="Times New Roman" w:hAnsi="Times New Roman" w:cs="Times New Roman"/>
          <w:sz w:val="26"/>
          <w:szCs w:val="26"/>
        </w:rPr>
      </w:pPr>
    </w:p>
    <w:p w:rsidRPr="001A153B" w:rsidR="00EE07DD" w:rsidP="005E5E49" w:rsidRDefault="00EE07DD" w14:paraId="08017269"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rsidRPr="001A153B" w:rsidR="00EE07DD" w:rsidP="005E5E49" w:rsidRDefault="00EE07DD" w14:paraId="3A8ED92C" w14:textId="77777777">
      <w:pPr>
        <w:spacing w:after="0" w:line="276" w:lineRule="auto"/>
        <w:rPr>
          <w:rFonts w:ascii="Times New Roman" w:hAnsi="Times New Roman" w:cs="Times New Roman"/>
          <w:sz w:val="26"/>
          <w:szCs w:val="26"/>
        </w:rPr>
      </w:pPr>
    </w:p>
    <w:p w:rsidRPr="00FA5095" w:rsidR="00705642" w:rsidP="00705642" w:rsidRDefault="00705642" w14:paraId="641676F3" w14:textId="1C6FE6F2">
      <w:pPr>
        <w:spacing w:after="0" w:line="276" w:lineRule="auto"/>
        <w:rPr>
          <w:rFonts w:ascii="Times New Roman" w:hAnsi="Times New Roman" w:cs="Times New Roman"/>
          <w:sz w:val="26"/>
          <w:szCs w:val="26"/>
        </w:rPr>
      </w:pPr>
      <w:r w:rsidRPr="00FA5095">
        <w:rPr>
          <w:rFonts w:ascii="Times New Roman" w:hAnsi="Times New Roman" w:cs="Times New Roman"/>
          <w:sz w:val="26"/>
          <w:szCs w:val="26"/>
        </w:rPr>
        <w:t xml:space="preserve">  FERC provides the OMB Control Numbers of the information collections </w:t>
      </w:r>
      <w:r w:rsidRPr="000976D8">
        <w:rPr>
          <w:rFonts w:ascii="Times New Roman" w:hAnsi="Times New Roman" w:cs="Times New Roman"/>
          <w:sz w:val="26"/>
          <w:szCs w:val="26"/>
        </w:rPr>
        <w:t>along with their expiration dates</w:t>
      </w:r>
      <w:r w:rsidRPr="006F1CA0">
        <w:rPr>
          <w:rFonts w:ascii="Times New Roman" w:hAnsi="Times New Roman" w:cs="Times New Roman"/>
          <w:sz w:val="26"/>
          <w:szCs w:val="26"/>
        </w:rPr>
        <w:t xml:space="preserve"> on this site at </w:t>
      </w:r>
      <w:hyperlink w:tgtFrame="_blank" w:history="1" r:id="rId17">
        <w:r w:rsidRPr="006F1CA0">
          <w:rPr>
            <w:rStyle w:val="Hyperlink"/>
            <w:sz w:val="26"/>
            <w:szCs w:val="26"/>
          </w:rPr>
          <w:t>www.ferc.gov/information-collections.</w:t>
        </w:r>
      </w:hyperlink>
    </w:p>
    <w:p w:rsidRPr="001A153B" w:rsidR="00EE07DD" w:rsidP="005E5E49" w:rsidRDefault="00EE07DD" w14:paraId="29A2525F" w14:textId="77777777">
      <w:pPr>
        <w:spacing w:after="0" w:line="276" w:lineRule="auto"/>
        <w:rPr>
          <w:rFonts w:ascii="Times New Roman" w:hAnsi="Times New Roman" w:cs="Times New Roman"/>
          <w:sz w:val="26"/>
          <w:szCs w:val="26"/>
        </w:rPr>
      </w:pPr>
    </w:p>
    <w:p w:rsidRPr="001A153B" w:rsidR="00EE07DD" w:rsidP="005E5E49" w:rsidRDefault="00EE07DD" w14:paraId="533ED27D"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rsidRPr="001A153B" w:rsidR="00EE07DD" w:rsidP="005E5E49" w:rsidRDefault="00EE07DD" w14:paraId="2C1DE64B" w14:textId="77777777">
      <w:pPr>
        <w:spacing w:after="0" w:line="276" w:lineRule="auto"/>
        <w:rPr>
          <w:rFonts w:ascii="Times New Roman" w:hAnsi="Times New Roman" w:cs="Times New Roman"/>
          <w:b/>
          <w:sz w:val="26"/>
          <w:szCs w:val="26"/>
        </w:rPr>
      </w:pPr>
    </w:p>
    <w:p w:rsidRPr="001A153B" w:rsidR="00EE07DD" w:rsidP="005E5E49" w:rsidRDefault="00945E1B" w14:paraId="12189FC5" w14:textId="114756EE">
      <w:pPr>
        <w:spacing w:after="0" w:line="276" w:lineRule="auto"/>
        <w:rPr>
          <w:rFonts w:ascii="Times New Roman" w:hAnsi="Times New Roman" w:cs="Times New Roman"/>
          <w:sz w:val="26"/>
          <w:szCs w:val="26"/>
        </w:rPr>
      </w:pPr>
      <w:r>
        <w:rPr>
          <w:rFonts w:ascii="Times New Roman" w:hAnsi="Times New Roman" w:cs="Times New Roman"/>
          <w:sz w:val="26"/>
          <w:szCs w:val="26"/>
        </w:rPr>
        <w:t>There are no exceptions.</w:t>
      </w:r>
    </w:p>
    <w:sectPr w:rsidRPr="001A153B" w:rsidR="00EE07D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8A34" w14:textId="77777777" w:rsidR="0099664C" w:rsidRDefault="0099664C" w:rsidP="00EE07DD">
      <w:pPr>
        <w:spacing w:after="0" w:line="240" w:lineRule="auto"/>
      </w:pPr>
      <w:r>
        <w:separator/>
      </w:r>
    </w:p>
  </w:endnote>
  <w:endnote w:type="continuationSeparator" w:id="0">
    <w:p w14:paraId="6AB8A178" w14:textId="77777777" w:rsidR="0099664C" w:rsidRDefault="0099664C" w:rsidP="00EE07DD">
      <w:pPr>
        <w:spacing w:after="0" w:line="240" w:lineRule="auto"/>
      </w:pPr>
      <w:r>
        <w:continuationSeparator/>
      </w:r>
    </w:p>
  </w:endnote>
  <w:endnote w:type="continuationNotice" w:id="1">
    <w:p w14:paraId="424957EB" w14:textId="77777777" w:rsidR="0099664C" w:rsidRDefault="00996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F9BF" w14:textId="77777777" w:rsidR="008C1649" w:rsidRDefault="008C1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652269"/>
      <w:docPartObj>
        <w:docPartGallery w:val="Page Numbers (Bottom of Page)"/>
        <w:docPartUnique/>
      </w:docPartObj>
    </w:sdtPr>
    <w:sdtEndPr>
      <w:rPr>
        <w:noProof/>
      </w:rPr>
    </w:sdtEndPr>
    <w:sdtContent>
      <w:p w14:paraId="3DED26F5" w14:textId="5036CDD3" w:rsidR="00331E1C" w:rsidRDefault="00331E1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FC68BC" w14:textId="77777777" w:rsidR="00331E1C" w:rsidRDefault="00331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8FD6" w14:textId="77777777" w:rsidR="008C1649" w:rsidRDefault="008C1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B8AB" w14:textId="77777777" w:rsidR="0099664C" w:rsidRDefault="0099664C" w:rsidP="00EE07DD">
      <w:pPr>
        <w:spacing w:after="0" w:line="240" w:lineRule="auto"/>
      </w:pPr>
      <w:r>
        <w:separator/>
      </w:r>
    </w:p>
  </w:footnote>
  <w:footnote w:type="continuationSeparator" w:id="0">
    <w:p w14:paraId="37632A78" w14:textId="77777777" w:rsidR="0099664C" w:rsidRDefault="0099664C" w:rsidP="00EE07DD">
      <w:pPr>
        <w:spacing w:after="0" w:line="240" w:lineRule="auto"/>
      </w:pPr>
      <w:r>
        <w:continuationSeparator/>
      </w:r>
    </w:p>
  </w:footnote>
  <w:footnote w:type="continuationNotice" w:id="1">
    <w:p w14:paraId="0F3A8C9D" w14:textId="77777777" w:rsidR="0099664C" w:rsidRDefault="0099664C">
      <w:pPr>
        <w:spacing w:after="0" w:line="240" w:lineRule="auto"/>
      </w:pPr>
    </w:p>
  </w:footnote>
  <w:footnote w:id="2">
    <w:p w14:paraId="4451382D" w14:textId="341EB739" w:rsidR="00331E1C" w:rsidRDefault="00331E1C" w:rsidP="00BA7761">
      <w:pPr>
        <w:pStyle w:val="FootnoteText"/>
        <w:ind w:firstLine="720"/>
        <w:rPr>
          <w:rFonts w:ascii="Times New Roman" w:hAnsi="Times New Roman" w:cs="Times New Roman"/>
          <w:sz w:val="26"/>
          <w:szCs w:val="26"/>
        </w:rPr>
      </w:pPr>
      <w:r w:rsidRPr="00720A08">
        <w:rPr>
          <w:rStyle w:val="FootnoteReference"/>
          <w:rFonts w:ascii="Times New Roman" w:eastAsia="Times New Roman" w:hAnsi="Times New Roman" w:cs="Times New Roman"/>
          <w:b/>
          <w:sz w:val="26"/>
          <w:szCs w:val="26"/>
        </w:rPr>
        <w:footnoteRef/>
      </w:r>
      <w:r w:rsidRPr="00720A08">
        <w:rPr>
          <w:rStyle w:val="FootnoteReference"/>
          <w:rFonts w:eastAsia="Times New Roman"/>
          <w:b/>
        </w:rPr>
        <w:t xml:space="preserve"> </w:t>
      </w:r>
      <w:r w:rsidRPr="000E739D">
        <w:rPr>
          <w:rFonts w:ascii="Times New Roman" w:hAnsi="Times New Roman" w:cs="Times New Roman"/>
          <w:sz w:val="26"/>
          <w:szCs w:val="26"/>
        </w:rPr>
        <w:t>For purposes of this notice, unless otherwise stated, FERC Form Nos. 6</w:t>
      </w:r>
      <w:r>
        <w:rPr>
          <w:rFonts w:ascii="Times New Roman" w:hAnsi="Times New Roman" w:cs="Times New Roman"/>
          <w:sz w:val="26"/>
          <w:szCs w:val="26"/>
        </w:rPr>
        <w:t>0</w:t>
      </w:r>
      <w:r w:rsidRPr="000E739D">
        <w:rPr>
          <w:rFonts w:ascii="Times New Roman" w:hAnsi="Times New Roman" w:cs="Times New Roman"/>
          <w:sz w:val="26"/>
          <w:szCs w:val="26"/>
        </w:rPr>
        <w:t xml:space="preserve"> and 6</w:t>
      </w:r>
      <w:r>
        <w:rPr>
          <w:rFonts w:ascii="Times New Roman" w:hAnsi="Times New Roman" w:cs="Times New Roman"/>
          <w:sz w:val="26"/>
          <w:szCs w:val="26"/>
        </w:rPr>
        <w:t>0-A</w:t>
      </w:r>
      <w:r w:rsidRPr="000E739D">
        <w:rPr>
          <w:rFonts w:ascii="Times New Roman" w:hAnsi="Times New Roman" w:cs="Times New Roman"/>
          <w:sz w:val="26"/>
          <w:szCs w:val="26"/>
        </w:rPr>
        <w:t xml:space="preserve"> are collectively referred to as “FERC Form No. 6</w:t>
      </w:r>
      <w:r>
        <w:rPr>
          <w:rFonts w:ascii="Times New Roman" w:hAnsi="Times New Roman" w:cs="Times New Roman"/>
          <w:sz w:val="26"/>
          <w:szCs w:val="26"/>
        </w:rPr>
        <w:t>0.</w:t>
      </w:r>
      <w:r w:rsidRPr="000E739D">
        <w:rPr>
          <w:rFonts w:ascii="Times New Roman" w:hAnsi="Times New Roman" w:cs="Times New Roman"/>
          <w:sz w:val="26"/>
          <w:szCs w:val="26"/>
        </w:rPr>
        <w:t>”  Because this renewal will incorporate the requirements and burden represented by the 6</w:t>
      </w:r>
      <w:r>
        <w:rPr>
          <w:rFonts w:ascii="Times New Roman" w:hAnsi="Times New Roman" w:cs="Times New Roman"/>
          <w:sz w:val="26"/>
          <w:szCs w:val="26"/>
        </w:rPr>
        <w:t>0-A</w:t>
      </w:r>
      <w:r w:rsidRPr="000E739D">
        <w:rPr>
          <w:rFonts w:ascii="Times New Roman" w:hAnsi="Times New Roman" w:cs="Times New Roman"/>
          <w:sz w:val="26"/>
          <w:szCs w:val="26"/>
        </w:rPr>
        <w:t xml:space="preserve"> into </w:t>
      </w:r>
      <w:r>
        <w:rPr>
          <w:rFonts w:ascii="Times New Roman" w:hAnsi="Times New Roman" w:cs="Times New Roman"/>
          <w:sz w:val="26"/>
          <w:szCs w:val="26"/>
        </w:rPr>
        <w:t xml:space="preserve">the </w:t>
      </w:r>
      <w:r w:rsidRPr="000E739D">
        <w:rPr>
          <w:rFonts w:ascii="Times New Roman" w:hAnsi="Times New Roman" w:cs="Times New Roman"/>
          <w:sz w:val="26"/>
          <w:szCs w:val="26"/>
        </w:rPr>
        <w:t>FERC Form No. 6</w:t>
      </w:r>
      <w:r>
        <w:rPr>
          <w:rFonts w:ascii="Times New Roman" w:hAnsi="Times New Roman" w:cs="Times New Roman"/>
          <w:sz w:val="26"/>
          <w:szCs w:val="26"/>
        </w:rPr>
        <w:t>0</w:t>
      </w:r>
      <w:r w:rsidRPr="000E739D">
        <w:rPr>
          <w:rFonts w:ascii="Times New Roman" w:hAnsi="Times New Roman" w:cs="Times New Roman"/>
          <w:sz w:val="26"/>
          <w:szCs w:val="26"/>
        </w:rPr>
        <w:t>, it is anticipated that the Commission will eventually seek to retire the 6</w:t>
      </w:r>
      <w:r>
        <w:rPr>
          <w:rFonts w:ascii="Times New Roman" w:hAnsi="Times New Roman" w:cs="Times New Roman"/>
          <w:sz w:val="26"/>
          <w:szCs w:val="26"/>
        </w:rPr>
        <w:t>0-A</w:t>
      </w:r>
      <w:r w:rsidRPr="000E739D">
        <w:rPr>
          <w:rFonts w:ascii="Times New Roman" w:hAnsi="Times New Roman" w:cs="Times New Roman"/>
          <w:sz w:val="26"/>
          <w:szCs w:val="26"/>
        </w:rPr>
        <w:t xml:space="preserve"> as duplicative.</w:t>
      </w:r>
    </w:p>
    <w:p w14:paraId="1967CBB1" w14:textId="35FD7768" w:rsidR="00331E1C" w:rsidRDefault="00331E1C" w:rsidP="00BA7761">
      <w:pPr>
        <w:pStyle w:val="FootnoteText"/>
        <w:ind w:firstLine="720"/>
        <w:rPr>
          <w:rFonts w:ascii="Times New Roman" w:hAnsi="Times New Roman" w:cs="Times New Roman"/>
          <w:sz w:val="26"/>
          <w:szCs w:val="26"/>
        </w:rPr>
      </w:pPr>
    </w:p>
    <w:p w14:paraId="57DAB3FC" w14:textId="7182E6A5" w:rsidR="00331E1C" w:rsidRPr="000E739D" w:rsidRDefault="00331E1C" w:rsidP="00BA7761">
      <w:pPr>
        <w:pStyle w:val="FootnoteText"/>
        <w:ind w:firstLine="720"/>
        <w:rPr>
          <w:rFonts w:ascii="Times New Roman" w:hAnsi="Times New Roman" w:cs="Times New Roman"/>
          <w:sz w:val="26"/>
          <w:szCs w:val="26"/>
        </w:rPr>
      </w:pPr>
      <w:r w:rsidRPr="00C4715A">
        <w:rPr>
          <w:rFonts w:ascii="Times New Roman" w:hAnsi="Times New Roman" w:cs="Times New Roman"/>
          <w:sz w:val="26"/>
          <w:szCs w:val="26"/>
        </w:rPr>
        <w:t>The temporary information collection number (FERC Form No. 6</w:t>
      </w:r>
      <w:r>
        <w:rPr>
          <w:rFonts w:ascii="Times New Roman" w:hAnsi="Times New Roman" w:cs="Times New Roman"/>
          <w:sz w:val="26"/>
          <w:szCs w:val="26"/>
        </w:rPr>
        <w:t>0-A</w:t>
      </w:r>
      <w:r w:rsidRPr="00C4715A">
        <w:rPr>
          <w:rFonts w:ascii="Times New Roman" w:hAnsi="Times New Roman" w:cs="Times New Roman"/>
          <w:sz w:val="26"/>
          <w:szCs w:val="26"/>
        </w:rPr>
        <w:t>) w</w:t>
      </w:r>
      <w:r>
        <w:rPr>
          <w:rFonts w:ascii="Times New Roman" w:hAnsi="Times New Roman" w:cs="Times New Roman"/>
          <w:sz w:val="26"/>
          <w:szCs w:val="26"/>
        </w:rPr>
        <w:t>as</w:t>
      </w:r>
      <w:r w:rsidRPr="00C4715A">
        <w:rPr>
          <w:rFonts w:ascii="Times New Roman" w:hAnsi="Times New Roman" w:cs="Times New Roman"/>
          <w:sz w:val="26"/>
          <w:szCs w:val="26"/>
        </w:rPr>
        <w:t xml:space="preserve"> created </w:t>
      </w:r>
      <w:proofErr w:type="gramStart"/>
      <w:r w:rsidRPr="00C4715A">
        <w:rPr>
          <w:rFonts w:ascii="Times New Roman" w:hAnsi="Times New Roman" w:cs="Times New Roman"/>
          <w:sz w:val="26"/>
          <w:szCs w:val="26"/>
        </w:rPr>
        <w:t>as a result of</w:t>
      </w:r>
      <w:proofErr w:type="gramEnd"/>
      <w:r w:rsidRPr="00C4715A">
        <w:rPr>
          <w:rFonts w:ascii="Times New Roman" w:hAnsi="Times New Roman" w:cs="Times New Roman"/>
          <w:sz w:val="26"/>
          <w:szCs w:val="26"/>
        </w:rPr>
        <w:t xml:space="preserve"> Docket No. RM19-12-000 that required entities to submit </w:t>
      </w:r>
      <w:r>
        <w:rPr>
          <w:rFonts w:ascii="Times New Roman" w:hAnsi="Times New Roman" w:cs="Times New Roman"/>
          <w:sz w:val="26"/>
          <w:szCs w:val="26"/>
        </w:rPr>
        <w:t xml:space="preserve">these forms </w:t>
      </w:r>
      <w:r w:rsidRPr="00C4715A">
        <w:rPr>
          <w:rFonts w:ascii="Times New Roman" w:hAnsi="Times New Roman" w:cs="Times New Roman"/>
          <w:sz w:val="26"/>
          <w:szCs w:val="26"/>
        </w:rPr>
        <w:t>using XBRL.  The temporary number w</w:t>
      </w:r>
      <w:r>
        <w:rPr>
          <w:rFonts w:ascii="Times New Roman" w:hAnsi="Times New Roman" w:cs="Times New Roman"/>
          <w:sz w:val="26"/>
          <w:szCs w:val="26"/>
        </w:rPr>
        <w:t>as</w:t>
      </w:r>
      <w:r w:rsidRPr="00C4715A">
        <w:rPr>
          <w:rFonts w:ascii="Times New Roman" w:hAnsi="Times New Roman" w:cs="Times New Roman"/>
          <w:sz w:val="26"/>
          <w:szCs w:val="26"/>
        </w:rPr>
        <w:t xml:space="preserve"> used </w:t>
      </w:r>
      <w:proofErr w:type="gramStart"/>
      <w:r w:rsidRPr="00C4715A">
        <w:rPr>
          <w:rFonts w:ascii="Times New Roman" w:hAnsi="Times New Roman" w:cs="Times New Roman"/>
          <w:sz w:val="26"/>
          <w:szCs w:val="26"/>
        </w:rPr>
        <w:t>in order to</w:t>
      </w:r>
      <w:proofErr w:type="gramEnd"/>
      <w:r w:rsidRPr="00C4715A">
        <w:rPr>
          <w:rFonts w:ascii="Times New Roman" w:hAnsi="Times New Roman" w:cs="Times New Roman"/>
          <w:sz w:val="26"/>
          <w:szCs w:val="26"/>
        </w:rPr>
        <w:t xml:space="preserve"> submit the packages timely to OMB because other items involving the FERC Form No. 6</w:t>
      </w:r>
      <w:r>
        <w:rPr>
          <w:rFonts w:ascii="Times New Roman" w:hAnsi="Times New Roman" w:cs="Times New Roman"/>
          <w:sz w:val="26"/>
          <w:szCs w:val="26"/>
        </w:rPr>
        <w:t>0</w:t>
      </w:r>
      <w:r w:rsidRPr="00C4715A">
        <w:rPr>
          <w:rFonts w:ascii="Times New Roman" w:hAnsi="Times New Roman" w:cs="Times New Roman"/>
          <w:sz w:val="26"/>
          <w:szCs w:val="26"/>
        </w:rPr>
        <w:t xml:space="preserve"> were pending OMB review at the same time.</w:t>
      </w:r>
    </w:p>
    <w:p w14:paraId="7AE4F966" w14:textId="05D32BD9" w:rsidR="00331E1C" w:rsidRPr="000441D9" w:rsidRDefault="00331E1C" w:rsidP="00BA7761">
      <w:pPr>
        <w:pStyle w:val="FootnoteText"/>
        <w:rPr>
          <w:rFonts w:ascii="Times New Roman" w:hAnsi="Times New Roman" w:cs="Times New Roman"/>
          <w:sz w:val="26"/>
          <w:szCs w:val="26"/>
        </w:rPr>
      </w:pPr>
    </w:p>
  </w:footnote>
  <w:footnote w:id="3">
    <w:p w14:paraId="433F808B" w14:textId="57B07750" w:rsidR="00331E1C" w:rsidRDefault="00331E1C" w:rsidP="00BA7761">
      <w:pPr>
        <w:pStyle w:val="FootnoteText"/>
        <w:ind w:firstLine="720"/>
        <w:rPr>
          <w:rFonts w:ascii="Times New Roman" w:hAnsi="Times New Roman" w:cs="Times New Roman"/>
          <w:sz w:val="26"/>
          <w:szCs w:val="26"/>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rPr>
        <w:t xml:space="preserve"> 18 C</w:t>
      </w:r>
      <w:r>
        <w:rPr>
          <w:rFonts w:ascii="Times New Roman" w:hAnsi="Times New Roman" w:cs="Times New Roman"/>
          <w:sz w:val="26"/>
          <w:szCs w:val="26"/>
        </w:rPr>
        <w:t>.</w:t>
      </w:r>
      <w:r w:rsidRPr="000441D9">
        <w:rPr>
          <w:rFonts w:ascii="Times New Roman" w:hAnsi="Times New Roman" w:cs="Times New Roman"/>
          <w:sz w:val="26"/>
          <w:szCs w:val="26"/>
        </w:rPr>
        <w:t>F</w:t>
      </w:r>
      <w:r>
        <w:rPr>
          <w:rFonts w:ascii="Times New Roman" w:hAnsi="Times New Roman" w:cs="Times New Roman"/>
          <w:sz w:val="26"/>
          <w:szCs w:val="26"/>
        </w:rPr>
        <w:t>.</w:t>
      </w:r>
      <w:r w:rsidRPr="000441D9">
        <w:rPr>
          <w:rFonts w:ascii="Times New Roman" w:hAnsi="Times New Roman" w:cs="Times New Roman"/>
          <w:sz w:val="26"/>
          <w:szCs w:val="26"/>
        </w:rPr>
        <w:t>R</w:t>
      </w:r>
      <w:r>
        <w:rPr>
          <w:rFonts w:ascii="Times New Roman" w:hAnsi="Times New Roman" w:cs="Times New Roman"/>
          <w:sz w:val="26"/>
          <w:szCs w:val="26"/>
        </w:rPr>
        <w:t>.</w:t>
      </w:r>
      <w:r w:rsidRPr="000441D9">
        <w:rPr>
          <w:rFonts w:ascii="Times New Roman" w:hAnsi="Times New Roman" w:cs="Times New Roman"/>
          <w:sz w:val="26"/>
          <w:szCs w:val="26"/>
        </w:rPr>
        <w:t xml:space="preserve"> Parts 366.23(a)(1) and 369.1</w:t>
      </w:r>
      <w:r>
        <w:rPr>
          <w:rFonts w:ascii="Times New Roman" w:hAnsi="Times New Roman" w:cs="Times New Roman"/>
          <w:sz w:val="26"/>
          <w:szCs w:val="26"/>
        </w:rPr>
        <w:t>.</w:t>
      </w:r>
    </w:p>
    <w:p w14:paraId="788D732F" w14:textId="77777777" w:rsidR="00331E1C" w:rsidRPr="000441D9" w:rsidRDefault="00331E1C" w:rsidP="00BA7761">
      <w:pPr>
        <w:pStyle w:val="FootnoteText"/>
        <w:ind w:firstLine="720"/>
        <w:rPr>
          <w:rFonts w:ascii="Times New Roman" w:hAnsi="Times New Roman" w:cs="Times New Roman"/>
          <w:sz w:val="26"/>
          <w:szCs w:val="26"/>
        </w:rPr>
      </w:pPr>
    </w:p>
  </w:footnote>
  <w:footnote w:id="4">
    <w:p w14:paraId="2189D858" w14:textId="27DE2D07" w:rsidR="00331E1C" w:rsidRDefault="00331E1C" w:rsidP="00BA7761">
      <w:pPr>
        <w:pStyle w:val="FootnoteText"/>
        <w:ind w:firstLine="720"/>
        <w:rPr>
          <w:rFonts w:ascii="Times New Roman" w:hAnsi="Times New Roman" w:cs="Times New Roman"/>
          <w:sz w:val="26"/>
          <w:szCs w:val="26"/>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rPr>
        <w:t xml:space="preserve"> 18 C</w:t>
      </w:r>
      <w:r>
        <w:rPr>
          <w:rFonts w:ascii="Times New Roman" w:hAnsi="Times New Roman" w:cs="Times New Roman"/>
          <w:sz w:val="26"/>
          <w:szCs w:val="26"/>
        </w:rPr>
        <w:t>.</w:t>
      </w:r>
      <w:r w:rsidRPr="000441D9">
        <w:rPr>
          <w:rFonts w:ascii="Times New Roman" w:hAnsi="Times New Roman" w:cs="Times New Roman"/>
          <w:sz w:val="26"/>
          <w:szCs w:val="26"/>
        </w:rPr>
        <w:t>F</w:t>
      </w:r>
      <w:r>
        <w:rPr>
          <w:rFonts w:ascii="Times New Roman" w:hAnsi="Times New Roman" w:cs="Times New Roman"/>
          <w:sz w:val="26"/>
          <w:szCs w:val="26"/>
        </w:rPr>
        <w:t>.</w:t>
      </w:r>
      <w:r w:rsidRPr="000441D9">
        <w:rPr>
          <w:rFonts w:ascii="Times New Roman" w:hAnsi="Times New Roman" w:cs="Times New Roman"/>
          <w:sz w:val="26"/>
          <w:szCs w:val="26"/>
        </w:rPr>
        <w:t>R</w:t>
      </w:r>
      <w:r>
        <w:rPr>
          <w:rFonts w:ascii="Times New Roman" w:hAnsi="Times New Roman" w:cs="Times New Roman"/>
          <w:sz w:val="26"/>
          <w:szCs w:val="26"/>
        </w:rPr>
        <w:t>.</w:t>
      </w:r>
      <w:r w:rsidRPr="000441D9">
        <w:rPr>
          <w:rFonts w:ascii="Times New Roman" w:hAnsi="Times New Roman" w:cs="Times New Roman"/>
          <w:sz w:val="26"/>
          <w:szCs w:val="26"/>
        </w:rPr>
        <w:t xml:space="preserve"> Part 366.23(a)(2)</w:t>
      </w:r>
      <w:r>
        <w:rPr>
          <w:rFonts w:ascii="Times New Roman" w:hAnsi="Times New Roman" w:cs="Times New Roman"/>
          <w:sz w:val="26"/>
          <w:szCs w:val="26"/>
        </w:rPr>
        <w:t>.</w:t>
      </w:r>
    </w:p>
    <w:p w14:paraId="61DEA74C" w14:textId="77777777" w:rsidR="00331E1C" w:rsidRPr="000441D9" w:rsidRDefault="00331E1C" w:rsidP="00BA7761">
      <w:pPr>
        <w:pStyle w:val="FootnoteText"/>
        <w:ind w:firstLine="720"/>
        <w:rPr>
          <w:rFonts w:ascii="Times New Roman" w:hAnsi="Times New Roman" w:cs="Times New Roman"/>
          <w:sz w:val="26"/>
          <w:szCs w:val="26"/>
        </w:rPr>
      </w:pPr>
    </w:p>
  </w:footnote>
  <w:footnote w:id="5">
    <w:p w14:paraId="29A5D797" w14:textId="11722DC7" w:rsidR="00331E1C" w:rsidRPr="000441D9" w:rsidRDefault="00331E1C" w:rsidP="00BA7761">
      <w:pPr>
        <w:pStyle w:val="FootnoteText"/>
        <w:ind w:firstLine="720"/>
        <w:rPr>
          <w:rFonts w:ascii="Times New Roman" w:hAnsi="Times New Roman" w:cs="Times New Roman"/>
          <w:sz w:val="26"/>
          <w:szCs w:val="26"/>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rPr>
        <w:t xml:space="preserve"> 18 C</w:t>
      </w:r>
      <w:r>
        <w:rPr>
          <w:rFonts w:ascii="Times New Roman" w:hAnsi="Times New Roman" w:cs="Times New Roman"/>
          <w:sz w:val="26"/>
          <w:szCs w:val="26"/>
        </w:rPr>
        <w:t>.</w:t>
      </w:r>
      <w:r w:rsidRPr="000441D9">
        <w:rPr>
          <w:rFonts w:ascii="Times New Roman" w:hAnsi="Times New Roman" w:cs="Times New Roman"/>
          <w:sz w:val="26"/>
          <w:szCs w:val="26"/>
        </w:rPr>
        <w:t>F</w:t>
      </w:r>
      <w:r>
        <w:rPr>
          <w:rFonts w:ascii="Times New Roman" w:hAnsi="Times New Roman" w:cs="Times New Roman"/>
          <w:sz w:val="26"/>
          <w:szCs w:val="26"/>
        </w:rPr>
        <w:t>.</w:t>
      </w:r>
      <w:r w:rsidRPr="000441D9">
        <w:rPr>
          <w:rFonts w:ascii="Times New Roman" w:hAnsi="Times New Roman" w:cs="Times New Roman"/>
          <w:sz w:val="26"/>
          <w:szCs w:val="26"/>
        </w:rPr>
        <w:t>R</w:t>
      </w:r>
      <w:r>
        <w:rPr>
          <w:rFonts w:ascii="Times New Roman" w:hAnsi="Times New Roman" w:cs="Times New Roman"/>
          <w:sz w:val="26"/>
          <w:szCs w:val="26"/>
        </w:rPr>
        <w:t>.</w:t>
      </w:r>
      <w:r w:rsidRPr="000441D9">
        <w:rPr>
          <w:rFonts w:ascii="Times New Roman" w:hAnsi="Times New Roman" w:cs="Times New Roman"/>
          <w:sz w:val="26"/>
          <w:szCs w:val="26"/>
        </w:rPr>
        <w:t xml:space="preserve"> Part 368</w:t>
      </w:r>
      <w:r>
        <w:rPr>
          <w:rFonts w:ascii="Times New Roman" w:hAnsi="Times New Roman" w:cs="Times New Roman"/>
          <w:sz w:val="26"/>
          <w:szCs w:val="26"/>
        </w:rPr>
        <w:t>.</w:t>
      </w:r>
    </w:p>
  </w:footnote>
  <w:footnote w:id="6">
    <w:p w14:paraId="2CE1ADBF" w14:textId="2A2F8056" w:rsidR="00331E1C" w:rsidRDefault="00331E1C" w:rsidP="00720A08">
      <w:pPr>
        <w:spacing w:after="0" w:line="240" w:lineRule="auto"/>
        <w:ind w:firstLine="720"/>
        <w:rPr>
          <w:rFonts w:ascii="Times New Roman" w:eastAsia="Calibri" w:hAnsi="Times New Roman" w:cs="Times New Roman"/>
          <w:sz w:val="26"/>
          <w:szCs w:val="26"/>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rPr>
        <w:t xml:space="preserve"> </w:t>
      </w:r>
      <w:r w:rsidRPr="000441D9">
        <w:rPr>
          <w:rFonts w:ascii="Times New Roman" w:eastAsia="Calibri" w:hAnsi="Times New Roman" w:cs="Times New Roman"/>
          <w:sz w:val="26"/>
          <w:szCs w:val="26"/>
        </w:rPr>
        <w:t>18 C</w:t>
      </w:r>
      <w:r>
        <w:rPr>
          <w:rFonts w:ascii="Times New Roman" w:eastAsia="Calibri" w:hAnsi="Times New Roman" w:cs="Times New Roman"/>
          <w:sz w:val="26"/>
          <w:szCs w:val="26"/>
        </w:rPr>
        <w:t>.</w:t>
      </w:r>
      <w:r w:rsidRPr="000441D9">
        <w:rPr>
          <w:rFonts w:ascii="Times New Roman" w:eastAsia="Calibri" w:hAnsi="Times New Roman" w:cs="Times New Roman"/>
          <w:sz w:val="26"/>
          <w:szCs w:val="26"/>
        </w:rPr>
        <w:t>F</w:t>
      </w:r>
      <w:r>
        <w:rPr>
          <w:rFonts w:ascii="Times New Roman" w:eastAsia="Calibri" w:hAnsi="Times New Roman" w:cs="Times New Roman"/>
          <w:sz w:val="26"/>
          <w:szCs w:val="26"/>
        </w:rPr>
        <w:t>.</w:t>
      </w:r>
      <w:r w:rsidRPr="000441D9">
        <w:rPr>
          <w:rFonts w:ascii="Times New Roman" w:eastAsia="Calibri" w:hAnsi="Times New Roman" w:cs="Times New Roman"/>
          <w:sz w:val="26"/>
          <w:szCs w:val="26"/>
        </w:rPr>
        <w:t>R</w:t>
      </w:r>
      <w:r>
        <w:rPr>
          <w:rFonts w:ascii="Times New Roman" w:eastAsia="Calibri" w:hAnsi="Times New Roman" w:cs="Times New Roman"/>
          <w:sz w:val="26"/>
          <w:szCs w:val="26"/>
        </w:rPr>
        <w:t>.</w:t>
      </w:r>
      <w:r w:rsidRPr="000441D9">
        <w:rPr>
          <w:rFonts w:ascii="Times New Roman" w:eastAsia="Calibri" w:hAnsi="Times New Roman" w:cs="Times New Roman"/>
          <w:sz w:val="26"/>
          <w:szCs w:val="26"/>
        </w:rPr>
        <w:t xml:space="preserve"> Parts 125 and 225.</w:t>
      </w:r>
    </w:p>
    <w:p w14:paraId="7B5B23D4" w14:textId="77777777" w:rsidR="00331E1C" w:rsidRPr="000441D9" w:rsidRDefault="00331E1C" w:rsidP="000441D9">
      <w:pPr>
        <w:spacing w:after="0" w:line="240" w:lineRule="auto"/>
        <w:rPr>
          <w:rFonts w:ascii="Times New Roman" w:eastAsia="Calibri" w:hAnsi="Times New Roman" w:cs="Times New Roman"/>
          <w:sz w:val="26"/>
          <w:szCs w:val="26"/>
        </w:rPr>
      </w:pPr>
    </w:p>
  </w:footnote>
  <w:footnote w:id="7">
    <w:p w14:paraId="72A7CDFF" w14:textId="23F760D3" w:rsidR="00331E1C" w:rsidRPr="000441D9" w:rsidRDefault="00331E1C" w:rsidP="00720A08">
      <w:pPr>
        <w:pStyle w:val="FootnoteText"/>
        <w:ind w:firstLine="720"/>
        <w:rPr>
          <w:rFonts w:ascii="Times New Roman" w:hAnsi="Times New Roman" w:cs="Times New Roman"/>
          <w:sz w:val="26"/>
          <w:szCs w:val="26"/>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rPr>
        <w:t xml:space="preserve"> 5 C</w:t>
      </w:r>
      <w:r>
        <w:rPr>
          <w:rFonts w:ascii="Times New Roman" w:hAnsi="Times New Roman" w:cs="Times New Roman"/>
          <w:sz w:val="26"/>
          <w:szCs w:val="26"/>
        </w:rPr>
        <w:t>.</w:t>
      </w:r>
      <w:r w:rsidRPr="000441D9">
        <w:rPr>
          <w:rFonts w:ascii="Times New Roman" w:hAnsi="Times New Roman" w:cs="Times New Roman"/>
          <w:sz w:val="26"/>
          <w:szCs w:val="26"/>
        </w:rPr>
        <w:t>F</w:t>
      </w:r>
      <w:r>
        <w:rPr>
          <w:rFonts w:ascii="Times New Roman" w:hAnsi="Times New Roman" w:cs="Times New Roman"/>
          <w:sz w:val="26"/>
          <w:szCs w:val="26"/>
        </w:rPr>
        <w:t>.</w:t>
      </w:r>
      <w:r w:rsidRPr="000441D9">
        <w:rPr>
          <w:rFonts w:ascii="Times New Roman" w:hAnsi="Times New Roman" w:cs="Times New Roman"/>
          <w:sz w:val="26"/>
          <w:szCs w:val="26"/>
        </w:rPr>
        <w:t>R</w:t>
      </w:r>
      <w:r>
        <w:rPr>
          <w:rFonts w:ascii="Times New Roman" w:hAnsi="Times New Roman" w:cs="Times New Roman"/>
          <w:sz w:val="26"/>
          <w:szCs w:val="26"/>
        </w:rPr>
        <w:t>.</w:t>
      </w:r>
      <w:r w:rsidRPr="000441D9">
        <w:rPr>
          <w:rFonts w:ascii="Times New Roman" w:hAnsi="Times New Roman" w:cs="Times New Roman"/>
          <w:sz w:val="26"/>
          <w:szCs w:val="26"/>
        </w:rPr>
        <w:t xml:space="preserve"> </w:t>
      </w:r>
      <w:r>
        <w:rPr>
          <w:rFonts w:ascii="Times New Roman" w:hAnsi="Times New Roman" w:cs="Times New Roman"/>
          <w:sz w:val="26"/>
          <w:szCs w:val="26"/>
        </w:rPr>
        <w:t xml:space="preserve">Part </w:t>
      </w:r>
      <w:r w:rsidRPr="000441D9">
        <w:rPr>
          <w:rFonts w:ascii="Times New Roman" w:hAnsi="Times New Roman" w:cs="Times New Roman"/>
          <w:sz w:val="26"/>
          <w:szCs w:val="26"/>
        </w:rPr>
        <w:t>1320.5(d)(2)(iv).</w:t>
      </w:r>
    </w:p>
  </w:footnote>
  <w:footnote w:id="8">
    <w:p w14:paraId="4FD7EBB7" w14:textId="15A7F4B8" w:rsidR="00331E1C" w:rsidRDefault="00331E1C" w:rsidP="00720A08">
      <w:pPr>
        <w:pStyle w:val="FootnoteText"/>
        <w:ind w:firstLine="720"/>
        <w:rPr>
          <w:rFonts w:ascii="Times New Roman" w:hAnsi="Times New Roman" w:cs="Times New Roman"/>
          <w:sz w:val="26"/>
          <w:szCs w:val="26"/>
          <w:lang w:val="fr-FR"/>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lang w:val="fr-FR"/>
        </w:rPr>
        <w:t xml:space="preserve"> 5 C</w:t>
      </w:r>
      <w:r>
        <w:rPr>
          <w:rFonts w:ascii="Times New Roman" w:hAnsi="Times New Roman" w:cs="Times New Roman"/>
          <w:sz w:val="26"/>
          <w:szCs w:val="26"/>
          <w:lang w:val="fr-FR"/>
        </w:rPr>
        <w:t>.</w:t>
      </w:r>
      <w:r w:rsidRPr="000441D9">
        <w:rPr>
          <w:rFonts w:ascii="Times New Roman" w:hAnsi="Times New Roman" w:cs="Times New Roman"/>
          <w:sz w:val="26"/>
          <w:szCs w:val="26"/>
          <w:lang w:val="fr-FR"/>
        </w:rPr>
        <w:t>F</w:t>
      </w:r>
      <w:r>
        <w:rPr>
          <w:rFonts w:ascii="Times New Roman" w:hAnsi="Times New Roman" w:cs="Times New Roman"/>
          <w:sz w:val="26"/>
          <w:szCs w:val="26"/>
          <w:lang w:val="fr-FR"/>
        </w:rPr>
        <w:t>.</w:t>
      </w:r>
      <w:r w:rsidRPr="000441D9">
        <w:rPr>
          <w:rFonts w:ascii="Times New Roman" w:hAnsi="Times New Roman" w:cs="Times New Roman"/>
          <w:sz w:val="26"/>
          <w:szCs w:val="26"/>
          <w:lang w:val="fr-FR"/>
        </w:rPr>
        <w:t>R</w:t>
      </w:r>
      <w:r>
        <w:rPr>
          <w:rFonts w:ascii="Times New Roman" w:hAnsi="Times New Roman" w:cs="Times New Roman"/>
          <w:sz w:val="26"/>
          <w:szCs w:val="26"/>
          <w:lang w:val="fr-FR"/>
        </w:rPr>
        <w:t>.</w:t>
      </w:r>
      <w:r w:rsidRPr="000441D9">
        <w:rPr>
          <w:rFonts w:ascii="Times New Roman" w:hAnsi="Times New Roman" w:cs="Times New Roman"/>
          <w:sz w:val="26"/>
          <w:szCs w:val="26"/>
          <w:lang w:val="fr-FR"/>
        </w:rPr>
        <w:t xml:space="preserve"> </w:t>
      </w:r>
      <w:r w:rsidRPr="000441D9">
        <w:rPr>
          <w:rFonts w:ascii="Times New Roman" w:hAnsi="Times New Roman" w:cs="Times New Roman"/>
          <w:sz w:val="26"/>
          <w:szCs w:val="26"/>
        </w:rPr>
        <w:t>§</w:t>
      </w:r>
      <w:r>
        <w:rPr>
          <w:rFonts w:ascii="Times New Roman" w:hAnsi="Times New Roman" w:cs="Times New Roman"/>
          <w:sz w:val="26"/>
          <w:szCs w:val="26"/>
        </w:rPr>
        <w:t xml:space="preserve"> </w:t>
      </w:r>
      <w:r w:rsidRPr="000441D9">
        <w:rPr>
          <w:rFonts w:ascii="Times New Roman" w:hAnsi="Times New Roman" w:cs="Times New Roman"/>
          <w:sz w:val="26"/>
          <w:szCs w:val="26"/>
          <w:lang w:val="fr-FR"/>
        </w:rPr>
        <w:t>1320.8(d)</w:t>
      </w:r>
      <w:r>
        <w:rPr>
          <w:rFonts w:ascii="Times New Roman" w:hAnsi="Times New Roman" w:cs="Times New Roman"/>
          <w:sz w:val="26"/>
          <w:szCs w:val="26"/>
          <w:lang w:val="fr-FR"/>
        </w:rPr>
        <w:t>.</w:t>
      </w:r>
    </w:p>
    <w:p w14:paraId="51B484D0" w14:textId="77777777" w:rsidR="00331E1C" w:rsidRPr="000441D9" w:rsidRDefault="00331E1C" w:rsidP="000441D9">
      <w:pPr>
        <w:pStyle w:val="FootnoteText"/>
        <w:rPr>
          <w:rFonts w:ascii="Times New Roman" w:hAnsi="Times New Roman" w:cs="Times New Roman"/>
          <w:sz w:val="26"/>
          <w:szCs w:val="26"/>
          <w:lang w:val="fr-FR"/>
        </w:rPr>
      </w:pPr>
    </w:p>
  </w:footnote>
  <w:footnote w:id="9">
    <w:p w14:paraId="297A9D3B" w14:textId="373AA1E6" w:rsidR="00331E1C" w:rsidRDefault="00331E1C" w:rsidP="00720A08">
      <w:pPr>
        <w:pStyle w:val="FootnoteText"/>
        <w:ind w:firstLine="720"/>
        <w:rPr>
          <w:rFonts w:ascii="Times New Roman" w:hAnsi="Times New Roman" w:cs="Times New Roman"/>
          <w:sz w:val="26"/>
          <w:szCs w:val="26"/>
          <w:lang w:val="fr-FR"/>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lang w:val="fr-FR"/>
        </w:rPr>
        <w:t xml:space="preserve"> 84 FR 10308</w:t>
      </w:r>
      <w:r>
        <w:rPr>
          <w:rFonts w:ascii="Times New Roman" w:hAnsi="Times New Roman" w:cs="Times New Roman"/>
          <w:sz w:val="26"/>
          <w:szCs w:val="26"/>
          <w:lang w:val="fr-FR"/>
        </w:rPr>
        <w:t>.</w:t>
      </w:r>
    </w:p>
    <w:p w14:paraId="15CBDB65" w14:textId="77777777" w:rsidR="00331E1C" w:rsidRPr="000441D9" w:rsidRDefault="00331E1C" w:rsidP="000441D9">
      <w:pPr>
        <w:pStyle w:val="FootnoteText"/>
        <w:rPr>
          <w:rFonts w:ascii="Times New Roman" w:hAnsi="Times New Roman" w:cs="Times New Roman"/>
          <w:sz w:val="26"/>
          <w:szCs w:val="26"/>
          <w:lang w:val="fr-FR"/>
        </w:rPr>
      </w:pPr>
    </w:p>
  </w:footnote>
  <w:footnote w:id="10">
    <w:p w14:paraId="3EB3A3EA" w14:textId="5B96FA78" w:rsidR="00331E1C" w:rsidRPr="000441D9" w:rsidRDefault="00331E1C" w:rsidP="00720A08">
      <w:pPr>
        <w:pStyle w:val="FootnoteText"/>
        <w:ind w:firstLine="720"/>
        <w:rPr>
          <w:rFonts w:ascii="Times New Roman" w:hAnsi="Times New Roman" w:cs="Times New Roman"/>
          <w:sz w:val="26"/>
          <w:szCs w:val="26"/>
        </w:rPr>
      </w:pPr>
      <w:r w:rsidRPr="00720A08">
        <w:rPr>
          <w:rStyle w:val="FootnoteReference"/>
          <w:rFonts w:ascii="Times New Roman" w:eastAsia="Times New Roman" w:hAnsi="Times New Roman" w:cs="Times New Roman"/>
          <w:b/>
          <w:sz w:val="26"/>
          <w:szCs w:val="26"/>
        </w:rPr>
        <w:footnoteRef/>
      </w:r>
      <w:r w:rsidRPr="000441D9">
        <w:rPr>
          <w:rFonts w:ascii="Times New Roman" w:hAnsi="Times New Roman" w:cs="Times New Roman"/>
          <w:sz w:val="26"/>
          <w:szCs w:val="26"/>
        </w:rPr>
        <w:t xml:space="preserve"> 18 C.F.R. §§ 388.112 and 388.113.  More information on the CEII definition, program and requirements is posted at </w:t>
      </w:r>
      <w:hyperlink r:id="rId1" w:history="1">
        <w:r w:rsidRPr="000441D9">
          <w:rPr>
            <w:rStyle w:val="Hyperlink"/>
            <w:sz w:val="26"/>
            <w:szCs w:val="26"/>
          </w:rPr>
          <w:t>http://www.ferc.gov/legal/ceii-foia/ceii.asp</w:t>
        </w:r>
      </w:hyperlink>
      <w:r w:rsidRPr="000441D9">
        <w:rPr>
          <w:rFonts w:ascii="Times New Roman" w:hAnsi="Times New Roman" w:cs="Times New Roman"/>
          <w:sz w:val="26"/>
          <w:szCs w:val="26"/>
        </w:rPr>
        <w:t xml:space="preserve">. </w:t>
      </w:r>
    </w:p>
  </w:footnote>
  <w:footnote w:id="11">
    <w:p w14:paraId="161A94EF" w14:textId="2FF3D932" w:rsidR="00202139" w:rsidRDefault="00202139" w:rsidP="00202139">
      <w:pPr>
        <w:pStyle w:val="FootnoteText"/>
        <w:ind w:firstLine="720"/>
        <w:rPr>
          <w:rFonts w:ascii="Times New Roman" w:hAnsi="Times New Roman" w:cs="Times New Roman"/>
          <w:sz w:val="26"/>
          <w:szCs w:val="26"/>
        </w:rPr>
      </w:pPr>
      <w:r w:rsidRPr="00202139">
        <w:rPr>
          <w:rStyle w:val="FootnoteReference"/>
          <w:rFonts w:ascii="Times New Roman" w:hAnsi="Times New Roman" w:cs="Times New Roman"/>
          <w:sz w:val="26"/>
          <w:szCs w:val="26"/>
        </w:rPr>
        <w:footnoteRef/>
      </w:r>
      <w:r w:rsidRPr="00202139">
        <w:rPr>
          <w:rFonts w:ascii="Times New Roman" w:hAnsi="Times New Roman" w:cs="Times New Roman"/>
          <w:sz w:val="26"/>
          <w:szCs w:val="26"/>
        </w:rPr>
        <w:t xml:space="preserve"> Burden is defined as the total time, effort, or financial resources expended by persons to generate, maintain, retain, disclose, or provide information to or for a </w:t>
      </w:r>
      <w:proofErr w:type="gramStart"/>
      <w:r w:rsidRPr="00202139">
        <w:rPr>
          <w:rFonts w:ascii="Times New Roman" w:hAnsi="Times New Roman" w:cs="Times New Roman"/>
          <w:sz w:val="26"/>
          <w:szCs w:val="26"/>
        </w:rPr>
        <w:t>Federal</w:t>
      </w:r>
      <w:proofErr w:type="gramEnd"/>
      <w:r w:rsidRPr="00202139">
        <w:rPr>
          <w:rFonts w:ascii="Times New Roman" w:hAnsi="Times New Roman" w:cs="Times New Roman"/>
          <w:sz w:val="26"/>
          <w:szCs w:val="26"/>
        </w:rPr>
        <w:t xml:space="preserve"> agency.  For further explanation of what is included in the information collection burden, refer to Title 5 Code of Federal Regulations 1320.3.  The burden hours and costs are rounded for ease of presentation.</w:t>
      </w:r>
    </w:p>
    <w:p w14:paraId="38E0188C" w14:textId="77777777" w:rsidR="008E76DF" w:rsidRPr="008E76DF" w:rsidRDefault="008E76DF" w:rsidP="00202139">
      <w:pPr>
        <w:pStyle w:val="FootnoteText"/>
        <w:ind w:firstLine="720"/>
        <w:rPr>
          <w:rFonts w:ascii="Times New Roman" w:hAnsi="Times New Roman" w:cs="Times New Roman"/>
          <w:sz w:val="26"/>
          <w:szCs w:val="26"/>
        </w:rPr>
      </w:pPr>
    </w:p>
  </w:footnote>
  <w:footnote w:id="12">
    <w:p w14:paraId="096D790F" w14:textId="77777777" w:rsidR="00202139" w:rsidRPr="00202139" w:rsidRDefault="00202139" w:rsidP="00202139">
      <w:pPr>
        <w:pStyle w:val="FootnoteText"/>
        <w:ind w:firstLine="720"/>
        <w:rPr>
          <w:rFonts w:ascii="Times New Roman" w:eastAsia="Times New Roman" w:hAnsi="Times New Roman" w:cs="Times New Roman"/>
          <w:sz w:val="26"/>
          <w:szCs w:val="26"/>
        </w:rPr>
      </w:pPr>
      <w:r w:rsidRPr="00202139">
        <w:rPr>
          <w:rStyle w:val="FootnoteReference"/>
          <w:rFonts w:ascii="Times New Roman" w:hAnsi="Times New Roman" w:cs="Times New Roman"/>
          <w:sz w:val="26"/>
          <w:szCs w:val="26"/>
        </w:rPr>
        <w:footnoteRef/>
      </w:r>
      <w:r w:rsidRPr="00202139">
        <w:rPr>
          <w:rFonts w:ascii="Times New Roman" w:hAnsi="Times New Roman" w:cs="Times New Roman"/>
          <w:sz w:val="26"/>
          <w:szCs w:val="26"/>
        </w:rPr>
        <w:t xml:space="preserve"> </w:t>
      </w:r>
      <w:r w:rsidRPr="00202139">
        <w:rPr>
          <w:rFonts w:ascii="Times New Roman" w:eastAsia="Times New Roman" w:hAnsi="Times New Roman" w:cs="Times New Roman"/>
          <w:sz w:val="26"/>
          <w:szCs w:val="26"/>
        </w:rPr>
        <w:t xml:space="preserve">The cost for the Form 60 and FERC-61 is based on FERC’s 2021 Commission-wide average salary cost (salary plus benefits) of $87.00/hour.  The Commission staff believes the FERC FTE (full-time equivalent) average cost for wages plus benefits is representative of the corresponding cost for the industry respondents.  </w:t>
      </w:r>
    </w:p>
    <w:p w14:paraId="2003F098" w14:textId="47C9FD0E" w:rsidR="00202139" w:rsidRDefault="00202139" w:rsidP="00202139">
      <w:pPr>
        <w:pStyle w:val="FootnoteText"/>
      </w:pPr>
      <w:r w:rsidRPr="00202139">
        <w:rPr>
          <w:rFonts w:ascii="Times New Roman" w:eastAsia="Times New Roman" w:hAnsi="Times New Roman" w:cs="Times New Roman"/>
          <w:sz w:val="26"/>
          <w:szCs w:val="26"/>
        </w:rPr>
        <w:t>For the FERC-555A, the $35.83 hourly cost figure comes from the average cost (wages plus benefits) of a file clerk (Occupation Code 43-4071) as posted on the BLS website (http://www.bls.gov/oes/current/naics2_22.htm).</w:t>
      </w:r>
    </w:p>
  </w:footnote>
  <w:footnote w:id="13">
    <w:p w14:paraId="243F3F3F" w14:textId="77777777" w:rsidR="00331E1C" w:rsidRPr="006B4007" w:rsidRDefault="00331E1C" w:rsidP="00720A08">
      <w:pPr>
        <w:pStyle w:val="FootnoteText"/>
        <w:ind w:firstLine="720"/>
        <w:rPr>
          <w:sz w:val="26"/>
          <w:szCs w:val="26"/>
        </w:rPr>
      </w:pPr>
      <w:r w:rsidRPr="00720A08">
        <w:rPr>
          <w:rStyle w:val="FootnoteReference"/>
          <w:rFonts w:ascii="Times New Roman" w:eastAsia="Times New Roman" w:hAnsi="Times New Roman" w:cs="Times New Roman"/>
          <w:b/>
          <w:sz w:val="26"/>
          <w:szCs w:val="26"/>
        </w:rPr>
        <w:footnoteRef/>
      </w:r>
      <w:r w:rsidRPr="006B4007">
        <w:rPr>
          <w:sz w:val="26"/>
          <w:szCs w:val="26"/>
        </w:rPr>
        <w:t xml:space="preserve"> </w:t>
      </w:r>
      <w:r w:rsidRPr="001B775E">
        <w:rPr>
          <w:rFonts w:ascii="Times New Roman" w:hAnsi="Times New Roman" w:cs="Times New Roman"/>
          <w:sz w:val="26"/>
          <w:szCs w:val="26"/>
        </w:rPr>
        <w:t>Internal analysis assumes 50% paper storage and 50% electronic storage.</w:t>
      </w:r>
      <w:r w:rsidRPr="006B4007">
        <w:rPr>
          <w:sz w:val="26"/>
          <w:szCs w:val="26"/>
        </w:rPr>
        <w:t xml:space="preserve">  </w:t>
      </w:r>
    </w:p>
  </w:footnote>
  <w:footnote w:id="14">
    <w:p w14:paraId="5E5E2E4C" w14:textId="77777777" w:rsidR="00331E1C" w:rsidRPr="00720A08" w:rsidRDefault="00331E1C" w:rsidP="000976D8">
      <w:pPr>
        <w:pStyle w:val="FootnoteText"/>
        <w:ind w:firstLine="720"/>
        <w:rPr>
          <w:rFonts w:ascii="Times New Roman" w:hAnsi="Times New Roman" w:cs="Times New Roman"/>
          <w:sz w:val="26"/>
          <w:szCs w:val="26"/>
        </w:rPr>
      </w:pPr>
      <w:r w:rsidRPr="00720A08">
        <w:rPr>
          <w:rStyle w:val="FootnoteReference"/>
          <w:rFonts w:eastAsia="Times New Roman"/>
          <w:b/>
          <w:sz w:val="26"/>
          <w:szCs w:val="26"/>
        </w:rPr>
        <w:footnoteRef/>
      </w:r>
      <w:r w:rsidRPr="00720A08">
        <w:rPr>
          <w:rFonts w:ascii="Times New Roman" w:hAnsi="Times New Roman" w:cs="Times New Roman"/>
          <w:sz w:val="26"/>
          <w:szCs w:val="26"/>
        </w:rPr>
        <w:t xml:space="preserve"> The estimate uses the FERC’s FY 2021 average annual salary plus benefits of one FERC FTE (full-time equivalent [$180,703 per year or $87.00 per hour]).  (These estimates were updated in June 2021.)</w:t>
      </w:r>
    </w:p>
  </w:footnote>
  <w:footnote w:id="15">
    <w:p w14:paraId="53E02368" w14:textId="06F55B72" w:rsidR="00331E1C" w:rsidRPr="000441D9" w:rsidRDefault="00331E1C" w:rsidP="00720A08">
      <w:pPr>
        <w:pStyle w:val="FootnoteText"/>
        <w:ind w:firstLine="720"/>
        <w:rPr>
          <w:rFonts w:ascii="Times New Roman" w:hAnsi="Times New Roman" w:cs="Times New Roman"/>
          <w:sz w:val="26"/>
          <w:szCs w:val="26"/>
        </w:rPr>
      </w:pPr>
      <w:r w:rsidRPr="00720A08">
        <w:rPr>
          <w:rStyle w:val="FootnoteReference"/>
          <w:rFonts w:eastAsia="Times New Roman"/>
          <w:b/>
          <w:sz w:val="26"/>
          <w:szCs w:val="26"/>
        </w:rPr>
        <w:footnoteRef/>
      </w:r>
      <w:r w:rsidRPr="000441D9">
        <w:rPr>
          <w:rFonts w:ascii="Times New Roman" w:hAnsi="Times New Roman" w:cs="Times New Roman"/>
          <w:sz w:val="26"/>
          <w:szCs w:val="26"/>
        </w:rPr>
        <w:t xml:space="preserve"> Based upon FERC’s 20</w:t>
      </w:r>
      <w:r>
        <w:rPr>
          <w:rFonts w:ascii="Times New Roman" w:hAnsi="Times New Roman" w:cs="Times New Roman"/>
          <w:sz w:val="26"/>
          <w:szCs w:val="26"/>
        </w:rPr>
        <w:t>21</w:t>
      </w:r>
      <w:r w:rsidRPr="000441D9">
        <w:rPr>
          <w:rFonts w:ascii="Times New Roman" w:hAnsi="Times New Roman" w:cs="Times New Roman"/>
          <w:sz w:val="26"/>
          <w:szCs w:val="26"/>
        </w:rPr>
        <w:t xml:space="preserve"> FTE average salary plus benefits ($1</w:t>
      </w:r>
      <w:r>
        <w:rPr>
          <w:rFonts w:ascii="Times New Roman" w:hAnsi="Times New Roman" w:cs="Times New Roman"/>
          <w:sz w:val="26"/>
          <w:szCs w:val="26"/>
        </w:rPr>
        <w:t>80</w:t>
      </w:r>
      <w:r w:rsidRPr="000441D9">
        <w:rPr>
          <w:rFonts w:ascii="Times New Roman" w:hAnsi="Times New Roman" w:cs="Times New Roman"/>
          <w:sz w:val="26"/>
          <w:szCs w:val="26"/>
        </w:rPr>
        <w:t>,</w:t>
      </w:r>
      <w:r>
        <w:rPr>
          <w:rFonts w:ascii="Times New Roman" w:hAnsi="Times New Roman" w:cs="Times New Roman"/>
          <w:sz w:val="26"/>
          <w:szCs w:val="26"/>
        </w:rPr>
        <w:t>709</w:t>
      </w:r>
      <w:r w:rsidRPr="000441D9">
        <w:rPr>
          <w:rFonts w:ascii="Times New Roman" w:hAnsi="Times New Roman" w:cs="Times New Roman"/>
          <w:sz w:val="26"/>
          <w:szCs w:val="26"/>
        </w:rPr>
        <w:t>)</w:t>
      </w:r>
      <w:r>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0C21" w14:textId="77777777" w:rsidR="008C1649" w:rsidRDefault="008C1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C772" w14:textId="0BFBA0D1" w:rsidR="00331E1C" w:rsidRDefault="00331E1C">
    <w:pPr>
      <w:pStyle w:val="Header"/>
      <w:rPr>
        <w:rFonts w:ascii="Times New Roman" w:hAnsi="Times New Roman" w:cs="Times New Roman"/>
        <w:sz w:val="26"/>
        <w:szCs w:val="26"/>
      </w:rPr>
    </w:pPr>
    <w:r>
      <w:rPr>
        <w:rFonts w:ascii="Times New Roman" w:hAnsi="Times New Roman" w:cs="Times New Roman"/>
        <w:sz w:val="26"/>
        <w:szCs w:val="26"/>
      </w:rPr>
      <w:t>FERC Form Nos. 60 and 60-A, FERC-61, and FERC-555A, Docket No. IC22-5-000, OMB Control Nos. 1902-0215 and 1902</w:t>
    </w:r>
    <w:r w:rsidR="008C1649">
      <w:rPr>
        <w:rFonts w:ascii="Times New Roman" w:hAnsi="Times New Roman" w:cs="Times New Roman"/>
        <w:sz w:val="26"/>
        <w:szCs w:val="26"/>
      </w:rPr>
      <w:t>-0308</w:t>
    </w:r>
  </w:p>
  <w:p w14:paraId="47A16FF2" w14:textId="74638AA5" w:rsidR="00331E1C" w:rsidRDefault="00331E1C">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7934" w14:textId="77777777" w:rsidR="008C1649" w:rsidRDefault="008C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C0FA8"/>
    <w:multiLevelType w:val="hybridMultilevel"/>
    <w:tmpl w:val="882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C011D"/>
    <w:multiLevelType w:val="hybridMultilevel"/>
    <w:tmpl w:val="DEB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65357"/>
    <w:multiLevelType w:val="hybridMultilevel"/>
    <w:tmpl w:val="09DA5614"/>
    <w:lvl w:ilvl="0" w:tplc="DB3ADCE8">
      <w:start w:val="1"/>
      <w:numFmt w:val="bullet"/>
      <w:lvlText w:val=""/>
      <w:lvlJc w:val="left"/>
      <w:pPr>
        <w:ind w:left="72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F5BEB"/>
    <w:multiLevelType w:val="hybridMultilevel"/>
    <w:tmpl w:val="1BEC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D036E5"/>
    <w:multiLevelType w:val="hybridMultilevel"/>
    <w:tmpl w:val="3FF4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1393F"/>
    <w:multiLevelType w:val="hybridMultilevel"/>
    <w:tmpl w:val="54C8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659B4"/>
    <w:multiLevelType w:val="hybridMultilevel"/>
    <w:tmpl w:val="15D844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09010DA"/>
    <w:multiLevelType w:val="hybridMultilevel"/>
    <w:tmpl w:val="66B00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6AD"/>
    <w:multiLevelType w:val="hybridMultilevel"/>
    <w:tmpl w:val="9C0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438EC"/>
    <w:multiLevelType w:val="hybridMultilevel"/>
    <w:tmpl w:val="EDE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3"/>
  </w:num>
  <w:num w:numId="6">
    <w:abstractNumId w:val="3"/>
  </w:num>
  <w:num w:numId="7">
    <w:abstractNumId w:val="5"/>
  </w:num>
  <w:num w:numId="8">
    <w:abstractNumId w:val="6"/>
  </w:num>
  <w:num w:numId="9">
    <w:abstractNumId w:val="16"/>
  </w:num>
  <w:num w:numId="10">
    <w:abstractNumId w:val="17"/>
  </w:num>
  <w:num w:numId="11">
    <w:abstractNumId w:val="1"/>
  </w:num>
  <w:num w:numId="12">
    <w:abstractNumId w:val="15"/>
  </w:num>
  <w:num w:numId="13">
    <w:abstractNumId w:val="2"/>
  </w:num>
  <w:num w:numId="14">
    <w:abstractNumId w:val="14"/>
  </w:num>
  <w:num w:numId="15">
    <w:abstractNumId w:val="8"/>
  </w:num>
  <w:num w:numId="16">
    <w:abstractNumId w:val="7"/>
  </w:num>
  <w:num w:numId="17">
    <w:abstractNumId w:val="10"/>
  </w:num>
  <w:num w:numId="18">
    <w:abstractNumId w:val="12"/>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05DDA"/>
    <w:rsid w:val="00014369"/>
    <w:rsid w:val="00022939"/>
    <w:rsid w:val="00036C64"/>
    <w:rsid w:val="0004171E"/>
    <w:rsid w:val="00041CA6"/>
    <w:rsid w:val="00043630"/>
    <w:rsid w:val="0004391B"/>
    <w:rsid w:val="000441D9"/>
    <w:rsid w:val="00044938"/>
    <w:rsid w:val="00055EB7"/>
    <w:rsid w:val="00057CB1"/>
    <w:rsid w:val="0006289C"/>
    <w:rsid w:val="00062EE2"/>
    <w:rsid w:val="00065504"/>
    <w:rsid w:val="0006761F"/>
    <w:rsid w:val="00085D69"/>
    <w:rsid w:val="000976D8"/>
    <w:rsid w:val="000B04BA"/>
    <w:rsid w:val="000B196E"/>
    <w:rsid w:val="000C2AA0"/>
    <w:rsid w:val="000D140E"/>
    <w:rsid w:val="000D2AEC"/>
    <w:rsid w:val="000D7513"/>
    <w:rsid w:val="000E39B6"/>
    <w:rsid w:val="000E739D"/>
    <w:rsid w:val="000F2F31"/>
    <w:rsid w:val="000F4954"/>
    <w:rsid w:val="000F5551"/>
    <w:rsid w:val="001065AA"/>
    <w:rsid w:val="00121F31"/>
    <w:rsid w:val="00132D81"/>
    <w:rsid w:val="0014043E"/>
    <w:rsid w:val="00146999"/>
    <w:rsid w:val="00160FEE"/>
    <w:rsid w:val="001718EB"/>
    <w:rsid w:val="001815A9"/>
    <w:rsid w:val="00182CEE"/>
    <w:rsid w:val="001907FC"/>
    <w:rsid w:val="001A153B"/>
    <w:rsid w:val="001B178A"/>
    <w:rsid w:val="001B2950"/>
    <w:rsid w:val="001B775E"/>
    <w:rsid w:val="001D2653"/>
    <w:rsid w:val="001E2949"/>
    <w:rsid w:val="001E6E08"/>
    <w:rsid w:val="001F171A"/>
    <w:rsid w:val="001F499B"/>
    <w:rsid w:val="001F6968"/>
    <w:rsid w:val="00202139"/>
    <w:rsid w:val="00230646"/>
    <w:rsid w:val="00231271"/>
    <w:rsid w:val="00232F79"/>
    <w:rsid w:val="0024377F"/>
    <w:rsid w:val="0025702F"/>
    <w:rsid w:val="00261928"/>
    <w:rsid w:val="00264414"/>
    <w:rsid w:val="00267047"/>
    <w:rsid w:val="002671BE"/>
    <w:rsid w:val="002A0B1A"/>
    <w:rsid w:val="002A764D"/>
    <w:rsid w:val="002B438D"/>
    <w:rsid w:val="002B4546"/>
    <w:rsid w:val="002C34BC"/>
    <w:rsid w:val="002C460A"/>
    <w:rsid w:val="002C7D36"/>
    <w:rsid w:val="002D2613"/>
    <w:rsid w:val="002D607B"/>
    <w:rsid w:val="002D643E"/>
    <w:rsid w:val="002E0CF6"/>
    <w:rsid w:val="002E17E8"/>
    <w:rsid w:val="002E6E27"/>
    <w:rsid w:val="002F6772"/>
    <w:rsid w:val="003009CB"/>
    <w:rsid w:val="00303AA2"/>
    <w:rsid w:val="0030502F"/>
    <w:rsid w:val="00317BF1"/>
    <w:rsid w:val="00330601"/>
    <w:rsid w:val="00331E1C"/>
    <w:rsid w:val="00332E80"/>
    <w:rsid w:val="00342C1D"/>
    <w:rsid w:val="003463E6"/>
    <w:rsid w:val="00347B6B"/>
    <w:rsid w:val="00347DBA"/>
    <w:rsid w:val="0035596B"/>
    <w:rsid w:val="003608F6"/>
    <w:rsid w:val="003645AF"/>
    <w:rsid w:val="00365644"/>
    <w:rsid w:val="00366F54"/>
    <w:rsid w:val="003706A1"/>
    <w:rsid w:val="00386CE2"/>
    <w:rsid w:val="003A3561"/>
    <w:rsid w:val="003C124B"/>
    <w:rsid w:val="003C187C"/>
    <w:rsid w:val="003C1C29"/>
    <w:rsid w:val="003C1F6F"/>
    <w:rsid w:val="003C3B80"/>
    <w:rsid w:val="003D0AA4"/>
    <w:rsid w:val="003D34F1"/>
    <w:rsid w:val="003E4D3C"/>
    <w:rsid w:val="004050A3"/>
    <w:rsid w:val="00417C7C"/>
    <w:rsid w:val="004232B1"/>
    <w:rsid w:val="00431007"/>
    <w:rsid w:val="00450F42"/>
    <w:rsid w:val="00460C6A"/>
    <w:rsid w:val="00462199"/>
    <w:rsid w:val="00465E43"/>
    <w:rsid w:val="0047785C"/>
    <w:rsid w:val="0048671E"/>
    <w:rsid w:val="004A4ACC"/>
    <w:rsid w:val="004B34A4"/>
    <w:rsid w:val="004C30FF"/>
    <w:rsid w:val="004C6685"/>
    <w:rsid w:val="004D380D"/>
    <w:rsid w:val="004D63B4"/>
    <w:rsid w:val="004D7711"/>
    <w:rsid w:val="004E45C2"/>
    <w:rsid w:val="004F19B9"/>
    <w:rsid w:val="005058F1"/>
    <w:rsid w:val="0051011E"/>
    <w:rsid w:val="005111E7"/>
    <w:rsid w:val="00520A3A"/>
    <w:rsid w:val="00520CC6"/>
    <w:rsid w:val="005273F0"/>
    <w:rsid w:val="00540B02"/>
    <w:rsid w:val="00542FFE"/>
    <w:rsid w:val="00545E7E"/>
    <w:rsid w:val="00553E4B"/>
    <w:rsid w:val="00567B80"/>
    <w:rsid w:val="00567E71"/>
    <w:rsid w:val="00570228"/>
    <w:rsid w:val="00573554"/>
    <w:rsid w:val="00587C53"/>
    <w:rsid w:val="00595138"/>
    <w:rsid w:val="005A0862"/>
    <w:rsid w:val="005B1365"/>
    <w:rsid w:val="005C3272"/>
    <w:rsid w:val="005C4E97"/>
    <w:rsid w:val="005D75C3"/>
    <w:rsid w:val="005E0621"/>
    <w:rsid w:val="005E28CE"/>
    <w:rsid w:val="005E5E49"/>
    <w:rsid w:val="005F2368"/>
    <w:rsid w:val="00610457"/>
    <w:rsid w:val="006140AE"/>
    <w:rsid w:val="0061721D"/>
    <w:rsid w:val="0062150E"/>
    <w:rsid w:val="00632813"/>
    <w:rsid w:val="00640254"/>
    <w:rsid w:val="0064201D"/>
    <w:rsid w:val="00644588"/>
    <w:rsid w:val="00647B0B"/>
    <w:rsid w:val="00651B1F"/>
    <w:rsid w:val="00652DB6"/>
    <w:rsid w:val="0067266E"/>
    <w:rsid w:val="00673CC9"/>
    <w:rsid w:val="0067484B"/>
    <w:rsid w:val="006820D3"/>
    <w:rsid w:val="00684381"/>
    <w:rsid w:val="006963CA"/>
    <w:rsid w:val="006A70CE"/>
    <w:rsid w:val="006D3186"/>
    <w:rsid w:val="006D6BF7"/>
    <w:rsid w:val="006E39C1"/>
    <w:rsid w:val="006F111D"/>
    <w:rsid w:val="006F1CA0"/>
    <w:rsid w:val="006F49E4"/>
    <w:rsid w:val="006F7C4C"/>
    <w:rsid w:val="007002ED"/>
    <w:rsid w:val="00705642"/>
    <w:rsid w:val="00716C63"/>
    <w:rsid w:val="00720A08"/>
    <w:rsid w:val="00720FFD"/>
    <w:rsid w:val="00725449"/>
    <w:rsid w:val="00727706"/>
    <w:rsid w:val="00735128"/>
    <w:rsid w:val="00740F80"/>
    <w:rsid w:val="00761ED4"/>
    <w:rsid w:val="0076658D"/>
    <w:rsid w:val="00775575"/>
    <w:rsid w:val="00794AD3"/>
    <w:rsid w:val="007A668B"/>
    <w:rsid w:val="007B1783"/>
    <w:rsid w:val="007B29B4"/>
    <w:rsid w:val="007C2290"/>
    <w:rsid w:val="007C66AE"/>
    <w:rsid w:val="007C76D7"/>
    <w:rsid w:val="007D1FF7"/>
    <w:rsid w:val="007E0193"/>
    <w:rsid w:val="007E6F9B"/>
    <w:rsid w:val="007F4613"/>
    <w:rsid w:val="008041C5"/>
    <w:rsid w:val="00807167"/>
    <w:rsid w:val="00820AB8"/>
    <w:rsid w:val="00821764"/>
    <w:rsid w:val="00822404"/>
    <w:rsid w:val="00824371"/>
    <w:rsid w:val="00830A5B"/>
    <w:rsid w:val="00831BE0"/>
    <w:rsid w:val="00843FF1"/>
    <w:rsid w:val="00850B27"/>
    <w:rsid w:val="00861404"/>
    <w:rsid w:val="008633A0"/>
    <w:rsid w:val="00867C66"/>
    <w:rsid w:val="00872BDC"/>
    <w:rsid w:val="0087323D"/>
    <w:rsid w:val="008764BF"/>
    <w:rsid w:val="008847C0"/>
    <w:rsid w:val="008A1D23"/>
    <w:rsid w:val="008A2A17"/>
    <w:rsid w:val="008B1AFF"/>
    <w:rsid w:val="008B2F4C"/>
    <w:rsid w:val="008B513A"/>
    <w:rsid w:val="008B5D9A"/>
    <w:rsid w:val="008C1649"/>
    <w:rsid w:val="008D3CF0"/>
    <w:rsid w:val="008D5783"/>
    <w:rsid w:val="008E15F4"/>
    <w:rsid w:val="008E3675"/>
    <w:rsid w:val="008E4006"/>
    <w:rsid w:val="008E76DF"/>
    <w:rsid w:val="00904875"/>
    <w:rsid w:val="009161F8"/>
    <w:rsid w:val="00916BA0"/>
    <w:rsid w:val="00936602"/>
    <w:rsid w:val="00945E1B"/>
    <w:rsid w:val="0094713B"/>
    <w:rsid w:val="00947AC7"/>
    <w:rsid w:val="00947EBE"/>
    <w:rsid w:val="009544D9"/>
    <w:rsid w:val="00962AEE"/>
    <w:rsid w:val="00965E15"/>
    <w:rsid w:val="00966DB6"/>
    <w:rsid w:val="009710D9"/>
    <w:rsid w:val="00971D82"/>
    <w:rsid w:val="009766BA"/>
    <w:rsid w:val="00983004"/>
    <w:rsid w:val="00987FB6"/>
    <w:rsid w:val="00991159"/>
    <w:rsid w:val="009913F0"/>
    <w:rsid w:val="00995314"/>
    <w:rsid w:val="00996331"/>
    <w:rsid w:val="0099664C"/>
    <w:rsid w:val="009A0BF6"/>
    <w:rsid w:val="009A4C60"/>
    <w:rsid w:val="009B3AA9"/>
    <w:rsid w:val="009B6241"/>
    <w:rsid w:val="009C3301"/>
    <w:rsid w:val="009D62CD"/>
    <w:rsid w:val="009E03C9"/>
    <w:rsid w:val="009E46D2"/>
    <w:rsid w:val="009F60A1"/>
    <w:rsid w:val="00A075EF"/>
    <w:rsid w:val="00A113F6"/>
    <w:rsid w:val="00A21098"/>
    <w:rsid w:val="00A22ED1"/>
    <w:rsid w:val="00A25678"/>
    <w:rsid w:val="00A33B76"/>
    <w:rsid w:val="00A56BAC"/>
    <w:rsid w:val="00A57102"/>
    <w:rsid w:val="00A757A6"/>
    <w:rsid w:val="00A77695"/>
    <w:rsid w:val="00A776BD"/>
    <w:rsid w:val="00A81BDF"/>
    <w:rsid w:val="00A8777B"/>
    <w:rsid w:val="00AA0D88"/>
    <w:rsid w:val="00AA680A"/>
    <w:rsid w:val="00AD0D46"/>
    <w:rsid w:val="00AD49EA"/>
    <w:rsid w:val="00AD593E"/>
    <w:rsid w:val="00AD72E6"/>
    <w:rsid w:val="00AD79C8"/>
    <w:rsid w:val="00AE0CEB"/>
    <w:rsid w:val="00AE5A7D"/>
    <w:rsid w:val="00AE649E"/>
    <w:rsid w:val="00AE7894"/>
    <w:rsid w:val="00AF7AF4"/>
    <w:rsid w:val="00B063B8"/>
    <w:rsid w:val="00B31120"/>
    <w:rsid w:val="00B318DA"/>
    <w:rsid w:val="00B3250D"/>
    <w:rsid w:val="00B509AC"/>
    <w:rsid w:val="00B526CB"/>
    <w:rsid w:val="00B5591D"/>
    <w:rsid w:val="00B608A6"/>
    <w:rsid w:val="00B65F92"/>
    <w:rsid w:val="00B72FAE"/>
    <w:rsid w:val="00B7301B"/>
    <w:rsid w:val="00B76A6C"/>
    <w:rsid w:val="00B77B3D"/>
    <w:rsid w:val="00B8316F"/>
    <w:rsid w:val="00B86F57"/>
    <w:rsid w:val="00B91072"/>
    <w:rsid w:val="00B91256"/>
    <w:rsid w:val="00B9255B"/>
    <w:rsid w:val="00B92712"/>
    <w:rsid w:val="00B942FB"/>
    <w:rsid w:val="00BA1856"/>
    <w:rsid w:val="00BA7761"/>
    <w:rsid w:val="00BB214B"/>
    <w:rsid w:val="00BB4A2A"/>
    <w:rsid w:val="00BC58F3"/>
    <w:rsid w:val="00BE2088"/>
    <w:rsid w:val="00BE78AF"/>
    <w:rsid w:val="00BF49A0"/>
    <w:rsid w:val="00BF6782"/>
    <w:rsid w:val="00C002C5"/>
    <w:rsid w:val="00C078C7"/>
    <w:rsid w:val="00C155E9"/>
    <w:rsid w:val="00C3024A"/>
    <w:rsid w:val="00C30434"/>
    <w:rsid w:val="00C3740A"/>
    <w:rsid w:val="00C46833"/>
    <w:rsid w:val="00C4715A"/>
    <w:rsid w:val="00C614CD"/>
    <w:rsid w:val="00C62C08"/>
    <w:rsid w:val="00C71D22"/>
    <w:rsid w:val="00C76EC8"/>
    <w:rsid w:val="00C83B00"/>
    <w:rsid w:val="00C85CF1"/>
    <w:rsid w:val="00C91495"/>
    <w:rsid w:val="00C95D73"/>
    <w:rsid w:val="00C96E68"/>
    <w:rsid w:val="00C972BD"/>
    <w:rsid w:val="00CA4D2B"/>
    <w:rsid w:val="00CB25B0"/>
    <w:rsid w:val="00CB3CF8"/>
    <w:rsid w:val="00CB5397"/>
    <w:rsid w:val="00CC4096"/>
    <w:rsid w:val="00CD7109"/>
    <w:rsid w:val="00D02A53"/>
    <w:rsid w:val="00D06456"/>
    <w:rsid w:val="00D203D1"/>
    <w:rsid w:val="00D21DD1"/>
    <w:rsid w:val="00D26F9B"/>
    <w:rsid w:val="00D455B5"/>
    <w:rsid w:val="00D46460"/>
    <w:rsid w:val="00D568D4"/>
    <w:rsid w:val="00D642F8"/>
    <w:rsid w:val="00D64AEE"/>
    <w:rsid w:val="00D752A4"/>
    <w:rsid w:val="00D75DCE"/>
    <w:rsid w:val="00D8690C"/>
    <w:rsid w:val="00D90FDF"/>
    <w:rsid w:val="00D9436D"/>
    <w:rsid w:val="00D94804"/>
    <w:rsid w:val="00D9715F"/>
    <w:rsid w:val="00DA17AD"/>
    <w:rsid w:val="00DB1603"/>
    <w:rsid w:val="00DB24BD"/>
    <w:rsid w:val="00DB56DF"/>
    <w:rsid w:val="00DC0FDF"/>
    <w:rsid w:val="00DC258C"/>
    <w:rsid w:val="00DE10FA"/>
    <w:rsid w:val="00DE4765"/>
    <w:rsid w:val="00DF2120"/>
    <w:rsid w:val="00DF55BB"/>
    <w:rsid w:val="00E11F0D"/>
    <w:rsid w:val="00E2127C"/>
    <w:rsid w:val="00E22010"/>
    <w:rsid w:val="00E37E43"/>
    <w:rsid w:val="00E477E5"/>
    <w:rsid w:val="00E66F43"/>
    <w:rsid w:val="00E7287B"/>
    <w:rsid w:val="00E740FC"/>
    <w:rsid w:val="00E829BB"/>
    <w:rsid w:val="00E849B0"/>
    <w:rsid w:val="00E8521E"/>
    <w:rsid w:val="00E857E9"/>
    <w:rsid w:val="00EA1620"/>
    <w:rsid w:val="00EA32D8"/>
    <w:rsid w:val="00EA51F1"/>
    <w:rsid w:val="00EA71E7"/>
    <w:rsid w:val="00EB3B0A"/>
    <w:rsid w:val="00EB678B"/>
    <w:rsid w:val="00EB7F94"/>
    <w:rsid w:val="00EC0B52"/>
    <w:rsid w:val="00EC2D9C"/>
    <w:rsid w:val="00EC703D"/>
    <w:rsid w:val="00ED5F9E"/>
    <w:rsid w:val="00EE07DD"/>
    <w:rsid w:val="00EF4A10"/>
    <w:rsid w:val="00EF775D"/>
    <w:rsid w:val="00F00627"/>
    <w:rsid w:val="00F0276C"/>
    <w:rsid w:val="00F07277"/>
    <w:rsid w:val="00F100E2"/>
    <w:rsid w:val="00F11EF0"/>
    <w:rsid w:val="00F12A94"/>
    <w:rsid w:val="00F1367A"/>
    <w:rsid w:val="00F304C0"/>
    <w:rsid w:val="00F334DA"/>
    <w:rsid w:val="00F45983"/>
    <w:rsid w:val="00F46F6D"/>
    <w:rsid w:val="00F56268"/>
    <w:rsid w:val="00F81B09"/>
    <w:rsid w:val="00F8673D"/>
    <w:rsid w:val="00F942D3"/>
    <w:rsid w:val="00FA135F"/>
    <w:rsid w:val="00FA5095"/>
    <w:rsid w:val="00FB0AA5"/>
    <w:rsid w:val="00FB148F"/>
    <w:rsid w:val="00FB15B2"/>
    <w:rsid w:val="00FB1D0C"/>
    <w:rsid w:val="00FC181D"/>
    <w:rsid w:val="00FE146B"/>
    <w:rsid w:val="00FE26A2"/>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52918"/>
  <w15:docId w15:val="{992E6715-068A-463E-978F-37029101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sid w:val="00EE07DD"/>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iPriority w:val="99"/>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paragraph" w:customStyle="1" w:styleId="FERCparanumber">
    <w:name w:val="FERC paranumber"/>
    <w:basedOn w:val="Normal"/>
    <w:uiPriority w:val="99"/>
    <w:rsid w:val="00BE2088"/>
    <w:pPr>
      <w:widowControl w:val="0"/>
      <w:autoSpaceDE w:val="0"/>
      <w:autoSpaceDN w:val="0"/>
      <w:adjustRightInd w:val="0"/>
      <w:spacing w:after="0" w:line="480" w:lineRule="auto"/>
      <w:ind w:left="720" w:hanging="360"/>
    </w:pPr>
    <w:rPr>
      <w:rFonts w:ascii="Times New Roman" w:eastAsia="Calibri" w:hAnsi="Times New Roman" w:cs="Times New Roman"/>
      <w:sz w:val="26"/>
      <w:szCs w:val="24"/>
    </w:rPr>
  </w:style>
  <w:style w:type="character" w:styleId="UnresolvedMention">
    <w:name w:val="Unresolved Mention"/>
    <w:basedOn w:val="DefaultParagraphFont"/>
    <w:uiPriority w:val="99"/>
    <w:semiHidden/>
    <w:unhideWhenUsed/>
    <w:rsid w:val="00DC0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294">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133913530">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39354893">
      <w:bodyDiv w:val="1"/>
      <w:marLeft w:val="0"/>
      <w:marRight w:val="0"/>
      <w:marTop w:val="0"/>
      <w:marBottom w:val="0"/>
      <w:divBdr>
        <w:top w:val="none" w:sz="0" w:space="0" w:color="auto"/>
        <w:left w:val="none" w:sz="0" w:space="0" w:color="auto"/>
        <w:bottom w:val="none" w:sz="0" w:space="0" w:color="auto"/>
        <w:right w:val="none" w:sz="0" w:space="0" w:color="auto"/>
      </w:divBdr>
    </w:div>
    <w:div w:id="21029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erc.gov/filing-forms/service-companies-filing-forms" TargetMode="External"/><Relationship Id="rId17" Type="http://schemas.openxmlformats.org/officeDocument/2006/relationships/hyperlink" Target="https://www.ferc.gov/information-colle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D2B2BA125DCEC458024372AA8766EC7" ma:contentTypeVersion="0" ma:contentTypeDescription="Create a new document." ma:contentTypeScope="" ma:versionID="486cae2c466e6d7b63b4cee475a39a5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F0F8E-8562-4168-B7A1-481BF3216105}">
  <ds:schemaRefs>
    <ds:schemaRef ds:uri="http://schemas.openxmlformats.org/officeDocument/2006/bibliography"/>
  </ds:schemaRefs>
</ds:datastoreItem>
</file>

<file path=customXml/itemProps2.xml><?xml version="1.0" encoding="utf-8"?>
<ds:datastoreItem xmlns:ds="http://schemas.openxmlformats.org/officeDocument/2006/customXml" ds:itemID="{2CE5995B-DA6B-4E16-A395-CABD895ECC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4.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5.xml><?xml version="1.0" encoding="utf-8"?>
<ds:datastoreItem xmlns:ds="http://schemas.openxmlformats.org/officeDocument/2006/customXml" ds:itemID="{23D07ACF-1087-445B-9DBE-89BFCCA0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FERC Form No. 60 -61 -555A supporting statement</vt:lpstr>
    </vt:vector>
  </TitlesOfParts>
  <Company>FERC</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60 -61 -555A supporting statement</dc:title>
  <dc:subject/>
  <dc:creator>Michele Chambers</dc:creator>
  <cp:keywords/>
  <dc:description/>
  <cp:lastModifiedBy>Christopher Kozler</cp:lastModifiedBy>
  <cp:revision>3</cp:revision>
  <cp:lastPrinted>2022-03-23T13:52:00Z</cp:lastPrinted>
  <dcterms:created xsi:type="dcterms:W3CDTF">2022-04-05T16:09:00Z</dcterms:created>
  <dcterms:modified xsi:type="dcterms:W3CDTF">2022-04-05T16:48:00Z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0x0101009D2B2BA125DCEC458024372AA8766EC7</vt:lpwstr>
  </property>
  <property fmtid="{D5CDD505-2E9C-101B-9397-08002B2CF9AE}" pid="3" name="MSIP_Label_6155a89b-0f08-4a93-8ea2-8a916d6643b5_Enabled">
    <vt:lpwstr>true</vt:lpwstr>
  </property>
  <property fmtid="{D5CDD505-2E9C-101B-9397-08002B2CF9AE}" pid="4" name="MSIP_Label_6155a89b-0f08-4a93-8ea2-8a916d6643b5_SetDate">
    <vt:lpwstr>2022-04-05T16:09:58Z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adafd0a4-84c5-48ea-a431-288e009014ca</vt:lpwstr>
  </property>
  <property fmtid="{D5CDD505-2E9C-101B-9397-08002B2CF9AE}" pid="9" name="MSIP_Label_6155a89b-0f08-4a93-8ea2-8a916d6643b5_ContentBits">
    <vt:lpwstr>0</vt:lpwstr>
  </property>
</Properties>
</file>