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noProof/>
        </w:rPr>
        <w:id w:val="37707067"/>
        <w:docPartObj>
          <w:docPartGallery w:val="Cover Pages"/>
        </w:docPartObj>
      </w:sdtPr>
      <w:sdtEndPr>
        <w:rPr>
          <w:noProof w:val="0"/>
        </w:rPr>
      </w:sdtEndPr>
      <w:sdtContent>
        <w:p w:rsidR="00954EE9" w:rsidP="00006E10" w:rsidRDefault="00A21148" w14:paraId="563BC77A" w14:textId="111E9D91">
          <w:r>
            <w:rPr>
              <w:noProof/>
            </w:rPr>
            <mc:AlternateContent>
              <mc:Choice Requires="wps">
                <w:drawing>
                  <wp:anchor distT="0" distB="0" distL="114300" distR="114300" simplePos="0" relativeHeight="251665408" behindDoc="0" locked="0" layoutInCell="1" allowOverlap="1" wp14:editId="5E8F7AD2" wp14:anchorId="0CE583DE">
                    <wp:simplePos x="0" y="0"/>
                    <wp:positionH relativeFrom="margin">
                      <wp:align>left</wp:align>
                    </wp:positionH>
                    <wp:positionV relativeFrom="margin">
                      <wp:align>center</wp:align>
                    </wp:positionV>
                    <wp:extent cx="6019800" cy="146685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46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4266D2" w:rsidR="00CE2B1D" w:rsidP="004266D2" w:rsidRDefault="00954EE9" w14:paraId="53869427" w14:textId="47ADECCC">
                                <w:pPr>
                                  <w:spacing w:line="240" w:lineRule="auto"/>
                                  <w:rPr>
                                    <w:rFonts w:cstheme="minorHAnsi"/>
                                    <w:i/>
                                    <w:sz w:val="28"/>
                                    <w:szCs w:val="28"/>
                                  </w:rPr>
                                </w:pPr>
                                <w:r w:rsidRPr="004266D2">
                                  <w:rPr>
                                    <w:rFonts w:cstheme="minorHAnsi"/>
                                    <w:i/>
                                    <w:sz w:val="28"/>
                                    <w:szCs w:val="28"/>
                                  </w:rPr>
                                  <w:t>DOE F</w:t>
                                </w:r>
                                <w:r w:rsidRPr="004266D2" w:rsidR="00CE2B1D">
                                  <w:rPr>
                                    <w:rFonts w:cstheme="minorHAnsi"/>
                                    <w:i/>
                                    <w:sz w:val="28"/>
                                    <w:szCs w:val="28"/>
                                  </w:rPr>
                                  <w:t>orms</w:t>
                                </w:r>
                                <w:r w:rsidRPr="004266D2">
                                  <w:rPr>
                                    <w:rFonts w:cstheme="minorHAnsi"/>
                                    <w:i/>
                                    <w:sz w:val="28"/>
                                    <w:szCs w:val="28"/>
                                  </w:rPr>
                                  <w:t xml:space="preserve"> </w:t>
                                </w:r>
                                <w:r w:rsidRPr="004266D2" w:rsidR="00FA26C3">
                                  <w:rPr>
                                    <w:rFonts w:cstheme="minorHAnsi"/>
                                    <w:i/>
                                    <w:sz w:val="28"/>
                                    <w:szCs w:val="28"/>
                                  </w:rPr>
                                  <w:t xml:space="preserve">540.2, </w:t>
                                </w:r>
                                <w:r w:rsidRPr="004266D2" w:rsidR="00411D30">
                                  <w:rPr>
                                    <w:rFonts w:cstheme="minorHAnsi"/>
                                    <w:i/>
                                    <w:sz w:val="28"/>
                                    <w:szCs w:val="28"/>
                                  </w:rPr>
                                  <w:t>540.4</w:t>
                                </w:r>
                                <w:r w:rsidRPr="004266D2" w:rsidR="00D01AE5">
                                  <w:rPr>
                                    <w:rFonts w:cstheme="minorHAnsi"/>
                                    <w:i/>
                                    <w:sz w:val="28"/>
                                    <w:szCs w:val="28"/>
                                  </w:rPr>
                                  <w:t xml:space="preserve">, </w:t>
                                </w:r>
                                <w:r w:rsidR="00832AE6">
                                  <w:rPr>
                                    <w:rFonts w:cstheme="minorHAnsi"/>
                                    <w:i/>
                                    <w:sz w:val="28"/>
                                    <w:szCs w:val="28"/>
                                  </w:rPr>
                                  <w:t xml:space="preserve">540.5, </w:t>
                                </w:r>
                                <w:r w:rsidRPr="004266D2" w:rsidR="000F7AAE">
                                  <w:rPr>
                                    <w:rFonts w:cstheme="minorHAnsi"/>
                                    <w:i/>
                                    <w:sz w:val="28"/>
                                    <w:szCs w:val="28"/>
                                  </w:rPr>
                                  <w:t>540.6,</w:t>
                                </w:r>
                                <w:r w:rsidRPr="004266D2" w:rsidR="007C0B74">
                                  <w:rPr>
                                    <w:rFonts w:cstheme="minorHAnsi"/>
                                    <w:i/>
                                    <w:sz w:val="28"/>
                                    <w:szCs w:val="28"/>
                                  </w:rPr>
                                  <w:t xml:space="preserve"> </w:t>
                                </w:r>
                                <w:r w:rsidR="00020C10">
                                  <w:rPr>
                                    <w:rFonts w:cstheme="minorHAnsi"/>
                                    <w:i/>
                                    <w:sz w:val="28"/>
                                    <w:szCs w:val="28"/>
                                  </w:rPr>
                                  <w:t xml:space="preserve">540.7, </w:t>
                                </w:r>
                                <w:r w:rsidR="00573049">
                                  <w:rPr>
                                    <w:rFonts w:cstheme="minorHAnsi"/>
                                    <w:i/>
                                    <w:sz w:val="28"/>
                                    <w:szCs w:val="28"/>
                                  </w:rPr>
                                  <w:t xml:space="preserve">540.8, </w:t>
                                </w:r>
                                <w:r w:rsidR="007B17CE">
                                  <w:rPr>
                                    <w:rFonts w:cstheme="minorHAnsi"/>
                                    <w:i/>
                                    <w:sz w:val="28"/>
                                    <w:szCs w:val="28"/>
                                  </w:rPr>
                                  <w:t>540.9</w:t>
                                </w:r>
                                <w:r w:rsidR="00A37232">
                                  <w:rPr>
                                    <w:rFonts w:cstheme="minorHAnsi"/>
                                    <w:i/>
                                    <w:sz w:val="28"/>
                                    <w:szCs w:val="28"/>
                                  </w:rPr>
                                  <w:t xml:space="preserve">, </w:t>
                                </w:r>
                                <w:r w:rsidR="00263C0F">
                                  <w:rPr>
                                    <w:rFonts w:cstheme="minorHAnsi"/>
                                    <w:i/>
                                    <w:sz w:val="28"/>
                                    <w:szCs w:val="28"/>
                                  </w:rPr>
                                  <w:t xml:space="preserve">540.11, </w:t>
                                </w:r>
                                <w:r w:rsidR="003E3213">
                                  <w:rPr>
                                    <w:rFonts w:cstheme="minorHAnsi"/>
                                    <w:i/>
                                    <w:sz w:val="28"/>
                                    <w:szCs w:val="28"/>
                                  </w:rPr>
                                  <w:t>540.12</w:t>
                                </w:r>
                              </w:p>
                              <w:p w:rsidRPr="0059212D" w:rsidR="00954EE9" w:rsidP="00CE2B1D" w:rsidRDefault="00954EE9" w14:paraId="4204B839" w14:textId="63F28DC4">
                                <w:pPr>
                                  <w:rPr>
                                    <w:i/>
                                    <w:sz w:val="28"/>
                                    <w:szCs w:val="28"/>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CE583DE">
                    <v:stroke joinstyle="miter"/>
                    <v:path gradientshapeok="t" o:connecttype="rect"/>
                  </v:shapetype>
                  <v:shape id="Text Box 10" style="position:absolute;margin-left:0;margin-top:0;width:474pt;height:115.5pt;z-index:251665408;visibility:visible;mso-wrap-style:square;mso-width-percent:0;mso-height-percent:0;mso-wrap-distance-left:9pt;mso-wrap-distance-top:0;mso-wrap-distance-right:9pt;mso-wrap-distance-bottom:0;mso-position-horizontal:left;mso-position-horizontal-relative:margin;mso-position-vertical:center;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">
                    <v:textbox inset="0">
                      <w:txbxContent>
                        <w:p w:rsidRPr="004266D2" w:rsidR="00CE2B1D" w:rsidP="004266D2" w:rsidRDefault="00954EE9" w14:paraId="53869427" w14:textId="47ADECCC">
                          <w:pPr>
                            <w:spacing w:line="240" w:lineRule="auto"/>
                            <w:rPr>
                              <w:rFonts w:cstheme="minorHAnsi"/>
                              <w:i/>
                              <w:sz w:val="28"/>
                              <w:szCs w:val="28"/>
                            </w:rPr>
                          </w:pPr>
                          <w:r w:rsidRPr="004266D2">
                            <w:rPr>
                              <w:rFonts w:cstheme="minorHAnsi"/>
                              <w:i/>
                              <w:sz w:val="28"/>
                              <w:szCs w:val="28"/>
                            </w:rPr>
                            <w:t>DOE F</w:t>
                          </w:r>
                          <w:r w:rsidRPr="004266D2" w:rsidR="00CE2B1D">
                            <w:rPr>
                              <w:rFonts w:cstheme="minorHAnsi"/>
                              <w:i/>
                              <w:sz w:val="28"/>
                              <w:szCs w:val="28"/>
                            </w:rPr>
                            <w:t>orms</w:t>
                          </w:r>
                          <w:r w:rsidRPr="004266D2">
                            <w:rPr>
                              <w:rFonts w:cstheme="minorHAnsi"/>
                              <w:i/>
                              <w:sz w:val="28"/>
                              <w:szCs w:val="28"/>
                            </w:rPr>
                            <w:t xml:space="preserve"> </w:t>
                          </w:r>
                          <w:r w:rsidRPr="004266D2" w:rsidR="00FA26C3">
                            <w:rPr>
                              <w:rFonts w:cstheme="minorHAnsi"/>
                              <w:i/>
                              <w:sz w:val="28"/>
                              <w:szCs w:val="28"/>
                            </w:rPr>
                            <w:t xml:space="preserve">540.2, </w:t>
                          </w:r>
                          <w:r w:rsidRPr="004266D2" w:rsidR="00411D30">
                            <w:rPr>
                              <w:rFonts w:cstheme="minorHAnsi"/>
                              <w:i/>
                              <w:sz w:val="28"/>
                              <w:szCs w:val="28"/>
                            </w:rPr>
                            <w:t>540.4</w:t>
                          </w:r>
                          <w:r w:rsidRPr="004266D2" w:rsidR="00D01AE5">
                            <w:rPr>
                              <w:rFonts w:cstheme="minorHAnsi"/>
                              <w:i/>
                              <w:sz w:val="28"/>
                              <w:szCs w:val="28"/>
                            </w:rPr>
                            <w:t xml:space="preserve">, </w:t>
                          </w:r>
                          <w:r w:rsidR="00832AE6">
                            <w:rPr>
                              <w:rFonts w:cstheme="minorHAnsi"/>
                              <w:i/>
                              <w:sz w:val="28"/>
                              <w:szCs w:val="28"/>
                            </w:rPr>
                            <w:t xml:space="preserve">540.5, </w:t>
                          </w:r>
                          <w:r w:rsidRPr="004266D2" w:rsidR="000F7AAE">
                            <w:rPr>
                              <w:rFonts w:cstheme="minorHAnsi"/>
                              <w:i/>
                              <w:sz w:val="28"/>
                              <w:szCs w:val="28"/>
                            </w:rPr>
                            <w:t>540.6,</w:t>
                          </w:r>
                          <w:r w:rsidRPr="004266D2" w:rsidR="007C0B74">
                            <w:rPr>
                              <w:rFonts w:cstheme="minorHAnsi"/>
                              <w:i/>
                              <w:sz w:val="28"/>
                              <w:szCs w:val="28"/>
                            </w:rPr>
                            <w:t xml:space="preserve"> </w:t>
                          </w:r>
                          <w:r w:rsidR="00020C10">
                            <w:rPr>
                              <w:rFonts w:cstheme="minorHAnsi"/>
                              <w:i/>
                              <w:sz w:val="28"/>
                              <w:szCs w:val="28"/>
                            </w:rPr>
                            <w:t xml:space="preserve">540.7, </w:t>
                          </w:r>
                          <w:r w:rsidR="00573049">
                            <w:rPr>
                              <w:rFonts w:cstheme="minorHAnsi"/>
                              <w:i/>
                              <w:sz w:val="28"/>
                              <w:szCs w:val="28"/>
                            </w:rPr>
                            <w:t xml:space="preserve">540.8, </w:t>
                          </w:r>
                          <w:r w:rsidR="007B17CE">
                            <w:rPr>
                              <w:rFonts w:cstheme="minorHAnsi"/>
                              <w:i/>
                              <w:sz w:val="28"/>
                              <w:szCs w:val="28"/>
                            </w:rPr>
                            <w:t>540.9</w:t>
                          </w:r>
                          <w:r w:rsidR="00A37232">
                            <w:rPr>
                              <w:rFonts w:cstheme="minorHAnsi"/>
                              <w:i/>
                              <w:sz w:val="28"/>
                              <w:szCs w:val="28"/>
                            </w:rPr>
                            <w:t xml:space="preserve">, </w:t>
                          </w:r>
                          <w:r w:rsidR="00263C0F">
                            <w:rPr>
                              <w:rFonts w:cstheme="minorHAnsi"/>
                              <w:i/>
                              <w:sz w:val="28"/>
                              <w:szCs w:val="28"/>
                            </w:rPr>
                            <w:t xml:space="preserve">540.11, </w:t>
                          </w:r>
                          <w:r w:rsidR="003E3213">
                            <w:rPr>
                              <w:rFonts w:cstheme="minorHAnsi"/>
                              <w:i/>
                              <w:sz w:val="28"/>
                              <w:szCs w:val="28"/>
                            </w:rPr>
                            <w:t>540.12</w:t>
                          </w:r>
                        </w:p>
                        <w:p w:rsidRPr="0059212D" w:rsidR="00954EE9" w:rsidP="00CE2B1D" w:rsidRDefault="00954EE9" w14:paraId="4204B839" w14:textId="63F28DC4">
                          <w:pPr>
                            <w:rPr>
                              <w:i/>
                              <w:sz w:val="28"/>
                              <w:szCs w:val="28"/>
                            </w:rPr>
                          </w:pPr>
                        </w:p>
                      </w:txbxContent>
                    </v:textbox>
                    <w10:wrap type="square" anchorx="margin" anchory="margin"/>
                  </v:shape>
                </w:pict>
              </mc:Fallback>
            </mc:AlternateContent>
          </w:r>
          <w:r w:rsidR="00954EE9">
            <w:rPr>
              <w:noProof/>
            </w:rPr>
            <mc:AlternateContent>
              <mc:Choice Requires="wps">
                <w:drawing>
                  <wp:anchor distT="0" distB="0" distL="114300" distR="114300" simplePos="0" relativeHeight="251659264" behindDoc="1" locked="0" layoutInCell="1" allowOverlap="1" wp14:editId="180540F2" wp14:anchorId="35BCDCDC">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margin-left:-35.5pt;margin-top:0;width:540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7BE8D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">
                    <v:shadow color="#1f4d78 [1608]" opacity=".5" offset="1pt"/>
                    <w10:wrap type="through"/>
                  </v:rect>
                </w:pict>
              </mc:Fallback>
            </mc:AlternateContent>
          </w:r>
          <w:r w:rsidR="00954EE9">
            <w:rPr>
              <w:noProof/>
            </w:rPr>
            <w:softHyphen/>
          </w:r>
          <w:r w:rsidR="00954EE9">
            <w:rPr>
              <w:noProof/>
            </w:rPr>
            <w:softHyphen/>
          </w:r>
        </w:p>
      </w:sdtContent>
    </w:sdt>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00954EE9" w:rsidP="00954EE9" w:rsidRDefault="00BC50AD" w14:paraId="4E606DC2" w14:textId="362939BE">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Weatherization Assistance Program Sub-Programs: WAP Enhancement and Innovation (E&amp;I), Sustainable Energy Resources for Consumers (SERC), and Community Scale Pilot Project (CSPP) Grants</w:t>
          </w:r>
        </w:p>
      </w:sdtContent>
    </w:sdt>
    <w:p w:rsidRPr="00CE2B1D" w:rsidR="00954EE9" w:rsidP="00A21148" w:rsidRDefault="00954EE9" w14:paraId="645F8E88" w14:textId="6BCEE3E1">
      <w:pPr>
        <w:pStyle w:val="Heading1"/>
        <w:numPr>
          <w:ilvl w:val="0"/>
          <w:numId w:val="0"/>
        </w:numPr>
      </w:pPr>
      <w:bookmarkStart w:name="_Toc16271317" w:id="0"/>
      <w:r w:rsidRPr="00CE2B1D">
        <w:t>Part A: Justification</w:t>
      </w:r>
      <w:bookmarkEnd w:id="0"/>
    </w:p>
    <w:p w:rsidRPr="00711414" w:rsidR="00954EE9" w:rsidP="00954EE9" w:rsidRDefault="00954EE9" w14:paraId="40EBD631" w14:textId="0972B88D">
      <w:pPr>
        <w:rPr>
          <w:b/>
          <w:sz w:val="36"/>
          <w:szCs w:val="36"/>
        </w:rPr>
      </w:pPr>
      <w:r w:rsidRPr="00711414">
        <w:rPr>
          <w:rFonts w:ascii="Times New Roman" w:hAnsi="Times New Roman" w:cs="Times New Roman"/>
          <w:b/>
          <w:sz w:val="36"/>
          <w:szCs w:val="36"/>
        </w:rPr>
        <w:t>OMB No</w:t>
      </w:r>
      <w:r w:rsidRPr="00C41E64">
        <w:rPr>
          <w:rFonts w:ascii="Times New Roman" w:hAnsi="Times New Roman" w:cs="Times New Roman"/>
          <w:b/>
          <w:sz w:val="36"/>
          <w:szCs w:val="36"/>
        </w:rPr>
        <w:t xml:space="preserve">. </w:t>
      </w:r>
      <w:r w:rsidRPr="00C41E64" w:rsidR="00C41E64">
        <w:rPr>
          <w:rFonts w:ascii="Times New Roman" w:hAnsi="Times New Roman" w:cs="Times New Roman"/>
          <w:b/>
          <w:sz w:val="36"/>
          <w:szCs w:val="36"/>
        </w:rPr>
        <w:t>1910</w:t>
      </w:r>
      <w:r w:rsidRPr="00C41E64" w:rsidR="004A1DED">
        <w:rPr>
          <w:rFonts w:ascii="Times New Roman" w:hAnsi="Times New Roman" w:cs="Times New Roman"/>
          <w:b/>
          <w:sz w:val="36"/>
          <w:szCs w:val="36"/>
        </w:rPr>
        <w:t>-</w:t>
      </w:r>
      <w:r w:rsidR="00B87317">
        <w:rPr>
          <w:rFonts w:ascii="Times New Roman" w:hAnsi="Times New Roman" w:cs="Times New Roman"/>
          <w:b/>
          <w:sz w:val="36"/>
          <w:szCs w:val="36"/>
        </w:rPr>
        <w:t>5157</w:t>
      </w:r>
    </w:p>
    <w:p w:rsidRPr="00711414" w:rsidR="00954EE9" w:rsidP="00954EE9" w:rsidRDefault="008E120F" w14:paraId="3284E706" w14:textId="604FFC3B">
      <w:pPr>
        <w:rPr>
          <w:i/>
          <w:sz w:val="28"/>
          <w:szCs w:val="28"/>
        </w:rPr>
      </w:pPr>
      <w:r>
        <w:rPr>
          <w:noProof/>
          <w:color w:val="A6A6A6" w:themeColor="background1" w:themeShade="A6"/>
        </w:rPr>
        <mc:AlternateContent>
          <mc:Choice Requires="wps">
            <w:drawing>
              <wp:anchor distT="0" distB="0" distL="114300" distR="114300" simplePos="0" relativeHeight="251664384" behindDoc="0" locked="0" layoutInCell="1" allowOverlap="1" wp14:editId="5CE78ED7" wp14:anchorId="4442BB71">
                <wp:simplePos x="0" y="0"/>
                <wp:positionH relativeFrom="margin">
                  <wp:posOffset>3711575</wp:posOffset>
                </wp:positionH>
                <wp:positionV relativeFrom="margin">
                  <wp:posOffset>7962900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954EE9" w:rsidP="00954EE9" w:rsidRDefault="00954EE9" w14:paraId="0CBBD53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954EE9" w:rsidP="00954EE9" w:rsidRDefault="00954EE9" w14:paraId="1CEEAFB7"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292.25pt;margin-top:627pt;width:214pt;height:4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" w14:anchorId="4442BB71">
                <v:textbox inset="0">
                  <w:txbxContent>
                    <w:p w:rsidRPr="008F4CBD" w:rsidR="00954EE9" w:rsidP="00954EE9" w:rsidRDefault="00954EE9" w14:paraId="0CBBD53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954EE9" w:rsidP="00954EE9" w:rsidRDefault="00954EE9" w14:paraId="1CEEAFB7"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Pr>
          <w:noProof/>
        </w:rPr>
        <mc:AlternateContent>
          <mc:Choice Requires="wps">
            <w:drawing>
              <wp:anchor distT="0" distB="0" distL="114300" distR="114300" simplePos="0" relativeHeight="251662336" behindDoc="1" locked="0" layoutInCell="1" allowOverlap="1" wp14:editId="39F976A9" wp14:anchorId="78E37635">
                <wp:simplePos x="0" y="0"/>
                <wp:positionH relativeFrom="column">
                  <wp:posOffset>-425450</wp:posOffset>
                </wp:positionH>
                <wp:positionV relativeFrom="paragraph">
                  <wp:posOffset>1412875</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style="position:absolute;margin-left:-33.5pt;margin-top:111.25pt;width:540pt;height:4.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5EE1A9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">
                <v:shadow color="#1f4d78 [1608]" opacity=".5" offset="1pt"/>
                <w10:wrap type="through"/>
              </v:rect>
            </w:pict>
          </mc:Fallback>
        </mc:AlternateContent>
      </w:r>
      <w:r w:rsidR="00954EE9">
        <w:rPr>
          <w:noProof/>
        </w:rPr>
        <mc:AlternateContent>
          <mc:Choice Requires="wps">
            <w:drawing>
              <wp:anchor distT="0" distB="0" distL="114300" distR="114300" simplePos="0" relativeHeight="251661312" behindDoc="0" locked="0" layoutInCell="1" allowOverlap="1" wp14:editId="1FE0829E" wp14:anchorId="1C7130F2">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195F70" w:rsidP="00954EE9" w:rsidRDefault="00B400E8" w14:paraId="63E4B6C4" w14:textId="587953CA">
                            <w:pPr>
                              <w:rPr>
                                <w:color w:val="A6A6A6" w:themeColor="background1" w:themeShade="A6"/>
                                <w:sz w:val="36"/>
                              </w:rPr>
                            </w:pPr>
                            <w:r>
                              <w:rPr>
                                <w:color w:val="A6A6A6" w:themeColor="background1" w:themeShade="A6"/>
                                <w:sz w:val="36"/>
                              </w:rPr>
                              <w:t>January</w:t>
                            </w:r>
                            <w:r w:rsidR="008E120F">
                              <w:rPr>
                                <w:color w:val="A6A6A6" w:themeColor="background1" w:themeShade="A6"/>
                                <w:sz w:val="36"/>
                              </w:rPr>
                              <w:t xml:space="preserve"> </w:t>
                            </w:r>
                            <w:r w:rsidR="00CE2B1D">
                              <w:rPr>
                                <w:color w:val="A6A6A6" w:themeColor="background1" w:themeShade="A6"/>
                                <w:sz w:val="36"/>
                              </w:rPr>
                              <w:t>202</w:t>
                            </w:r>
                            <w:r w:rsidR="0040320C">
                              <w:rPr>
                                <w:color w:val="A6A6A6" w:themeColor="background1" w:themeShade="A6"/>
                                <w:sz w:val="36"/>
                              </w:rPr>
                              <w:t>2</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style="position:absolute;margin-left:7.5pt;margin-top:510pt;width:187.2pt;height:39.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" w14:anchorId="1C7130F2">
                <v:textbox style="mso-fit-shape-to-text:t" inset="0">
                  <w:txbxContent>
                    <w:p w:rsidRPr="009818F9" w:rsidR="00195F70" w:rsidP="00954EE9" w:rsidRDefault="00B400E8" w14:paraId="63E4B6C4" w14:textId="587953CA">
                      <w:pPr>
                        <w:rPr>
                          <w:color w:val="A6A6A6" w:themeColor="background1" w:themeShade="A6"/>
                          <w:sz w:val="36"/>
                        </w:rPr>
                      </w:pPr>
                      <w:r>
                        <w:rPr>
                          <w:color w:val="A6A6A6" w:themeColor="background1" w:themeShade="A6"/>
                          <w:sz w:val="36"/>
                        </w:rPr>
                        <w:t>January</w:t>
                      </w:r>
                      <w:r w:rsidR="008E120F">
                        <w:rPr>
                          <w:color w:val="A6A6A6" w:themeColor="background1" w:themeShade="A6"/>
                          <w:sz w:val="36"/>
                        </w:rPr>
                        <w:t xml:space="preserve"> </w:t>
                      </w:r>
                      <w:r w:rsidR="00CE2B1D">
                        <w:rPr>
                          <w:color w:val="A6A6A6" w:themeColor="background1" w:themeShade="A6"/>
                          <w:sz w:val="36"/>
                        </w:rPr>
                        <w:t>202</w:t>
                      </w:r>
                      <w:r w:rsidR="0040320C">
                        <w:rPr>
                          <w:color w:val="A6A6A6" w:themeColor="background1" w:themeShade="A6"/>
                          <w:sz w:val="36"/>
                        </w:rPr>
                        <w:t>2</w:t>
                      </w:r>
                    </w:p>
                  </w:txbxContent>
                </v:textbox>
                <w10:wrap type="square" anchorx="margin" anchory="margin"/>
              </v:shape>
            </w:pict>
          </mc:Fallback>
        </mc:AlternateContent>
      </w:r>
      <w:r w:rsidR="00954EE9">
        <w:rPr>
          <w:noProof/>
        </w:rPr>
        <w:t xml:space="preserve"> </w:t>
      </w:r>
      <w:r w:rsidR="00954EE9">
        <w:rPr>
          <w:noProof/>
        </w:rPr>
        <mc:AlternateContent>
          <mc:Choice Requires="wps">
            <w:drawing>
              <wp:anchor distT="0" distB="0" distL="114300" distR="114300" simplePos="0" relativeHeight="251660288" behindDoc="0" locked="0" layoutInCell="1" allowOverlap="1" wp14:editId="10690158" wp14:anchorId="70BCA73F">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954EE9" w:rsidP="00954EE9" w:rsidRDefault="00954EE9" w14:paraId="1579CF2B"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margin-left:-6pt;margin-top:54.2pt;width:507pt;height:55.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" w14:anchorId="70BCA73F">
                <v:textbox inset="0">
                  <w:txbxContent>
                    <w:p w:rsidRPr="00AA3D91" w:rsidR="00954EE9" w:rsidP="00954EE9" w:rsidRDefault="00954EE9" w14:paraId="1579CF2B" w14:textId="77777777">
                      <w:pPr>
                        <w:spacing w:line="240" w:lineRule="auto"/>
                        <w:ind w:left="90"/>
                        <w:rPr>
                          <w:sz w:val="52"/>
                          <w:szCs w:val="52"/>
                        </w:rPr>
                      </w:pPr>
                    </w:p>
                  </w:txbxContent>
                </v:textbox>
                <w10:wrap anchorx="margin"/>
              </v:shape>
            </w:pict>
          </mc:Fallback>
        </mc:AlternateContent>
      </w:r>
      <w:r w:rsidR="00954EE9">
        <w:rPr>
          <w:noProof/>
          <w:color w:val="A6A6A6" w:themeColor="background1" w:themeShade="A6"/>
        </w:rPr>
        <mc:AlternateContent>
          <mc:Choice Requires="wps">
            <w:drawing>
              <wp:anchor distT="0" distB="0" distL="114300" distR="114300" simplePos="0" relativeHeight="251663360" behindDoc="0" locked="0" layoutInCell="1" allowOverlap="1" wp14:editId="36D0B4E3" wp14:anchorId="27653E59">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EE9" w:rsidP="00954EE9" w:rsidRDefault="00954EE9" w14:paraId="0397CD28" w14:textId="77777777">
                            <w:pPr>
                              <w:spacing w:before="40" w:after="0"/>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0;margin-top:628pt;width:214pt;height:4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" w14:anchorId="27653E59">
                <v:textbox inset="0,,0">
                  <w:txbxContent>
                    <w:p w:rsidR="00954EE9" w:rsidP="00954EE9" w:rsidRDefault="00954EE9" w14:paraId="0397CD28" w14:textId="77777777">
                      <w:pPr>
                        <w:spacing w:before="40" w:after="0"/>
                      </w:pPr>
                    </w:p>
                  </w:txbxContent>
                </v:textbox>
                <w10:wrap type="square" anchorx="margin" anchory="margin"/>
              </v:shape>
            </w:pict>
          </mc:Fallback>
        </mc:AlternateContent>
      </w:r>
      <w:r w:rsidR="00954EE9">
        <w:br w:type="page"/>
      </w:r>
    </w:p>
    <w:p w:rsidR="00954EE9" w:rsidP="00954EE9" w:rsidRDefault="00954EE9" w14:paraId="2F9FA720" w14:textId="77777777">
      <w:pPr>
        <w:sectPr w:rsidR="00954EE9" w:rsidSect="00954EE9">
          <w:headerReference w:type="default" r:id="rId8"/>
          <w:footerReference w:type="default" r:id="rId9"/>
          <w:footnotePr>
            <w:pos w:val="beneathText"/>
          </w:footnotePr>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00954EE9" w:rsidP="00954EE9" w:rsidRDefault="00954EE9" w14:paraId="1ADB3737" w14:textId="77777777">
          <w:pPr>
            <w:pStyle w:val="TOCHeading"/>
          </w:pPr>
          <w:r>
            <w:t>Table of Contents</w:t>
          </w:r>
        </w:p>
        <w:p w:rsidR="00954EE9" w:rsidP="00954EE9" w:rsidRDefault="00954EE9" w14:paraId="66E2027C" w14:textId="2817ACBD">
          <w:pPr>
            <w:pStyle w:val="TOC1"/>
            <w:rPr>
              <w:rFonts w:eastAsiaTheme="minorEastAsia"/>
              <w:noProof/>
              <w:color w:val="auto"/>
            </w:rPr>
          </w:pPr>
          <w:r>
            <w:fldChar w:fldCharType="begin"/>
          </w:r>
          <w:r>
            <w:instrText xml:space="preserve"> TOC \o "1-3" \h \z \u </w:instrText>
          </w:r>
          <w:r>
            <w:fldChar w:fldCharType="separate"/>
          </w:r>
          <w:hyperlink w:history="1" w:anchor="_Toc16271317">
            <w:r w:rsidRPr="00D50FB3">
              <w:rPr>
                <w:rStyle w:val="Hyperlink"/>
                <w:noProof/>
              </w:rPr>
              <w:t>Part A: Justification</w:t>
            </w:r>
            <w:r>
              <w:rPr>
                <w:noProof/>
                <w:webHidden/>
              </w:rPr>
              <w:tab/>
            </w:r>
            <w:r>
              <w:rPr>
                <w:noProof/>
                <w:webHidden/>
              </w:rPr>
              <w:fldChar w:fldCharType="begin"/>
            </w:r>
            <w:r>
              <w:rPr>
                <w:noProof/>
                <w:webHidden/>
              </w:rPr>
              <w:instrText xml:space="preserve"> PAGEREF _Toc16271317 \h </w:instrText>
            </w:r>
            <w:r>
              <w:rPr>
                <w:noProof/>
                <w:webHidden/>
              </w:rPr>
            </w:r>
            <w:r>
              <w:rPr>
                <w:noProof/>
                <w:webHidden/>
              </w:rPr>
              <w:fldChar w:fldCharType="separate"/>
            </w:r>
            <w:r w:rsidR="00CB338B">
              <w:rPr>
                <w:noProof/>
                <w:webHidden/>
              </w:rPr>
              <w:t>i</w:t>
            </w:r>
            <w:r>
              <w:rPr>
                <w:noProof/>
                <w:webHidden/>
              </w:rPr>
              <w:fldChar w:fldCharType="end"/>
            </w:r>
          </w:hyperlink>
        </w:p>
        <w:p w:rsidR="00954EE9" w:rsidP="00954EE9" w:rsidRDefault="00CB338B" w14:paraId="07863028" w14:textId="074CCCB0">
          <w:pPr>
            <w:pStyle w:val="TOC2"/>
            <w:rPr>
              <w:rFonts w:eastAsiaTheme="minorEastAsia"/>
              <w:noProof/>
              <w:color w:val="auto"/>
            </w:rPr>
          </w:pPr>
          <w:hyperlink w:history="1" w:anchor="_Toc16271318">
            <w:r w:rsidRPr="00D50FB3" w:rsidR="00954EE9">
              <w:rPr>
                <w:rStyle w:val="Hyperlink"/>
                <w:noProof/>
              </w:rPr>
              <w:t>Introduction</w:t>
            </w:r>
            <w:r w:rsidR="00954EE9">
              <w:rPr>
                <w:noProof/>
                <w:webHidden/>
              </w:rPr>
              <w:tab/>
            </w:r>
            <w:r w:rsidR="00954EE9">
              <w:rPr>
                <w:noProof/>
                <w:webHidden/>
              </w:rPr>
              <w:fldChar w:fldCharType="begin"/>
            </w:r>
            <w:r w:rsidR="00954EE9">
              <w:rPr>
                <w:noProof/>
                <w:webHidden/>
              </w:rPr>
              <w:instrText xml:space="preserve"> PAGEREF _Toc16271318 \h </w:instrText>
            </w:r>
            <w:r w:rsidR="00954EE9">
              <w:rPr>
                <w:noProof/>
                <w:webHidden/>
              </w:rPr>
            </w:r>
            <w:r w:rsidR="00954EE9">
              <w:rPr>
                <w:noProof/>
                <w:webHidden/>
              </w:rPr>
              <w:fldChar w:fldCharType="separate"/>
            </w:r>
            <w:r>
              <w:rPr>
                <w:noProof/>
                <w:webHidden/>
              </w:rPr>
              <w:t>2</w:t>
            </w:r>
            <w:r w:rsidR="00954EE9">
              <w:rPr>
                <w:noProof/>
                <w:webHidden/>
              </w:rPr>
              <w:fldChar w:fldCharType="end"/>
            </w:r>
          </w:hyperlink>
        </w:p>
        <w:p w:rsidR="00954EE9" w:rsidP="00954EE9" w:rsidRDefault="00CB338B" w14:paraId="41F23198" w14:textId="741014B2">
          <w:pPr>
            <w:pStyle w:val="TOC2"/>
            <w:rPr>
              <w:rFonts w:eastAsiaTheme="minorEastAsia"/>
              <w:noProof/>
              <w:color w:val="auto"/>
            </w:rPr>
          </w:pPr>
          <w:hyperlink w:history="1" w:anchor="_Toc16271319">
            <w:r w:rsidRPr="00D50FB3" w:rsidR="00954EE9">
              <w:rPr>
                <w:rStyle w:val="Hyperlink"/>
                <w:noProof/>
              </w:rPr>
              <w:t>A.1. Legal Justification</w:t>
            </w:r>
            <w:r w:rsidR="00954EE9">
              <w:rPr>
                <w:noProof/>
                <w:webHidden/>
              </w:rPr>
              <w:tab/>
            </w:r>
            <w:r w:rsidR="00954EE9">
              <w:rPr>
                <w:noProof/>
                <w:webHidden/>
              </w:rPr>
              <w:fldChar w:fldCharType="begin"/>
            </w:r>
            <w:r w:rsidR="00954EE9">
              <w:rPr>
                <w:noProof/>
                <w:webHidden/>
              </w:rPr>
              <w:instrText xml:space="preserve"> PAGEREF _Toc16271319 \h </w:instrText>
            </w:r>
            <w:r w:rsidR="00954EE9">
              <w:rPr>
                <w:noProof/>
                <w:webHidden/>
              </w:rPr>
            </w:r>
            <w:r w:rsidR="00954EE9">
              <w:rPr>
                <w:noProof/>
                <w:webHidden/>
              </w:rPr>
              <w:fldChar w:fldCharType="separate"/>
            </w:r>
            <w:r>
              <w:rPr>
                <w:noProof/>
                <w:webHidden/>
              </w:rPr>
              <w:t>2</w:t>
            </w:r>
            <w:r w:rsidR="00954EE9">
              <w:rPr>
                <w:noProof/>
                <w:webHidden/>
              </w:rPr>
              <w:fldChar w:fldCharType="end"/>
            </w:r>
          </w:hyperlink>
        </w:p>
        <w:p w:rsidR="00954EE9" w:rsidP="00954EE9" w:rsidRDefault="00CB338B" w14:paraId="03655D81" w14:textId="5307A5D8">
          <w:pPr>
            <w:pStyle w:val="TOC2"/>
            <w:rPr>
              <w:rFonts w:eastAsiaTheme="minorEastAsia"/>
              <w:noProof/>
              <w:color w:val="auto"/>
            </w:rPr>
          </w:pPr>
          <w:hyperlink w:history="1" w:anchor="_Toc16271320">
            <w:r w:rsidRPr="00D50FB3" w:rsidR="00954EE9">
              <w:rPr>
                <w:rStyle w:val="Hyperlink"/>
                <w:noProof/>
              </w:rPr>
              <w:t>A.2. Needs and Uses of Data</w:t>
            </w:r>
            <w:r w:rsidR="00954EE9">
              <w:rPr>
                <w:noProof/>
                <w:webHidden/>
              </w:rPr>
              <w:tab/>
            </w:r>
            <w:r w:rsidR="00954EE9">
              <w:rPr>
                <w:noProof/>
                <w:webHidden/>
              </w:rPr>
              <w:fldChar w:fldCharType="begin"/>
            </w:r>
            <w:r w:rsidR="00954EE9">
              <w:rPr>
                <w:noProof/>
                <w:webHidden/>
              </w:rPr>
              <w:instrText xml:space="preserve"> PAGEREF _Toc16271320 \h </w:instrText>
            </w:r>
            <w:r w:rsidR="00954EE9">
              <w:rPr>
                <w:noProof/>
                <w:webHidden/>
              </w:rPr>
            </w:r>
            <w:r w:rsidR="00954EE9">
              <w:rPr>
                <w:noProof/>
                <w:webHidden/>
              </w:rPr>
              <w:fldChar w:fldCharType="separate"/>
            </w:r>
            <w:r>
              <w:rPr>
                <w:noProof/>
                <w:webHidden/>
              </w:rPr>
              <w:t>5</w:t>
            </w:r>
            <w:r w:rsidR="00954EE9">
              <w:rPr>
                <w:noProof/>
                <w:webHidden/>
              </w:rPr>
              <w:fldChar w:fldCharType="end"/>
            </w:r>
          </w:hyperlink>
        </w:p>
        <w:p w:rsidR="00954EE9" w:rsidP="00954EE9" w:rsidRDefault="00CB338B" w14:paraId="62C0C3B3" w14:textId="51295A80">
          <w:pPr>
            <w:pStyle w:val="TOC2"/>
            <w:rPr>
              <w:rFonts w:eastAsiaTheme="minorEastAsia"/>
              <w:noProof/>
              <w:color w:val="auto"/>
            </w:rPr>
          </w:pPr>
          <w:hyperlink w:history="1" w:anchor="_Toc16271321">
            <w:r w:rsidRPr="00D50FB3" w:rsidR="00954EE9">
              <w:rPr>
                <w:rStyle w:val="Hyperlink"/>
                <w:noProof/>
              </w:rPr>
              <w:t>A.3. Use of Technology</w:t>
            </w:r>
            <w:r w:rsidR="00954EE9">
              <w:rPr>
                <w:noProof/>
                <w:webHidden/>
              </w:rPr>
              <w:tab/>
            </w:r>
            <w:r w:rsidR="00954EE9">
              <w:rPr>
                <w:noProof/>
                <w:webHidden/>
              </w:rPr>
              <w:fldChar w:fldCharType="begin"/>
            </w:r>
            <w:r w:rsidR="00954EE9">
              <w:rPr>
                <w:noProof/>
                <w:webHidden/>
              </w:rPr>
              <w:instrText xml:space="preserve"> PAGEREF _Toc16271321 \h </w:instrText>
            </w:r>
            <w:r w:rsidR="00954EE9">
              <w:rPr>
                <w:noProof/>
                <w:webHidden/>
              </w:rPr>
            </w:r>
            <w:r w:rsidR="00954EE9">
              <w:rPr>
                <w:noProof/>
                <w:webHidden/>
              </w:rPr>
              <w:fldChar w:fldCharType="separate"/>
            </w:r>
            <w:r>
              <w:rPr>
                <w:noProof/>
                <w:webHidden/>
              </w:rPr>
              <w:t>8</w:t>
            </w:r>
            <w:r w:rsidR="00954EE9">
              <w:rPr>
                <w:noProof/>
                <w:webHidden/>
              </w:rPr>
              <w:fldChar w:fldCharType="end"/>
            </w:r>
          </w:hyperlink>
        </w:p>
        <w:p w:rsidR="00954EE9" w:rsidP="00954EE9" w:rsidRDefault="00CB338B" w14:paraId="18209FD1" w14:textId="06FF6B1C">
          <w:pPr>
            <w:pStyle w:val="TOC2"/>
            <w:rPr>
              <w:rFonts w:eastAsiaTheme="minorEastAsia"/>
              <w:noProof/>
              <w:color w:val="auto"/>
            </w:rPr>
          </w:pPr>
          <w:hyperlink w:history="1" w:anchor="_Toc16271322">
            <w:r w:rsidRPr="00D50FB3" w:rsidR="00954EE9">
              <w:rPr>
                <w:rStyle w:val="Hyperlink"/>
                <w:noProof/>
              </w:rPr>
              <w:t>A.4. Efforts to Identify Duplication</w:t>
            </w:r>
            <w:r w:rsidR="00954EE9">
              <w:rPr>
                <w:noProof/>
                <w:webHidden/>
              </w:rPr>
              <w:tab/>
            </w:r>
            <w:r w:rsidR="00954EE9">
              <w:rPr>
                <w:noProof/>
                <w:webHidden/>
              </w:rPr>
              <w:fldChar w:fldCharType="begin"/>
            </w:r>
            <w:r w:rsidR="00954EE9">
              <w:rPr>
                <w:noProof/>
                <w:webHidden/>
              </w:rPr>
              <w:instrText xml:space="preserve"> PAGEREF _Toc16271322 \h </w:instrText>
            </w:r>
            <w:r w:rsidR="00954EE9">
              <w:rPr>
                <w:noProof/>
                <w:webHidden/>
              </w:rPr>
            </w:r>
            <w:r w:rsidR="00954EE9">
              <w:rPr>
                <w:noProof/>
                <w:webHidden/>
              </w:rPr>
              <w:fldChar w:fldCharType="separate"/>
            </w:r>
            <w:r>
              <w:rPr>
                <w:noProof/>
                <w:webHidden/>
              </w:rPr>
              <w:t>8</w:t>
            </w:r>
            <w:r w:rsidR="00954EE9">
              <w:rPr>
                <w:noProof/>
                <w:webHidden/>
              </w:rPr>
              <w:fldChar w:fldCharType="end"/>
            </w:r>
          </w:hyperlink>
        </w:p>
        <w:p w:rsidR="00954EE9" w:rsidP="00954EE9" w:rsidRDefault="00CB338B" w14:paraId="369FDD15" w14:textId="03970CC9">
          <w:pPr>
            <w:pStyle w:val="TOC2"/>
            <w:rPr>
              <w:rFonts w:eastAsiaTheme="minorEastAsia"/>
              <w:noProof/>
              <w:color w:val="auto"/>
            </w:rPr>
          </w:pPr>
          <w:hyperlink w:history="1" w:anchor="_Toc16271323">
            <w:r w:rsidRPr="00D50FB3" w:rsidR="00954EE9">
              <w:rPr>
                <w:rStyle w:val="Hyperlink"/>
                <w:noProof/>
              </w:rPr>
              <w:t>A.5. Provisions for Reducing Burden on Small Businesses</w:t>
            </w:r>
            <w:r w:rsidR="00954EE9">
              <w:rPr>
                <w:noProof/>
                <w:webHidden/>
              </w:rPr>
              <w:tab/>
            </w:r>
            <w:r w:rsidR="00954EE9">
              <w:rPr>
                <w:noProof/>
                <w:webHidden/>
              </w:rPr>
              <w:fldChar w:fldCharType="begin"/>
            </w:r>
            <w:r w:rsidR="00954EE9">
              <w:rPr>
                <w:noProof/>
                <w:webHidden/>
              </w:rPr>
              <w:instrText xml:space="preserve"> PAGEREF _Toc16271323 \h </w:instrText>
            </w:r>
            <w:r w:rsidR="00954EE9">
              <w:rPr>
                <w:noProof/>
                <w:webHidden/>
              </w:rPr>
            </w:r>
            <w:r w:rsidR="00954EE9">
              <w:rPr>
                <w:noProof/>
                <w:webHidden/>
              </w:rPr>
              <w:fldChar w:fldCharType="separate"/>
            </w:r>
            <w:r>
              <w:rPr>
                <w:noProof/>
                <w:webHidden/>
              </w:rPr>
              <w:t>8</w:t>
            </w:r>
            <w:r w:rsidR="00954EE9">
              <w:rPr>
                <w:noProof/>
                <w:webHidden/>
              </w:rPr>
              <w:fldChar w:fldCharType="end"/>
            </w:r>
          </w:hyperlink>
        </w:p>
        <w:p w:rsidR="00954EE9" w:rsidP="00954EE9" w:rsidRDefault="00CB338B" w14:paraId="2DF14566" w14:textId="6637DE5B">
          <w:pPr>
            <w:pStyle w:val="TOC2"/>
            <w:rPr>
              <w:rFonts w:eastAsiaTheme="minorEastAsia"/>
              <w:noProof/>
              <w:color w:val="auto"/>
            </w:rPr>
          </w:pPr>
          <w:hyperlink w:history="1" w:anchor="_Toc16271324">
            <w:r w:rsidRPr="00D50FB3" w:rsidR="00954EE9">
              <w:rPr>
                <w:rStyle w:val="Hyperlink"/>
                <w:noProof/>
              </w:rPr>
              <w:t>A.6. Consequences of Less-Frequent Reporting</w:t>
            </w:r>
            <w:r w:rsidR="00954EE9">
              <w:rPr>
                <w:noProof/>
                <w:webHidden/>
              </w:rPr>
              <w:tab/>
            </w:r>
            <w:r w:rsidR="00954EE9">
              <w:rPr>
                <w:noProof/>
                <w:webHidden/>
              </w:rPr>
              <w:fldChar w:fldCharType="begin"/>
            </w:r>
            <w:r w:rsidR="00954EE9">
              <w:rPr>
                <w:noProof/>
                <w:webHidden/>
              </w:rPr>
              <w:instrText xml:space="preserve"> PAGEREF _Toc16271324 \h </w:instrText>
            </w:r>
            <w:r w:rsidR="00954EE9">
              <w:rPr>
                <w:noProof/>
                <w:webHidden/>
              </w:rPr>
            </w:r>
            <w:r w:rsidR="00954EE9">
              <w:rPr>
                <w:noProof/>
                <w:webHidden/>
              </w:rPr>
              <w:fldChar w:fldCharType="separate"/>
            </w:r>
            <w:r>
              <w:rPr>
                <w:noProof/>
                <w:webHidden/>
              </w:rPr>
              <w:t>8</w:t>
            </w:r>
            <w:r w:rsidR="00954EE9">
              <w:rPr>
                <w:noProof/>
                <w:webHidden/>
              </w:rPr>
              <w:fldChar w:fldCharType="end"/>
            </w:r>
          </w:hyperlink>
        </w:p>
        <w:p w:rsidR="00954EE9" w:rsidP="00954EE9" w:rsidRDefault="00CB338B" w14:paraId="1C001A92" w14:textId="4FBDE442">
          <w:pPr>
            <w:pStyle w:val="TOC2"/>
            <w:rPr>
              <w:rFonts w:eastAsiaTheme="minorEastAsia"/>
              <w:noProof/>
              <w:color w:val="auto"/>
            </w:rPr>
          </w:pPr>
          <w:hyperlink w:history="1" w:anchor="_Toc16271325">
            <w:r w:rsidRPr="00D50FB3" w:rsidR="00954EE9">
              <w:rPr>
                <w:rStyle w:val="Hyperlink"/>
                <w:noProof/>
              </w:rPr>
              <w:t>A.7. Compliance with 5 CFR 1320.5</w:t>
            </w:r>
            <w:r w:rsidR="00954EE9">
              <w:rPr>
                <w:noProof/>
                <w:webHidden/>
              </w:rPr>
              <w:tab/>
            </w:r>
            <w:r w:rsidR="00954EE9">
              <w:rPr>
                <w:noProof/>
                <w:webHidden/>
              </w:rPr>
              <w:fldChar w:fldCharType="begin"/>
            </w:r>
            <w:r w:rsidR="00954EE9">
              <w:rPr>
                <w:noProof/>
                <w:webHidden/>
              </w:rPr>
              <w:instrText xml:space="preserve"> PAGEREF _Toc16271325 \h </w:instrText>
            </w:r>
            <w:r w:rsidR="00954EE9">
              <w:rPr>
                <w:noProof/>
                <w:webHidden/>
              </w:rPr>
            </w:r>
            <w:r w:rsidR="00954EE9">
              <w:rPr>
                <w:noProof/>
                <w:webHidden/>
              </w:rPr>
              <w:fldChar w:fldCharType="separate"/>
            </w:r>
            <w:r>
              <w:rPr>
                <w:noProof/>
                <w:webHidden/>
              </w:rPr>
              <w:t>9</w:t>
            </w:r>
            <w:r w:rsidR="00954EE9">
              <w:rPr>
                <w:noProof/>
                <w:webHidden/>
              </w:rPr>
              <w:fldChar w:fldCharType="end"/>
            </w:r>
          </w:hyperlink>
        </w:p>
        <w:p w:rsidR="00954EE9" w:rsidP="00954EE9" w:rsidRDefault="00CB338B" w14:paraId="4B081593" w14:textId="2C84C7D6">
          <w:pPr>
            <w:pStyle w:val="TOC2"/>
            <w:rPr>
              <w:rFonts w:eastAsiaTheme="minorEastAsia"/>
              <w:noProof/>
              <w:color w:val="auto"/>
            </w:rPr>
          </w:pPr>
          <w:hyperlink w:history="1" w:anchor="_Toc16271326">
            <w:r w:rsidRPr="00D50FB3" w:rsidR="00954EE9">
              <w:rPr>
                <w:rStyle w:val="Hyperlink"/>
                <w:noProof/>
              </w:rPr>
              <w:t>A.8. Summary of Consultations Outside of the Agency</w:t>
            </w:r>
            <w:r w:rsidR="00954EE9">
              <w:rPr>
                <w:noProof/>
                <w:webHidden/>
              </w:rPr>
              <w:tab/>
            </w:r>
            <w:r w:rsidR="00954EE9">
              <w:rPr>
                <w:noProof/>
                <w:webHidden/>
              </w:rPr>
              <w:fldChar w:fldCharType="begin"/>
            </w:r>
            <w:r w:rsidR="00954EE9">
              <w:rPr>
                <w:noProof/>
                <w:webHidden/>
              </w:rPr>
              <w:instrText xml:space="preserve"> PAGEREF _Toc16271326 \h </w:instrText>
            </w:r>
            <w:r w:rsidR="00954EE9">
              <w:rPr>
                <w:noProof/>
                <w:webHidden/>
              </w:rPr>
            </w:r>
            <w:r w:rsidR="00954EE9">
              <w:rPr>
                <w:noProof/>
                <w:webHidden/>
              </w:rPr>
              <w:fldChar w:fldCharType="separate"/>
            </w:r>
            <w:r>
              <w:rPr>
                <w:noProof/>
                <w:webHidden/>
              </w:rPr>
              <w:t>10</w:t>
            </w:r>
            <w:r w:rsidR="00954EE9">
              <w:rPr>
                <w:noProof/>
                <w:webHidden/>
              </w:rPr>
              <w:fldChar w:fldCharType="end"/>
            </w:r>
          </w:hyperlink>
        </w:p>
        <w:p w:rsidR="00954EE9" w:rsidP="00954EE9" w:rsidRDefault="00CB338B" w14:paraId="10308DA2" w14:textId="0B6EB840">
          <w:pPr>
            <w:pStyle w:val="TOC2"/>
            <w:rPr>
              <w:rFonts w:eastAsiaTheme="minorEastAsia"/>
              <w:noProof/>
              <w:color w:val="auto"/>
            </w:rPr>
          </w:pPr>
          <w:hyperlink w:history="1" w:anchor="_Toc16271327">
            <w:r w:rsidRPr="00D50FB3" w:rsidR="00954EE9">
              <w:rPr>
                <w:rStyle w:val="Hyperlink"/>
                <w:noProof/>
              </w:rPr>
              <w:t>A.9. Payments or Gifts to Respondents</w:t>
            </w:r>
            <w:r w:rsidR="00954EE9">
              <w:rPr>
                <w:noProof/>
                <w:webHidden/>
              </w:rPr>
              <w:tab/>
            </w:r>
            <w:r w:rsidR="00954EE9">
              <w:rPr>
                <w:noProof/>
                <w:webHidden/>
              </w:rPr>
              <w:fldChar w:fldCharType="begin"/>
            </w:r>
            <w:r w:rsidR="00954EE9">
              <w:rPr>
                <w:noProof/>
                <w:webHidden/>
              </w:rPr>
              <w:instrText xml:space="preserve"> PAGEREF _Toc16271327 \h </w:instrText>
            </w:r>
            <w:r w:rsidR="00954EE9">
              <w:rPr>
                <w:noProof/>
                <w:webHidden/>
              </w:rPr>
            </w:r>
            <w:r w:rsidR="00954EE9">
              <w:rPr>
                <w:noProof/>
                <w:webHidden/>
              </w:rPr>
              <w:fldChar w:fldCharType="separate"/>
            </w:r>
            <w:r>
              <w:rPr>
                <w:noProof/>
                <w:webHidden/>
              </w:rPr>
              <w:t>11</w:t>
            </w:r>
            <w:r w:rsidR="00954EE9">
              <w:rPr>
                <w:noProof/>
                <w:webHidden/>
              </w:rPr>
              <w:fldChar w:fldCharType="end"/>
            </w:r>
          </w:hyperlink>
        </w:p>
        <w:p w:rsidR="00954EE9" w:rsidP="00954EE9" w:rsidRDefault="00CB338B" w14:paraId="31B6428A" w14:textId="6EE8A1C4">
          <w:pPr>
            <w:pStyle w:val="TOC2"/>
            <w:rPr>
              <w:rFonts w:eastAsiaTheme="minorEastAsia"/>
              <w:noProof/>
              <w:color w:val="auto"/>
            </w:rPr>
          </w:pPr>
          <w:hyperlink w:history="1" w:anchor="_Toc16271328">
            <w:r w:rsidRPr="00D50FB3" w:rsidR="00954EE9">
              <w:rPr>
                <w:rStyle w:val="Hyperlink"/>
                <w:noProof/>
              </w:rPr>
              <w:t>A.10. Provisions for Protection of Information</w:t>
            </w:r>
            <w:r w:rsidR="00954EE9">
              <w:rPr>
                <w:noProof/>
                <w:webHidden/>
              </w:rPr>
              <w:tab/>
            </w:r>
            <w:r w:rsidR="00954EE9">
              <w:rPr>
                <w:noProof/>
                <w:webHidden/>
              </w:rPr>
              <w:fldChar w:fldCharType="begin"/>
            </w:r>
            <w:r w:rsidR="00954EE9">
              <w:rPr>
                <w:noProof/>
                <w:webHidden/>
              </w:rPr>
              <w:instrText xml:space="preserve"> PAGEREF _Toc16271328 \h </w:instrText>
            </w:r>
            <w:r w:rsidR="00954EE9">
              <w:rPr>
                <w:noProof/>
                <w:webHidden/>
              </w:rPr>
            </w:r>
            <w:r w:rsidR="00954EE9">
              <w:rPr>
                <w:noProof/>
                <w:webHidden/>
              </w:rPr>
              <w:fldChar w:fldCharType="separate"/>
            </w:r>
            <w:r>
              <w:rPr>
                <w:noProof/>
                <w:webHidden/>
              </w:rPr>
              <w:t>11</w:t>
            </w:r>
            <w:r w:rsidR="00954EE9">
              <w:rPr>
                <w:noProof/>
                <w:webHidden/>
              </w:rPr>
              <w:fldChar w:fldCharType="end"/>
            </w:r>
          </w:hyperlink>
        </w:p>
        <w:p w:rsidR="00954EE9" w:rsidP="00954EE9" w:rsidRDefault="00CB338B" w14:paraId="382374EF" w14:textId="174367BA">
          <w:pPr>
            <w:pStyle w:val="TOC2"/>
            <w:rPr>
              <w:rFonts w:eastAsiaTheme="minorEastAsia"/>
              <w:noProof/>
              <w:color w:val="auto"/>
            </w:rPr>
          </w:pPr>
          <w:hyperlink w:history="1" w:anchor="_Toc16271329">
            <w:r w:rsidRPr="00D50FB3" w:rsidR="00954EE9">
              <w:rPr>
                <w:rStyle w:val="Hyperlink"/>
                <w:noProof/>
              </w:rPr>
              <w:t>A.11. Justification for Sensitive Questions</w:t>
            </w:r>
            <w:r w:rsidR="00954EE9">
              <w:rPr>
                <w:noProof/>
                <w:webHidden/>
              </w:rPr>
              <w:tab/>
            </w:r>
            <w:r w:rsidR="00954EE9">
              <w:rPr>
                <w:noProof/>
                <w:webHidden/>
              </w:rPr>
              <w:fldChar w:fldCharType="begin"/>
            </w:r>
            <w:r w:rsidR="00954EE9">
              <w:rPr>
                <w:noProof/>
                <w:webHidden/>
              </w:rPr>
              <w:instrText xml:space="preserve"> PAGEREF _Toc16271329 \h </w:instrText>
            </w:r>
            <w:r w:rsidR="00954EE9">
              <w:rPr>
                <w:noProof/>
                <w:webHidden/>
              </w:rPr>
            </w:r>
            <w:r w:rsidR="00954EE9">
              <w:rPr>
                <w:noProof/>
                <w:webHidden/>
              </w:rPr>
              <w:fldChar w:fldCharType="separate"/>
            </w:r>
            <w:r>
              <w:rPr>
                <w:noProof/>
                <w:webHidden/>
              </w:rPr>
              <w:t>11</w:t>
            </w:r>
            <w:r w:rsidR="00954EE9">
              <w:rPr>
                <w:noProof/>
                <w:webHidden/>
              </w:rPr>
              <w:fldChar w:fldCharType="end"/>
            </w:r>
          </w:hyperlink>
        </w:p>
        <w:p w:rsidR="00954EE9" w:rsidP="00954EE9" w:rsidRDefault="00CB338B" w14:paraId="4349D5A2" w14:textId="559EFD59">
          <w:pPr>
            <w:pStyle w:val="TOC2"/>
            <w:rPr>
              <w:rFonts w:eastAsiaTheme="minorEastAsia"/>
              <w:noProof/>
              <w:color w:val="auto"/>
            </w:rPr>
          </w:pPr>
          <w:hyperlink w:history="1" w:anchor="_Toc16271330">
            <w:r w:rsidRPr="00D50FB3" w:rsidR="00954EE9">
              <w:rPr>
                <w:rStyle w:val="Hyperlink"/>
                <w:noProof/>
              </w:rPr>
              <w:t>A.12A. Estimate of Respondent Burden Hours</w:t>
            </w:r>
            <w:r w:rsidR="00954EE9">
              <w:rPr>
                <w:noProof/>
                <w:webHidden/>
              </w:rPr>
              <w:tab/>
            </w:r>
            <w:r w:rsidR="00954EE9">
              <w:rPr>
                <w:noProof/>
                <w:webHidden/>
              </w:rPr>
              <w:fldChar w:fldCharType="begin"/>
            </w:r>
            <w:r w:rsidR="00954EE9">
              <w:rPr>
                <w:noProof/>
                <w:webHidden/>
              </w:rPr>
              <w:instrText xml:space="preserve"> PAGEREF _Toc16271330 \h </w:instrText>
            </w:r>
            <w:r w:rsidR="00954EE9">
              <w:rPr>
                <w:noProof/>
                <w:webHidden/>
              </w:rPr>
            </w:r>
            <w:r w:rsidR="00954EE9">
              <w:rPr>
                <w:noProof/>
                <w:webHidden/>
              </w:rPr>
              <w:fldChar w:fldCharType="separate"/>
            </w:r>
            <w:r>
              <w:rPr>
                <w:noProof/>
                <w:webHidden/>
              </w:rPr>
              <w:t>12</w:t>
            </w:r>
            <w:r w:rsidR="00954EE9">
              <w:rPr>
                <w:noProof/>
                <w:webHidden/>
              </w:rPr>
              <w:fldChar w:fldCharType="end"/>
            </w:r>
          </w:hyperlink>
        </w:p>
        <w:p w:rsidR="00954EE9" w:rsidP="00954EE9" w:rsidRDefault="00CB338B" w14:paraId="02957568" w14:textId="2E40789D">
          <w:pPr>
            <w:pStyle w:val="TOC2"/>
            <w:rPr>
              <w:rFonts w:eastAsiaTheme="minorEastAsia"/>
              <w:noProof/>
              <w:color w:val="auto"/>
            </w:rPr>
          </w:pPr>
          <w:hyperlink w:history="1" w:anchor="_Toc16271331">
            <w:r w:rsidRPr="00D50FB3" w:rsidR="00954EE9">
              <w:rPr>
                <w:rStyle w:val="Hyperlink"/>
                <w:noProof/>
              </w:rPr>
              <w:t>A.12B. Estimate of Annual Cost to Respondent for Burden Hours</w:t>
            </w:r>
            <w:r w:rsidR="00954EE9">
              <w:rPr>
                <w:noProof/>
                <w:webHidden/>
              </w:rPr>
              <w:tab/>
            </w:r>
            <w:r w:rsidR="00954EE9">
              <w:rPr>
                <w:noProof/>
                <w:webHidden/>
              </w:rPr>
              <w:fldChar w:fldCharType="begin"/>
            </w:r>
            <w:r w:rsidR="00954EE9">
              <w:rPr>
                <w:noProof/>
                <w:webHidden/>
              </w:rPr>
              <w:instrText xml:space="preserve"> PAGEREF _Toc16271331 \h </w:instrText>
            </w:r>
            <w:r w:rsidR="00954EE9">
              <w:rPr>
                <w:noProof/>
                <w:webHidden/>
              </w:rPr>
            </w:r>
            <w:r w:rsidR="00954EE9">
              <w:rPr>
                <w:noProof/>
                <w:webHidden/>
              </w:rPr>
              <w:fldChar w:fldCharType="separate"/>
            </w:r>
            <w:r>
              <w:rPr>
                <w:noProof/>
                <w:webHidden/>
              </w:rPr>
              <w:t>15</w:t>
            </w:r>
            <w:r w:rsidR="00954EE9">
              <w:rPr>
                <w:noProof/>
                <w:webHidden/>
              </w:rPr>
              <w:fldChar w:fldCharType="end"/>
            </w:r>
          </w:hyperlink>
        </w:p>
        <w:p w:rsidR="00954EE9" w:rsidP="00954EE9" w:rsidRDefault="00CB338B" w14:paraId="3AC5CA2F" w14:textId="201DCCB6">
          <w:pPr>
            <w:pStyle w:val="TOC2"/>
            <w:rPr>
              <w:rFonts w:eastAsiaTheme="minorEastAsia"/>
              <w:noProof/>
              <w:color w:val="auto"/>
            </w:rPr>
          </w:pPr>
          <w:hyperlink w:history="1" w:anchor="_Toc16271332">
            <w:r w:rsidRPr="00D50FB3" w:rsidR="00954EE9">
              <w:rPr>
                <w:rStyle w:val="Hyperlink"/>
                <w:noProof/>
              </w:rPr>
              <w:t>A.13. Other Estimated Annual Cost to Respondents</w:t>
            </w:r>
            <w:r w:rsidR="00954EE9">
              <w:rPr>
                <w:noProof/>
                <w:webHidden/>
              </w:rPr>
              <w:tab/>
            </w:r>
            <w:r w:rsidR="00954EE9">
              <w:rPr>
                <w:noProof/>
                <w:webHidden/>
              </w:rPr>
              <w:fldChar w:fldCharType="begin"/>
            </w:r>
            <w:r w:rsidR="00954EE9">
              <w:rPr>
                <w:noProof/>
                <w:webHidden/>
              </w:rPr>
              <w:instrText xml:space="preserve"> PAGEREF _Toc16271332 \h </w:instrText>
            </w:r>
            <w:r w:rsidR="00954EE9">
              <w:rPr>
                <w:noProof/>
                <w:webHidden/>
              </w:rPr>
            </w:r>
            <w:r w:rsidR="00954EE9">
              <w:rPr>
                <w:noProof/>
                <w:webHidden/>
              </w:rPr>
              <w:fldChar w:fldCharType="separate"/>
            </w:r>
            <w:r>
              <w:rPr>
                <w:noProof/>
                <w:webHidden/>
              </w:rPr>
              <w:t>15</w:t>
            </w:r>
            <w:r w:rsidR="00954EE9">
              <w:rPr>
                <w:noProof/>
                <w:webHidden/>
              </w:rPr>
              <w:fldChar w:fldCharType="end"/>
            </w:r>
          </w:hyperlink>
        </w:p>
        <w:p w:rsidR="00954EE9" w:rsidP="00954EE9" w:rsidRDefault="00CB338B" w14:paraId="50EA37C8" w14:textId="43CAFB77">
          <w:pPr>
            <w:pStyle w:val="TOC2"/>
            <w:rPr>
              <w:rFonts w:eastAsiaTheme="minorEastAsia"/>
              <w:noProof/>
              <w:color w:val="auto"/>
            </w:rPr>
          </w:pPr>
          <w:hyperlink w:history="1" w:anchor="_Toc16271333">
            <w:r w:rsidRPr="00D50FB3" w:rsidR="00954EE9">
              <w:rPr>
                <w:rStyle w:val="Hyperlink"/>
                <w:noProof/>
              </w:rPr>
              <w:t>A.14. Annual Cost to the Federal Government</w:t>
            </w:r>
            <w:r w:rsidR="00954EE9">
              <w:rPr>
                <w:noProof/>
                <w:webHidden/>
              </w:rPr>
              <w:tab/>
            </w:r>
            <w:r w:rsidR="00954EE9">
              <w:rPr>
                <w:noProof/>
                <w:webHidden/>
              </w:rPr>
              <w:fldChar w:fldCharType="begin"/>
            </w:r>
            <w:r w:rsidR="00954EE9">
              <w:rPr>
                <w:noProof/>
                <w:webHidden/>
              </w:rPr>
              <w:instrText xml:space="preserve"> PAGEREF _Toc16271333 \h </w:instrText>
            </w:r>
            <w:r w:rsidR="00954EE9">
              <w:rPr>
                <w:noProof/>
                <w:webHidden/>
              </w:rPr>
            </w:r>
            <w:r w:rsidR="00954EE9">
              <w:rPr>
                <w:noProof/>
                <w:webHidden/>
              </w:rPr>
              <w:fldChar w:fldCharType="separate"/>
            </w:r>
            <w:r>
              <w:rPr>
                <w:noProof/>
                <w:webHidden/>
              </w:rPr>
              <w:t>15</w:t>
            </w:r>
            <w:r w:rsidR="00954EE9">
              <w:rPr>
                <w:noProof/>
                <w:webHidden/>
              </w:rPr>
              <w:fldChar w:fldCharType="end"/>
            </w:r>
          </w:hyperlink>
        </w:p>
        <w:p w:rsidR="00954EE9" w:rsidP="00954EE9" w:rsidRDefault="00CB338B" w14:paraId="446AC1CE" w14:textId="69420921">
          <w:pPr>
            <w:pStyle w:val="TOC2"/>
            <w:rPr>
              <w:rFonts w:eastAsiaTheme="minorEastAsia"/>
              <w:noProof/>
              <w:color w:val="auto"/>
            </w:rPr>
          </w:pPr>
          <w:hyperlink w:history="1" w:anchor="_Toc16271334">
            <w:r w:rsidRPr="00D50FB3" w:rsidR="00954EE9">
              <w:rPr>
                <w:rStyle w:val="Hyperlink"/>
                <w:noProof/>
              </w:rPr>
              <w:t>A.15. Reasons for Changes in Burden</w:t>
            </w:r>
            <w:r w:rsidR="00954EE9">
              <w:rPr>
                <w:noProof/>
                <w:webHidden/>
              </w:rPr>
              <w:tab/>
            </w:r>
            <w:r w:rsidR="00954EE9">
              <w:rPr>
                <w:noProof/>
                <w:webHidden/>
              </w:rPr>
              <w:fldChar w:fldCharType="begin"/>
            </w:r>
            <w:r w:rsidR="00954EE9">
              <w:rPr>
                <w:noProof/>
                <w:webHidden/>
              </w:rPr>
              <w:instrText xml:space="preserve"> PAGEREF _Toc16271334 \h </w:instrText>
            </w:r>
            <w:r w:rsidR="00954EE9">
              <w:rPr>
                <w:noProof/>
                <w:webHidden/>
              </w:rPr>
            </w:r>
            <w:r w:rsidR="00954EE9">
              <w:rPr>
                <w:noProof/>
                <w:webHidden/>
              </w:rPr>
              <w:fldChar w:fldCharType="separate"/>
            </w:r>
            <w:r>
              <w:rPr>
                <w:noProof/>
                <w:webHidden/>
              </w:rPr>
              <w:t>16</w:t>
            </w:r>
            <w:r w:rsidR="00954EE9">
              <w:rPr>
                <w:noProof/>
                <w:webHidden/>
              </w:rPr>
              <w:fldChar w:fldCharType="end"/>
            </w:r>
          </w:hyperlink>
        </w:p>
        <w:p w:rsidR="00954EE9" w:rsidP="00954EE9" w:rsidRDefault="00CB338B" w14:paraId="4E99E6FC" w14:textId="2CF520E9">
          <w:pPr>
            <w:pStyle w:val="TOC2"/>
            <w:rPr>
              <w:rFonts w:eastAsiaTheme="minorEastAsia"/>
              <w:noProof/>
              <w:color w:val="auto"/>
            </w:rPr>
          </w:pPr>
          <w:hyperlink w:history="1" w:anchor="_Toc16271335">
            <w:r w:rsidRPr="00D50FB3" w:rsidR="00954EE9">
              <w:rPr>
                <w:rStyle w:val="Hyperlink"/>
                <w:noProof/>
              </w:rPr>
              <w:t>A.16. Collection, Tabulation, and Publication Plans</w:t>
            </w:r>
            <w:r w:rsidR="00954EE9">
              <w:rPr>
                <w:noProof/>
                <w:webHidden/>
              </w:rPr>
              <w:tab/>
            </w:r>
            <w:r w:rsidR="00954EE9">
              <w:rPr>
                <w:noProof/>
                <w:webHidden/>
              </w:rPr>
              <w:fldChar w:fldCharType="begin"/>
            </w:r>
            <w:r w:rsidR="00954EE9">
              <w:rPr>
                <w:noProof/>
                <w:webHidden/>
              </w:rPr>
              <w:instrText xml:space="preserve"> PAGEREF _Toc16271335 \h </w:instrText>
            </w:r>
            <w:r w:rsidR="00954EE9">
              <w:rPr>
                <w:noProof/>
                <w:webHidden/>
              </w:rPr>
            </w:r>
            <w:r w:rsidR="00954EE9">
              <w:rPr>
                <w:noProof/>
                <w:webHidden/>
              </w:rPr>
              <w:fldChar w:fldCharType="separate"/>
            </w:r>
            <w:r>
              <w:rPr>
                <w:noProof/>
                <w:webHidden/>
              </w:rPr>
              <w:t>17</w:t>
            </w:r>
            <w:r w:rsidR="00954EE9">
              <w:rPr>
                <w:noProof/>
                <w:webHidden/>
              </w:rPr>
              <w:fldChar w:fldCharType="end"/>
            </w:r>
          </w:hyperlink>
        </w:p>
        <w:p w:rsidR="00954EE9" w:rsidP="00954EE9" w:rsidRDefault="00CB338B" w14:paraId="013F21A6" w14:textId="3F225911">
          <w:pPr>
            <w:pStyle w:val="TOC2"/>
            <w:rPr>
              <w:rFonts w:eastAsiaTheme="minorEastAsia"/>
              <w:noProof/>
              <w:color w:val="auto"/>
            </w:rPr>
          </w:pPr>
          <w:hyperlink w:history="1" w:anchor="_Toc16271336">
            <w:r w:rsidRPr="00D50FB3" w:rsidR="00954EE9">
              <w:rPr>
                <w:rStyle w:val="Hyperlink"/>
                <w:noProof/>
              </w:rPr>
              <w:t>A.17. OMB Number and Expiration Date</w:t>
            </w:r>
            <w:r w:rsidR="00954EE9">
              <w:rPr>
                <w:noProof/>
                <w:webHidden/>
              </w:rPr>
              <w:tab/>
            </w:r>
            <w:r w:rsidR="00954EE9">
              <w:rPr>
                <w:noProof/>
                <w:webHidden/>
              </w:rPr>
              <w:fldChar w:fldCharType="begin"/>
            </w:r>
            <w:r w:rsidR="00954EE9">
              <w:rPr>
                <w:noProof/>
                <w:webHidden/>
              </w:rPr>
              <w:instrText xml:space="preserve"> PAGEREF _Toc16271336 \h </w:instrText>
            </w:r>
            <w:r w:rsidR="00954EE9">
              <w:rPr>
                <w:noProof/>
                <w:webHidden/>
              </w:rPr>
            </w:r>
            <w:r w:rsidR="00954EE9">
              <w:rPr>
                <w:noProof/>
                <w:webHidden/>
              </w:rPr>
              <w:fldChar w:fldCharType="separate"/>
            </w:r>
            <w:r>
              <w:rPr>
                <w:noProof/>
                <w:webHidden/>
              </w:rPr>
              <w:t>17</w:t>
            </w:r>
            <w:r w:rsidR="00954EE9">
              <w:rPr>
                <w:noProof/>
                <w:webHidden/>
              </w:rPr>
              <w:fldChar w:fldCharType="end"/>
            </w:r>
          </w:hyperlink>
        </w:p>
        <w:p w:rsidR="00954EE9" w:rsidP="00954EE9" w:rsidRDefault="00CB338B" w14:paraId="6DFA9772" w14:textId="12725830">
          <w:pPr>
            <w:pStyle w:val="TOC2"/>
            <w:rPr>
              <w:rFonts w:eastAsiaTheme="minorEastAsia"/>
              <w:noProof/>
              <w:color w:val="auto"/>
            </w:rPr>
          </w:pPr>
          <w:hyperlink w:history="1" w:anchor="_Toc16271337">
            <w:r w:rsidRPr="00D50FB3" w:rsidR="00954EE9">
              <w:rPr>
                <w:rStyle w:val="Hyperlink"/>
                <w:noProof/>
              </w:rPr>
              <w:t>A.18. Certification Statement</w:t>
            </w:r>
            <w:r w:rsidR="00954EE9">
              <w:rPr>
                <w:noProof/>
                <w:webHidden/>
              </w:rPr>
              <w:tab/>
            </w:r>
            <w:r w:rsidR="00954EE9">
              <w:rPr>
                <w:noProof/>
                <w:webHidden/>
              </w:rPr>
              <w:fldChar w:fldCharType="begin"/>
            </w:r>
            <w:r w:rsidR="00954EE9">
              <w:rPr>
                <w:noProof/>
                <w:webHidden/>
              </w:rPr>
              <w:instrText xml:space="preserve"> PAGEREF _Toc16271337 \h </w:instrText>
            </w:r>
            <w:r w:rsidR="00954EE9">
              <w:rPr>
                <w:noProof/>
                <w:webHidden/>
              </w:rPr>
            </w:r>
            <w:r w:rsidR="00954EE9">
              <w:rPr>
                <w:noProof/>
                <w:webHidden/>
              </w:rPr>
              <w:fldChar w:fldCharType="separate"/>
            </w:r>
            <w:r>
              <w:rPr>
                <w:noProof/>
                <w:webHidden/>
              </w:rPr>
              <w:t>17</w:t>
            </w:r>
            <w:r w:rsidR="00954EE9">
              <w:rPr>
                <w:noProof/>
                <w:webHidden/>
              </w:rPr>
              <w:fldChar w:fldCharType="end"/>
            </w:r>
          </w:hyperlink>
        </w:p>
        <w:p w:rsidR="00954EE9" w:rsidP="00954EE9" w:rsidRDefault="00954EE9" w14:paraId="194BBD83" w14:textId="64AC823D">
          <w:pPr>
            <w:sectPr w:rsidR="00954EE9" w:rsidSect="00725453">
              <w:footerReference w:type="first" r:id="rId10"/>
              <w:footnotePr>
                <w:pos w:val="beneathText"/>
              </w:footnotePr>
              <w:type w:val="continuous"/>
              <w:pgSz w:w="12240" w:h="15840"/>
              <w:pgMar w:top="1440" w:right="1440" w:bottom="1440" w:left="1440" w:header="720" w:footer="720" w:gutter="0"/>
              <w:pgNumType w:fmt="lowerRoman" w:start="1"/>
              <w:cols w:space="720"/>
              <w:docGrid w:linePitch="360"/>
            </w:sectPr>
          </w:pPr>
          <w:r>
            <w:rPr>
              <w:b/>
              <w:bCs/>
              <w:noProof/>
            </w:rPr>
            <w:fldChar w:fldCharType="end"/>
          </w:r>
        </w:p>
      </w:sdtContent>
    </w:sdt>
    <w:p w:rsidRPr="00933D5D" w:rsidR="00954EE9" w:rsidP="00954EE9" w:rsidRDefault="00954EE9" w14:paraId="646EDFB7" w14:textId="1A0C4636">
      <w:pPr>
        <w:tabs>
          <w:tab w:val="left" w:pos="7365"/>
        </w:tabs>
        <w:sectPr w:rsidRPr="00933D5D" w:rsidR="00954EE9" w:rsidSect="00725453">
          <w:footerReference w:type="first" r:id="rId11"/>
          <w:footnotePr>
            <w:pos w:val="beneathText"/>
          </w:footnotePr>
          <w:type w:val="continuous"/>
          <w:pgSz w:w="12240" w:h="15840"/>
          <w:pgMar w:top="1440" w:right="1440" w:bottom="1440" w:left="1440" w:header="720" w:footer="720" w:gutter="0"/>
          <w:pgNumType w:fmt="lowerRoman"/>
          <w:cols w:space="720"/>
          <w:docGrid w:linePitch="360"/>
        </w:sectPr>
      </w:pPr>
    </w:p>
    <w:p w:rsidR="00954EE9" w:rsidP="00F00C23" w:rsidRDefault="00954EE9" w14:paraId="2E906B2F" w14:textId="77777777">
      <w:pPr>
        <w:pStyle w:val="Heading2"/>
      </w:pPr>
      <w:bookmarkStart w:name="_Toc16271318" w:id="1"/>
      <w:r>
        <w:lastRenderedPageBreak/>
        <w:t>Introduction</w:t>
      </w:r>
      <w:bookmarkEnd w:id="1"/>
    </w:p>
    <w:p w:rsidR="00F81497" w:rsidP="00954EE9" w:rsidRDefault="00954EE9" w14:paraId="3D9DC0E0" w14:textId="60CFAC27">
      <w:pPr>
        <w:rPr>
          <w:b/>
        </w:rPr>
      </w:pPr>
      <w:r w:rsidRPr="006D42EC">
        <w:rPr>
          <w:b/>
        </w:rPr>
        <w:t>Provide a brief introduction of the Information Collection Request.  Include the purpose of this collection</w:t>
      </w:r>
      <w:r w:rsidRPr="00295E3E">
        <w:rPr>
          <w:b/>
        </w:rPr>
        <w:t>, note the publication of the 60-Day Federal Register Notice, and provide the list of forms within this collection.</w:t>
      </w:r>
    </w:p>
    <w:p w:rsidR="00006E10" w:rsidP="00954EE9" w:rsidRDefault="00006E10" w14:paraId="3EAE0D5E" w14:textId="009B7F11">
      <w:r w:rsidRPr="00C41E64">
        <w:rPr>
          <w:i/>
          <w:iCs/>
        </w:rPr>
        <w:t>Enhancement and Innovation (E&amp;I)</w:t>
      </w:r>
      <w:r>
        <w:t xml:space="preserve"> – </w:t>
      </w:r>
    </w:p>
    <w:p w:rsidRPr="00006E10" w:rsidR="003633E0" w:rsidP="00954EE9" w:rsidRDefault="003633E0" w14:paraId="68665978" w14:textId="789C8625">
      <w:r>
        <w:rPr>
          <w:rFonts w:ascii="Calibri" w:hAnsi="Calibri" w:eastAsia="Calibri"/>
          <w:color w:val="000000"/>
        </w:rPr>
        <w:t xml:space="preserve">The Weatherization Assistance Program (WAP) Enhancement &amp; Innovation provides grants to state, local, tribal, and non-profit organizations to improve home energy efficiency, health, and safety for low-income residents. This </w:t>
      </w:r>
      <w:r w:rsidR="00F74241">
        <w:rPr>
          <w:rFonts w:ascii="Calibri" w:hAnsi="Calibri" w:eastAsia="Calibri"/>
          <w:color w:val="000000"/>
        </w:rPr>
        <w:t>grant</w:t>
      </w:r>
      <w:r>
        <w:rPr>
          <w:rFonts w:ascii="Calibri" w:hAnsi="Calibri" w:eastAsia="Calibri"/>
          <w:color w:val="000000"/>
        </w:rPr>
        <w:t xml:space="preserve"> focuses on expanding the impact of residential weatherization programs by addressing structural deficiencies in homes, ensuring healthy indoor air quality, and empowering local community representation within the energy workforce. In FY 2021, $18.6 million will be available and it is anticipated that this will be available each year through 2025, depending on appropriated funding levels.</w:t>
      </w:r>
    </w:p>
    <w:p w:rsidRPr="00092B76" w:rsidR="00032AE6" w:rsidP="00671233" w:rsidRDefault="00032AE6" w14:paraId="597A4F98" w14:textId="17551331">
      <w:pPr>
        <w:pStyle w:val="ListParagraph"/>
        <w:rPr>
          <w:rFonts w:eastAsia="Times New Roman" w:cs="Times New Roman"/>
        </w:rPr>
      </w:pPr>
      <w:r>
        <w:t>E&amp;I Form – Quarterly Performance Report (QPR)</w:t>
      </w:r>
      <w:r w:rsidR="00092B76">
        <w:t xml:space="preserve"> </w:t>
      </w:r>
      <w:r w:rsidRPr="00092B76" w:rsidR="00092B76">
        <w:rPr>
          <w:rFonts w:eastAsia="Times New Roman" w:cs="Times New Roman"/>
        </w:rPr>
        <w:t xml:space="preserve">(DOE Form </w:t>
      </w:r>
      <w:r w:rsidR="007B17CE">
        <w:rPr>
          <w:rFonts w:eastAsia="Times New Roman" w:cs="Times New Roman"/>
        </w:rPr>
        <w:t>540.9</w:t>
      </w:r>
      <w:r w:rsidRPr="00092B76" w:rsidR="00092B76">
        <w:rPr>
          <w:rFonts w:eastAsia="Times New Roman" w:cs="Times New Roman"/>
        </w:rPr>
        <w:t>)</w:t>
      </w:r>
    </w:p>
    <w:p w:rsidRPr="00092B76" w:rsidR="00032AE6" w:rsidP="00671233" w:rsidRDefault="00032AE6" w14:paraId="444C70C1" w14:textId="08C55BE2">
      <w:pPr>
        <w:pStyle w:val="ListParagraph"/>
        <w:rPr>
          <w:rFonts w:eastAsia="Times New Roman" w:cs="Times New Roman"/>
          <w:bCs/>
        </w:rPr>
      </w:pPr>
      <w:r>
        <w:t xml:space="preserve">E&amp;I Form – Annual Report </w:t>
      </w:r>
      <w:r w:rsidRPr="00092B76" w:rsidR="00092B76">
        <w:rPr>
          <w:rFonts w:eastAsia="Times New Roman" w:cs="Times New Roman"/>
          <w:bCs/>
        </w:rPr>
        <w:t>(DOE Form</w:t>
      </w:r>
      <w:r w:rsidR="00092B76">
        <w:rPr>
          <w:rFonts w:eastAsia="Times New Roman" w:cs="Times New Roman"/>
          <w:bCs/>
        </w:rPr>
        <w:t xml:space="preserve"> </w:t>
      </w:r>
      <w:r w:rsidR="00020C10">
        <w:rPr>
          <w:rFonts w:eastAsia="Times New Roman" w:cs="Times New Roman"/>
          <w:bCs/>
        </w:rPr>
        <w:t>540.7</w:t>
      </w:r>
      <w:r w:rsidRPr="00092B76" w:rsidR="00092B76">
        <w:rPr>
          <w:rFonts w:eastAsia="Times New Roman" w:cs="Times New Roman"/>
          <w:bCs/>
        </w:rPr>
        <w:t>)</w:t>
      </w:r>
    </w:p>
    <w:p w:rsidRPr="00D01AE5" w:rsidR="00032AE6" w:rsidP="00671233" w:rsidRDefault="00032AE6" w14:paraId="438E8397" w14:textId="123B453D">
      <w:pPr>
        <w:pStyle w:val="ListParagraph"/>
        <w:rPr>
          <w:rFonts w:eastAsia="Times New Roman" w:cs="Times New Roman"/>
          <w:bCs/>
        </w:rPr>
      </w:pPr>
      <w:r w:rsidRPr="00D01AE5">
        <w:t>E&amp;I Form –</w:t>
      </w:r>
      <w:r w:rsidR="00D01AE5">
        <w:t xml:space="preserve"> Grant</w:t>
      </w:r>
      <w:r w:rsidRPr="00D01AE5" w:rsidR="004F3DBB">
        <w:t xml:space="preserve"> </w:t>
      </w:r>
      <w:r w:rsidR="00D01AE5">
        <w:t xml:space="preserve">File </w:t>
      </w:r>
      <w:r w:rsidRPr="00D01AE5" w:rsidR="004F3DBB">
        <w:t>Worksheet</w:t>
      </w:r>
      <w:r w:rsidRPr="00D01AE5" w:rsidR="00092B76">
        <w:t xml:space="preserve"> </w:t>
      </w:r>
      <w:r w:rsidRPr="00D01AE5" w:rsidR="00092B76">
        <w:rPr>
          <w:rFonts w:eastAsia="Times New Roman" w:cs="Times New Roman"/>
          <w:bCs/>
        </w:rPr>
        <w:t xml:space="preserve">(DOE Form </w:t>
      </w:r>
      <w:r w:rsidR="00573049">
        <w:rPr>
          <w:rFonts w:eastAsia="Times New Roman" w:cs="Times New Roman"/>
          <w:bCs/>
        </w:rPr>
        <w:t>540.8</w:t>
      </w:r>
      <w:r w:rsidRPr="00D01AE5" w:rsidR="00092B76">
        <w:rPr>
          <w:rFonts w:eastAsia="Times New Roman" w:cs="Times New Roman"/>
          <w:bCs/>
        </w:rPr>
        <w:t>)</w:t>
      </w:r>
    </w:p>
    <w:p w:rsidR="004F3DBB" w:rsidP="00671233" w:rsidRDefault="004F3DBB" w14:paraId="27A17087" w14:textId="31572B56">
      <w:pPr>
        <w:pStyle w:val="ListParagraph"/>
        <w:rPr>
          <w:rFonts w:eastAsia="Times New Roman" w:cs="Times New Roman"/>
          <w:bCs/>
        </w:rPr>
      </w:pPr>
      <w:r w:rsidRPr="00092B76">
        <w:t xml:space="preserve">Subgrantee Information Worksheet: (DOE Form </w:t>
      </w:r>
      <w:r w:rsidR="00D01AE5">
        <w:t>540.</w:t>
      </w:r>
      <w:r w:rsidR="00832AE6">
        <w:t>5</w:t>
      </w:r>
      <w:r w:rsidRPr="00D01AE5">
        <w:t>)</w:t>
      </w:r>
    </w:p>
    <w:p w:rsidR="0021137E" w:rsidP="00671233" w:rsidRDefault="00032AE6" w14:paraId="12642CDC" w14:textId="7B01200C">
      <w:pPr>
        <w:pStyle w:val="ListParagraph"/>
      </w:pPr>
      <w:r>
        <w:t>Historic Preservation Annual Report</w:t>
      </w:r>
      <w:r w:rsidR="000F7AAE">
        <w:t xml:space="preserve"> (DOE Form </w:t>
      </w:r>
      <w:r w:rsidR="003E3213">
        <w:t>540.6</w:t>
      </w:r>
      <w:r w:rsidR="000F7AAE">
        <w:t>)</w:t>
      </w:r>
      <w:bookmarkStart w:name="_Toc16271319" w:id="2"/>
    </w:p>
    <w:p w:rsidR="00006E10" w:rsidP="008D562F" w:rsidRDefault="00006E10" w14:paraId="742C2A5F" w14:textId="202232D1">
      <w:pPr>
        <w:rPr>
          <w:i/>
          <w:iCs/>
        </w:rPr>
      </w:pPr>
      <w:r>
        <w:rPr>
          <w:i/>
          <w:iCs/>
        </w:rPr>
        <w:t>Sustainable Energy Resources for Consumers (</w:t>
      </w:r>
      <w:r w:rsidR="00B45D1E">
        <w:rPr>
          <w:i/>
          <w:iCs/>
        </w:rPr>
        <w:t>SERC) –</w:t>
      </w:r>
    </w:p>
    <w:p w:rsidR="00006E10" w:rsidP="008D562F" w:rsidRDefault="00032AE6" w14:paraId="686D65CD" w14:textId="52A7386A">
      <w:r w:rsidRPr="00445371">
        <w:t>Under this effort, the Weatherization Assistance Program (WAP) will implement the Sustainable Energy Resources for Consumers (SERC) Grants, authorized from</w:t>
      </w:r>
      <w:r>
        <w:t xml:space="preserve"> </w:t>
      </w:r>
      <w:r w:rsidRPr="00445371">
        <w:t>the Energy Independence and Security Act of 2007 (EISA) Public Law 110-140, Section 411(b). This provision authorizes loca</w:t>
      </w:r>
      <w:r>
        <w:t xml:space="preserve">l </w:t>
      </w:r>
      <w:r w:rsidRPr="00445371">
        <w:t>weatherization agencies to expand the Program for “materials, benefits, and renewable and domestic energy technologies not currently covered.</w:t>
      </w:r>
      <w:r>
        <w:t>”</w:t>
      </w:r>
      <w:r w:rsidRPr="00445371">
        <w:t xml:space="preserve"> </w:t>
      </w:r>
      <w:r>
        <w:t xml:space="preserve">Within Title </w:t>
      </w:r>
      <w:r w:rsidRPr="00445371">
        <w:t xml:space="preserve">42 </w:t>
      </w:r>
      <w:r>
        <w:t xml:space="preserve">of the </w:t>
      </w:r>
      <w:r w:rsidRPr="00445371">
        <w:t>US</w:t>
      </w:r>
      <w:r>
        <w:t xml:space="preserve"> </w:t>
      </w:r>
      <w:r w:rsidRPr="00445371">
        <w:t>C</w:t>
      </w:r>
      <w:r>
        <w:t>ode, section</w:t>
      </w:r>
      <w:r w:rsidRPr="00445371">
        <w:t xml:space="preserve"> 6872 </w:t>
      </w:r>
      <w:r>
        <w:t>(</w:t>
      </w:r>
      <w:r w:rsidRPr="00445371">
        <w:t>Authorization of appropriations &amp; SERC</w:t>
      </w:r>
      <w:r>
        <w:t>),</w:t>
      </w:r>
      <w:r w:rsidRPr="00445371">
        <w:t xml:space="preserve"> Weatherization Program Notice 21-2 notes a total of $12.3 million has been set aside for SERC from the 2020 and 2021 appropriations.</w:t>
      </w:r>
    </w:p>
    <w:p w:rsidR="00006E10" w:rsidP="00671233" w:rsidRDefault="00092B76" w14:paraId="3A3C96FB" w14:textId="30AE291B">
      <w:pPr>
        <w:pStyle w:val="ListParagraph"/>
      </w:pPr>
      <w:r w:rsidRPr="00092B76">
        <w:t xml:space="preserve">Quarterly Program Report (DOE Form </w:t>
      </w:r>
      <w:r w:rsidR="00263C0F">
        <w:t>540.11</w:t>
      </w:r>
      <w:r w:rsidRPr="00092B76">
        <w:t>)</w:t>
      </w:r>
    </w:p>
    <w:p w:rsidR="003F18F3" w:rsidP="00671233" w:rsidRDefault="003F18F3" w14:paraId="65B5B20F" w14:textId="2C663F3C">
      <w:pPr>
        <w:pStyle w:val="ListParagraph"/>
      </w:pPr>
      <w:r>
        <w:t>Annual</w:t>
      </w:r>
      <w:r w:rsidRPr="00092B76" w:rsidR="00092B76">
        <w:t xml:space="preserve"> File Worksheet: (DOE Form</w:t>
      </w:r>
      <w:r w:rsidR="00092B76">
        <w:t xml:space="preserve"> </w:t>
      </w:r>
      <w:r w:rsidR="00FA26C3">
        <w:t>540.2</w:t>
      </w:r>
      <w:r w:rsidRPr="00092B76" w:rsidR="00092B76">
        <w:t>)</w:t>
      </w:r>
    </w:p>
    <w:p w:rsidRPr="0021137E" w:rsidR="003F18F3" w:rsidP="00671233" w:rsidRDefault="00092B76" w14:paraId="7475AB22" w14:textId="69031F4C">
      <w:pPr>
        <w:pStyle w:val="ListParagraph"/>
      </w:pPr>
      <w:r w:rsidRPr="003F18F3">
        <w:t xml:space="preserve">Combined Monitoring, Technical Assistance and Leveraging Report: (DOE Form </w:t>
      </w:r>
      <w:r w:rsidR="00411D30">
        <w:t>540.4</w:t>
      </w:r>
      <w:r w:rsidRPr="00411D30">
        <w:t>)</w:t>
      </w:r>
    </w:p>
    <w:p w:rsidR="008D562F" w:rsidP="008D562F" w:rsidRDefault="008D562F" w14:paraId="78E272EB" w14:textId="5982C17D">
      <w:r w:rsidRPr="00C41E64">
        <w:rPr>
          <w:i/>
          <w:iCs/>
        </w:rPr>
        <w:t>Community</w:t>
      </w:r>
      <w:r w:rsidR="00DE3CC3">
        <w:rPr>
          <w:i/>
          <w:iCs/>
        </w:rPr>
        <w:t xml:space="preserve"> S</w:t>
      </w:r>
      <w:r w:rsidRPr="00C41E64">
        <w:rPr>
          <w:i/>
          <w:iCs/>
        </w:rPr>
        <w:t xml:space="preserve">cale </w:t>
      </w:r>
      <w:r w:rsidR="00C10DD3">
        <w:rPr>
          <w:i/>
          <w:iCs/>
        </w:rPr>
        <w:t>Pilot</w:t>
      </w:r>
      <w:r>
        <w:rPr>
          <w:b/>
          <w:bCs/>
        </w:rPr>
        <w:t xml:space="preserve"> </w:t>
      </w:r>
      <w:r w:rsidRPr="00DE3CC3" w:rsidR="00DE3CC3">
        <w:rPr>
          <w:i/>
          <w:iCs/>
        </w:rPr>
        <w:t>Project</w:t>
      </w:r>
      <w:r w:rsidR="00B45D1E">
        <w:rPr>
          <w:i/>
          <w:iCs/>
        </w:rPr>
        <w:t xml:space="preserve"> (CSPP) </w:t>
      </w:r>
      <w:r w:rsidR="001B35C5">
        <w:rPr>
          <w:b/>
          <w:bCs/>
        </w:rPr>
        <w:t>–</w:t>
      </w:r>
      <w:r>
        <w:rPr>
          <w:b/>
          <w:bCs/>
        </w:rPr>
        <w:t xml:space="preserve"> </w:t>
      </w:r>
    </w:p>
    <w:p w:rsidR="001B35C5" w:rsidP="008D562F" w:rsidRDefault="001B35C5" w14:paraId="08348F4F" w14:textId="17A24A8A">
      <w:r>
        <w:t>On December 27, 2020, P.L. 116-260 was enacted</w:t>
      </w:r>
      <w:r w:rsidR="00791326">
        <w:t>,</w:t>
      </w:r>
      <w:r>
        <w:t xml:space="preserve"> which provide</w:t>
      </w:r>
      <w:r w:rsidR="00376774">
        <w:t>d</w:t>
      </w:r>
      <w:r>
        <w:t xml:space="preserve"> fiscal year (FY) 2021 appropriations to the Department of Energy’s (DOE) Weatherization Assistance Program (WAP) through September 30, 2021. In addition to the $310 million appropriation, $5 million was allocated for DOE Headquarters Training &amp; Technical Assistance (T&amp;TA). Included in the T&amp;TA provision was $1.5 million set-aside to conduct a pilot on </w:t>
      </w:r>
      <w:r w:rsidR="00FD50B7">
        <w:t>community-scale</w:t>
      </w:r>
      <w:r>
        <w:t xml:space="preserve"> projects within the WAP. </w:t>
      </w:r>
    </w:p>
    <w:p w:rsidR="001B35C5" w:rsidP="008D562F" w:rsidRDefault="001B35C5" w14:paraId="544D7EC9" w14:textId="1910A20C">
      <w:r>
        <w:t xml:space="preserve">A pilot program focused on community scale projects would provide funding to Grantees in collaboration with local weatherization agencies (Subgrantees) who demonstrate the ability to pilot complex programs, dealing with multiple tenants and/or building owners within a specific geographic </w:t>
      </w:r>
      <w:r>
        <w:lastRenderedPageBreak/>
        <w:t xml:space="preserve">area, housing type(s), and/or specific demographics. Community Scale projects can range from a cluster of </w:t>
      </w:r>
      <w:r w:rsidR="00376774">
        <w:t>single-family</w:t>
      </w:r>
      <w:r>
        <w:t xml:space="preserve"> houses, 2 (or more) small multifamily buildings, or a large multifamily building. To be a recipient, the state weatherization agency (Grantee) must certify that the Subgrantee has the capacity to carry out the proposed activities, and that the Grantee will include this project in addition to the oversight of their traditional WAP. </w:t>
      </w:r>
    </w:p>
    <w:p w:rsidR="001B35C5" w:rsidP="008D562F" w:rsidRDefault="001B35C5" w14:paraId="1842B60E" w14:textId="115A67D1">
      <w:r>
        <w:t>Further, to align with Executive Order 14008, which establishes the Justice40 Initiative with the goal of delivering 40% of the overall benefits of climate investments to disadvantaged communities, project plans much include an explanation on:</w:t>
      </w:r>
    </w:p>
    <w:p w:rsidR="001B35C5" w:rsidP="008D562F" w:rsidRDefault="001B35C5" w14:paraId="4E6463B2" w14:textId="4F421BFC">
      <w:r>
        <w:sym w:font="Symbol" w:char="F0B7"/>
      </w:r>
      <w:r>
        <w:t xml:space="preserve"> The quality and </w:t>
      </w:r>
      <w:proofErr w:type="gramStart"/>
      <w:r>
        <w:t>manner in which</w:t>
      </w:r>
      <w:proofErr w:type="gramEnd"/>
      <w:r>
        <w:t xml:space="preserve"> the measures incorporate diversity, equity and inclusion goals in the project; and</w:t>
      </w:r>
    </w:p>
    <w:p w:rsidR="001B35C5" w:rsidP="008D562F" w:rsidRDefault="001B35C5" w14:paraId="42FDD128" w14:textId="3D6C950B">
      <w:r>
        <w:sym w:font="Symbol" w:char="F0B7"/>
      </w:r>
      <w:r>
        <w:t xml:space="preserve"> </w:t>
      </w:r>
      <w:r w:rsidR="00376774">
        <w:t>The e</w:t>
      </w:r>
      <w:r>
        <w:t>xtent to which the project benefits underserved communities.</w:t>
      </w:r>
    </w:p>
    <w:p w:rsidR="003F18F3" w:rsidP="00671233" w:rsidRDefault="003F18F3" w14:paraId="6247D51B" w14:textId="275D1C2A">
      <w:pPr>
        <w:pStyle w:val="ListParagraph"/>
      </w:pPr>
      <w:r w:rsidRPr="00092B76">
        <w:t>Quarterly Program Report (DOE Form</w:t>
      </w:r>
      <w:r w:rsidR="00BA2A5B">
        <w:t xml:space="preserve"> 540.</w:t>
      </w:r>
      <w:r w:rsidR="003E3213">
        <w:t>12</w:t>
      </w:r>
      <w:r w:rsidRPr="00092B76">
        <w:t>)</w:t>
      </w:r>
    </w:p>
    <w:p w:rsidR="003F18F3" w:rsidP="00671233" w:rsidRDefault="003F18F3" w14:paraId="78C75F39" w14:textId="23E59702">
      <w:pPr>
        <w:pStyle w:val="ListParagraph"/>
      </w:pPr>
      <w:r w:rsidRPr="00092B76">
        <w:t xml:space="preserve">Annual File Worksheet: (DOE </w:t>
      </w:r>
      <w:r w:rsidRPr="00411D30">
        <w:t xml:space="preserve">Form </w:t>
      </w:r>
      <w:r w:rsidR="00411D30">
        <w:t>540.2</w:t>
      </w:r>
      <w:r w:rsidRPr="00092B76">
        <w:t>)</w:t>
      </w:r>
    </w:p>
    <w:p w:rsidR="00CD361D" w:rsidP="00671233" w:rsidRDefault="003F18F3" w14:paraId="6EA2CFC3" w14:textId="707001A4">
      <w:pPr>
        <w:pStyle w:val="ListParagraph"/>
      </w:pPr>
      <w:r w:rsidRPr="003F18F3">
        <w:t xml:space="preserve">Combined Monitoring, Technical Assistance and Leveraging Report: (DOE Form </w:t>
      </w:r>
      <w:r w:rsidR="00411D30">
        <w:t>540.4</w:t>
      </w:r>
      <w:r w:rsidRPr="00411D30">
        <w:t>)</w:t>
      </w:r>
    </w:p>
    <w:p w:rsidRPr="00B45D1E" w:rsidR="008D562F" w:rsidP="008D562F" w:rsidRDefault="00376774" w14:paraId="786550BC" w14:textId="5B0437CB">
      <w:pPr>
        <w:rPr>
          <w:i/>
          <w:iCs/>
        </w:rPr>
      </w:pPr>
      <w:r w:rsidRPr="00B45D1E">
        <w:rPr>
          <w:i/>
          <w:iCs/>
        </w:rPr>
        <w:t xml:space="preserve">A </w:t>
      </w:r>
      <w:r w:rsidRPr="00B45D1E" w:rsidR="00295E3E">
        <w:rPr>
          <w:i/>
          <w:iCs/>
        </w:rPr>
        <w:t xml:space="preserve">60-Day Federal Register Notice </w:t>
      </w:r>
      <w:r w:rsidRPr="00B45D1E">
        <w:rPr>
          <w:i/>
          <w:iCs/>
        </w:rPr>
        <w:t>was p</w:t>
      </w:r>
      <w:r w:rsidRPr="00B45D1E" w:rsidR="00295E3E">
        <w:rPr>
          <w:i/>
          <w:iCs/>
        </w:rPr>
        <w:t>ublished in the Federal Register on November 22, 2021</w:t>
      </w:r>
      <w:r w:rsidRPr="00B45D1E" w:rsidR="009310DA">
        <w:rPr>
          <w:i/>
          <w:iCs/>
        </w:rPr>
        <w:t xml:space="preserve">– </w:t>
      </w:r>
      <w:r w:rsidRPr="00B45D1E" w:rsidR="001D26F7">
        <w:rPr>
          <w:i/>
          <w:iCs/>
        </w:rPr>
        <w:t>86 FR 66292 (Doc. # 2021-25429)</w:t>
      </w:r>
      <w:r w:rsidRPr="00B45D1E">
        <w:rPr>
          <w:i/>
          <w:iCs/>
        </w:rPr>
        <w:t>.</w:t>
      </w:r>
    </w:p>
    <w:p w:rsidR="00954EE9" w:rsidP="00F00C23" w:rsidRDefault="00954EE9" w14:paraId="18A5425F" w14:textId="496DD701">
      <w:pPr>
        <w:pStyle w:val="Heading2"/>
      </w:pPr>
      <w:r>
        <w:t>A.1. Legal Justification</w:t>
      </w:r>
      <w:bookmarkEnd w:id="2"/>
    </w:p>
    <w:p w:rsidR="00006E10" w:rsidP="00C41E64" w:rsidRDefault="00954EE9" w14:paraId="39BFE9B4" w14:textId="2F17CD88">
      <w:pPr>
        <w:rPr>
          <w:b/>
          <w:bCs/>
        </w:rPr>
      </w:pPr>
      <w:r w:rsidRPr="00A41763">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Pr="008C6AD2" w:rsidR="008C6AD2" w:rsidP="008C6AD2" w:rsidRDefault="008C6AD2" w14:paraId="43FB7739" w14:textId="77777777">
      <w:pPr>
        <w:pStyle w:val="HTMLPreformatted"/>
        <w:rPr>
          <w:rFonts w:asciiTheme="minorHAnsi" w:hAnsiTheme="minorHAnsi" w:cstheme="minorHAnsi"/>
          <w:iCs/>
          <w:sz w:val="22"/>
          <w:szCs w:val="22"/>
        </w:rPr>
      </w:pPr>
      <w:r w:rsidRPr="008C6AD2">
        <w:rPr>
          <w:rFonts w:asciiTheme="minorHAnsi" w:hAnsiTheme="minorHAnsi" w:cstheme="minorHAnsi"/>
          <w:iCs/>
          <w:sz w:val="22"/>
          <w:szCs w:val="22"/>
        </w:rPr>
        <w:t xml:space="preserve">The Department of Energy (DOE) requires collection of information for the Weatherization Assistance Program (WAP) as included in Funding Opportunity Announcement DE-FOA-0002520, the Energy Independence and Security Act of 2007 (EISA), Statute 42 USC 6864d, Statute 42 USC 6872, H.R. 133, Estimate for Division N—Additional Coronavirus Response and Relief Consolidated Appropriations Act, 2021 Public Law 116-260, and the OMB requirements for grant and financial administration. </w:t>
      </w:r>
    </w:p>
    <w:p w:rsidRPr="008C6AD2" w:rsidR="008C6AD2" w:rsidP="008C6AD2" w:rsidRDefault="008C6AD2" w14:paraId="2119B01B" w14:textId="77777777">
      <w:pPr>
        <w:pStyle w:val="HTMLPreformatted"/>
        <w:rPr>
          <w:rFonts w:asciiTheme="minorHAnsi" w:hAnsiTheme="minorHAnsi" w:cstheme="minorHAnsi"/>
          <w:iCs/>
          <w:sz w:val="22"/>
          <w:szCs w:val="22"/>
        </w:rPr>
      </w:pPr>
    </w:p>
    <w:p w:rsidRPr="008C6AD2" w:rsidR="008C6AD2" w:rsidP="008C6AD2" w:rsidRDefault="008C6AD2" w14:paraId="7185D2F3" w14:textId="77777777">
      <w:pPr>
        <w:rPr>
          <w:iCs/>
        </w:rPr>
      </w:pPr>
      <w:r w:rsidRPr="008C6AD2">
        <w:rPr>
          <w:iCs/>
        </w:rPr>
        <w:t xml:space="preserve">DOE provides Federal financial assistance and technical support to States, territories, Indian tribes, and local governments under the EISA. Information gathered provides the current status of grants required to respond to OMB, congressional and consumer requests, and budget preparation.  </w:t>
      </w:r>
    </w:p>
    <w:p w:rsidRPr="008C6AD2" w:rsidR="008C6AD2" w:rsidP="00C41E64" w:rsidRDefault="008C6AD2" w14:paraId="3F34AD47" w14:textId="6997F64B">
      <w:pPr>
        <w:rPr>
          <w:iCs/>
        </w:rPr>
      </w:pPr>
      <w:r w:rsidRPr="008C6AD2">
        <w:rPr>
          <w:iCs/>
        </w:rPr>
        <w:t>The WAP will allocate annually around $32.4 million for these programs. $18.6 million to Weatherization Enhancement and Innovation (E&amp;I) grants, $12.3 million to Sustainable Energy Resources for Consumers (SERC) grants, and $1.5 million to the Community Scale Weatherization Pilot. In order to adequately monitor, report, and ensure transparency and accountability, WAP requires quarterly reporting for these programs.</w:t>
      </w:r>
    </w:p>
    <w:p w:rsidRPr="000A1E20" w:rsidR="00006E10" w:rsidP="00C41E64" w:rsidRDefault="00C41E64" w14:paraId="61BD452B" w14:textId="3C673E59">
      <w:pPr>
        <w:rPr>
          <w:b/>
          <w:bCs/>
        </w:rPr>
      </w:pPr>
      <w:r w:rsidRPr="000A1E20">
        <w:rPr>
          <w:b/>
          <w:bCs/>
          <w:i/>
          <w:iCs/>
        </w:rPr>
        <w:t>Enhancement and Innovation (E&amp;I)</w:t>
      </w:r>
      <w:r w:rsidRPr="000A1E20">
        <w:rPr>
          <w:b/>
          <w:bCs/>
        </w:rPr>
        <w:t xml:space="preserve"> </w:t>
      </w:r>
      <w:r w:rsidRPr="000A1E20" w:rsidR="00006E10">
        <w:rPr>
          <w:b/>
          <w:bCs/>
        </w:rPr>
        <w:t>–</w:t>
      </w:r>
      <w:r w:rsidRPr="000A1E20">
        <w:rPr>
          <w:b/>
          <w:bCs/>
        </w:rPr>
        <w:t xml:space="preserve"> </w:t>
      </w:r>
    </w:p>
    <w:p w:rsidRPr="007568DF" w:rsidR="00C41E64" w:rsidP="00C41E64" w:rsidRDefault="00C41E64" w14:paraId="1C1A1302" w14:textId="479589DF">
      <w:r w:rsidRPr="007568DF">
        <w:t xml:space="preserve">P.L. </w:t>
      </w:r>
      <w:r>
        <w:t xml:space="preserve">116-260 of December 27, 2020, Consolidated Appropriations Act of 2021, directs the Department of Energy (DOE) Weatherization Assistance Program to </w:t>
      </w:r>
      <w:r w:rsidRPr="007568DF">
        <w:t>award financial assistance</w:t>
      </w:r>
      <w:r>
        <w:t xml:space="preserve"> </w:t>
      </w:r>
      <w:r w:rsidRPr="007568DF">
        <w:t xml:space="preserve">on an annual basis, </w:t>
      </w:r>
      <w:r w:rsidRPr="007568DF">
        <w:lastRenderedPageBreak/>
        <w:t>through a competitive process</w:t>
      </w:r>
      <w:r w:rsidR="00376774">
        <w:t>,</w:t>
      </w:r>
      <w:r w:rsidRPr="007568DF">
        <w:t xml:space="preserve"> </w:t>
      </w:r>
      <w:r>
        <w:t xml:space="preserve">for Weatherization Enhancement and Innovation (E&amp;I). Purposes of the E&amp;I awards include expanding the number of dwelling units made weatherization-ready, promoting the deployment of renewable energy, ensuring healthy indoor environments, disseminating new methods and best practices, and hiring and retaining individuals from underserved communities. The collection will allow DOE to meet the OMB requirement for grant reporting and financial administration, and support monitoring and evaluation of this program by including metrics on work completed in eligible low-income residences and the number of individuals hired and trained using E&amp;I grant funds. </w:t>
      </w:r>
    </w:p>
    <w:p w:rsidR="00CE7F7E" w:rsidP="00404996" w:rsidRDefault="00A244C3" w14:paraId="6696A5E5" w14:textId="76EC2A20">
      <w:pPr>
        <w:rPr>
          <w:b/>
          <w:bCs/>
          <w:i/>
          <w:iCs/>
        </w:rPr>
      </w:pPr>
      <w:r>
        <w:t>DOE</w:t>
      </w:r>
      <w:r w:rsidRPr="007568DF">
        <w:t xml:space="preserve"> is collecting similar household and energy information from Weatherization Assistance Program Grantees in collection </w:t>
      </w:r>
      <w:r>
        <w:t>OMB 1910-</w:t>
      </w:r>
      <w:r w:rsidR="0078391D">
        <w:t xml:space="preserve"> </w:t>
      </w:r>
      <w:r w:rsidRPr="007568DF">
        <w:t xml:space="preserve">. </w:t>
      </w:r>
      <w:r w:rsidRPr="007568DF" w:rsidR="00C41E64">
        <w:t xml:space="preserve">The E&amp;I grants </w:t>
      </w:r>
      <w:r w:rsidR="00C41E64">
        <w:t>will be awarded separately from the formula assistance awards and</w:t>
      </w:r>
      <w:r w:rsidRPr="007568DF" w:rsidR="00C41E64">
        <w:t xml:space="preserve"> </w:t>
      </w:r>
      <w:r w:rsidR="00C41E64">
        <w:t xml:space="preserve">be available to nonprofit entities in addition to current WAP Grantees and Subgrantees, so this collection form is needed for organizations new to the DOE PAGE reporting system. WAP Grantees also receiving E&amp;I awards will be instructed to not duplicate reporting, where applicable. The E&amp;I program includes </w:t>
      </w:r>
      <w:r w:rsidRPr="007568DF" w:rsidR="00C41E64">
        <w:t xml:space="preserve">new initiatives that require additional metrics related to home </w:t>
      </w:r>
      <w:r w:rsidR="00C41E64">
        <w:t xml:space="preserve">repairs, addressing health and safety hazards, and workforce development. In addition, the collection includes new metrics that allow for the measurement of benefits in underserved communities, in alignment with the Justice40 initiative (Executive Order 14008, OMB M21-28). </w:t>
      </w:r>
    </w:p>
    <w:p w:rsidRPr="000A1E20" w:rsidR="00C41E64" w:rsidP="00404996" w:rsidRDefault="00006E10" w14:paraId="6727079E" w14:textId="043B00B4">
      <w:pPr>
        <w:rPr>
          <w:b/>
          <w:bCs/>
          <w:i/>
          <w:iCs/>
        </w:rPr>
      </w:pPr>
      <w:r w:rsidRPr="000A1E20">
        <w:rPr>
          <w:b/>
          <w:bCs/>
          <w:i/>
          <w:iCs/>
        </w:rPr>
        <w:t>Sustainable Energy Resources for Consumers (SERC</w:t>
      </w:r>
      <w:r w:rsidRPr="000A1E20" w:rsidR="00513CEF">
        <w:rPr>
          <w:b/>
          <w:bCs/>
          <w:i/>
          <w:iCs/>
        </w:rPr>
        <w:t>) Grants</w:t>
      </w:r>
      <w:r w:rsidRPr="000A1E20">
        <w:rPr>
          <w:b/>
          <w:bCs/>
          <w:i/>
          <w:iCs/>
        </w:rPr>
        <w:t xml:space="preserve"> –</w:t>
      </w:r>
    </w:p>
    <w:p w:rsidRPr="0046131C" w:rsidR="00404996" w:rsidP="00404996" w:rsidRDefault="00CB338B" w14:paraId="4F8AA36B" w14:textId="45BEF936">
      <w:pPr>
        <w:rPr>
          <w:rFonts w:cstheme="minorHAnsi"/>
        </w:rPr>
      </w:pPr>
      <w:hyperlink w:history="1" r:id="rId12">
        <w:r w:rsidR="00404996">
          <w:rPr>
            <w:rStyle w:val="Hyperlink"/>
            <w:bCs/>
          </w:rPr>
          <w:t>42 USC 6872</w:t>
        </w:r>
      </w:hyperlink>
      <w:r w:rsidR="00404996">
        <w:rPr>
          <w:b/>
          <w:bCs/>
          <w:color w:val="32434F"/>
        </w:rPr>
        <w:t xml:space="preserve">: </w:t>
      </w:r>
      <w:r w:rsidRPr="00AE64BF" w:rsidR="00404996">
        <w:t>Authorization of appropriations &amp; SERC</w:t>
      </w:r>
      <w:r w:rsidR="00404996">
        <w:t xml:space="preserve"> – </w:t>
      </w:r>
      <w:hyperlink w:history="1" r:id="rId13">
        <w:r w:rsidR="00404996">
          <w:rPr>
            <w:rStyle w:val="Hyperlink"/>
          </w:rPr>
          <w:t>Weatherization Program Notice 21-2</w:t>
        </w:r>
      </w:hyperlink>
      <w:r w:rsidR="00404996">
        <w:t xml:space="preserve"> notes a total of $12.3 million has been set aside for SERC from the 2020 </w:t>
      </w:r>
      <w:r w:rsidRPr="0046131C" w:rsidR="00404996">
        <w:rPr>
          <w:rFonts w:cstheme="minorHAnsi"/>
        </w:rPr>
        <w:t>and 2021 appropriations.</w:t>
      </w:r>
    </w:p>
    <w:p w:rsidRPr="0046131C" w:rsidR="00404996" w:rsidP="00006E10" w:rsidRDefault="00CB338B" w14:paraId="28213B46" w14:textId="5C0AFDE4">
      <w:pPr>
        <w:pStyle w:val="note-body"/>
        <w:spacing w:before="0" w:beforeAutospacing="0" w:after="168" w:afterAutospacing="0"/>
        <w:ind w:firstLine="240"/>
        <w:rPr>
          <w:rFonts w:asciiTheme="minorHAnsi" w:hAnsiTheme="minorHAnsi" w:cstheme="minorHAnsi"/>
          <w:color w:val="000000"/>
        </w:rPr>
      </w:pPr>
      <w:hyperlink w:tgtFrame="_blank" w:history="1" r:id="rId14">
        <w:r w:rsidRPr="0046131C" w:rsidR="00404996">
          <w:rPr>
            <w:rStyle w:val="Hyperlink"/>
            <w:rFonts w:cstheme="minorHAnsi"/>
            <w:color w:val="0F0D61"/>
          </w:rPr>
          <w:t>Pub. L. 110–140, title IV, §411(b), Dec. 19, 2007, 121 Stat. 1600 </w:t>
        </w:r>
      </w:hyperlink>
      <w:r w:rsidRPr="0046131C" w:rsidR="00404996">
        <w:rPr>
          <w:rFonts w:asciiTheme="minorHAnsi" w:hAnsiTheme="minorHAnsi" w:cstheme="minorHAnsi"/>
          <w:color w:val="000000"/>
        </w:rPr>
        <w:t>, provided that:</w:t>
      </w:r>
    </w:p>
    <w:p w:rsidRPr="0046131C" w:rsidR="00404996" w:rsidP="00404996" w:rsidRDefault="00404996" w14:paraId="1DEBC705" w14:textId="77777777">
      <w:pPr>
        <w:pStyle w:val="note-body"/>
        <w:spacing w:before="0" w:beforeAutospacing="0" w:after="168" w:afterAutospacing="0"/>
        <w:ind w:firstLine="240"/>
        <w:rPr>
          <w:rFonts w:asciiTheme="minorHAnsi" w:hAnsiTheme="minorHAnsi" w:cstheme="minorHAnsi"/>
          <w:color w:val="000000"/>
        </w:rPr>
      </w:pPr>
      <w:r w:rsidRPr="0046131C">
        <w:rPr>
          <w:rFonts w:asciiTheme="minorHAnsi" w:hAnsiTheme="minorHAnsi" w:cstheme="minorHAnsi"/>
          <w:color w:val="000000"/>
        </w:rPr>
        <w:t>"(1) In general.-The Secretary [of Energy] may make funding available to local weatherization agencies from amounts authorized under the amendment made by subsection (a) [amending this section] to expand the weatherization assistance program for residential buildings to include materials, benefits, and renewable and domestic energy technologies not covered by the program (as of the date of enactment of this Act [Dec. 19, 2007]), if the State weatherization grantee certifies that the applicant has the capacity to carry out the proposed activities and that the grantee will include the project in the financial oversight of the grantee of the weatherization assistance program.</w:t>
      </w:r>
    </w:p>
    <w:p w:rsidRPr="0046131C" w:rsidR="00404996" w:rsidP="00404996" w:rsidRDefault="00404996" w14:paraId="793ED571" w14:textId="77777777">
      <w:pPr>
        <w:pStyle w:val="note-body"/>
        <w:spacing w:before="0" w:beforeAutospacing="0" w:after="168" w:afterAutospacing="0"/>
        <w:ind w:firstLine="240"/>
        <w:rPr>
          <w:rFonts w:asciiTheme="minorHAnsi" w:hAnsiTheme="minorHAnsi" w:cstheme="minorHAnsi"/>
          <w:color w:val="000000"/>
        </w:rPr>
      </w:pPr>
      <w:r w:rsidRPr="0046131C">
        <w:rPr>
          <w:rFonts w:asciiTheme="minorHAnsi" w:hAnsiTheme="minorHAnsi" w:cstheme="minorHAnsi"/>
          <w:color w:val="000000"/>
        </w:rPr>
        <w:t>"(2) </w:t>
      </w:r>
      <w:proofErr w:type="gramStart"/>
      <w:r w:rsidRPr="0046131C">
        <w:rPr>
          <w:rFonts w:asciiTheme="minorHAnsi" w:hAnsiTheme="minorHAnsi" w:cstheme="minorHAnsi"/>
          <w:color w:val="000000"/>
        </w:rPr>
        <w:t>Priority.-</w:t>
      </w:r>
      <w:proofErr w:type="gramEnd"/>
      <w:r w:rsidRPr="0046131C">
        <w:rPr>
          <w:rFonts w:asciiTheme="minorHAnsi" w:hAnsiTheme="minorHAnsi" w:cstheme="minorHAnsi"/>
          <w:color w:val="000000"/>
        </w:rPr>
        <w:t>In selecting grant recipients under this subsection, the Secretary shall give priority to-</w:t>
      </w:r>
    </w:p>
    <w:p w:rsidRPr="0046131C" w:rsidR="00404996" w:rsidP="00404996" w:rsidRDefault="00404996" w14:paraId="7A8F4CF4" w14:textId="77777777">
      <w:pPr>
        <w:pStyle w:val="note-body-1em"/>
        <w:spacing w:before="0" w:beforeAutospacing="0" w:after="168" w:afterAutospacing="0"/>
        <w:ind w:left="240" w:firstLine="480"/>
        <w:rPr>
          <w:rFonts w:asciiTheme="minorHAnsi" w:hAnsiTheme="minorHAnsi" w:cstheme="minorHAnsi"/>
          <w:color w:val="000000"/>
        </w:rPr>
      </w:pPr>
      <w:r w:rsidRPr="0046131C">
        <w:rPr>
          <w:rFonts w:asciiTheme="minorHAnsi" w:hAnsiTheme="minorHAnsi" w:cstheme="minorHAnsi"/>
          <w:color w:val="000000"/>
        </w:rPr>
        <w:t xml:space="preserve">"(A) the expected effectiveness and benefits of the proposed project to low- and moderate-income energy </w:t>
      </w:r>
      <w:proofErr w:type="gramStart"/>
      <w:r w:rsidRPr="0046131C">
        <w:rPr>
          <w:rFonts w:asciiTheme="minorHAnsi" w:hAnsiTheme="minorHAnsi" w:cstheme="minorHAnsi"/>
          <w:color w:val="000000"/>
        </w:rPr>
        <w:t>consumers;</w:t>
      </w:r>
      <w:proofErr w:type="gramEnd"/>
    </w:p>
    <w:p w:rsidRPr="0046131C" w:rsidR="00404996" w:rsidP="00404996" w:rsidRDefault="00404996" w14:paraId="6688250C" w14:textId="77777777">
      <w:pPr>
        <w:pStyle w:val="note-body-1em"/>
        <w:spacing w:before="0" w:beforeAutospacing="0" w:after="168" w:afterAutospacing="0"/>
        <w:ind w:left="240" w:firstLine="480"/>
        <w:rPr>
          <w:rFonts w:asciiTheme="minorHAnsi" w:hAnsiTheme="minorHAnsi" w:cstheme="minorHAnsi"/>
          <w:color w:val="000000"/>
        </w:rPr>
      </w:pPr>
      <w:r w:rsidRPr="0046131C">
        <w:rPr>
          <w:rFonts w:asciiTheme="minorHAnsi" w:hAnsiTheme="minorHAnsi" w:cstheme="minorHAnsi"/>
          <w:color w:val="000000"/>
        </w:rPr>
        <w:t xml:space="preserve">"(B) the potential for replication of successful </w:t>
      </w:r>
      <w:proofErr w:type="gramStart"/>
      <w:r w:rsidRPr="0046131C">
        <w:rPr>
          <w:rFonts w:asciiTheme="minorHAnsi" w:hAnsiTheme="minorHAnsi" w:cstheme="minorHAnsi"/>
          <w:color w:val="000000"/>
        </w:rPr>
        <w:t>results;</w:t>
      </w:r>
      <w:proofErr w:type="gramEnd"/>
    </w:p>
    <w:p w:rsidRPr="0046131C" w:rsidR="00404996" w:rsidP="00404996" w:rsidRDefault="00404996" w14:paraId="100239AB" w14:textId="77777777">
      <w:pPr>
        <w:pStyle w:val="note-body-1em"/>
        <w:spacing w:before="0" w:beforeAutospacing="0" w:after="168" w:afterAutospacing="0"/>
        <w:ind w:left="240" w:firstLine="480"/>
        <w:rPr>
          <w:rFonts w:asciiTheme="minorHAnsi" w:hAnsiTheme="minorHAnsi" w:cstheme="minorHAnsi"/>
          <w:color w:val="000000"/>
        </w:rPr>
      </w:pPr>
      <w:r w:rsidRPr="0046131C">
        <w:rPr>
          <w:rFonts w:asciiTheme="minorHAnsi" w:hAnsiTheme="minorHAnsi" w:cstheme="minorHAnsi"/>
          <w:color w:val="000000"/>
        </w:rPr>
        <w:t>"(C) the impact on the health and safety and energy costs of consumers served; and</w:t>
      </w:r>
    </w:p>
    <w:p w:rsidRPr="0046131C" w:rsidR="00404996" w:rsidP="00404996" w:rsidRDefault="00404996" w14:paraId="406B15B6" w14:textId="77777777">
      <w:pPr>
        <w:pStyle w:val="note-body-1em"/>
        <w:spacing w:before="0" w:beforeAutospacing="0" w:after="168" w:afterAutospacing="0"/>
        <w:ind w:left="240" w:firstLine="480"/>
        <w:rPr>
          <w:rFonts w:asciiTheme="minorHAnsi" w:hAnsiTheme="minorHAnsi" w:cstheme="minorHAnsi"/>
          <w:color w:val="000000"/>
        </w:rPr>
      </w:pPr>
      <w:r w:rsidRPr="0046131C">
        <w:rPr>
          <w:rFonts w:asciiTheme="minorHAnsi" w:hAnsiTheme="minorHAnsi" w:cstheme="minorHAnsi"/>
          <w:color w:val="000000"/>
        </w:rPr>
        <w:t>"(D) the extent of partnerships with other public and private entities that contribute to the resources and implementation of the program, including financial partnerships.</w:t>
      </w:r>
    </w:p>
    <w:p w:rsidRPr="0046131C" w:rsidR="00404996" w:rsidP="00404996" w:rsidRDefault="00404996" w14:paraId="672CB09F" w14:textId="77777777">
      <w:pPr>
        <w:pStyle w:val="note-body"/>
        <w:spacing w:before="0" w:beforeAutospacing="0" w:after="168" w:afterAutospacing="0"/>
        <w:ind w:firstLine="240"/>
        <w:rPr>
          <w:rFonts w:asciiTheme="minorHAnsi" w:hAnsiTheme="minorHAnsi" w:cstheme="minorHAnsi"/>
          <w:color w:val="000000"/>
        </w:rPr>
      </w:pPr>
      <w:r w:rsidRPr="0046131C">
        <w:rPr>
          <w:rFonts w:asciiTheme="minorHAnsi" w:hAnsiTheme="minorHAnsi" w:cstheme="minorHAnsi"/>
          <w:color w:val="000000"/>
        </w:rPr>
        <w:t>"(3) </w:t>
      </w:r>
      <w:proofErr w:type="gramStart"/>
      <w:r w:rsidRPr="0046131C">
        <w:rPr>
          <w:rFonts w:asciiTheme="minorHAnsi" w:hAnsiTheme="minorHAnsi" w:cstheme="minorHAnsi"/>
          <w:color w:val="000000"/>
        </w:rPr>
        <w:t>Funding.-</w:t>
      </w:r>
      <w:proofErr w:type="gramEnd"/>
    </w:p>
    <w:p w:rsidRPr="0046131C" w:rsidR="00404996" w:rsidP="00404996" w:rsidRDefault="00404996" w14:paraId="3880A4DF" w14:textId="77777777">
      <w:pPr>
        <w:pStyle w:val="note-body-1em"/>
        <w:spacing w:before="0" w:beforeAutospacing="0" w:after="168" w:afterAutospacing="0"/>
        <w:ind w:left="240" w:firstLine="480"/>
        <w:rPr>
          <w:rFonts w:asciiTheme="minorHAnsi" w:hAnsiTheme="minorHAnsi" w:cstheme="minorHAnsi"/>
          <w:color w:val="000000"/>
        </w:rPr>
      </w:pPr>
      <w:r w:rsidRPr="0046131C">
        <w:rPr>
          <w:rFonts w:asciiTheme="minorHAnsi" w:hAnsiTheme="minorHAnsi" w:cstheme="minorHAnsi"/>
          <w:color w:val="000000"/>
        </w:rPr>
        <w:t xml:space="preserve">"(A) In </w:t>
      </w:r>
      <w:proofErr w:type="gramStart"/>
      <w:r w:rsidRPr="0046131C">
        <w:rPr>
          <w:rFonts w:asciiTheme="minorHAnsi" w:hAnsiTheme="minorHAnsi" w:cstheme="minorHAnsi"/>
          <w:color w:val="000000"/>
        </w:rPr>
        <w:t>general.-</w:t>
      </w:r>
      <w:proofErr w:type="gramEnd"/>
      <w:r w:rsidRPr="0046131C">
        <w:rPr>
          <w:rFonts w:asciiTheme="minorHAnsi" w:hAnsiTheme="minorHAnsi" w:cstheme="minorHAnsi"/>
          <w:color w:val="000000"/>
        </w:rPr>
        <w:t>Except as provided in paragraph (2), the amount of funds used for projects described in paragraph (1) may equal up to 2 percent of the amount of funds made available for any fiscal year under section 422 of the Energy Conservation and Production Act (</w:t>
      </w:r>
      <w:r w:rsidRPr="0046131C">
        <w:rPr>
          <w:rStyle w:val="stdref"/>
          <w:rFonts w:asciiTheme="minorHAnsi" w:hAnsiTheme="minorHAnsi" w:cstheme="minorHAnsi"/>
          <w:color w:val="0F0D61"/>
        </w:rPr>
        <w:t>42 U.S.C. 6872</w:t>
      </w:r>
      <w:r w:rsidRPr="0046131C">
        <w:rPr>
          <w:rFonts w:asciiTheme="minorHAnsi" w:hAnsiTheme="minorHAnsi" w:cstheme="minorHAnsi"/>
          <w:color w:val="000000"/>
        </w:rPr>
        <w:t>).</w:t>
      </w:r>
    </w:p>
    <w:p w:rsidR="00006E10" w:rsidP="00006E10" w:rsidRDefault="00404996" w14:paraId="505C23A4" w14:textId="77777777">
      <w:pPr>
        <w:pStyle w:val="note-body-1em"/>
        <w:spacing w:before="0" w:beforeAutospacing="0" w:after="168" w:afterAutospacing="0"/>
        <w:ind w:left="240" w:firstLine="480"/>
        <w:rPr>
          <w:rFonts w:asciiTheme="minorHAnsi" w:hAnsiTheme="minorHAnsi" w:cstheme="minorHAnsi"/>
          <w:color w:val="000000"/>
        </w:rPr>
      </w:pPr>
      <w:r w:rsidRPr="0046131C">
        <w:rPr>
          <w:rFonts w:asciiTheme="minorHAnsi" w:hAnsiTheme="minorHAnsi" w:cstheme="minorHAnsi"/>
          <w:color w:val="000000"/>
        </w:rPr>
        <w:lastRenderedPageBreak/>
        <w:t>"(B) </w:t>
      </w:r>
      <w:proofErr w:type="gramStart"/>
      <w:r w:rsidRPr="0046131C">
        <w:rPr>
          <w:rFonts w:asciiTheme="minorHAnsi" w:hAnsiTheme="minorHAnsi" w:cstheme="minorHAnsi"/>
          <w:color w:val="000000"/>
        </w:rPr>
        <w:t>Exception.-</w:t>
      </w:r>
      <w:proofErr w:type="gramEnd"/>
      <w:r w:rsidRPr="0046131C">
        <w:rPr>
          <w:rFonts w:asciiTheme="minorHAnsi" w:hAnsiTheme="minorHAnsi" w:cstheme="minorHAnsi"/>
          <w:color w:val="000000"/>
        </w:rPr>
        <w:t>No funds may be used for sustainable energy resources for consumers grants for a fiscal year under this subsection if the amount of funds made available for the fiscal year to carry out the Weatherization Assistance Program for Low-Income Persons established under part A of title IV of the Energy Conservation and Production Act (</w:t>
      </w:r>
      <w:r w:rsidRPr="0046131C">
        <w:rPr>
          <w:rStyle w:val="stdref"/>
          <w:rFonts w:asciiTheme="minorHAnsi" w:hAnsiTheme="minorHAnsi" w:cstheme="minorHAnsi"/>
          <w:color w:val="0F0D61"/>
        </w:rPr>
        <w:t>42 U.S.C. 6861 et seq.</w:t>
      </w:r>
      <w:r w:rsidRPr="0046131C">
        <w:rPr>
          <w:rFonts w:asciiTheme="minorHAnsi" w:hAnsiTheme="minorHAnsi" w:cstheme="minorHAnsi"/>
          <w:color w:val="000000"/>
        </w:rPr>
        <w:t>) is less than $275,000,000.</w:t>
      </w:r>
    </w:p>
    <w:p w:rsidRPr="000A1E20" w:rsidR="00C41E64" w:rsidP="00006E10" w:rsidRDefault="00006E10" w14:paraId="62A5D8DB" w14:textId="7F0A3F0D">
      <w:pPr>
        <w:pStyle w:val="note-body-1em"/>
        <w:spacing w:before="0" w:beforeAutospacing="0" w:after="168" w:afterAutospacing="0"/>
        <w:rPr>
          <w:rFonts w:asciiTheme="minorHAnsi" w:hAnsiTheme="minorHAnsi" w:cstheme="minorHAnsi"/>
          <w:b/>
          <w:bCs/>
          <w:color w:val="000000"/>
        </w:rPr>
      </w:pPr>
      <w:r w:rsidRPr="000A1E20">
        <w:rPr>
          <w:b/>
          <w:bCs/>
          <w:i/>
          <w:iCs/>
        </w:rPr>
        <w:t xml:space="preserve">Community-scale Weatherization </w:t>
      </w:r>
      <w:r w:rsidRPr="000A1E20" w:rsidR="00C10DD3">
        <w:rPr>
          <w:b/>
          <w:bCs/>
          <w:i/>
          <w:iCs/>
        </w:rPr>
        <w:t>Pilot</w:t>
      </w:r>
      <w:r w:rsidRPr="000A1E20">
        <w:rPr>
          <w:b/>
          <w:bCs/>
          <w:i/>
          <w:iCs/>
        </w:rPr>
        <w:t>-</w:t>
      </w:r>
    </w:p>
    <w:p w:rsidR="00C41E64" w:rsidP="00C41E64" w:rsidRDefault="00C41E64" w14:paraId="1C47D89B" w14:textId="568DE0F5">
      <w:pPr>
        <w:rPr>
          <w:rFonts w:ascii="Calibri" w:hAnsi="Calibri" w:cs="Calibri"/>
          <w:b/>
          <w:bCs/>
          <w:color w:val="32434F"/>
        </w:rPr>
      </w:pPr>
      <w:r w:rsidRPr="00AE64BF">
        <w:t>FY21 Appropriations:</w:t>
      </w:r>
      <w:r>
        <w:rPr>
          <w:b/>
          <w:bCs/>
        </w:rPr>
        <w:t xml:space="preserve"> - </w:t>
      </w:r>
      <w:r>
        <w:t>$1.5 million will be available per</w:t>
      </w:r>
      <w:r>
        <w:rPr>
          <w:b/>
          <w:bCs/>
        </w:rPr>
        <w:t xml:space="preserve"> </w:t>
      </w:r>
      <w:hyperlink w:history="1" r:id="rId15">
        <w:r>
          <w:rPr>
            <w:rStyle w:val="Hyperlink"/>
          </w:rPr>
          <w:t>Weatherization Memorandum 077</w:t>
        </w:r>
      </w:hyperlink>
    </w:p>
    <w:p w:rsidRPr="001304D5" w:rsidR="001304D5" w:rsidP="001304D5" w:rsidRDefault="001304D5" w14:paraId="78C8F6A3" w14:textId="1016163D">
      <w:pPr>
        <w:spacing w:before="240" w:after="0" w:line="240" w:lineRule="auto"/>
        <w:rPr>
          <w:rFonts w:eastAsia="Times New Roman" w:cs="Times New Roman"/>
          <w:bCs/>
        </w:rPr>
      </w:pPr>
      <w:r w:rsidRPr="001304D5">
        <w:rPr>
          <w:color w:val="32434F"/>
        </w:rPr>
        <w:t xml:space="preserve">From </w:t>
      </w:r>
      <w:r w:rsidRPr="001304D5">
        <w:rPr>
          <w:rFonts w:eastAsia="Times New Roman" w:cs="Times New Roman"/>
          <w:bCs/>
        </w:rPr>
        <w:t>P.L. 116-260 section appropriating funds to WAP for Pilot Community Scale Projects</w:t>
      </w:r>
      <w:r w:rsidR="007E1818">
        <w:rPr>
          <w:rFonts w:eastAsia="Times New Roman" w:cs="Times New Roman"/>
          <w:bCs/>
        </w:rPr>
        <w:t>:</w:t>
      </w:r>
    </w:p>
    <w:p w:rsidR="00C41E64" w:rsidP="00C41E64" w:rsidRDefault="00C41E64" w14:paraId="349F922C" w14:textId="544AC2C5">
      <w:r>
        <w:t>The recommendation provides $1,500,000 within funds for technical assistance to create a pilot that supports community and neighborhood scale weatherization, including the feasibility of integrating renewable and alternative energy infrastructure. These funds shall be made available to grantees that present targeted and innovative use of these funds to model methods for weatherization integration with various other programs including but not limited to the HOME Investment Partnership Program, Low Income Home Energy Assistance Program, and programs at the U.S. Department of Veterans Affairs. The Department shall regularly brief the Committee on progress to implement this pilot project, beginning not later than 90 days after enactment of this Act. (House pg. 109-110; Conference pg. 114).</w:t>
      </w:r>
    </w:p>
    <w:p w:rsidRPr="00CE7F7E" w:rsidR="00CE7F7E" w:rsidP="00CE7F7E" w:rsidRDefault="00CE7F7E" w14:paraId="3843C7DB" w14:textId="6E93946E">
      <w:pPr>
        <w:rPr>
          <w:b/>
          <w:i/>
          <w:color w:val="000000"/>
        </w:rPr>
      </w:pPr>
      <w:r w:rsidRPr="00CE7F7E">
        <w:rPr>
          <w:b/>
          <w:i/>
          <w:color w:val="000000"/>
        </w:rPr>
        <w:t>Memorandums:</w:t>
      </w:r>
    </w:p>
    <w:p w:rsidR="00CE7F7E" w:rsidP="00CE7F7E" w:rsidRDefault="00CE7F7E" w14:paraId="0FA35057" w14:textId="77777777">
      <w:r>
        <w:rPr>
          <w:bCs/>
          <w:iCs/>
          <w:color w:val="000000"/>
        </w:rPr>
        <w:t>On January 21, 2021, DOE published Weatherization Program Notice 21-2 for Program Year 2021 Grantee Allocations that states “</w:t>
      </w:r>
      <w:r>
        <w:t xml:space="preserve">At this appropriation level, the Energy Independence and Security Act of 2007 (EISA) authorizes the Secretary of Energy to make funding available for Sustainable Energy Resources for Consumers (SERC) Grants. DOE will reduce the amount being distributed to the Grantees by $6,200,000 for Fiscal Year (FY) 2021. This is in addition to the $6,100,000 set aside in FY 2020. DOE will send out instructions on SERC funding opportunity under a separate memo. Once the Secretary determines how much, if any, will be distributed under SERC, any remaining funds not used for SERC will be distributed through formula.” </w:t>
      </w:r>
    </w:p>
    <w:p w:rsidR="00CE7F7E" w:rsidP="00CE7F7E" w:rsidRDefault="00CE7F7E" w14:paraId="1B56FC3F" w14:textId="77777777">
      <w:pPr>
        <w:rPr>
          <w:bCs/>
          <w:iCs/>
          <w:color w:val="000000"/>
        </w:rPr>
      </w:pPr>
      <w:r>
        <w:rPr>
          <w:bCs/>
          <w:iCs/>
          <w:color w:val="000000"/>
        </w:rPr>
        <w:t>On June 1, 2021, DOE published WAP Memorandum 077 for a “</w:t>
      </w:r>
      <w:r w:rsidRPr="007C0B74">
        <w:rPr>
          <w:bCs/>
          <w:iCs/>
          <w:color w:val="000000"/>
        </w:rPr>
        <w:t>Pilot Project Opportunity: Community Scale Projects in the Weatherization Assistance</w:t>
      </w:r>
      <w:r>
        <w:rPr>
          <w:bCs/>
          <w:iCs/>
          <w:color w:val="000000"/>
        </w:rPr>
        <w:t xml:space="preserve"> Program” (DOE Form 1325.8)</w:t>
      </w:r>
    </w:p>
    <w:p w:rsidR="00CE7F7E" w:rsidP="00CE7F7E" w:rsidRDefault="00CE7F7E" w14:paraId="7BF5EBA3" w14:textId="5EE8F63D">
      <w:pPr>
        <w:rPr>
          <w:bCs/>
          <w:iCs/>
          <w:color w:val="000000"/>
        </w:rPr>
      </w:pPr>
      <w:r>
        <w:rPr>
          <w:bCs/>
          <w:iCs/>
          <w:color w:val="000000"/>
        </w:rPr>
        <w:t>On December 15, 2021, DOE published WAP Memorandum 084 for a “WAP Sustainable Energy Resources for Consumers (SERC) Grant Application” (DOE Form 1325.8)</w:t>
      </w:r>
    </w:p>
    <w:p w:rsidR="00954EE9" w:rsidP="00F00C23" w:rsidRDefault="00954EE9" w14:paraId="7ACF4F19" w14:textId="77777777">
      <w:pPr>
        <w:pStyle w:val="Heading2"/>
      </w:pPr>
      <w:bookmarkStart w:name="_Toc16271320" w:id="3"/>
      <w:r>
        <w:t>A.2. Needs and Uses of Data</w:t>
      </w:r>
      <w:bookmarkEnd w:id="3"/>
    </w:p>
    <w:p w:rsidRPr="00A41763" w:rsidR="00954EE9" w:rsidP="00954EE9" w:rsidRDefault="00954EE9" w14:paraId="7E1A79A0" w14:textId="77777777">
      <w:r w:rsidRPr="00A41763">
        <w:rPr>
          <w:b/>
          <w:bCs/>
        </w:rPr>
        <w:t xml:space="preserve">Indicate how, by whom, and for what purpose the information is to be used. Except for a new collection, indicate the actual use the agency has made of the information received from the current collection </w:t>
      </w:r>
    </w:p>
    <w:p w:rsidR="00670AF2" w:rsidP="00670AF2" w:rsidRDefault="00F9010B" w14:paraId="517B563C" w14:textId="01AC902A">
      <w:r>
        <w:t xml:space="preserve">All information collection proposed under these programs is necessary for their implementation, and thus necessary for the function of the </w:t>
      </w:r>
      <w:r w:rsidR="00FD50B7">
        <w:t>agency</w:t>
      </w:r>
      <w:r>
        <w:t xml:space="preserve">. </w:t>
      </w:r>
      <w:r w:rsidR="00670AF2">
        <w:t xml:space="preserve">The information collected will be used by program staff to track the recipients’ </w:t>
      </w:r>
      <w:r w:rsidR="00032AE6">
        <w:t xml:space="preserve">E&amp;I, </w:t>
      </w:r>
      <w:r w:rsidR="00670AF2">
        <w:t>SERC</w:t>
      </w:r>
      <w:r w:rsidR="00032AE6">
        <w:t>,</w:t>
      </w:r>
      <w:r w:rsidR="00670AF2">
        <w:t xml:space="preserve"> and C</w:t>
      </w:r>
      <w:r w:rsidR="00042A5B">
        <w:t>SPP</w:t>
      </w:r>
      <w:r w:rsidR="00670AF2">
        <w:t xml:space="preserve"> activities, their progress in achieving scheduled milestones, and funds expended (including expenditure rates). The information also enables program staff to provide required or requested information on program activities to OMB, </w:t>
      </w:r>
      <w:r w:rsidR="009E7551">
        <w:t>Congress,</w:t>
      </w:r>
      <w:r w:rsidR="00670AF2">
        <w:t xml:space="preserve"> and the public.</w:t>
      </w:r>
    </w:p>
    <w:p w:rsidRPr="001618C4" w:rsidR="00671233" w:rsidP="00671233" w:rsidRDefault="00671233" w14:paraId="7A60C257" w14:textId="77777777">
      <w:r w:rsidRPr="001618C4">
        <w:lastRenderedPageBreak/>
        <w:t xml:space="preserve">Proposed collection instruments are attached to this supporting statement and will be incorporated in the Performance and Accountability for Grants in Energy (PAGE) system. PAGE is a tool developed by the DOE Energy Efficiency and Renewable Energy Office of Weatherization and Intergovernmental Programs. The secured website provides DOE and grantees, including state and local governments, nonprofits organizations, and tribal organizations, with the ability to electronically submit and manage grant performance and financial information. DOE project and contract officers will utilize the information provide by grantees for regular monitoring activities to ensure federal funds are used efficiently, effectively and in compliance with federal rules and guidance.  </w:t>
      </w:r>
    </w:p>
    <w:p w:rsidRPr="00A66860" w:rsidR="00671233" w:rsidP="00671233" w:rsidRDefault="00671233" w14:paraId="6D0C8E98" w14:textId="77777777">
      <w:r w:rsidRPr="001618C4">
        <w:t>The proposed data collection instruments have three purposes: 1) provide information to Congress and other stakeholders to ensure federal funds are being used efficiently and demonstrate the program is meeting statutory intent; 2) collect data for analysis of program outcomes and to inform future innovations in the Weatherization Assistance Program; 3) align metrics with the Justice40 Initiative and enable measurement of benefits delivered to disadvantaged communities, per OMB Memorandum 21-28.</w:t>
      </w:r>
    </w:p>
    <w:p w:rsidRPr="001618C4" w:rsidR="00841252" w:rsidP="00841252" w:rsidRDefault="00841252" w14:paraId="4A9792AB" w14:textId="77777777">
      <w:r w:rsidRPr="00FC2223">
        <w:rPr>
          <w:b/>
          <w:bCs/>
        </w:rPr>
        <w:t>E&amp;I:</w:t>
      </w:r>
      <w:r>
        <w:t xml:space="preserve"> </w:t>
      </w:r>
      <w:r w:rsidRPr="001618C4">
        <w:t xml:space="preserve">Although E&amp;I is a new program, it will utilize many of the same reporting forms and metrics as the formula-grant weatherization program. This is important for consistency in evaluation of outcomes across all DOE-funded grants serving low-income households, and because E&amp;I Grantees are expected to coordinate services with WAP Subgrantees to ensure each home receiving E&amp;I-funded improvements also receives a cost-effective energy retrofit. Forms in the proposed E&amp;I collection are detailed below. </w:t>
      </w:r>
    </w:p>
    <w:p w:rsidRPr="001618C4" w:rsidR="00841252" w:rsidP="00841252" w:rsidRDefault="00841252" w14:paraId="33E294AC" w14:textId="77777777">
      <w:pPr>
        <w:pStyle w:val="ListParagraph"/>
      </w:pPr>
      <w:r w:rsidRPr="001618C4">
        <w:rPr>
          <w:b/>
          <w:bCs/>
        </w:rPr>
        <w:t>Grant File</w:t>
      </w:r>
      <w:r w:rsidRPr="001618C4">
        <w:t xml:space="preserve">: Completed by the E&amp;I Grantee, this form is used to enter key information about the award in PAGE which will determine performance measures and reporting requirements (e.g., the planned activities, contractors working with the Grantee, production and workforce goals). This form is completed one time at the beginning of the 3-year performance period and must be approved by the DOE Project Officer prior to the release of funds. </w:t>
      </w:r>
    </w:p>
    <w:p w:rsidRPr="001618C4" w:rsidR="00841252" w:rsidP="00841252" w:rsidRDefault="00841252" w14:paraId="166E4934" w14:textId="77777777">
      <w:pPr>
        <w:pStyle w:val="ListParagraph"/>
      </w:pPr>
      <w:r w:rsidRPr="001618C4">
        <w:rPr>
          <w:b/>
          <w:bCs/>
        </w:rPr>
        <w:t>Quarterly Performance Report (QPR)</w:t>
      </w:r>
      <w:r w:rsidRPr="001618C4">
        <w:t>: Completed by the E&amp;I Grantee quarterly, this form is the primary vehicle used to collect data on grant expenditures and performance metrics. The outlay and grant production sections mirror the metrics in the WAP formula award QPR, which will enable evaluation and comparison of program outcomes. Section III. E&amp;I Metrics is a new collection designed to regularly evaluate whether the grant activities are on pace to meet performance goals. Grantees will be required to provide data only for the metrics applicable to their award topic area and activities. The following metrics have been added in response to the Justice40 Initiative: Outlays in Underserved Communities; Units by Level of Household Income; Clean Energy – Total Installed Capacity in Underserved Communities; Energy Burden. The DOE Project Officer must review and approve the QPR as part of regular quality assurance monitoring.</w:t>
      </w:r>
    </w:p>
    <w:p w:rsidRPr="001618C4" w:rsidR="00841252" w:rsidP="00841252" w:rsidRDefault="00841252" w14:paraId="1FFB04A4" w14:textId="77777777">
      <w:pPr>
        <w:pStyle w:val="ListParagraph"/>
      </w:pPr>
      <w:r w:rsidRPr="001618C4">
        <w:rPr>
          <w:b/>
          <w:bCs/>
        </w:rPr>
        <w:t>Annual Report</w:t>
      </w:r>
      <w:r w:rsidRPr="001618C4">
        <w:t xml:space="preserve">: Completed by the Grantee within 90 days of the end of each year during the period of performance, or three reports for each E&amp;I award. This is a narrative report that is intended to provide more detailed updates on grant performance and progress toward project objectives and milestones, and program priorities such as leveraging, monitoring and evaluation activities, Diversity, Equity and Inclusion and the Justice40 Initiative. The DOE Project Officer must review and approve this report each year. In addition, the DOE Program Manager will </w:t>
      </w:r>
      <w:r w:rsidRPr="001618C4">
        <w:lastRenderedPageBreak/>
        <w:t xml:space="preserve">utilize the information collected in this report to share lessons learned with the Weatherization Assistance Program network, identify needed training and technical assistance for E&amp;I Grantees, and modify future funding opportunity announcements. </w:t>
      </w:r>
    </w:p>
    <w:p w:rsidRPr="00FC2223" w:rsidR="00671233" w:rsidP="00671233" w:rsidRDefault="00671233" w14:paraId="15C75B53" w14:textId="5D4ACC0C">
      <w:pPr>
        <w:rPr>
          <w:b/>
          <w:bCs/>
        </w:rPr>
      </w:pPr>
      <w:r w:rsidRPr="00FC2223">
        <w:rPr>
          <w:b/>
          <w:bCs/>
        </w:rPr>
        <w:t>SERC</w:t>
      </w:r>
      <w:r w:rsidRPr="00FC2223" w:rsidR="00FC2223">
        <w:rPr>
          <w:b/>
          <w:bCs/>
        </w:rPr>
        <w:t>:</w:t>
      </w:r>
    </w:p>
    <w:p w:rsidR="00671233" w:rsidP="00671233" w:rsidRDefault="00671233" w14:paraId="19C12358" w14:textId="3534FA4F">
      <w:pPr>
        <w:pStyle w:val="ListParagraph"/>
      </w:pPr>
      <w:r w:rsidRPr="00671233">
        <w:rPr>
          <w:b/>
          <w:bCs/>
        </w:rPr>
        <w:t>Quarterly Program Report:</w:t>
      </w:r>
      <w:r>
        <w:t xml:space="preserve"> </w:t>
      </w:r>
      <w:r w:rsidRPr="001618C4">
        <w:t xml:space="preserve">Completed by the </w:t>
      </w:r>
      <w:r w:rsidR="00FC2223">
        <w:t>SERC</w:t>
      </w:r>
      <w:r w:rsidRPr="001618C4">
        <w:t xml:space="preserve"> Grantee quarterly, this form is the primary vehicle used to collect data on grant expenditures and performance metrics. The outlay and grant production sections mirror the metrics in the WAP formula award QPR, which will enable evaluation and comparison of program outcomes. Grantees will be required to provide data only for the metrics applicable to their award topic area and activities. The following metrics have been added in response to the Justice40 Initiative: Outlays in Underserved Communities; Units by Level of Household Income; Clean Energy – Total Installed Capacity in Underserved Communities; Energy Burden. The DOE Project Officer must review and approve the QPR as part of regular quality assurance monitoring.</w:t>
      </w:r>
    </w:p>
    <w:p w:rsidRPr="00671233" w:rsidR="00671233" w:rsidP="00671233" w:rsidRDefault="00671233" w14:paraId="2175A430" w14:textId="1E4D703D">
      <w:pPr>
        <w:pStyle w:val="ListParagraph"/>
      </w:pPr>
      <w:r w:rsidRPr="00B931D9">
        <w:rPr>
          <w:b/>
          <w:bCs/>
        </w:rPr>
        <w:t>Annual File Worksheet:</w:t>
      </w:r>
      <w:r w:rsidRPr="00671233">
        <w:t xml:space="preserve"> </w:t>
      </w:r>
      <w:r w:rsidR="00B931D9">
        <w:t xml:space="preserve">Completed by the SERC Grantee annually, this form allows the Grantee to outline which sub-grantees are receiving SERC funds, how much funding they will be receiving, and the units that will be completed by the sub-grantee with the funding received. This form also allows for </w:t>
      </w:r>
      <w:r w:rsidR="00A21148">
        <w:t>the tracking of other general details around Grantees’ activities, training, and collection methods.</w:t>
      </w:r>
      <w:r w:rsidR="00B931D9">
        <w:t xml:space="preserve"> </w:t>
      </w:r>
      <w:r w:rsidR="00A21148">
        <w:t>This allows DOE to compare and evaluate program outcomes using the granular annual data presented by Grantees.</w:t>
      </w:r>
    </w:p>
    <w:p w:rsidRPr="0021137E" w:rsidR="00671233" w:rsidP="00671233" w:rsidRDefault="00671233" w14:paraId="39288846" w14:textId="7F84CA6F">
      <w:pPr>
        <w:pStyle w:val="ListParagraph"/>
        <w:numPr>
          <w:ilvl w:val="1"/>
          <w:numId w:val="3"/>
        </w:numPr>
      </w:pPr>
      <w:r w:rsidRPr="00AA2ACF">
        <w:rPr>
          <w:b/>
          <w:bCs/>
        </w:rPr>
        <w:t>Combined Monitoring, Technical Assistance and Leveraging Report</w:t>
      </w:r>
      <w:r w:rsidR="00FC2223">
        <w:t>:</w:t>
      </w:r>
      <w:r w:rsidR="00AA2ACF">
        <w:t xml:space="preserve"> This report is </w:t>
      </w:r>
      <w:r w:rsidRPr="001618C4" w:rsidR="00AA2ACF">
        <w:t xml:space="preserve">intended to provide more detailed updates on grant performance and progress toward project objectives and milestones, and program priorities </w:t>
      </w:r>
      <w:r w:rsidR="00AA2ACF">
        <w:t xml:space="preserve">of T&amp;TA, </w:t>
      </w:r>
      <w:r w:rsidRPr="001618C4" w:rsidR="00AA2ACF">
        <w:t>leveraging, monitoring and evaluation activities</w:t>
      </w:r>
      <w:r w:rsidR="00AA2ACF">
        <w:t xml:space="preserve">. </w:t>
      </w:r>
      <w:r w:rsidRPr="001618C4" w:rsidR="00AA2ACF">
        <w:t xml:space="preserve">The DOE Project Officer must review and approve this report each year. In addition, the DOE Program Manager will utilize the information collected in this report to share lessons learned with the Weatherization Assistance Program network, identify needed training and technical assistance for </w:t>
      </w:r>
      <w:r w:rsidR="00AA2ACF">
        <w:t xml:space="preserve">SERC </w:t>
      </w:r>
      <w:r w:rsidRPr="001618C4" w:rsidR="00AA2ACF">
        <w:t>Grantees, and modify future funding opportunity announcements.</w:t>
      </w:r>
    </w:p>
    <w:p w:rsidRPr="00FC2223" w:rsidR="00671233" w:rsidP="00671233" w:rsidRDefault="00671233" w14:paraId="1C074D9B" w14:textId="5289638C">
      <w:pPr>
        <w:rPr>
          <w:b/>
          <w:bCs/>
        </w:rPr>
      </w:pPr>
      <w:r w:rsidRPr="00FC2223">
        <w:rPr>
          <w:b/>
          <w:bCs/>
        </w:rPr>
        <w:t>C</w:t>
      </w:r>
      <w:r w:rsidR="00042A5B">
        <w:rPr>
          <w:b/>
          <w:bCs/>
        </w:rPr>
        <w:t>SPP</w:t>
      </w:r>
      <w:r w:rsidRPr="00FC2223">
        <w:rPr>
          <w:b/>
          <w:bCs/>
        </w:rPr>
        <w:t xml:space="preserve">: </w:t>
      </w:r>
    </w:p>
    <w:p w:rsidR="00FC2223" w:rsidP="00FC2223" w:rsidRDefault="00671233" w14:paraId="0D6AABB5" w14:textId="0F335F35">
      <w:pPr>
        <w:pStyle w:val="ListParagraph"/>
      </w:pPr>
      <w:r w:rsidRPr="00FC2223">
        <w:rPr>
          <w:b/>
          <w:bCs/>
        </w:rPr>
        <w:t>Quarterly Program Report:</w:t>
      </w:r>
      <w:r>
        <w:t xml:space="preserve"> </w:t>
      </w:r>
      <w:r w:rsidRPr="001618C4" w:rsidR="00FC2223">
        <w:t xml:space="preserve">Completed by the </w:t>
      </w:r>
      <w:r w:rsidR="00FC2223">
        <w:t>C</w:t>
      </w:r>
      <w:r w:rsidR="00042A5B">
        <w:t>SPP</w:t>
      </w:r>
      <w:r w:rsidRPr="001618C4" w:rsidR="00FC2223">
        <w:t xml:space="preserve"> Grantee quarterly, this form is the primary vehicle used to collect data on grant expenditures and performance metrics. The outlay and grant production sections mirror the metrics in the WAP formula award QPR, which will enable evaluation and comparison of program outcomes. Grantees will be required to provide data only for the metrics applicable to their award topic area and activities. The following metrics have been added in response to the Justice40 Initiative: Outlays in Underserved Communities; Units by Level of Household Income; Clean Energy –</w:t>
      </w:r>
      <w:r w:rsidR="00FC2223">
        <w:t xml:space="preserve"> </w:t>
      </w:r>
      <w:r w:rsidRPr="001618C4" w:rsidR="00FC2223">
        <w:t>Energy Burden. The DOE Project Officer must review and approve the QPR as part of regular quality assurance monitoring.</w:t>
      </w:r>
    </w:p>
    <w:p w:rsidRPr="00671233" w:rsidR="00AA2ACF" w:rsidP="00AA2ACF" w:rsidRDefault="00671233" w14:paraId="3D247835" w14:textId="26D02FF5">
      <w:pPr>
        <w:pStyle w:val="ListParagraph"/>
      </w:pPr>
      <w:r w:rsidRPr="00A21148">
        <w:rPr>
          <w:b/>
          <w:bCs/>
        </w:rPr>
        <w:t>Annual File Worksheet</w:t>
      </w:r>
      <w:r w:rsidRPr="00671233">
        <w:t>:</w:t>
      </w:r>
      <w:r w:rsidR="00A21148">
        <w:t xml:space="preserve"> Completed by the CSPP Grantee annually, this form allows the Grantee to outline which sub-grantees are receiving CSPP funds, how much funding they will be receiving, and the units that will be completed by the sub-grantee with the funding received. This form also allows for the tracking of other general details around Grantees’ activities, </w:t>
      </w:r>
      <w:r w:rsidR="00A21148">
        <w:lastRenderedPageBreak/>
        <w:t>training, and collection methods. This allows DOE to compare and evaluate program outcomes using the granular annual data presented by Grantees.</w:t>
      </w:r>
    </w:p>
    <w:p w:rsidR="00671233" w:rsidP="00AA2ACF" w:rsidRDefault="00671233" w14:paraId="4C22E268" w14:textId="4882CC22">
      <w:pPr>
        <w:pStyle w:val="ListParagraph"/>
        <w:numPr>
          <w:ilvl w:val="1"/>
          <w:numId w:val="3"/>
        </w:numPr>
      </w:pPr>
      <w:r w:rsidRPr="00AA2ACF">
        <w:rPr>
          <w:b/>
          <w:bCs/>
        </w:rPr>
        <w:t>Combined Monitoring, Technical Assistance and Leveraging Report</w:t>
      </w:r>
      <w:r w:rsidR="00FC2223">
        <w:t>:</w:t>
      </w:r>
      <w:r w:rsidR="00AA2ACF">
        <w:t xml:space="preserve"> This report is </w:t>
      </w:r>
      <w:r w:rsidRPr="001618C4" w:rsidR="00AA2ACF">
        <w:t xml:space="preserve">intended to provide more detailed updates on grant performance and progress toward project objectives and milestones, and program priorities </w:t>
      </w:r>
      <w:r w:rsidR="00AA2ACF">
        <w:t xml:space="preserve">of T&amp;TA, </w:t>
      </w:r>
      <w:r w:rsidRPr="001618C4" w:rsidR="00AA2ACF">
        <w:t>leveraging, monitoring and evaluation activities</w:t>
      </w:r>
      <w:r w:rsidR="00AA2ACF">
        <w:t xml:space="preserve">. </w:t>
      </w:r>
      <w:r w:rsidRPr="001618C4" w:rsidR="00AA2ACF">
        <w:t xml:space="preserve">The DOE Project Officer must review and approve this report each year. In addition, the DOE Program Manager will utilize the information collected in this report to share lessons learned with the Weatherization Assistance Program network, identify needed training and technical assistance for </w:t>
      </w:r>
      <w:r w:rsidR="00AA2ACF">
        <w:t xml:space="preserve">CSPP </w:t>
      </w:r>
      <w:r w:rsidRPr="001618C4" w:rsidR="00AA2ACF">
        <w:t>Grantees, and modify future funding opportunity announcements.</w:t>
      </w:r>
    </w:p>
    <w:p w:rsidRPr="00006E10" w:rsidR="00954EE9" w:rsidP="00F00C23" w:rsidRDefault="00954EE9" w14:paraId="4766966C" w14:textId="77777777">
      <w:pPr>
        <w:pStyle w:val="Heading2"/>
      </w:pPr>
      <w:bookmarkStart w:name="_Toc16271321" w:id="4"/>
      <w:r w:rsidRPr="00006E10">
        <w:t>A.3. Use of Technology</w:t>
      </w:r>
      <w:bookmarkEnd w:id="4"/>
    </w:p>
    <w:p w:rsidRPr="004E6242" w:rsidR="00954EE9" w:rsidP="00954EE9" w:rsidRDefault="00954EE9" w14:paraId="45A57CA9" w14:textId="77777777">
      <w:r w:rsidRPr="004E6242">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9B1B40" w:rsidP="00954EE9" w:rsidRDefault="00006E10" w14:paraId="2FD7912F" w14:textId="11A59CB9">
      <w:r w:rsidRPr="005A1B3E">
        <w:t>The collection of</w:t>
      </w:r>
      <w:r>
        <w:t xml:space="preserve"> </w:t>
      </w:r>
      <w:r w:rsidRPr="005A1B3E">
        <w:t xml:space="preserve">the information </w:t>
      </w:r>
      <w:r w:rsidR="002B6F30">
        <w:t>for E&amp;I, SERC, and the C</w:t>
      </w:r>
      <w:r w:rsidR="00042A5B">
        <w:t>SPP</w:t>
      </w:r>
      <w:r w:rsidR="002B6F30">
        <w:t xml:space="preserve"> Projects Pilot </w:t>
      </w:r>
      <w:r>
        <w:t>has been</w:t>
      </w:r>
      <w:r w:rsidRPr="005A1B3E">
        <w:t xml:space="preserve"> standardized to provide database collection</w:t>
      </w:r>
      <w:r>
        <w:t xml:space="preserve"> and </w:t>
      </w:r>
      <w:r w:rsidRPr="005A1B3E">
        <w:t xml:space="preserve">retrieval of program </w:t>
      </w:r>
      <w:r>
        <w:t>information</w:t>
      </w:r>
      <w:r w:rsidRPr="005A1B3E">
        <w:t xml:space="preserve"> through</w:t>
      </w:r>
      <w:r>
        <w:t xml:space="preserve"> the </w:t>
      </w:r>
      <w:r w:rsidRPr="005A1B3E">
        <w:t>Performance and Accountability for Grants</w:t>
      </w:r>
      <w:r>
        <w:t xml:space="preserve"> </w:t>
      </w:r>
      <w:r w:rsidRPr="005A1B3E">
        <w:t>in Energy (</w:t>
      </w:r>
      <w:r w:rsidRPr="00C276F1">
        <w:t>PAGE) system. PAGE interfaces with DOE financial systems, the Energy Efficiency and Renewable Energy (EERE</w:t>
      </w:r>
      <w:r>
        <w:t>)</w:t>
      </w:r>
      <w:r w:rsidRPr="005A1B3E">
        <w:t xml:space="preserve"> Project Management Center, DOE Headquarters</w:t>
      </w:r>
      <w:r w:rsidR="00F00C23">
        <w:t>,</w:t>
      </w:r>
      <w:r w:rsidRPr="005A1B3E">
        <w:t xml:space="preserve"> and</w:t>
      </w:r>
      <w:r>
        <w:t xml:space="preserve"> </w:t>
      </w:r>
      <w:r w:rsidRPr="005A1B3E">
        <w:t>grantees. Electronic submission of reports will result in greater efficiency,</w:t>
      </w:r>
      <w:r>
        <w:t xml:space="preserve"> </w:t>
      </w:r>
      <w:r w:rsidRPr="005A1B3E">
        <w:t>timely reporting and a reduced paperwork burden for grantees and DOE program staff.</w:t>
      </w:r>
      <w:r w:rsidR="009B1B40">
        <w:t xml:space="preserve"> 100 percent of information collection will be done electronically.</w:t>
      </w:r>
    </w:p>
    <w:p w:rsidRPr="00032AE6" w:rsidR="00954EE9" w:rsidP="00F00C23" w:rsidRDefault="00954EE9" w14:paraId="72292AEF" w14:textId="63C865E4">
      <w:pPr>
        <w:pStyle w:val="Heading2"/>
      </w:pPr>
      <w:bookmarkStart w:name="_Toc16271322" w:id="5"/>
      <w:r w:rsidRPr="00032AE6">
        <w:t>A.4. Efforts to Identify Duplication</w:t>
      </w:r>
      <w:bookmarkEnd w:id="5"/>
    </w:p>
    <w:p w:rsidRPr="004E6242" w:rsidR="00954EE9" w:rsidP="00954EE9" w:rsidRDefault="00954EE9" w14:paraId="306109BD" w14:textId="77777777">
      <w:r w:rsidRPr="004E6242">
        <w:rPr>
          <w:b/>
          <w:bCs/>
        </w:rPr>
        <w:t xml:space="preserve">Describe efforts to identify duplication. </w:t>
      </w:r>
    </w:p>
    <w:p w:rsidR="00032AE6" w:rsidP="00954EE9" w:rsidRDefault="00AE0129" w14:paraId="3C77AE3E" w14:textId="70CA061D">
      <w:r w:rsidRPr="002310F1">
        <w:t xml:space="preserve">The forms in PAGE were designed to provide a consistent format for the collection of program information. This information will then be retrieved in </w:t>
      </w:r>
      <w:r>
        <w:t xml:space="preserve">order </w:t>
      </w:r>
      <w:r w:rsidRPr="002310F1">
        <w:t>to answer programmatic questions and inquiries. The information collected is unique to the DOE</w:t>
      </w:r>
      <w:r>
        <w:t>,</w:t>
      </w:r>
      <w:r w:rsidRPr="002310F1">
        <w:t xml:space="preserve"> therefore this collection is not duplicative.</w:t>
      </w:r>
    </w:p>
    <w:p w:rsidR="00954EE9" w:rsidP="00F00C23" w:rsidRDefault="00954EE9" w14:paraId="7704A37B" w14:textId="77777777">
      <w:pPr>
        <w:pStyle w:val="Heading2"/>
      </w:pPr>
      <w:bookmarkStart w:name="_Toc16271323" w:id="6"/>
      <w:r>
        <w:t>A.</w:t>
      </w:r>
      <w:r w:rsidRPr="00A41763">
        <w:t xml:space="preserve">5. </w:t>
      </w:r>
      <w:r w:rsidRPr="008C734C">
        <w:t>Provisions for Reducing Burden on Small Businesses</w:t>
      </w:r>
      <w:bookmarkEnd w:id="6"/>
      <w:r w:rsidRPr="008C734C">
        <w:t xml:space="preserve"> </w:t>
      </w:r>
    </w:p>
    <w:p w:rsidRPr="00A41763" w:rsidR="00954EE9" w:rsidP="00954EE9" w:rsidRDefault="00954EE9" w14:paraId="0800A6DD" w14:textId="77777777">
      <w:r w:rsidRPr="00A41763">
        <w:rPr>
          <w:b/>
          <w:bCs/>
        </w:rPr>
        <w:t xml:space="preserve">If the collection of information impacts small businesses or other small entities, describe any methods used to minimize burden. </w:t>
      </w:r>
    </w:p>
    <w:p w:rsidR="00954EE9" w:rsidP="00954EE9" w:rsidRDefault="00B051E7" w14:paraId="65BFC3AE" w14:textId="294C4148">
      <w:r>
        <w:t>Small businesses are not impacted</w:t>
      </w:r>
      <w:r w:rsidR="00F00C23">
        <w:t xml:space="preserve"> by this information collection</w:t>
      </w:r>
      <w:r>
        <w:t>.</w:t>
      </w:r>
    </w:p>
    <w:p w:rsidRPr="00CE2B1D" w:rsidR="00954EE9" w:rsidP="00F00C23" w:rsidRDefault="00954EE9" w14:paraId="08C2E3AC" w14:textId="77777777">
      <w:pPr>
        <w:pStyle w:val="Heading2"/>
      </w:pPr>
      <w:bookmarkStart w:name="_Toc16271324" w:id="7"/>
      <w:r w:rsidRPr="00CE2B1D">
        <w:t>A.6. Consequences of Less-Frequent Reporting</w:t>
      </w:r>
      <w:bookmarkEnd w:id="7"/>
    </w:p>
    <w:p w:rsidRPr="00CE2B1D" w:rsidR="00CE2B1D" w:rsidP="00954EE9" w:rsidRDefault="00954EE9" w14:paraId="69006C53" w14:textId="53BA4514">
      <w:pPr>
        <w:rPr>
          <w:b/>
          <w:bCs/>
        </w:rPr>
      </w:pPr>
      <w:r w:rsidRPr="004E6242">
        <w:rPr>
          <w:b/>
          <w:bCs/>
        </w:rPr>
        <w:t>Describe the consequence to Federal program or policy activities if the collection is not conducted or is conducted less frequently, as well as any technical or legal obstacles to reducing burden.</w:t>
      </w:r>
      <w:r w:rsidRPr="00A41763">
        <w:rPr>
          <w:b/>
          <w:bCs/>
        </w:rPr>
        <w:t xml:space="preserve"> </w:t>
      </w:r>
    </w:p>
    <w:p w:rsidRPr="00F17B2A" w:rsidR="00CE2B1D" w:rsidP="00CE2B1D" w:rsidRDefault="00CE2B1D" w14:paraId="42A72AB8" w14:textId="69EFA73D">
      <w:r>
        <w:t xml:space="preserve">The Quarterly Performance Report, Annual Report, </w:t>
      </w:r>
      <w:r w:rsidRPr="00F41E07">
        <w:t>Technical Assistance, Monitoring, and Leveraging Report</w:t>
      </w:r>
      <w:r w:rsidR="00794818">
        <w:t>, and Historic Preservation Report</w:t>
      </w:r>
      <w:r w:rsidRPr="00F41E07">
        <w:t xml:space="preserve"> </w:t>
      </w:r>
      <w:r>
        <w:t>allow DOE</w:t>
      </w:r>
      <w:r w:rsidRPr="00A66860">
        <w:t xml:space="preserve"> to adequately monitor, report, and ensure transparency and accountability</w:t>
      </w:r>
      <w:r>
        <w:t>.</w:t>
      </w:r>
    </w:p>
    <w:p w:rsidR="00CE2B1D" w:rsidP="00CE2B1D" w:rsidRDefault="00CE2B1D" w14:paraId="221E9D9A" w14:textId="6A35184C">
      <w:pPr>
        <w:tabs>
          <w:tab w:val="left" w:pos="0"/>
        </w:tabs>
      </w:pPr>
      <w:r w:rsidRPr="00A66860">
        <w:lastRenderedPageBreak/>
        <w:t xml:space="preserve">The requirement of submitting a Plan once a year by a </w:t>
      </w:r>
      <w:r w:rsidR="00E30ECB">
        <w:t xml:space="preserve">Grantees </w:t>
      </w:r>
      <w:r w:rsidRPr="00A66860">
        <w:t xml:space="preserve">is </w:t>
      </w:r>
      <w:r>
        <w:t>listed</w:t>
      </w:r>
      <w:r w:rsidRPr="00A66860">
        <w:t xml:space="preserve"> </w:t>
      </w:r>
      <w:r>
        <w:t xml:space="preserve">in </w:t>
      </w:r>
      <w:r w:rsidRPr="00A66860">
        <w:t xml:space="preserve">10 CFR 440. If this information is not provided by the </w:t>
      </w:r>
      <w:r w:rsidR="00E30ECB">
        <w:t>Grantees</w:t>
      </w:r>
      <w:r w:rsidRPr="00A66860" w:rsidR="00E30ECB">
        <w:t xml:space="preserve"> </w:t>
      </w:r>
      <w:r w:rsidRPr="00A66860">
        <w:t>to DOE</w:t>
      </w:r>
      <w:r>
        <w:t>, there would</w:t>
      </w:r>
      <w:r w:rsidRPr="00A66860">
        <w:t xml:space="preserve"> be no source of information to respond to congressional, budge</w:t>
      </w:r>
      <w:r>
        <w:t>t,</w:t>
      </w:r>
      <w:r w:rsidRPr="00A66860">
        <w:t xml:space="preserve"> and general public inquiries of the program. </w:t>
      </w:r>
    </w:p>
    <w:p w:rsidR="00794818" w:rsidP="00CE2B1D" w:rsidRDefault="00794818" w14:paraId="447ABF3D" w14:textId="29EFC3E6">
      <w:pPr>
        <w:tabs>
          <w:tab w:val="left" w:pos="0"/>
        </w:tabs>
      </w:pPr>
      <w:r w:rsidRPr="00A66860">
        <w:t xml:space="preserve">DOE </w:t>
      </w:r>
      <w:r>
        <w:t>requires</w:t>
      </w:r>
      <w:r w:rsidRPr="00A66860">
        <w:t xml:space="preserve"> </w:t>
      </w:r>
      <w:r>
        <w:t xml:space="preserve">the </w:t>
      </w:r>
      <w:r w:rsidRPr="00A66860">
        <w:t xml:space="preserve">reporting of activities for </w:t>
      </w:r>
      <w:r w:rsidR="00E63B05">
        <w:t>E&amp;I</w:t>
      </w:r>
      <w:r>
        <w:t>: (</w:t>
      </w:r>
      <w:proofErr w:type="spellStart"/>
      <w:r>
        <w:t>i</w:t>
      </w:r>
      <w:proofErr w:type="spellEnd"/>
      <w:r>
        <w:t>)</w:t>
      </w:r>
      <w:r w:rsidRPr="00A66860">
        <w:t xml:space="preserve"> quarterly for the Program Report and</w:t>
      </w:r>
      <w:r>
        <w:t xml:space="preserve"> (ii)</w:t>
      </w:r>
      <w:r w:rsidRPr="00A66860">
        <w:t xml:space="preserve"> annually for the </w:t>
      </w:r>
      <w:r>
        <w:t>Annual Report and the Historic Preservation Report.</w:t>
      </w:r>
    </w:p>
    <w:p w:rsidRPr="00A66860" w:rsidR="00CE2B1D" w:rsidP="00CE2B1D" w:rsidRDefault="00CE2B1D" w14:paraId="0B90DEBC" w14:textId="1D65037F">
      <w:pPr>
        <w:tabs>
          <w:tab w:val="left" w:pos="0"/>
        </w:tabs>
      </w:pPr>
      <w:r w:rsidRPr="00A66860">
        <w:t xml:space="preserve">DOE </w:t>
      </w:r>
      <w:r>
        <w:t>requires</w:t>
      </w:r>
      <w:r w:rsidRPr="00A66860">
        <w:t xml:space="preserve"> </w:t>
      </w:r>
      <w:r>
        <w:t xml:space="preserve">the </w:t>
      </w:r>
      <w:r w:rsidRPr="00A66860">
        <w:t xml:space="preserve">reporting of activities for </w:t>
      </w:r>
      <w:r w:rsidR="00794818">
        <w:t>SERC and the C</w:t>
      </w:r>
      <w:r w:rsidR="00042A5B">
        <w:t>SPP</w:t>
      </w:r>
      <w:r w:rsidR="00794818">
        <w:t xml:space="preserve"> Projects Pilot</w:t>
      </w:r>
      <w:r>
        <w:t>: (</w:t>
      </w:r>
      <w:proofErr w:type="spellStart"/>
      <w:r>
        <w:t>i</w:t>
      </w:r>
      <w:proofErr w:type="spellEnd"/>
      <w:r>
        <w:t>)</w:t>
      </w:r>
      <w:r w:rsidRPr="00A66860">
        <w:t xml:space="preserve"> quarterly for the Program Report and</w:t>
      </w:r>
      <w:r>
        <w:t xml:space="preserve"> (ii)</w:t>
      </w:r>
      <w:r w:rsidRPr="00A66860">
        <w:t xml:space="preserve"> annually for the Monitoring, Technical Assistance and Leveraging reports.</w:t>
      </w:r>
    </w:p>
    <w:p w:rsidR="00CE2B1D" w:rsidP="00CE2B1D" w:rsidRDefault="00E63B05" w14:paraId="4FBD9834" w14:textId="0FB88DC3">
      <w:r>
        <w:t xml:space="preserve">E&amp;I, SERC, and the </w:t>
      </w:r>
      <w:r w:rsidR="00042A5B">
        <w:t>CSPP</w:t>
      </w:r>
      <w:r>
        <w:t xml:space="preserve"> Projects Pilot</w:t>
      </w:r>
      <w:r w:rsidR="00CE2B1D">
        <w:t xml:space="preserve"> require quarterly reporting to effectively monitor performance of the grant</w:t>
      </w:r>
      <w:r>
        <w:t>s</w:t>
      </w:r>
      <w:r w:rsidR="00CE2B1D">
        <w:t xml:space="preserve">. Annual reporting would not allow Project Officers to effectively determine if the grants’ funds are being used in a timely, appropriate manner, and would prevent WAP leadership from effectively updating budgetary performance and future budgetary requirements to Congress and the Office of Management and Budget (OMB). </w:t>
      </w:r>
      <w:r w:rsidRPr="00A66860" w:rsidR="00CE2B1D">
        <w:t xml:space="preserve">The quarterly report form has been </w:t>
      </w:r>
      <w:r w:rsidR="00CE2B1D">
        <w:t xml:space="preserve">simplified and </w:t>
      </w:r>
      <w:r w:rsidRPr="00A66860" w:rsidR="00CE2B1D">
        <w:t>reduced to capture specific WAP information according to 10 CFR 440</w:t>
      </w:r>
      <w:r w:rsidR="00CE2B1D">
        <w:t>, and to minimize the burden to award recipients.</w:t>
      </w:r>
      <w:r w:rsidRPr="00A66860" w:rsidR="00CE2B1D">
        <w:t xml:space="preserve"> </w:t>
      </w:r>
    </w:p>
    <w:p w:rsidR="00CE2B1D" w:rsidP="00CE2B1D" w:rsidRDefault="00CE2B1D" w14:paraId="3784EECA" w14:textId="05019626">
      <w:r>
        <w:t>The Monitoring, Leveraging and Technical A</w:t>
      </w:r>
      <w:r w:rsidRPr="00A66860">
        <w:t xml:space="preserve">ssistance reports </w:t>
      </w:r>
      <w:r>
        <w:t xml:space="preserve">were consolidated </w:t>
      </w:r>
      <w:r w:rsidRPr="00A66860">
        <w:t>into one report</w:t>
      </w:r>
      <w:r>
        <w:t xml:space="preserve"> in 2004. The </w:t>
      </w:r>
      <w:r w:rsidRPr="00A66860">
        <w:t xml:space="preserve">reports will be submitted by the </w:t>
      </w:r>
      <w:r>
        <w:t>s</w:t>
      </w:r>
      <w:r w:rsidRPr="00A66860">
        <w:t xml:space="preserve">tates </w:t>
      </w:r>
      <w:r>
        <w:t xml:space="preserve">that are </w:t>
      </w:r>
      <w:r w:rsidR="00E63B05">
        <w:t xml:space="preserve">SERC and </w:t>
      </w:r>
      <w:r w:rsidR="00042A5B">
        <w:t>CSPP</w:t>
      </w:r>
      <w:r w:rsidR="00E63B05">
        <w:t xml:space="preserve"> </w:t>
      </w:r>
      <w:r>
        <w:t xml:space="preserve">recipients </w:t>
      </w:r>
      <w:r w:rsidRPr="00A66860">
        <w:t xml:space="preserve">on an annual basis. </w:t>
      </w:r>
    </w:p>
    <w:p w:rsidRPr="0046444B" w:rsidR="00E63B05" w:rsidP="00CE2B1D" w:rsidRDefault="00E63B05" w14:paraId="5926CBD7" w14:textId="7380A2C8">
      <w:r w:rsidRPr="0046444B">
        <w:t xml:space="preserve">The Annual report </w:t>
      </w:r>
      <w:r w:rsidRPr="0046444B" w:rsidR="0046444B">
        <w:t xml:space="preserve">and Historic Preservation Report </w:t>
      </w:r>
      <w:r w:rsidRPr="0046444B">
        <w:t xml:space="preserve">will be submitted by the states that are E&amp;I grant recipients on an annual basis. </w:t>
      </w:r>
    </w:p>
    <w:p w:rsidR="00954EE9" w:rsidP="00954EE9" w:rsidRDefault="00CE2B1D" w14:paraId="4DA86D6C" w14:textId="62DA115D">
      <w:r>
        <w:t xml:space="preserve">The Subgrantee Information Worksheet </w:t>
      </w:r>
      <w:r w:rsidR="00706105">
        <w:t>will be used</w:t>
      </w:r>
      <w:r>
        <w:t xml:space="preserve"> to collect the Subgrantee information from every </w:t>
      </w:r>
      <w:r w:rsidR="00706105">
        <w:t xml:space="preserve">E&amp;I </w:t>
      </w:r>
      <w:r>
        <w:t xml:space="preserve">Grantee. Grantees are required by 10 CFR 440 to provide information on the number of Subgrantees they are contracting with and their Dun and Bradstreet (DUNS) number. </w:t>
      </w:r>
    </w:p>
    <w:p w:rsidR="00954EE9" w:rsidP="00F00C23" w:rsidRDefault="00954EE9" w14:paraId="517A9E07" w14:textId="77777777">
      <w:pPr>
        <w:pStyle w:val="Heading2"/>
      </w:pPr>
      <w:bookmarkStart w:name="_Toc16271325" w:id="8"/>
      <w:r>
        <w:t>A.</w:t>
      </w:r>
      <w:r w:rsidRPr="00A41763">
        <w:t xml:space="preserve">7. </w:t>
      </w:r>
      <w:r w:rsidRPr="008C734C">
        <w:t>Compliance with 5 CFR 1320.5</w:t>
      </w:r>
      <w:bookmarkEnd w:id="8"/>
    </w:p>
    <w:p w:rsidR="00954EE9" w:rsidP="00954EE9" w:rsidRDefault="00954EE9" w14:paraId="680D4B8E" w14:textId="77777777">
      <w:pPr>
        <w:rPr>
          <w:b/>
          <w:bCs/>
        </w:rPr>
      </w:pPr>
      <w:r w:rsidRPr="00A41763">
        <w:rPr>
          <w:b/>
          <w:bCs/>
        </w:rPr>
        <w:t>Explain any special circumstances that require the collection to be conducted in a manner i</w:t>
      </w:r>
      <w:r>
        <w:rPr>
          <w:b/>
          <w:bCs/>
        </w:rPr>
        <w:t>nconsistent with OMB guidelines:</w:t>
      </w:r>
      <w:r w:rsidRPr="00A41763">
        <w:rPr>
          <w:b/>
          <w:bCs/>
        </w:rPr>
        <w:t xml:space="preserve"> </w:t>
      </w:r>
    </w:p>
    <w:p w:rsidR="00954EE9" w:rsidP="00954EE9" w:rsidRDefault="00954EE9" w14:paraId="61187EB2" w14:textId="77777777">
      <w:pPr>
        <w:rPr>
          <w:b/>
          <w:bCs/>
        </w:rPr>
      </w:pPr>
      <w:r w:rsidRPr="00A41763">
        <w:rPr>
          <w:b/>
          <w:bCs/>
        </w:rPr>
        <w:t xml:space="preserve">(a) requiring respondents to report information to the agency more often than </w:t>
      </w:r>
      <w:proofErr w:type="gramStart"/>
      <w:r w:rsidRPr="00A41763">
        <w:rPr>
          <w:b/>
          <w:bCs/>
        </w:rPr>
        <w:t>quarterly;</w:t>
      </w:r>
      <w:proofErr w:type="gramEnd"/>
      <w:r w:rsidRPr="00A41763">
        <w:rPr>
          <w:b/>
          <w:bCs/>
        </w:rPr>
        <w:t xml:space="preserve"> </w:t>
      </w:r>
    </w:p>
    <w:p w:rsidR="00954EE9" w:rsidP="00954EE9" w:rsidRDefault="00954EE9" w14:paraId="03C15307" w14:textId="77777777">
      <w:pPr>
        <w:rPr>
          <w:b/>
          <w:bCs/>
        </w:rPr>
      </w:pPr>
      <w:r w:rsidRPr="00A41763">
        <w:rPr>
          <w:b/>
          <w:bCs/>
        </w:rPr>
        <w:t xml:space="preserve">(b) requiring respondents to prepare a written response to a collection of information in fewer than 30 days after receipt of </w:t>
      </w:r>
      <w:proofErr w:type="gramStart"/>
      <w:r w:rsidRPr="00A41763">
        <w:rPr>
          <w:b/>
          <w:bCs/>
        </w:rPr>
        <w:t>it;</w:t>
      </w:r>
      <w:proofErr w:type="gramEnd"/>
      <w:r w:rsidRPr="00A41763">
        <w:rPr>
          <w:b/>
          <w:bCs/>
        </w:rPr>
        <w:t xml:space="preserve"> </w:t>
      </w:r>
    </w:p>
    <w:p w:rsidR="00954EE9" w:rsidP="00954EE9" w:rsidRDefault="00954EE9" w14:paraId="2A9AD749" w14:textId="77777777">
      <w:pPr>
        <w:rPr>
          <w:b/>
          <w:bCs/>
        </w:rPr>
      </w:pPr>
      <w:r w:rsidRPr="00A41763">
        <w:rPr>
          <w:b/>
          <w:bCs/>
        </w:rPr>
        <w:t xml:space="preserve">(c) requiring respondents to submit more than an original and two copies of any </w:t>
      </w:r>
      <w:proofErr w:type="gramStart"/>
      <w:r w:rsidRPr="00A41763">
        <w:rPr>
          <w:b/>
          <w:bCs/>
        </w:rPr>
        <w:t>document;</w:t>
      </w:r>
      <w:proofErr w:type="gramEnd"/>
      <w:r w:rsidRPr="00A41763">
        <w:rPr>
          <w:b/>
          <w:bCs/>
        </w:rPr>
        <w:t xml:space="preserve"> </w:t>
      </w:r>
    </w:p>
    <w:p w:rsidR="00954EE9" w:rsidP="00954EE9" w:rsidRDefault="00954EE9" w14:paraId="1141D7A6" w14:textId="77777777">
      <w:pPr>
        <w:rPr>
          <w:b/>
          <w:bCs/>
        </w:rPr>
      </w:pPr>
      <w:r w:rsidRPr="00A41763">
        <w:rPr>
          <w:b/>
          <w:bCs/>
        </w:rPr>
        <w:t xml:space="preserve">(d) requiring respondents to retain records, other than health, medical government contract, grant-in-aid, or tax records, for more than three </w:t>
      </w:r>
      <w:proofErr w:type="gramStart"/>
      <w:r w:rsidRPr="00A41763">
        <w:rPr>
          <w:b/>
          <w:bCs/>
        </w:rPr>
        <w:t>years;</w:t>
      </w:r>
      <w:proofErr w:type="gramEnd"/>
      <w:r w:rsidRPr="00A41763">
        <w:rPr>
          <w:b/>
          <w:bCs/>
        </w:rPr>
        <w:t xml:space="preserve"> </w:t>
      </w:r>
    </w:p>
    <w:p w:rsidR="00954EE9" w:rsidP="00954EE9" w:rsidRDefault="00954EE9" w14:paraId="25FAC3C3" w14:textId="77777777">
      <w:pPr>
        <w:rPr>
          <w:b/>
          <w:bCs/>
        </w:rPr>
      </w:pPr>
      <w:r w:rsidRPr="00A41763">
        <w:rPr>
          <w:b/>
          <w:bCs/>
        </w:rPr>
        <w:t xml:space="preserve">(e) in connection with a statistical survey, that is not designed to product valid and reliable results that can be generalized to the universe of </w:t>
      </w:r>
      <w:proofErr w:type="gramStart"/>
      <w:r w:rsidRPr="00A41763">
        <w:rPr>
          <w:b/>
          <w:bCs/>
        </w:rPr>
        <w:t>study;</w:t>
      </w:r>
      <w:proofErr w:type="gramEnd"/>
      <w:r w:rsidRPr="00A41763">
        <w:rPr>
          <w:b/>
          <w:bCs/>
        </w:rPr>
        <w:t xml:space="preserve"> </w:t>
      </w:r>
    </w:p>
    <w:p w:rsidR="00954EE9" w:rsidP="00954EE9" w:rsidRDefault="00954EE9" w14:paraId="2034DC1E" w14:textId="77777777">
      <w:pPr>
        <w:rPr>
          <w:b/>
          <w:bCs/>
        </w:rPr>
      </w:pPr>
      <w:r w:rsidRPr="00A41763">
        <w:rPr>
          <w:b/>
          <w:bCs/>
        </w:rPr>
        <w:t xml:space="preserve">(f) requiring the use of statistical data classification that has not been reviewed and approved by </w:t>
      </w:r>
      <w:proofErr w:type="gramStart"/>
      <w:r w:rsidRPr="00A41763">
        <w:rPr>
          <w:b/>
          <w:bCs/>
        </w:rPr>
        <w:t>OMB;</w:t>
      </w:r>
      <w:proofErr w:type="gramEnd"/>
      <w:r w:rsidRPr="00A41763">
        <w:rPr>
          <w:b/>
          <w:bCs/>
        </w:rPr>
        <w:t xml:space="preserve"> </w:t>
      </w:r>
    </w:p>
    <w:p w:rsidR="00954EE9" w:rsidP="00954EE9" w:rsidRDefault="00954EE9" w14:paraId="26ED414B" w14:textId="77777777">
      <w:pPr>
        <w:rPr>
          <w:b/>
          <w:bCs/>
        </w:rPr>
      </w:pPr>
      <w:r w:rsidRPr="00A41763">
        <w:rPr>
          <w:b/>
          <w:bCs/>
        </w:rPr>
        <w:lastRenderedPageBreak/>
        <w:t xml:space="preserve">(g)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Pr>
          <w:b/>
          <w:bCs/>
        </w:rPr>
        <w:t>or</w:t>
      </w:r>
    </w:p>
    <w:p w:rsidRPr="00A41763" w:rsidR="00954EE9" w:rsidP="00954EE9" w:rsidRDefault="00954EE9" w14:paraId="76EE9E47" w14:textId="77777777">
      <w:r w:rsidRPr="00A41763">
        <w:rPr>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954EE9" w:rsidP="00954EE9" w:rsidRDefault="008D562F" w14:paraId="6293D20A" w14:textId="3A7CB2A6">
      <w:r w:rsidRPr="002950AF">
        <w:t>The information collection is not being conducted in a manner inconsistent with OMB guidelines.</w:t>
      </w:r>
    </w:p>
    <w:p w:rsidRPr="00F81497" w:rsidR="00954EE9" w:rsidP="00F00C23" w:rsidRDefault="00954EE9" w14:paraId="5BEDA4E5" w14:textId="77777777">
      <w:pPr>
        <w:pStyle w:val="Heading2"/>
      </w:pPr>
      <w:bookmarkStart w:name="_Toc16271326" w:id="9"/>
      <w:r w:rsidRPr="00866DA2">
        <w:t>A.8. Summary of Consultations Outside of the Agency</w:t>
      </w:r>
      <w:bookmarkEnd w:id="9"/>
    </w:p>
    <w:p w:rsidRPr="00A41763" w:rsidR="00954EE9" w:rsidP="00954EE9" w:rsidRDefault="00954EE9" w14:paraId="46DBC82C" w14:textId="77777777">
      <w:r w:rsidRPr="004E6242">
        <w:rPr>
          <w:b/>
          <w:bCs/>
        </w:rPr>
        <w:t xml:space="preserve">If applicable, provide a copy and identify the date and page number of </w:t>
      </w:r>
      <w:proofErr w:type="gramStart"/>
      <w:r w:rsidRPr="004E6242">
        <w:rPr>
          <w:b/>
          <w:bCs/>
        </w:rPr>
        <w:t>publication</w:t>
      </w:r>
      <w:proofErr w:type="gramEnd"/>
      <w:r w:rsidRPr="004E6242">
        <w:rPr>
          <w:b/>
          <w:bCs/>
        </w:rPr>
        <w:t xml:space="preserve">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000A51CD" w:rsidP="003B2CEE" w:rsidRDefault="000A51CD" w14:paraId="3E9456DD" w14:textId="034A3888">
      <w:pPr>
        <w:rPr>
          <w:bCs/>
          <w:iCs/>
          <w:color w:val="000000"/>
          <w:u w:val="single"/>
        </w:rPr>
      </w:pPr>
      <w:r>
        <w:rPr>
          <w:bCs/>
          <w:iCs/>
          <w:color w:val="000000"/>
          <w:u w:val="single"/>
        </w:rPr>
        <w:t xml:space="preserve">Federal Register Notice: </w:t>
      </w:r>
    </w:p>
    <w:p w:rsidR="007A2C0A" w:rsidP="007A2C0A" w:rsidRDefault="000A51CD" w14:paraId="4616108D" w14:textId="080B68FF">
      <w:pPr>
        <w:rPr>
          <w:rFonts w:cstheme="minorHAnsi"/>
          <w:color w:val="000000"/>
        </w:rPr>
      </w:pPr>
      <w:r w:rsidRPr="000A51CD">
        <w:rPr>
          <w:bCs/>
          <w:i/>
          <w:color w:val="000000"/>
        </w:rPr>
        <w:t>E&amp;I Notice of Intent</w:t>
      </w:r>
      <w:r w:rsidRPr="000A51CD">
        <w:rPr>
          <w:bCs/>
          <w:iCs/>
          <w:color w:val="000000"/>
        </w:rPr>
        <w:t xml:space="preserve"> </w:t>
      </w:r>
      <w:r w:rsidR="000A403E">
        <w:rPr>
          <w:bCs/>
          <w:iCs/>
          <w:color w:val="000000"/>
        </w:rPr>
        <w:t xml:space="preserve">- </w:t>
      </w:r>
      <w:hyperlink w:history="1" r:id="rId16">
        <w:r w:rsidR="000A403E">
          <w:rPr>
            <w:rStyle w:val="Hyperlink"/>
          </w:rPr>
          <w:t>Federal Register :: Notice of Intent To Announce Financial Assistance for Weatherization Enhancement and Innovation</w:t>
        </w:r>
      </w:hyperlink>
      <w:r w:rsidR="000A403E">
        <w:t xml:space="preserve"> (Copy of FRN and comments received are attached to this Supporting Statement – There </w:t>
      </w:r>
      <w:r w:rsidR="00AE79BB">
        <w:t>w</w:t>
      </w:r>
      <w:r w:rsidR="000A403E">
        <w:t xml:space="preserve">ere </w:t>
      </w:r>
      <w:r w:rsidR="00AE79BB">
        <w:t>n</w:t>
      </w:r>
      <w:r w:rsidR="000A403E">
        <w:t xml:space="preserve">o </w:t>
      </w:r>
      <w:r w:rsidR="00AE79BB">
        <w:t>r</w:t>
      </w:r>
      <w:r w:rsidR="000A403E">
        <w:t xml:space="preserve">esponses to the </w:t>
      </w:r>
      <w:r w:rsidR="00AE79BB">
        <w:t>c</w:t>
      </w:r>
      <w:r w:rsidR="000A403E">
        <w:t>omments)</w:t>
      </w:r>
      <w:r w:rsidR="007A2C0A">
        <w:rPr>
          <w:bCs/>
          <w:iCs/>
          <w:color w:val="000000"/>
        </w:rPr>
        <w:t>–</w:t>
      </w:r>
      <w:r w:rsidRPr="000A51CD">
        <w:rPr>
          <w:bCs/>
          <w:iCs/>
          <w:color w:val="000000"/>
        </w:rPr>
        <w:t xml:space="preserve"> </w:t>
      </w:r>
      <w:r w:rsidR="007A2C0A">
        <w:rPr>
          <w:bCs/>
          <w:iCs/>
          <w:color w:val="000000"/>
        </w:rPr>
        <w:t>On June 30, 2021</w:t>
      </w:r>
      <w:r w:rsidR="00DE66C0">
        <w:rPr>
          <w:bCs/>
          <w:iCs/>
          <w:color w:val="000000"/>
        </w:rPr>
        <w:t>,</w:t>
      </w:r>
      <w:r w:rsidR="007A2C0A">
        <w:rPr>
          <w:bCs/>
          <w:iCs/>
          <w:color w:val="000000"/>
        </w:rPr>
        <w:t xml:space="preserve"> </w:t>
      </w:r>
      <w:r w:rsidR="007A2C0A">
        <w:rPr>
          <w:color w:val="000000"/>
        </w:rPr>
        <w:t>DOE published a Federal Register Notice titled “</w:t>
      </w:r>
      <w:r w:rsidRPr="00D70BAC" w:rsidR="007A2C0A">
        <w:rPr>
          <w:color w:val="000000"/>
        </w:rPr>
        <w:t xml:space="preserve">Notice of Intent </w:t>
      </w:r>
      <w:r w:rsidRPr="00D70BAC" w:rsidR="00EE5002">
        <w:rPr>
          <w:color w:val="000000"/>
        </w:rPr>
        <w:t>to</w:t>
      </w:r>
      <w:r w:rsidRPr="00D70BAC" w:rsidR="007A2C0A">
        <w:rPr>
          <w:color w:val="000000"/>
        </w:rPr>
        <w:t xml:space="preserve"> Announce Financial Assistance for Weatherization Enhancement and Innovation</w:t>
      </w:r>
      <w:r w:rsidR="007A2C0A">
        <w:rPr>
          <w:color w:val="000000"/>
        </w:rPr>
        <w:t>” (</w:t>
      </w:r>
      <w:r w:rsidRPr="00D70BAC" w:rsidR="007A2C0A">
        <w:rPr>
          <w:color w:val="000000"/>
        </w:rPr>
        <w:t>FR DOC# 2021-13985</w:t>
      </w:r>
      <w:r w:rsidR="00DE66C0">
        <w:rPr>
          <w:color w:val="000000"/>
        </w:rPr>
        <w:t>, pp. 34730 - 34731</w:t>
      </w:r>
      <w:r w:rsidR="007A2C0A">
        <w:rPr>
          <w:color w:val="000000"/>
        </w:rPr>
        <w:t>). The Notice provided the public with information about the planned F</w:t>
      </w:r>
      <w:r w:rsidR="00181FC7">
        <w:rPr>
          <w:color w:val="000000"/>
        </w:rPr>
        <w:t xml:space="preserve">unding </w:t>
      </w:r>
      <w:r w:rsidR="007A2C0A">
        <w:rPr>
          <w:color w:val="000000"/>
        </w:rPr>
        <w:t>O</w:t>
      </w:r>
      <w:r w:rsidR="00181FC7">
        <w:rPr>
          <w:color w:val="000000"/>
        </w:rPr>
        <w:t xml:space="preserve">pportunity </w:t>
      </w:r>
      <w:r w:rsidR="007A2C0A">
        <w:rPr>
          <w:color w:val="000000"/>
        </w:rPr>
        <w:t>A</w:t>
      </w:r>
      <w:r w:rsidR="00181FC7">
        <w:rPr>
          <w:color w:val="000000"/>
        </w:rPr>
        <w:t>nnouncement (FOA)</w:t>
      </w:r>
      <w:r w:rsidR="007A2C0A">
        <w:rPr>
          <w:color w:val="000000"/>
        </w:rPr>
        <w:t xml:space="preserve"> including anticipated funding levels, eligibility, a tentative timeline for release, and </w:t>
      </w:r>
      <w:r w:rsidR="00872F0F">
        <w:rPr>
          <w:color w:val="000000"/>
        </w:rPr>
        <w:t xml:space="preserve">opened </w:t>
      </w:r>
      <w:r w:rsidR="007A2C0A">
        <w:rPr>
          <w:color w:val="000000"/>
        </w:rPr>
        <w:t>a</w:t>
      </w:r>
      <w:r w:rsidR="00181FC7">
        <w:rPr>
          <w:color w:val="000000"/>
        </w:rPr>
        <w:t xml:space="preserve"> 30-day comment period</w:t>
      </w:r>
      <w:r w:rsidR="007A2C0A">
        <w:rPr>
          <w:color w:val="000000"/>
        </w:rPr>
        <w:t xml:space="preserve">. </w:t>
      </w:r>
      <w:r w:rsidRPr="000C7489" w:rsidR="007A2C0A">
        <w:rPr>
          <w:rFonts w:cstheme="minorHAnsi"/>
          <w:color w:val="000000"/>
        </w:rPr>
        <w:t>DOE received three (3) public comments in response to the Federal Register Notice</w:t>
      </w:r>
      <w:r w:rsidR="007A2C0A">
        <w:rPr>
          <w:rFonts w:cstheme="minorHAnsi"/>
          <w:color w:val="000000"/>
        </w:rPr>
        <w:t xml:space="preserve">. </w:t>
      </w:r>
      <w:r w:rsidR="00DE66C0">
        <w:rPr>
          <w:rFonts w:cstheme="minorHAnsi"/>
          <w:color w:val="000000"/>
        </w:rPr>
        <w:t>A summary of the comments is below, and DOE is taking these</w:t>
      </w:r>
      <w:r w:rsidR="007A2C0A">
        <w:rPr>
          <w:rFonts w:cstheme="minorHAnsi"/>
          <w:color w:val="000000"/>
        </w:rPr>
        <w:t xml:space="preserve"> into consideration as the final version of the </w:t>
      </w:r>
      <w:r w:rsidR="00DE66C0">
        <w:rPr>
          <w:rFonts w:cstheme="minorHAnsi"/>
          <w:color w:val="000000"/>
        </w:rPr>
        <w:t xml:space="preserve">E&amp;I </w:t>
      </w:r>
      <w:r w:rsidR="008A7BB1">
        <w:rPr>
          <w:rFonts w:cstheme="minorHAnsi"/>
          <w:color w:val="000000"/>
        </w:rPr>
        <w:t>FOA</w:t>
      </w:r>
      <w:r w:rsidR="007A2C0A">
        <w:rPr>
          <w:rFonts w:cstheme="minorHAnsi"/>
          <w:color w:val="000000"/>
        </w:rPr>
        <w:t xml:space="preserve"> is drafted: </w:t>
      </w:r>
    </w:p>
    <w:p w:rsidR="007A2C0A" w:rsidP="00671233" w:rsidRDefault="00EC7EF7" w14:paraId="7D897ED2" w14:textId="335FD95E">
      <w:pPr>
        <w:pStyle w:val="ListParagraph"/>
      </w:pPr>
      <w:r>
        <w:t>Prioritize</w:t>
      </w:r>
      <w:r w:rsidR="00A44032">
        <w:t xml:space="preserve"> proposals that are planned in full cooperation with the Weatherization Assistance Program and make progress toward health equity, environmental justice, climate change mitigation and decarbonization, and/or job creation. </w:t>
      </w:r>
    </w:p>
    <w:p w:rsidR="00A44032" w:rsidP="00671233" w:rsidRDefault="00EC7EF7" w14:paraId="64A4A9B7" w14:textId="665935C0">
      <w:pPr>
        <w:pStyle w:val="ListParagraph"/>
      </w:pPr>
      <w:r>
        <w:t>Encourage deployment of renewable energy</w:t>
      </w:r>
      <w:r w:rsidR="00AF34D9">
        <w:t xml:space="preserve"> </w:t>
      </w:r>
      <w:r w:rsidR="00692FC9">
        <w:t>and household participation in community solar systems/programs</w:t>
      </w:r>
      <w:r>
        <w:t xml:space="preserve">. </w:t>
      </w:r>
    </w:p>
    <w:p w:rsidR="00AF34D9" w:rsidP="00671233" w:rsidRDefault="00AF34D9" w14:paraId="076FFCB1" w14:textId="0495A913">
      <w:pPr>
        <w:pStyle w:val="ListParagraph"/>
      </w:pPr>
      <w:r>
        <w:t xml:space="preserve">Encourage the use of healthy building materials in WAP retrofits. </w:t>
      </w:r>
    </w:p>
    <w:p w:rsidR="00EC7EF7" w:rsidP="00671233" w:rsidRDefault="00EC7EF7" w14:paraId="526728FD" w14:textId="5C6EAF5E">
      <w:pPr>
        <w:pStyle w:val="ListParagraph"/>
      </w:pPr>
      <w:r>
        <w:t xml:space="preserve">Prioritize addressing the high rate of deferrals caused by health and safety needs. </w:t>
      </w:r>
    </w:p>
    <w:p w:rsidR="000A403E" w:rsidP="000A403E" w:rsidRDefault="00EC7EF7" w14:paraId="12DD779E" w14:textId="6443D506">
      <w:pPr>
        <w:pStyle w:val="ListParagraph"/>
      </w:pPr>
      <w:r>
        <w:t xml:space="preserve">Prioritize proposals that demonstrate a commitment to inter-agency coordination, a comprehensive approach to service delivery, </w:t>
      </w:r>
      <w:r w:rsidR="00692FC9">
        <w:t xml:space="preserve">and a plan to limit energy burden and prevent displacement of households. </w:t>
      </w:r>
    </w:p>
    <w:p w:rsidRPr="005168F9" w:rsidR="005168F9" w:rsidP="009310DA" w:rsidRDefault="00FB7E7F" w14:paraId="19050967" w14:textId="1A48F6AD">
      <w:pPr>
        <w:rPr>
          <w:color w:val="000000"/>
        </w:rPr>
      </w:pPr>
      <w:r>
        <w:lastRenderedPageBreak/>
        <w:t>O</w:t>
      </w:r>
      <w:r w:rsidR="009310DA">
        <w:t>n November 22, 2021</w:t>
      </w:r>
      <w:r>
        <w:t>, t</w:t>
      </w:r>
      <w:r w:rsidRPr="008E491D" w:rsidR="005168F9">
        <w:t>he Department published a 60-day Federal Register Notice and Request for Comments concerning this collection in t</w:t>
      </w:r>
      <w:r w:rsidR="005168F9">
        <w:t>he Federal Register, volume 86, document number 2021-25429, and page numbers 66292 and 66293</w:t>
      </w:r>
      <w:r w:rsidRPr="008E491D" w:rsidR="005168F9">
        <w:t>.</w:t>
      </w:r>
      <w:r w:rsidR="00AA1012">
        <w:t xml:space="preserve"> </w:t>
      </w:r>
      <w:r w:rsidR="001E2A19">
        <w:t>No comments were received on this 60-day Federal Register Notice and Request for Comments.</w:t>
      </w:r>
    </w:p>
    <w:p w:rsidR="003B2CEE" w:rsidP="003B2CEE" w:rsidRDefault="003B2CEE" w14:paraId="3A64ED8A" w14:textId="5BD52BC8">
      <w:pPr>
        <w:rPr>
          <w:bCs/>
          <w:iCs/>
          <w:color w:val="000000"/>
          <w:u w:val="single"/>
        </w:rPr>
      </w:pPr>
      <w:r>
        <w:rPr>
          <w:bCs/>
          <w:iCs/>
          <w:color w:val="000000"/>
          <w:u w:val="single"/>
        </w:rPr>
        <w:t>Outreach and Consultations:</w:t>
      </w:r>
    </w:p>
    <w:p w:rsidR="003B2CEE" w:rsidP="003B2CEE" w:rsidRDefault="003B2CEE" w14:paraId="3D2AFAE8" w14:textId="5A9766F5">
      <w:pPr>
        <w:rPr>
          <w:bCs/>
          <w:iCs/>
          <w:color w:val="000000"/>
        </w:rPr>
      </w:pPr>
      <w:r w:rsidRPr="003B2CEE">
        <w:rPr>
          <w:bCs/>
          <w:i/>
          <w:color w:val="000000"/>
        </w:rPr>
        <w:t>E&amp;I Listening Sessions</w:t>
      </w:r>
      <w:r>
        <w:rPr>
          <w:bCs/>
          <w:iCs/>
          <w:color w:val="000000"/>
        </w:rPr>
        <w:t xml:space="preserve"> - </w:t>
      </w:r>
      <w:r w:rsidRPr="0061749C">
        <w:rPr>
          <w:bCs/>
          <w:iCs/>
          <w:color w:val="000000"/>
        </w:rPr>
        <w:t>On March 2 and 4, 2021, the National Renewable Energy Laboratory (NREL)</w:t>
      </w:r>
      <w:r>
        <w:rPr>
          <w:bCs/>
          <w:iCs/>
          <w:color w:val="000000"/>
        </w:rPr>
        <w:t xml:space="preserve">, on behalf of DOE, </w:t>
      </w:r>
      <w:r w:rsidRPr="0061749C">
        <w:rPr>
          <w:bCs/>
          <w:iCs/>
          <w:color w:val="000000"/>
        </w:rPr>
        <w:t xml:space="preserve">hosted </w:t>
      </w:r>
      <w:r>
        <w:rPr>
          <w:bCs/>
          <w:iCs/>
          <w:color w:val="000000"/>
        </w:rPr>
        <w:t xml:space="preserve">virtual </w:t>
      </w:r>
      <w:r w:rsidRPr="0061749C">
        <w:rPr>
          <w:bCs/>
          <w:iCs/>
          <w:color w:val="000000"/>
        </w:rPr>
        <w:t xml:space="preserve">Listening Sessions </w:t>
      </w:r>
      <w:r>
        <w:rPr>
          <w:bCs/>
          <w:iCs/>
          <w:color w:val="000000"/>
        </w:rPr>
        <w:t xml:space="preserve">to identify areas of interest to inform the development of the </w:t>
      </w:r>
      <w:r w:rsidRPr="0061749C">
        <w:rPr>
          <w:bCs/>
          <w:iCs/>
          <w:color w:val="000000"/>
        </w:rPr>
        <w:t>Weatherization Enhancement and Innovation</w:t>
      </w:r>
      <w:r>
        <w:rPr>
          <w:bCs/>
          <w:iCs/>
          <w:color w:val="000000"/>
        </w:rPr>
        <w:t xml:space="preserve"> FOA. </w:t>
      </w:r>
      <w:r w:rsidRPr="0061749C">
        <w:rPr>
          <w:bCs/>
          <w:iCs/>
          <w:color w:val="000000"/>
        </w:rPr>
        <w:t>Interest and attendance in the sessions was robus</w:t>
      </w:r>
      <w:r>
        <w:rPr>
          <w:bCs/>
          <w:iCs/>
          <w:color w:val="000000"/>
        </w:rPr>
        <w:t xml:space="preserve">t, </w:t>
      </w:r>
      <w:r w:rsidRPr="0061749C">
        <w:rPr>
          <w:bCs/>
          <w:iCs/>
          <w:color w:val="000000"/>
        </w:rPr>
        <w:t>with a total of 388 attendees</w:t>
      </w:r>
      <w:r>
        <w:rPr>
          <w:bCs/>
          <w:iCs/>
          <w:color w:val="000000"/>
        </w:rPr>
        <w:t xml:space="preserve"> from the WAP network, private consulting firms, and utilities. </w:t>
      </w:r>
    </w:p>
    <w:p w:rsidRPr="001F01BA" w:rsidR="003B2CEE" w:rsidP="003B2CEE" w:rsidRDefault="003B2CEE" w14:paraId="34E8784A" w14:textId="77777777">
      <w:pPr>
        <w:rPr>
          <w:rFonts w:cstheme="minorHAnsi"/>
          <w:bCs/>
          <w:iCs/>
          <w:color w:val="000000"/>
        </w:rPr>
      </w:pPr>
      <w:r w:rsidRPr="009D58CA">
        <w:rPr>
          <w:bCs/>
          <w:iCs/>
          <w:color w:val="000000"/>
        </w:rPr>
        <w:t xml:space="preserve">Of the </w:t>
      </w:r>
      <w:r>
        <w:rPr>
          <w:bCs/>
          <w:iCs/>
          <w:color w:val="000000"/>
        </w:rPr>
        <w:t>five</w:t>
      </w:r>
      <w:r w:rsidRPr="009D58CA">
        <w:rPr>
          <w:bCs/>
          <w:iCs/>
          <w:color w:val="000000"/>
        </w:rPr>
        <w:t xml:space="preserve"> </w:t>
      </w:r>
      <w:r>
        <w:rPr>
          <w:bCs/>
          <w:iCs/>
          <w:color w:val="000000"/>
        </w:rPr>
        <w:t>C</w:t>
      </w:r>
      <w:r w:rsidRPr="009D58CA">
        <w:rPr>
          <w:bCs/>
          <w:iCs/>
          <w:color w:val="000000"/>
        </w:rPr>
        <w:t xml:space="preserve">ongressionally directed purposes for the FOA, </w:t>
      </w:r>
      <w:r>
        <w:rPr>
          <w:bCs/>
          <w:iCs/>
          <w:color w:val="000000"/>
        </w:rPr>
        <w:t xml:space="preserve">Listening Session </w:t>
      </w:r>
      <w:r w:rsidRPr="009D58CA">
        <w:rPr>
          <w:bCs/>
          <w:iCs/>
          <w:color w:val="000000"/>
        </w:rPr>
        <w:t>participants had a strong interest in weatherization-readiness</w:t>
      </w:r>
      <w:r>
        <w:rPr>
          <w:bCs/>
          <w:iCs/>
          <w:color w:val="000000"/>
        </w:rPr>
        <w:t xml:space="preserve"> and</w:t>
      </w:r>
      <w:r w:rsidRPr="009D58CA">
        <w:rPr>
          <w:bCs/>
          <w:iCs/>
          <w:color w:val="000000"/>
        </w:rPr>
        <w:t xml:space="preserve"> healthy indoor environments. </w:t>
      </w:r>
      <w:r>
        <w:rPr>
          <w:bCs/>
          <w:iCs/>
          <w:color w:val="000000"/>
        </w:rPr>
        <w:t xml:space="preserve">The </w:t>
      </w:r>
      <w:r w:rsidRPr="001F01BA">
        <w:rPr>
          <w:rFonts w:cstheme="minorHAnsi"/>
          <w:bCs/>
          <w:iCs/>
          <w:color w:val="000000"/>
        </w:rPr>
        <w:t>priority ranking from participants was as follows:</w:t>
      </w:r>
    </w:p>
    <w:p w:rsidRPr="001F01BA" w:rsidR="003B2CEE" w:rsidP="00671233" w:rsidRDefault="003B2CEE" w14:paraId="555B78D6" w14:textId="77777777">
      <w:pPr>
        <w:pStyle w:val="ListParagraph"/>
        <w:numPr>
          <w:ilvl w:val="0"/>
          <w:numId w:val="4"/>
        </w:numPr>
      </w:pPr>
      <w:r w:rsidRPr="001F01BA">
        <w:t>Weatherization Ready</w:t>
      </w:r>
    </w:p>
    <w:p w:rsidRPr="001F01BA" w:rsidR="003B2CEE" w:rsidP="00671233" w:rsidRDefault="003B2CEE" w14:paraId="31378E4C" w14:textId="77777777">
      <w:pPr>
        <w:pStyle w:val="ListParagraph"/>
        <w:numPr>
          <w:ilvl w:val="0"/>
          <w:numId w:val="4"/>
        </w:numPr>
      </w:pPr>
      <w:r w:rsidRPr="001F01BA">
        <w:t>Healthy Indoor Environments</w:t>
      </w:r>
    </w:p>
    <w:p w:rsidRPr="001F01BA" w:rsidR="003B2CEE" w:rsidP="00671233" w:rsidRDefault="003B2CEE" w14:paraId="3B5ACA4F" w14:textId="77777777">
      <w:pPr>
        <w:pStyle w:val="ListParagraph"/>
        <w:numPr>
          <w:ilvl w:val="0"/>
          <w:numId w:val="4"/>
        </w:numPr>
      </w:pPr>
      <w:r w:rsidRPr="001F01BA">
        <w:t>Renewable Energy</w:t>
      </w:r>
    </w:p>
    <w:p w:rsidRPr="001F01BA" w:rsidR="003B2CEE" w:rsidP="00671233" w:rsidRDefault="003B2CEE" w14:paraId="2510043B" w14:textId="77777777">
      <w:pPr>
        <w:pStyle w:val="ListParagraph"/>
        <w:numPr>
          <w:ilvl w:val="0"/>
          <w:numId w:val="4"/>
        </w:numPr>
      </w:pPr>
      <w:r w:rsidRPr="001F01BA">
        <w:t>Hiring and Retention</w:t>
      </w:r>
    </w:p>
    <w:p w:rsidRPr="001F01BA" w:rsidR="003B2CEE" w:rsidP="00671233" w:rsidRDefault="003B2CEE" w14:paraId="727F0281" w14:textId="77777777">
      <w:pPr>
        <w:pStyle w:val="ListParagraph"/>
        <w:numPr>
          <w:ilvl w:val="0"/>
          <w:numId w:val="4"/>
        </w:numPr>
      </w:pPr>
      <w:r w:rsidRPr="001F01BA">
        <w:t>Disseminate New Methods and Best Practices</w:t>
      </w:r>
    </w:p>
    <w:p w:rsidR="003B2CEE" w:rsidP="003B2CEE" w:rsidRDefault="003B2CEE" w14:paraId="0D8FFC1D" w14:textId="59532105">
      <w:pPr>
        <w:rPr>
          <w:bCs/>
          <w:iCs/>
          <w:color w:val="000000"/>
        </w:rPr>
      </w:pPr>
      <w:r w:rsidRPr="001F01BA">
        <w:rPr>
          <w:rFonts w:cstheme="minorHAnsi"/>
          <w:bCs/>
          <w:iCs/>
          <w:color w:val="000000"/>
        </w:rPr>
        <w:t xml:space="preserve">Participants </w:t>
      </w:r>
      <w:r>
        <w:rPr>
          <w:rFonts w:cstheme="minorHAnsi"/>
          <w:bCs/>
          <w:iCs/>
          <w:color w:val="000000"/>
        </w:rPr>
        <w:t xml:space="preserve">also </w:t>
      </w:r>
      <w:r w:rsidRPr="001F01BA">
        <w:rPr>
          <w:rFonts w:cstheme="minorHAnsi"/>
          <w:bCs/>
          <w:iCs/>
          <w:color w:val="000000"/>
        </w:rPr>
        <w:t>provid</w:t>
      </w:r>
      <w:r>
        <w:rPr>
          <w:bCs/>
          <w:iCs/>
          <w:color w:val="000000"/>
        </w:rPr>
        <w:t>ed feedback surrounding alternative methods to calculating cost-effectiveness and cost limits, client equity, collaboration with non-WAP entities, and scalability of projects across the WAP network.</w:t>
      </w:r>
    </w:p>
    <w:p w:rsidRPr="00006E10" w:rsidR="00954EE9" w:rsidP="00F00C23" w:rsidRDefault="00954EE9" w14:paraId="258ADBC3" w14:textId="77777777">
      <w:pPr>
        <w:pStyle w:val="Heading2"/>
      </w:pPr>
      <w:bookmarkStart w:name="_Toc16271327" w:id="10"/>
      <w:r w:rsidRPr="00006E10">
        <w:t>A.9. Payments or Gifts to Respondents</w:t>
      </w:r>
      <w:bookmarkEnd w:id="10"/>
      <w:r w:rsidRPr="00006E10">
        <w:t xml:space="preserve"> </w:t>
      </w:r>
    </w:p>
    <w:p w:rsidRPr="004E6242" w:rsidR="00954EE9" w:rsidP="00954EE9" w:rsidRDefault="00954EE9" w14:paraId="5B1D7CF6" w14:textId="77777777">
      <w:r w:rsidRPr="004E6242">
        <w:rPr>
          <w:b/>
          <w:bCs/>
        </w:rPr>
        <w:t xml:space="preserve">Explain any decision to provide any payment or gift to respondents, other than remuneration of contractors or grantees. </w:t>
      </w:r>
    </w:p>
    <w:p w:rsidR="00954EE9" w:rsidP="00006E10" w:rsidRDefault="00006E10" w14:paraId="34814611" w14:textId="15968F63">
      <w:r w:rsidRPr="002950AF">
        <w:t>No payment or gift is being provided to the respondents.</w:t>
      </w:r>
    </w:p>
    <w:p w:rsidR="00954EE9" w:rsidP="00F00C23" w:rsidRDefault="00954EE9" w14:paraId="5E69D0A4" w14:textId="77777777">
      <w:pPr>
        <w:pStyle w:val="Heading2"/>
      </w:pPr>
      <w:bookmarkStart w:name="_Toc16271328" w:id="11"/>
      <w:r>
        <w:t>A.</w:t>
      </w:r>
      <w:r w:rsidRPr="00A41763">
        <w:t xml:space="preserve">10. </w:t>
      </w:r>
      <w:r w:rsidRPr="008C734C">
        <w:t>Provisions for Protection of Information</w:t>
      </w:r>
      <w:bookmarkEnd w:id="11"/>
      <w:r w:rsidRPr="008C734C">
        <w:t xml:space="preserve"> </w:t>
      </w:r>
    </w:p>
    <w:p w:rsidRPr="00A41763" w:rsidR="00954EE9" w:rsidP="00954EE9" w:rsidRDefault="00954EE9" w14:paraId="1C7614F2" w14:textId="77777777">
      <w:r w:rsidRPr="00A41763">
        <w:rPr>
          <w:b/>
          <w:bCs/>
        </w:rPr>
        <w:t xml:space="preserve">Describe any assurance of confidentiality provided to respondents and the basis for the assurance in statute, regulation, or agency policy. </w:t>
      </w:r>
    </w:p>
    <w:p w:rsidR="008D562F" w:rsidP="008D562F" w:rsidRDefault="008D562F" w14:paraId="4E49DF86" w14:textId="080DB9E7">
      <w:r w:rsidRPr="002950AF">
        <w:t xml:space="preserve">There is no identifiable confidential information being requested. </w:t>
      </w:r>
    </w:p>
    <w:p w:rsidR="00954EE9" w:rsidP="00F00C23" w:rsidRDefault="00954EE9" w14:paraId="01422670" w14:textId="77777777">
      <w:pPr>
        <w:pStyle w:val="Heading2"/>
      </w:pPr>
      <w:bookmarkStart w:name="_Toc16271329" w:id="12"/>
      <w:r>
        <w:t>A.</w:t>
      </w:r>
      <w:r w:rsidRPr="00A41763">
        <w:t xml:space="preserve">11. </w:t>
      </w:r>
      <w:r w:rsidRPr="00F056C3">
        <w:t>Justification for Sensitive Questions</w:t>
      </w:r>
      <w:bookmarkEnd w:id="12"/>
      <w:r w:rsidRPr="00F056C3">
        <w:t xml:space="preserve"> </w:t>
      </w:r>
    </w:p>
    <w:p w:rsidRPr="00A41763" w:rsidR="00954EE9" w:rsidP="00954EE9" w:rsidRDefault="00954EE9" w14:paraId="61C949C9" w14:textId="77777777">
      <w:r w:rsidRPr="00A41763">
        <w:rPr>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Pr>
          <w:b/>
          <w:bCs/>
        </w:rPr>
        <w:t>s to be made of the information</w:t>
      </w:r>
      <w:r w:rsidRPr="00A41763">
        <w:rPr>
          <w:b/>
          <w:bCs/>
        </w:rPr>
        <w:t xml:space="preserve">, the explanation to be given to persons from whom the information is requested, and any steps to be taken to obtain their consent. </w:t>
      </w:r>
    </w:p>
    <w:p w:rsidR="00954EE9" w:rsidP="00954EE9" w:rsidRDefault="004E6242" w14:paraId="3896C3DD" w14:textId="7DE6F443">
      <w:r w:rsidRPr="004E6242">
        <w:t>There are no questions of a sensitive nature.</w:t>
      </w:r>
    </w:p>
    <w:p w:rsidR="001A3156" w:rsidP="00954EE9" w:rsidRDefault="001A3156" w14:paraId="2035B942" w14:textId="20C5D8BA"/>
    <w:p w:rsidR="00954EE9" w:rsidP="00F00C23" w:rsidRDefault="00954EE9" w14:paraId="0AE4B9A0" w14:textId="77777777">
      <w:pPr>
        <w:pStyle w:val="Heading2"/>
      </w:pPr>
      <w:bookmarkStart w:name="_Toc16271330" w:id="13"/>
      <w:r w:rsidRPr="00922302">
        <w:t>A.12A. Estimate of Respondent Burden Hours</w:t>
      </w:r>
      <w:bookmarkEnd w:id="13"/>
      <w:r w:rsidRPr="00F056C3">
        <w:t xml:space="preserve"> </w:t>
      </w:r>
    </w:p>
    <w:p w:rsidR="00954EE9" w:rsidP="00954EE9" w:rsidRDefault="00954EE9" w14:paraId="03B1EC6C" w14:textId="77777777">
      <w:pPr>
        <w:pStyle w:val="Default"/>
      </w:pPr>
      <w:r w:rsidRPr="00A41763">
        <w:rPr>
          <w:b/>
          <w:bCs/>
        </w:rPr>
        <w:t xml:space="preserve">Provide estimates of the hour burden of the collection of information. The statement should indicate the number of respondents, frequency of response, annual hour burden, and </w:t>
      </w:r>
      <w:r w:rsidRPr="00537A91">
        <w:rPr>
          <w:b/>
          <w:bCs/>
          <w:u w:val="single"/>
        </w:rPr>
        <w:t>an explanation of how the burden was estimated</w:t>
      </w:r>
      <w:r w:rsidRPr="00A41763">
        <w:rPr>
          <w:b/>
          <w:bCs/>
        </w:rPr>
        <w:t xml:space="preserve">. Unless directed to do so, DOE should not conduct special surveys to obtain information on which to base hour burden estimates. Consultation with a sample fewer than 10 potential respondents is desirable. </w:t>
      </w:r>
    </w:p>
    <w:p w:rsidR="00666C5D" w:rsidP="00922302" w:rsidRDefault="00666C5D" w14:paraId="6E87CEE5" w14:textId="77777777">
      <w:pPr>
        <w:rPr>
          <w:b/>
          <w:bCs/>
        </w:rPr>
      </w:pPr>
    </w:p>
    <w:p w:rsidR="00922302" w:rsidP="00922302" w:rsidRDefault="00922302" w14:paraId="4EF3CD72" w14:textId="4BB12462">
      <w:r w:rsidRPr="002950AF">
        <w:t xml:space="preserve">The number of </w:t>
      </w:r>
      <w:r>
        <w:t>E&amp;I Grantees is estimated to be 14 per annual appropriation (currently FY2021 funds are allocated for E&amp;I). Each form will have a burden for the Grantee and for the DOE Pr</w:t>
      </w:r>
      <w:r w:rsidR="00307A59">
        <w:t>oject Officer</w:t>
      </w:r>
      <w:r>
        <w:t xml:space="preserve">. Below is an explanation of the hour estimates required for each form. </w:t>
      </w:r>
    </w:p>
    <w:tbl>
      <w:tblPr>
        <w:tblStyle w:val="GridTable1Light"/>
        <w:tblW w:w="0" w:type="auto"/>
        <w:tblInd w:w="607" w:type="dxa"/>
        <w:tblLook w:val="04A0" w:firstRow="1" w:lastRow="0" w:firstColumn="1" w:lastColumn="0" w:noHBand="0" w:noVBand="1"/>
      </w:tblPr>
      <w:tblGrid>
        <w:gridCol w:w="3258"/>
        <w:gridCol w:w="1454"/>
      </w:tblGrid>
      <w:tr w:rsidR="00A84754" w:rsidTr="00A84754" w14:paraId="58AFCC0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rsidR="00A84754" w:rsidP="00972CDC" w:rsidRDefault="00A84754" w14:paraId="7A1D6B2C" w14:textId="77777777">
            <w:r>
              <w:t>E&amp;I Form</w:t>
            </w:r>
          </w:p>
        </w:tc>
        <w:tc>
          <w:tcPr>
            <w:tcW w:w="1454" w:type="dxa"/>
          </w:tcPr>
          <w:p w:rsidR="00A84754" w:rsidP="00972CDC" w:rsidRDefault="00A84754" w14:paraId="55A5723E" w14:textId="124489D9">
            <w:pPr>
              <w:jc w:val="center"/>
              <w:cnfStyle w:val="100000000000" w:firstRow="1" w:lastRow="0" w:firstColumn="0" w:lastColumn="0" w:oddVBand="0" w:evenVBand="0" w:oddHBand="0" w:evenHBand="0" w:firstRowFirstColumn="0" w:firstRowLastColumn="0" w:lastRowFirstColumn="0" w:lastRowLastColumn="0"/>
            </w:pPr>
            <w:r>
              <w:t>Grantee Hour Burden (Respondent)</w:t>
            </w:r>
          </w:p>
        </w:tc>
      </w:tr>
      <w:tr w:rsidR="00A84754" w:rsidTr="00A84754" w14:paraId="18BE11C6" w14:textId="77777777">
        <w:tc>
          <w:tcPr>
            <w:cnfStyle w:val="001000000000" w:firstRow="0" w:lastRow="0" w:firstColumn="1" w:lastColumn="0" w:oddVBand="0" w:evenVBand="0" w:oddHBand="0" w:evenHBand="0" w:firstRowFirstColumn="0" w:firstRowLastColumn="0" w:lastRowFirstColumn="0" w:lastRowLastColumn="0"/>
            <w:tcW w:w="3258" w:type="dxa"/>
          </w:tcPr>
          <w:p w:rsidR="00A84754" w:rsidP="00972CDC" w:rsidRDefault="00A84754" w14:paraId="6B33B6BB" w14:textId="61975086">
            <w:r>
              <w:t>Grant File Worksheet (GF)</w:t>
            </w:r>
          </w:p>
        </w:tc>
        <w:tc>
          <w:tcPr>
            <w:tcW w:w="1454" w:type="dxa"/>
          </w:tcPr>
          <w:p w:rsidR="00A84754" w:rsidP="00972CDC" w:rsidRDefault="00A84754" w14:paraId="39F623FD" w14:textId="77777777">
            <w:pPr>
              <w:jc w:val="center"/>
              <w:cnfStyle w:val="000000000000" w:firstRow="0" w:lastRow="0" w:firstColumn="0" w:lastColumn="0" w:oddVBand="0" w:evenVBand="0" w:oddHBand="0" w:evenHBand="0" w:firstRowFirstColumn="0" w:firstRowLastColumn="0" w:lastRowFirstColumn="0" w:lastRowLastColumn="0"/>
            </w:pPr>
            <w:r>
              <w:t>3</w:t>
            </w:r>
          </w:p>
        </w:tc>
      </w:tr>
      <w:tr w:rsidR="00A84754" w:rsidTr="00A84754" w14:paraId="0E1968E8" w14:textId="77777777">
        <w:tc>
          <w:tcPr>
            <w:cnfStyle w:val="001000000000" w:firstRow="0" w:lastRow="0" w:firstColumn="1" w:lastColumn="0" w:oddVBand="0" w:evenVBand="0" w:oddHBand="0" w:evenHBand="0" w:firstRowFirstColumn="0" w:firstRowLastColumn="0" w:lastRowFirstColumn="0" w:lastRowLastColumn="0"/>
            <w:tcW w:w="3258" w:type="dxa"/>
          </w:tcPr>
          <w:p w:rsidR="00A84754" w:rsidP="00972CDC" w:rsidRDefault="00A84754" w14:paraId="4C66DE7E" w14:textId="4CC720A0">
            <w:r>
              <w:t>Subgrantee Worksheet (SW)</w:t>
            </w:r>
          </w:p>
        </w:tc>
        <w:tc>
          <w:tcPr>
            <w:tcW w:w="1454" w:type="dxa"/>
          </w:tcPr>
          <w:p w:rsidR="00A84754" w:rsidP="00972CDC" w:rsidRDefault="00A84754" w14:paraId="2172783E" w14:textId="4D89EE5B">
            <w:pPr>
              <w:jc w:val="center"/>
              <w:cnfStyle w:val="000000000000" w:firstRow="0" w:lastRow="0" w:firstColumn="0" w:lastColumn="0" w:oddVBand="0" w:evenVBand="0" w:oddHBand="0" w:evenHBand="0" w:firstRowFirstColumn="0" w:firstRowLastColumn="0" w:lastRowFirstColumn="0" w:lastRowLastColumn="0"/>
            </w:pPr>
            <w:r>
              <w:t>2</w:t>
            </w:r>
          </w:p>
        </w:tc>
      </w:tr>
      <w:tr w:rsidR="00A84754" w:rsidTr="00A84754" w14:paraId="77D5E7C3" w14:textId="77777777">
        <w:tc>
          <w:tcPr>
            <w:cnfStyle w:val="001000000000" w:firstRow="0" w:lastRow="0" w:firstColumn="1" w:lastColumn="0" w:oddVBand="0" w:evenVBand="0" w:oddHBand="0" w:evenHBand="0" w:firstRowFirstColumn="0" w:firstRowLastColumn="0" w:lastRowFirstColumn="0" w:lastRowLastColumn="0"/>
            <w:tcW w:w="3258" w:type="dxa"/>
          </w:tcPr>
          <w:p w:rsidR="00A84754" w:rsidP="00972CDC" w:rsidRDefault="00A84754" w14:paraId="4EBC85BC" w14:textId="3AA658E6">
            <w:r>
              <w:t>Quarterly Performance Report (QPR)</w:t>
            </w:r>
          </w:p>
        </w:tc>
        <w:tc>
          <w:tcPr>
            <w:tcW w:w="1454" w:type="dxa"/>
          </w:tcPr>
          <w:p w:rsidR="00A84754" w:rsidP="00972CDC" w:rsidRDefault="00A84754" w14:paraId="31636EF7" w14:textId="77777777">
            <w:pPr>
              <w:jc w:val="center"/>
              <w:cnfStyle w:val="000000000000" w:firstRow="0" w:lastRow="0" w:firstColumn="0" w:lastColumn="0" w:oddVBand="0" w:evenVBand="0" w:oddHBand="0" w:evenHBand="0" w:firstRowFirstColumn="0" w:firstRowLastColumn="0" w:lastRowFirstColumn="0" w:lastRowLastColumn="0"/>
            </w:pPr>
            <w:r>
              <w:t>4</w:t>
            </w:r>
          </w:p>
        </w:tc>
      </w:tr>
      <w:tr w:rsidR="00A84754" w:rsidTr="00A84754" w14:paraId="1422EBE1" w14:textId="77777777">
        <w:tc>
          <w:tcPr>
            <w:cnfStyle w:val="001000000000" w:firstRow="0" w:lastRow="0" w:firstColumn="1" w:lastColumn="0" w:oddVBand="0" w:evenVBand="0" w:oddHBand="0" w:evenHBand="0" w:firstRowFirstColumn="0" w:firstRowLastColumn="0" w:lastRowFirstColumn="0" w:lastRowLastColumn="0"/>
            <w:tcW w:w="3258" w:type="dxa"/>
          </w:tcPr>
          <w:p w:rsidR="00A84754" w:rsidP="00972CDC" w:rsidRDefault="00A84754" w14:paraId="3CC67F51" w14:textId="17C57EEE">
            <w:r>
              <w:t>Annual Report (AR)</w:t>
            </w:r>
          </w:p>
        </w:tc>
        <w:tc>
          <w:tcPr>
            <w:tcW w:w="1454" w:type="dxa"/>
          </w:tcPr>
          <w:p w:rsidR="00A84754" w:rsidP="00972CDC" w:rsidRDefault="00A84754" w14:paraId="260F140E" w14:textId="77777777">
            <w:pPr>
              <w:jc w:val="center"/>
              <w:cnfStyle w:val="000000000000" w:firstRow="0" w:lastRow="0" w:firstColumn="0" w:lastColumn="0" w:oddVBand="0" w:evenVBand="0" w:oddHBand="0" w:evenHBand="0" w:firstRowFirstColumn="0" w:firstRowLastColumn="0" w:lastRowFirstColumn="0" w:lastRowLastColumn="0"/>
            </w:pPr>
            <w:r>
              <w:t>16</w:t>
            </w:r>
          </w:p>
        </w:tc>
      </w:tr>
      <w:tr w:rsidR="00A84754" w:rsidTr="00A84754" w14:paraId="11451E26" w14:textId="77777777">
        <w:tc>
          <w:tcPr>
            <w:cnfStyle w:val="001000000000" w:firstRow="0" w:lastRow="0" w:firstColumn="1" w:lastColumn="0" w:oddVBand="0" w:evenVBand="0" w:oddHBand="0" w:evenHBand="0" w:firstRowFirstColumn="0" w:firstRowLastColumn="0" w:lastRowFirstColumn="0" w:lastRowLastColumn="0"/>
            <w:tcW w:w="3258" w:type="dxa"/>
          </w:tcPr>
          <w:p w:rsidR="00A84754" w:rsidP="00972CDC" w:rsidRDefault="00A84754" w14:paraId="1ABFE112" w14:textId="6D08BF47">
            <w:r>
              <w:t>Historic Preservation Annual Report (HPR)</w:t>
            </w:r>
          </w:p>
        </w:tc>
        <w:tc>
          <w:tcPr>
            <w:tcW w:w="1454" w:type="dxa"/>
          </w:tcPr>
          <w:p w:rsidR="00A84754" w:rsidP="00972CDC" w:rsidRDefault="00A84754" w14:paraId="4E2A2A35" w14:textId="6FDDD655">
            <w:pPr>
              <w:jc w:val="center"/>
              <w:cnfStyle w:val="000000000000" w:firstRow="0" w:lastRow="0" w:firstColumn="0" w:lastColumn="0" w:oddVBand="0" w:evenVBand="0" w:oddHBand="0" w:evenHBand="0" w:firstRowFirstColumn="0" w:firstRowLastColumn="0" w:lastRowFirstColumn="0" w:lastRowLastColumn="0"/>
            </w:pPr>
            <w:r>
              <w:t>2</w:t>
            </w:r>
          </w:p>
        </w:tc>
      </w:tr>
    </w:tbl>
    <w:p w:rsidR="00922302" w:rsidP="00922302" w:rsidRDefault="00922302" w14:paraId="23A24464" w14:textId="77777777">
      <w:pPr>
        <w:rPr>
          <w:b/>
          <w:bCs/>
        </w:rPr>
      </w:pPr>
    </w:p>
    <w:p w:rsidR="00922302" w:rsidP="00922302" w:rsidRDefault="00922302" w14:paraId="232666BA" w14:textId="12258825">
      <w:r w:rsidRPr="00216439">
        <w:t>The Enhancement and Innovation (E&amp;I)</w:t>
      </w:r>
      <w:r>
        <w:t xml:space="preserve"> Grants are anticipated to be awarded annually, with 14 grantees each year: 14 grantees in year one, 28 grantees in year two, and 42 grantees in year three. For the purposes of developing the annual burden hour estimate the me</w:t>
      </w:r>
      <w:r w:rsidR="00F56AF5">
        <w:t>an</w:t>
      </w:r>
      <w:r>
        <w:t xml:space="preserve"> number of Grantees (28) is used as the number of respondents.  </w:t>
      </w:r>
    </w:p>
    <w:p w:rsidR="00922302" w:rsidP="00954EE9" w:rsidRDefault="00922302" w14:paraId="11620433" w14:textId="2625F6AA">
      <w:r w:rsidRPr="009D08EE">
        <w:t>Historic preservation reporting will only apply to awards where work is being done in residential buildings, and not the workforce development topic area.</w:t>
      </w:r>
      <w:r>
        <w:t xml:space="preserve"> We estimate annually awarding 4 grants in the workforce development topic area, and 10 grants in other focus areas that will be installing measures in residential buildings and therefore be subject to historic preservation reporting requirements. </w:t>
      </w:r>
      <w:r w:rsidRPr="009D08EE">
        <w:t xml:space="preserve"> </w:t>
      </w:r>
      <w:r>
        <w:t>For the purposes of developing the annual burden hour estimate</w:t>
      </w:r>
      <w:r w:rsidR="00216439">
        <w:t>,</w:t>
      </w:r>
      <w:r>
        <w:t xml:space="preserve"> the median number of Grantees (20) is used as the number of respondents. </w:t>
      </w:r>
    </w:p>
    <w:p w:rsidR="00996681" w:rsidP="00996681" w:rsidRDefault="000F6FA3" w14:paraId="07D2E9E4" w14:textId="5F16A948">
      <w:r>
        <w:t>Thus,</w:t>
      </w:r>
      <w:r w:rsidR="00996681">
        <w:t xml:space="preserve"> the respondent hour calculation is as follows:</w:t>
      </w:r>
    </w:p>
    <w:p w:rsidR="00B10818" w:rsidP="00B10818" w:rsidRDefault="00B10818" w14:paraId="00207F9F" w14:textId="35F8025C">
      <w:r>
        <w:t xml:space="preserve">E&amp;I QPR: 28 respondents x 4 quarters = </w:t>
      </w:r>
      <w:r w:rsidR="00607A9F">
        <w:t>112</w:t>
      </w:r>
      <w:r>
        <w:t xml:space="preserve"> responses, </w:t>
      </w:r>
      <w:r w:rsidR="00607A9F">
        <w:t>112</w:t>
      </w:r>
      <w:r>
        <w:t xml:space="preserve"> responses x </w:t>
      </w:r>
      <w:r w:rsidR="00F87086">
        <w:t>4</w:t>
      </w:r>
      <w:r>
        <w:t xml:space="preserve">hrs = </w:t>
      </w:r>
      <w:r w:rsidR="00F87086">
        <w:rPr>
          <w:u w:val="single"/>
        </w:rPr>
        <w:t>448</w:t>
      </w:r>
    </w:p>
    <w:p w:rsidR="00B10818" w:rsidP="00B10818" w:rsidRDefault="00607A9F" w14:paraId="79CCB9BF" w14:textId="234A4EFC">
      <w:pPr>
        <w:rPr>
          <w:u w:val="single"/>
        </w:rPr>
      </w:pPr>
      <w:r>
        <w:lastRenderedPageBreak/>
        <w:t>E&amp;I</w:t>
      </w:r>
      <w:r w:rsidR="00B10818">
        <w:t xml:space="preserve"> A</w:t>
      </w:r>
      <w:r>
        <w:t>R</w:t>
      </w:r>
      <w:r w:rsidR="00B10818">
        <w:t>: 2</w:t>
      </w:r>
      <w:r>
        <w:t>8</w:t>
      </w:r>
      <w:r w:rsidR="00B10818">
        <w:t xml:space="preserve"> respondents x 1 annual response = 2</w:t>
      </w:r>
      <w:r>
        <w:t>8</w:t>
      </w:r>
      <w:r w:rsidR="00B10818">
        <w:t xml:space="preserve"> responses, 2</w:t>
      </w:r>
      <w:r>
        <w:t>8</w:t>
      </w:r>
      <w:r w:rsidR="00B10818">
        <w:t xml:space="preserve"> responses x </w:t>
      </w:r>
      <w:r>
        <w:t>1</w:t>
      </w:r>
      <w:r w:rsidR="00F87086">
        <w:t>6</w:t>
      </w:r>
      <w:r w:rsidR="00B10818">
        <w:t xml:space="preserve">hrs = </w:t>
      </w:r>
      <w:r w:rsidR="00F87086">
        <w:rPr>
          <w:u w:val="single"/>
        </w:rPr>
        <w:t>448</w:t>
      </w:r>
    </w:p>
    <w:p w:rsidR="00CD0EC4" w:rsidP="00B10818" w:rsidRDefault="00CD0EC4" w14:paraId="3C91469E" w14:textId="274FC5C6">
      <w:pPr>
        <w:rPr>
          <w:u w:val="single"/>
        </w:rPr>
      </w:pPr>
      <w:r>
        <w:t xml:space="preserve">E&amp;I </w:t>
      </w:r>
      <w:r w:rsidR="007C561C">
        <w:t>G</w:t>
      </w:r>
      <w:r w:rsidR="000420A9">
        <w:t>F</w:t>
      </w:r>
      <w:r>
        <w:t xml:space="preserve">: 28 respondents x 1 annual response = 28 responses, 28 responses x </w:t>
      </w:r>
      <w:r w:rsidR="00F87086">
        <w:t>3</w:t>
      </w:r>
      <w:r>
        <w:t xml:space="preserve">hrs = </w:t>
      </w:r>
      <w:r w:rsidR="00F87086">
        <w:rPr>
          <w:u w:val="single"/>
        </w:rPr>
        <w:t>84</w:t>
      </w:r>
    </w:p>
    <w:p w:rsidR="000420A9" w:rsidP="00B10818" w:rsidRDefault="000420A9" w14:paraId="6378C3BC" w14:textId="0CE492EC">
      <w:pPr>
        <w:rPr>
          <w:u w:val="single"/>
        </w:rPr>
      </w:pPr>
      <w:r>
        <w:t xml:space="preserve">E&amp;I SW: 28 respondents x 1 annual response = 28 responses, 28 responses x </w:t>
      </w:r>
      <w:r w:rsidR="00F87086">
        <w:t>2</w:t>
      </w:r>
      <w:r>
        <w:t xml:space="preserve">hrs = </w:t>
      </w:r>
      <w:r w:rsidR="00F87086">
        <w:rPr>
          <w:u w:val="single"/>
        </w:rPr>
        <w:t>56</w:t>
      </w:r>
    </w:p>
    <w:p w:rsidR="00607A9F" w:rsidP="00B10818" w:rsidRDefault="00607A9F" w14:paraId="0BDCC252" w14:textId="3A0B48A7">
      <w:pPr>
        <w:rPr>
          <w:u w:val="single"/>
        </w:rPr>
      </w:pPr>
      <w:r>
        <w:t xml:space="preserve">E&amp;I HPR: 20 respondents x 1 annual response = 20 responses, 20 responses x </w:t>
      </w:r>
      <w:r w:rsidR="00F87086">
        <w:t>2</w:t>
      </w:r>
      <w:r>
        <w:t xml:space="preserve">hrs = </w:t>
      </w:r>
      <w:r w:rsidR="00F87086">
        <w:rPr>
          <w:u w:val="single"/>
        </w:rPr>
        <w:t>40</w:t>
      </w:r>
    </w:p>
    <w:p w:rsidRPr="00B10818" w:rsidR="00B10818" w:rsidP="00B10818" w:rsidRDefault="00B10818" w14:paraId="3DFEBD10" w14:textId="615D6EDF">
      <w:pPr>
        <w:rPr>
          <w:i/>
          <w:iCs/>
          <w:u w:val="single"/>
        </w:rPr>
      </w:pPr>
      <w:r w:rsidRPr="00B10818">
        <w:rPr>
          <w:i/>
          <w:iCs/>
          <w:u w:val="single"/>
        </w:rPr>
        <w:t xml:space="preserve">The total </w:t>
      </w:r>
      <w:r w:rsidR="00DF3F54">
        <w:rPr>
          <w:i/>
          <w:iCs/>
          <w:u w:val="single"/>
        </w:rPr>
        <w:t xml:space="preserve">respondent </w:t>
      </w:r>
      <w:r w:rsidRPr="00B10818">
        <w:rPr>
          <w:i/>
          <w:iCs/>
          <w:u w:val="single"/>
        </w:rPr>
        <w:t xml:space="preserve">hours of burden for all </w:t>
      </w:r>
      <w:r w:rsidR="00607A9F">
        <w:rPr>
          <w:i/>
          <w:iCs/>
          <w:u w:val="single"/>
        </w:rPr>
        <w:t>E&amp;I</w:t>
      </w:r>
      <w:r w:rsidRPr="00B10818">
        <w:rPr>
          <w:i/>
          <w:iCs/>
          <w:u w:val="single"/>
        </w:rPr>
        <w:t xml:space="preserve"> forms </w:t>
      </w:r>
      <w:proofErr w:type="gramStart"/>
      <w:r w:rsidRPr="00B10818">
        <w:rPr>
          <w:i/>
          <w:iCs/>
          <w:u w:val="single"/>
        </w:rPr>
        <w:t>is</w:t>
      </w:r>
      <w:proofErr w:type="gramEnd"/>
      <w:r w:rsidRPr="00B10818">
        <w:rPr>
          <w:i/>
          <w:iCs/>
          <w:u w:val="single"/>
        </w:rPr>
        <w:t xml:space="preserve"> estimated to be </w:t>
      </w:r>
      <w:r w:rsidR="00F87086">
        <w:rPr>
          <w:i/>
          <w:iCs/>
          <w:u w:val="single"/>
        </w:rPr>
        <w:t>448</w:t>
      </w:r>
      <w:r w:rsidR="00F21CBC">
        <w:rPr>
          <w:i/>
          <w:iCs/>
          <w:u w:val="single"/>
        </w:rPr>
        <w:t xml:space="preserve"> + </w:t>
      </w:r>
      <w:r w:rsidR="00F87086">
        <w:rPr>
          <w:i/>
          <w:iCs/>
          <w:u w:val="single"/>
        </w:rPr>
        <w:t>448</w:t>
      </w:r>
      <w:r w:rsidR="00F21CBC">
        <w:rPr>
          <w:i/>
          <w:iCs/>
          <w:u w:val="single"/>
        </w:rPr>
        <w:t xml:space="preserve"> + </w:t>
      </w:r>
      <w:r w:rsidR="00F87086">
        <w:rPr>
          <w:i/>
          <w:iCs/>
          <w:u w:val="single"/>
        </w:rPr>
        <w:t>84</w:t>
      </w:r>
      <w:r w:rsidR="00F21CBC">
        <w:rPr>
          <w:i/>
          <w:iCs/>
          <w:u w:val="single"/>
        </w:rPr>
        <w:t xml:space="preserve"> + </w:t>
      </w:r>
      <w:r w:rsidR="00F87086">
        <w:rPr>
          <w:i/>
          <w:iCs/>
          <w:u w:val="single"/>
        </w:rPr>
        <w:t>56</w:t>
      </w:r>
      <w:r w:rsidR="000420A9">
        <w:rPr>
          <w:i/>
          <w:iCs/>
          <w:u w:val="single"/>
        </w:rPr>
        <w:t xml:space="preserve"> + </w:t>
      </w:r>
      <w:r w:rsidR="00F87086">
        <w:rPr>
          <w:i/>
          <w:iCs/>
          <w:u w:val="single"/>
        </w:rPr>
        <w:t>40</w:t>
      </w:r>
      <w:r w:rsidRPr="00B10818">
        <w:rPr>
          <w:i/>
          <w:iCs/>
          <w:u w:val="single"/>
        </w:rPr>
        <w:t xml:space="preserve"> = </w:t>
      </w:r>
      <w:r w:rsidR="006C2063">
        <w:rPr>
          <w:b/>
          <w:bCs/>
          <w:i/>
          <w:iCs/>
          <w:u w:val="single"/>
        </w:rPr>
        <w:t>1076</w:t>
      </w:r>
      <w:r w:rsidRPr="00B10818">
        <w:rPr>
          <w:i/>
          <w:iCs/>
          <w:u w:val="single"/>
        </w:rPr>
        <w:t xml:space="preserve">. </w:t>
      </w:r>
    </w:p>
    <w:p w:rsidR="001B2E58" w:rsidP="00922302" w:rsidRDefault="00922302" w14:paraId="3B1E312B" w14:textId="7CE863BC">
      <w:r w:rsidRPr="002950AF">
        <w:t>The number of</w:t>
      </w:r>
      <w:r>
        <w:t xml:space="preserve"> SERC Grantees is estimated to be </w:t>
      </w:r>
      <w:r w:rsidR="00006E10">
        <w:t>1</w:t>
      </w:r>
      <w:r w:rsidR="00CE2B1D">
        <w:t>2</w:t>
      </w:r>
      <w:r>
        <w:t xml:space="preserve"> per annual appropriation</w:t>
      </w:r>
      <w:r w:rsidRPr="00006E10" w:rsidR="00006E10">
        <w:t xml:space="preserve"> </w:t>
      </w:r>
      <w:r w:rsidR="00006E10">
        <w:t xml:space="preserve">(currently FY2021 funds are allocated for E&amp;I). </w:t>
      </w:r>
      <w:r>
        <w:t xml:space="preserve">Each form will have a burden for the Grantee and for the </w:t>
      </w:r>
      <w:r w:rsidRPr="00EA7FFD">
        <w:t>DOE Pro</w:t>
      </w:r>
      <w:r w:rsidR="00CA42DA">
        <w:t>ject Officer</w:t>
      </w:r>
      <w:r>
        <w:t xml:space="preserve">. Below is an explanation of the hour estimates required for each form. </w:t>
      </w:r>
    </w:p>
    <w:tbl>
      <w:tblPr>
        <w:tblStyle w:val="GridTable1Light"/>
        <w:tblW w:w="0" w:type="auto"/>
        <w:tblInd w:w="607" w:type="dxa"/>
        <w:tblLook w:val="04A0" w:firstRow="1" w:lastRow="0" w:firstColumn="1" w:lastColumn="0" w:noHBand="0" w:noVBand="1"/>
      </w:tblPr>
      <w:tblGrid>
        <w:gridCol w:w="3258"/>
        <w:gridCol w:w="1454"/>
      </w:tblGrid>
      <w:tr w:rsidR="00A84754" w:rsidTr="00A84754" w14:paraId="25CAC77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rsidR="00A84754" w:rsidP="006C7C05" w:rsidRDefault="00A84754" w14:paraId="7A5F9F0B" w14:textId="56D382DE">
            <w:r>
              <w:t>SERC Form</w:t>
            </w:r>
          </w:p>
        </w:tc>
        <w:tc>
          <w:tcPr>
            <w:tcW w:w="1454" w:type="dxa"/>
          </w:tcPr>
          <w:p w:rsidR="00A84754" w:rsidP="006C7C05" w:rsidRDefault="00A84754" w14:paraId="4165738A" w14:textId="436AC54A">
            <w:pPr>
              <w:jc w:val="center"/>
              <w:cnfStyle w:val="100000000000" w:firstRow="1" w:lastRow="0" w:firstColumn="0" w:lastColumn="0" w:oddVBand="0" w:evenVBand="0" w:oddHBand="0" w:evenHBand="0" w:firstRowFirstColumn="0" w:firstRowLastColumn="0" w:lastRowFirstColumn="0" w:lastRowLastColumn="0"/>
            </w:pPr>
            <w:r>
              <w:t>Grantee (Respondent)</w:t>
            </w:r>
          </w:p>
        </w:tc>
      </w:tr>
      <w:tr w:rsidR="00A84754" w:rsidTr="00A84754" w14:paraId="3BCDD704" w14:textId="77777777">
        <w:tc>
          <w:tcPr>
            <w:cnfStyle w:val="001000000000" w:firstRow="0" w:lastRow="0" w:firstColumn="1" w:lastColumn="0" w:oddVBand="0" w:evenVBand="0" w:oddHBand="0" w:evenHBand="0" w:firstRowFirstColumn="0" w:firstRowLastColumn="0" w:lastRowFirstColumn="0" w:lastRowLastColumn="0"/>
            <w:tcW w:w="3258" w:type="dxa"/>
          </w:tcPr>
          <w:p w:rsidR="00A84754" w:rsidP="006C7C05" w:rsidRDefault="00A84754" w14:paraId="5561FD4B" w14:textId="64603A45">
            <w:r>
              <w:t>Quarterly Performance Report (QPR)</w:t>
            </w:r>
          </w:p>
        </w:tc>
        <w:tc>
          <w:tcPr>
            <w:tcW w:w="1454" w:type="dxa"/>
          </w:tcPr>
          <w:p w:rsidRPr="00922302" w:rsidR="00A84754" w:rsidP="006C7C05" w:rsidRDefault="00A84754" w14:paraId="2B3F0FF9" w14:textId="38B84E46">
            <w:pPr>
              <w:jc w:val="center"/>
              <w:cnfStyle w:val="000000000000" w:firstRow="0" w:lastRow="0" w:firstColumn="0" w:lastColumn="0" w:oddVBand="0" w:evenVBand="0" w:oddHBand="0" w:evenHBand="0" w:firstRowFirstColumn="0" w:firstRowLastColumn="0" w:lastRowFirstColumn="0" w:lastRowLastColumn="0"/>
              <w:rPr>
                <w:highlight w:val="yellow"/>
              </w:rPr>
            </w:pPr>
            <w:r w:rsidRPr="006756A9">
              <w:t>4</w:t>
            </w:r>
          </w:p>
        </w:tc>
      </w:tr>
      <w:tr w:rsidR="00A84754" w:rsidTr="00A84754" w14:paraId="11920CFD" w14:textId="77777777">
        <w:tc>
          <w:tcPr>
            <w:cnfStyle w:val="001000000000" w:firstRow="0" w:lastRow="0" w:firstColumn="1" w:lastColumn="0" w:oddVBand="0" w:evenVBand="0" w:oddHBand="0" w:evenHBand="0" w:firstRowFirstColumn="0" w:firstRowLastColumn="0" w:lastRowFirstColumn="0" w:lastRowLastColumn="0"/>
            <w:tcW w:w="3258" w:type="dxa"/>
          </w:tcPr>
          <w:p w:rsidR="00A84754" w:rsidP="006C7C05" w:rsidRDefault="00A84754" w14:paraId="7122F3A7" w14:textId="7AD362B9">
            <w:r>
              <w:t>Annual File Worksheet (AF)</w:t>
            </w:r>
          </w:p>
        </w:tc>
        <w:tc>
          <w:tcPr>
            <w:tcW w:w="1454" w:type="dxa"/>
          </w:tcPr>
          <w:p w:rsidRPr="006756A9" w:rsidR="00A84754" w:rsidP="006C7C05" w:rsidRDefault="00A84754" w14:paraId="64EA519D" w14:textId="22F0867B">
            <w:pPr>
              <w:jc w:val="center"/>
              <w:cnfStyle w:val="000000000000" w:firstRow="0" w:lastRow="0" w:firstColumn="0" w:lastColumn="0" w:oddVBand="0" w:evenVBand="0" w:oddHBand="0" w:evenHBand="0" w:firstRowFirstColumn="0" w:firstRowLastColumn="0" w:lastRowFirstColumn="0" w:lastRowLastColumn="0"/>
              <w:rPr>
                <w:highlight w:val="yellow"/>
              </w:rPr>
            </w:pPr>
            <w:r w:rsidRPr="00CD0EC4">
              <w:t>4</w:t>
            </w:r>
          </w:p>
        </w:tc>
      </w:tr>
    </w:tbl>
    <w:p w:rsidR="001B2E58" w:rsidP="001B2E58" w:rsidRDefault="001B2E58" w14:paraId="51D5B3B1" w14:textId="77777777"/>
    <w:p w:rsidR="001B2E58" w:rsidP="001B2E58" w:rsidRDefault="001B2E58" w14:paraId="4D0D6764" w14:textId="26B01395">
      <w:r>
        <w:t>The SERC Grants are anticipated to be awarded annually, with 12 grantees each year: 12 grantees in year one, 24 grantees in year two, and 36 grantees in year three. For the purposes of developing the annual burden hour estimate the me</w:t>
      </w:r>
      <w:r w:rsidR="00216439">
        <w:t>an</w:t>
      </w:r>
      <w:r>
        <w:t xml:space="preserve"> number of Grantees (24) is used as the number of respondents.  </w:t>
      </w:r>
    </w:p>
    <w:p w:rsidR="00B10818" w:rsidP="001B2E58" w:rsidRDefault="00B10818" w14:paraId="4E161D99" w14:textId="769342AB">
      <w:proofErr w:type="gramStart"/>
      <w:r>
        <w:t>Thus</w:t>
      </w:r>
      <w:proofErr w:type="gramEnd"/>
      <w:r>
        <w:t xml:space="preserve"> the </w:t>
      </w:r>
      <w:r w:rsidR="00996681">
        <w:t xml:space="preserve">respondent hour </w:t>
      </w:r>
      <w:r>
        <w:t>calculation is as follows:</w:t>
      </w:r>
    </w:p>
    <w:p w:rsidR="00B10818" w:rsidP="00B10818" w:rsidRDefault="00B10818" w14:paraId="7F3DBD96" w14:textId="08671DEF">
      <w:r>
        <w:t xml:space="preserve">SERC QPR: 24 respondents x 4 quarters = 96 responses, 96 responses x </w:t>
      </w:r>
      <w:r w:rsidR="006C2063">
        <w:t>4</w:t>
      </w:r>
      <w:r>
        <w:t xml:space="preserve">hrs = </w:t>
      </w:r>
      <w:r w:rsidR="006C2063">
        <w:rPr>
          <w:u w:val="single"/>
        </w:rPr>
        <w:t>384</w:t>
      </w:r>
    </w:p>
    <w:p w:rsidR="00B10818" w:rsidP="00B10818" w:rsidRDefault="00B10818" w14:paraId="7E9F165B" w14:textId="074A6DBB">
      <w:pPr>
        <w:rPr>
          <w:u w:val="single"/>
        </w:rPr>
      </w:pPr>
      <w:r>
        <w:t xml:space="preserve">SERC AF: 24 respondents x 1 annual response = 24 responses, 24 responses x </w:t>
      </w:r>
      <w:r w:rsidR="006C2063">
        <w:t>4</w:t>
      </w:r>
      <w:r>
        <w:t xml:space="preserve">hrs = </w:t>
      </w:r>
      <w:r w:rsidR="006C2063">
        <w:rPr>
          <w:u w:val="single"/>
        </w:rPr>
        <w:t>96</w:t>
      </w:r>
    </w:p>
    <w:p w:rsidRPr="00B10818" w:rsidR="00343F03" w:rsidP="00922302" w:rsidRDefault="00B10818" w14:paraId="1FD88826" w14:textId="24F32FD7">
      <w:pPr>
        <w:rPr>
          <w:i/>
          <w:iCs/>
          <w:u w:val="single"/>
        </w:rPr>
      </w:pPr>
      <w:r w:rsidRPr="00B10818">
        <w:rPr>
          <w:i/>
          <w:iCs/>
          <w:u w:val="single"/>
        </w:rPr>
        <w:t>The total</w:t>
      </w:r>
      <w:r w:rsidR="00DF3F54">
        <w:rPr>
          <w:i/>
          <w:iCs/>
          <w:u w:val="single"/>
        </w:rPr>
        <w:t xml:space="preserve"> respondent</w:t>
      </w:r>
      <w:r w:rsidRPr="00B10818">
        <w:rPr>
          <w:i/>
          <w:iCs/>
          <w:u w:val="single"/>
        </w:rPr>
        <w:t xml:space="preserve"> hours of burden for all SERC forms </w:t>
      </w:r>
      <w:proofErr w:type="gramStart"/>
      <w:r w:rsidRPr="00B10818">
        <w:rPr>
          <w:i/>
          <w:iCs/>
          <w:u w:val="single"/>
        </w:rPr>
        <w:t>is</w:t>
      </w:r>
      <w:proofErr w:type="gramEnd"/>
      <w:r w:rsidRPr="00B10818">
        <w:rPr>
          <w:i/>
          <w:iCs/>
          <w:u w:val="single"/>
        </w:rPr>
        <w:t xml:space="preserve"> estimated to be </w:t>
      </w:r>
      <w:r w:rsidR="006C2063">
        <w:rPr>
          <w:i/>
          <w:iCs/>
          <w:u w:val="single"/>
        </w:rPr>
        <w:t>384</w:t>
      </w:r>
      <w:r w:rsidRPr="00B10818">
        <w:rPr>
          <w:i/>
          <w:iCs/>
          <w:u w:val="single"/>
        </w:rPr>
        <w:t xml:space="preserve"> + </w:t>
      </w:r>
      <w:r w:rsidRPr="008E0C08" w:rsidR="006C2063">
        <w:rPr>
          <w:i/>
          <w:iCs/>
          <w:u w:val="single"/>
        </w:rPr>
        <w:t>96</w:t>
      </w:r>
      <w:r w:rsidRPr="008E0C08">
        <w:rPr>
          <w:i/>
          <w:iCs/>
          <w:u w:val="single"/>
        </w:rPr>
        <w:t xml:space="preserve"> = </w:t>
      </w:r>
      <w:r w:rsidRPr="008E0C08" w:rsidR="006C2063">
        <w:rPr>
          <w:b/>
          <w:bCs/>
          <w:i/>
          <w:iCs/>
          <w:u w:val="single"/>
        </w:rPr>
        <w:t>480</w:t>
      </w:r>
      <w:r w:rsidRPr="008E0C08">
        <w:rPr>
          <w:i/>
          <w:iCs/>
          <w:u w:val="single"/>
        </w:rPr>
        <w:t>.</w:t>
      </w:r>
      <w:r w:rsidRPr="00B10818">
        <w:rPr>
          <w:i/>
          <w:iCs/>
          <w:u w:val="single"/>
        </w:rPr>
        <w:t xml:space="preserve"> </w:t>
      </w:r>
    </w:p>
    <w:p w:rsidR="00922302" w:rsidP="00922302" w:rsidRDefault="00922302" w14:paraId="5E937DD2" w14:textId="13E48D4B">
      <w:r w:rsidRPr="002950AF">
        <w:t>The number of</w:t>
      </w:r>
      <w:r>
        <w:t xml:space="preserve"> </w:t>
      </w:r>
      <w:r w:rsidR="00042A5B">
        <w:t>CSPP</w:t>
      </w:r>
      <w:r w:rsidR="006756A9">
        <w:t xml:space="preserve"> </w:t>
      </w:r>
      <w:r>
        <w:t xml:space="preserve">Grantees is estimated to be </w:t>
      </w:r>
      <w:r w:rsidR="00CE2B1D">
        <w:t>7</w:t>
      </w:r>
      <w:r>
        <w:t xml:space="preserve"> per annual appropriation (currently FY2021 funds are allocated for </w:t>
      </w:r>
      <w:r w:rsidR="00042A5B">
        <w:t>CSPP</w:t>
      </w:r>
      <w:r>
        <w:t xml:space="preserve">).  Each form will have a burden for the Grantee and for the DOE </w:t>
      </w:r>
      <w:r w:rsidR="00307A59">
        <w:t>Project Officer.</w:t>
      </w:r>
      <w:r>
        <w:t xml:space="preserve"> Below is an explanation of the hour estimates required for each form. </w:t>
      </w:r>
    </w:p>
    <w:tbl>
      <w:tblPr>
        <w:tblStyle w:val="GridTable1Light"/>
        <w:tblW w:w="0" w:type="auto"/>
        <w:tblInd w:w="607" w:type="dxa"/>
        <w:tblLook w:val="04A0" w:firstRow="1" w:lastRow="0" w:firstColumn="1" w:lastColumn="0" w:noHBand="0" w:noVBand="1"/>
      </w:tblPr>
      <w:tblGrid>
        <w:gridCol w:w="3258"/>
        <w:gridCol w:w="1454"/>
      </w:tblGrid>
      <w:tr w:rsidR="00A84754" w:rsidTr="00A84754" w14:paraId="26C62D1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rsidR="00A84754" w:rsidP="00972CDC" w:rsidRDefault="00A84754" w14:paraId="5B4EDD25" w14:textId="37072FBD">
            <w:r>
              <w:t>CS Form</w:t>
            </w:r>
          </w:p>
        </w:tc>
        <w:tc>
          <w:tcPr>
            <w:tcW w:w="1454" w:type="dxa"/>
          </w:tcPr>
          <w:p w:rsidR="00A84754" w:rsidP="00972CDC" w:rsidRDefault="00A84754" w14:paraId="7B86B7F1" w14:textId="440BBC9A">
            <w:pPr>
              <w:jc w:val="center"/>
              <w:cnfStyle w:val="100000000000" w:firstRow="1" w:lastRow="0" w:firstColumn="0" w:lastColumn="0" w:oddVBand="0" w:evenVBand="0" w:oddHBand="0" w:evenHBand="0" w:firstRowFirstColumn="0" w:firstRowLastColumn="0" w:lastRowFirstColumn="0" w:lastRowLastColumn="0"/>
            </w:pPr>
            <w:r>
              <w:t>Grantee (Respondent)</w:t>
            </w:r>
          </w:p>
        </w:tc>
      </w:tr>
      <w:tr w:rsidR="00A84754" w:rsidTr="00A84754" w14:paraId="47B83235" w14:textId="77777777">
        <w:tc>
          <w:tcPr>
            <w:cnfStyle w:val="001000000000" w:firstRow="0" w:lastRow="0" w:firstColumn="1" w:lastColumn="0" w:oddVBand="0" w:evenVBand="0" w:oddHBand="0" w:evenHBand="0" w:firstRowFirstColumn="0" w:firstRowLastColumn="0" w:lastRowFirstColumn="0" w:lastRowLastColumn="0"/>
            <w:tcW w:w="3258" w:type="dxa"/>
          </w:tcPr>
          <w:p w:rsidR="00A84754" w:rsidP="00972CDC" w:rsidRDefault="00A84754" w14:paraId="095AA43E" w14:textId="59621754">
            <w:r>
              <w:t>Quarterly Performance Report (QPR)</w:t>
            </w:r>
          </w:p>
        </w:tc>
        <w:tc>
          <w:tcPr>
            <w:tcW w:w="1454" w:type="dxa"/>
          </w:tcPr>
          <w:p w:rsidRPr="006756A9" w:rsidR="00A84754" w:rsidP="00972CDC" w:rsidRDefault="00A84754" w14:paraId="755B8AE1" w14:textId="77777777">
            <w:pPr>
              <w:jc w:val="center"/>
              <w:cnfStyle w:val="000000000000" w:firstRow="0" w:lastRow="0" w:firstColumn="0" w:lastColumn="0" w:oddVBand="0" w:evenVBand="0" w:oddHBand="0" w:evenHBand="0" w:firstRowFirstColumn="0" w:firstRowLastColumn="0" w:lastRowFirstColumn="0" w:lastRowLastColumn="0"/>
            </w:pPr>
            <w:r w:rsidRPr="006756A9">
              <w:t>4</w:t>
            </w:r>
          </w:p>
        </w:tc>
      </w:tr>
      <w:tr w:rsidRPr="006C7C05" w:rsidR="00A84754" w:rsidTr="00A84754" w14:paraId="05D548BB" w14:textId="77777777">
        <w:tc>
          <w:tcPr>
            <w:cnfStyle w:val="001000000000" w:firstRow="0" w:lastRow="0" w:firstColumn="1" w:lastColumn="0" w:oddVBand="0" w:evenVBand="0" w:oddHBand="0" w:evenHBand="0" w:firstRowFirstColumn="0" w:firstRowLastColumn="0" w:lastRowFirstColumn="0" w:lastRowLastColumn="0"/>
            <w:tcW w:w="3258" w:type="dxa"/>
          </w:tcPr>
          <w:p w:rsidR="00A84754" w:rsidP="006756A9" w:rsidRDefault="00A84754" w14:paraId="78731E64" w14:textId="7D43F9E4">
            <w:r>
              <w:t>Annual File Worksheet (AF)</w:t>
            </w:r>
          </w:p>
        </w:tc>
        <w:tc>
          <w:tcPr>
            <w:tcW w:w="1454" w:type="dxa"/>
          </w:tcPr>
          <w:p w:rsidRPr="006C7C05" w:rsidR="00A84754" w:rsidP="006756A9" w:rsidRDefault="00A84754" w14:paraId="7361EAEB" w14:textId="77C8B3DF">
            <w:pPr>
              <w:jc w:val="center"/>
              <w:cnfStyle w:val="000000000000" w:firstRow="0" w:lastRow="0" w:firstColumn="0" w:lastColumn="0" w:oddVBand="0" w:evenVBand="0" w:oddHBand="0" w:evenHBand="0" w:firstRowFirstColumn="0" w:firstRowLastColumn="0" w:lastRowFirstColumn="0" w:lastRowLastColumn="0"/>
            </w:pPr>
            <w:r>
              <w:t>4</w:t>
            </w:r>
          </w:p>
        </w:tc>
      </w:tr>
    </w:tbl>
    <w:p w:rsidR="00CE2B1D" w:rsidP="00922302" w:rsidRDefault="00CE2B1D" w14:paraId="74DBFC2B" w14:textId="2D5C2EAA"/>
    <w:p w:rsidR="001B2E58" w:rsidP="00922302" w:rsidRDefault="001B2E58" w14:paraId="4476EED9" w14:textId="21F93F30">
      <w:r>
        <w:t xml:space="preserve">The </w:t>
      </w:r>
      <w:r w:rsidR="00042A5B">
        <w:t>CSPP Grants</w:t>
      </w:r>
      <w:r>
        <w:t xml:space="preserve"> are anticipated to be awarded annually, with 7 grantees each year: 7 grantees in year one, 14 grantees in year two, and </w:t>
      </w:r>
      <w:r w:rsidR="00216439">
        <w:t>21</w:t>
      </w:r>
      <w:r>
        <w:t xml:space="preserve"> grantees in year three. For the purposes of developing the annual burden hour estimate the me</w:t>
      </w:r>
      <w:r w:rsidR="00216439">
        <w:t>an</w:t>
      </w:r>
      <w:r>
        <w:t xml:space="preserve"> number of Grantees (14) is used as the number of respondents.  </w:t>
      </w:r>
    </w:p>
    <w:p w:rsidR="00996681" w:rsidP="00996681" w:rsidRDefault="00996681" w14:paraId="416373DE" w14:textId="77777777">
      <w:proofErr w:type="gramStart"/>
      <w:r>
        <w:t>Thus</w:t>
      </w:r>
      <w:proofErr w:type="gramEnd"/>
      <w:r>
        <w:t xml:space="preserve"> the respondent hour calculation is as follows:</w:t>
      </w:r>
    </w:p>
    <w:p w:rsidR="00B10818" w:rsidP="00B10818" w:rsidRDefault="00042A5B" w14:paraId="6D248606" w14:textId="7E1851BC">
      <w:r>
        <w:t>CSPP</w:t>
      </w:r>
      <w:r w:rsidR="00B10818">
        <w:t xml:space="preserve"> QPR: 14 respondents x 4 quarters = 56 responses, 56 responses x </w:t>
      </w:r>
      <w:r w:rsidR="0039076D">
        <w:t>4</w:t>
      </w:r>
      <w:r w:rsidR="00B10818">
        <w:t xml:space="preserve">hrs = </w:t>
      </w:r>
      <w:r w:rsidRPr="00B10818" w:rsidR="00B10818">
        <w:rPr>
          <w:u w:val="single"/>
        </w:rPr>
        <w:t>2</w:t>
      </w:r>
      <w:r w:rsidR="0039076D">
        <w:rPr>
          <w:u w:val="single"/>
        </w:rPr>
        <w:t>24</w:t>
      </w:r>
    </w:p>
    <w:p w:rsidR="00B10818" w:rsidP="00B10818" w:rsidRDefault="00042A5B" w14:paraId="2D367AE8" w14:textId="7E7E70F3">
      <w:pPr>
        <w:rPr>
          <w:u w:val="single"/>
        </w:rPr>
      </w:pPr>
      <w:r>
        <w:t>CSPP</w:t>
      </w:r>
      <w:r w:rsidR="00B10818">
        <w:t xml:space="preserve"> AF: 14 respondents x 1 annual response = 14 responses, 14 responses x </w:t>
      </w:r>
      <w:r w:rsidR="0039076D">
        <w:t>4</w:t>
      </w:r>
      <w:r w:rsidR="00B10818">
        <w:t xml:space="preserve">hrs = </w:t>
      </w:r>
      <w:r w:rsidR="0039076D">
        <w:rPr>
          <w:u w:val="single"/>
        </w:rPr>
        <w:t>56</w:t>
      </w:r>
    </w:p>
    <w:p w:rsidR="00B10818" w:rsidP="00922302" w:rsidRDefault="00B10818" w14:paraId="2BA4D24C" w14:textId="5B2E75C3">
      <w:pPr>
        <w:rPr>
          <w:i/>
          <w:iCs/>
          <w:u w:val="single"/>
        </w:rPr>
      </w:pPr>
      <w:r w:rsidRPr="00B10818">
        <w:rPr>
          <w:i/>
          <w:iCs/>
          <w:u w:val="single"/>
        </w:rPr>
        <w:t xml:space="preserve">The total </w:t>
      </w:r>
      <w:r w:rsidR="00DF3F54">
        <w:rPr>
          <w:i/>
          <w:iCs/>
          <w:u w:val="single"/>
        </w:rPr>
        <w:t xml:space="preserve">respondent </w:t>
      </w:r>
      <w:r w:rsidRPr="00B10818">
        <w:rPr>
          <w:i/>
          <w:iCs/>
          <w:u w:val="single"/>
        </w:rPr>
        <w:t xml:space="preserve">hours of burden for all </w:t>
      </w:r>
      <w:r w:rsidR="00042A5B">
        <w:rPr>
          <w:i/>
          <w:iCs/>
          <w:u w:val="single"/>
        </w:rPr>
        <w:t>CSPP</w:t>
      </w:r>
      <w:r w:rsidRPr="00B10818">
        <w:rPr>
          <w:i/>
          <w:iCs/>
          <w:u w:val="single"/>
        </w:rPr>
        <w:t xml:space="preserve"> Weatherization forms </w:t>
      </w:r>
      <w:proofErr w:type="gramStart"/>
      <w:r w:rsidRPr="00B10818">
        <w:rPr>
          <w:i/>
          <w:iCs/>
          <w:u w:val="single"/>
        </w:rPr>
        <w:t>is</w:t>
      </w:r>
      <w:proofErr w:type="gramEnd"/>
      <w:r w:rsidRPr="00B10818">
        <w:rPr>
          <w:i/>
          <w:iCs/>
          <w:u w:val="single"/>
        </w:rPr>
        <w:t xml:space="preserve"> estimated to be </w:t>
      </w:r>
      <w:r w:rsidRPr="008E0C08" w:rsidR="0039076D">
        <w:rPr>
          <w:i/>
          <w:iCs/>
          <w:u w:val="single"/>
        </w:rPr>
        <w:t>224</w:t>
      </w:r>
      <w:r w:rsidRPr="008E0C08">
        <w:rPr>
          <w:i/>
          <w:iCs/>
          <w:u w:val="single"/>
        </w:rPr>
        <w:t xml:space="preserve"> + </w:t>
      </w:r>
      <w:r w:rsidRPr="008E0C08" w:rsidR="0039076D">
        <w:rPr>
          <w:i/>
          <w:iCs/>
          <w:u w:val="single"/>
        </w:rPr>
        <w:t>56</w:t>
      </w:r>
      <w:r w:rsidRPr="008E0C08">
        <w:rPr>
          <w:i/>
          <w:iCs/>
          <w:u w:val="single"/>
        </w:rPr>
        <w:t xml:space="preserve"> = </w:t>
      </w:r>
      <w:r w:rsidRPr="008E0C08" w:rsidR="0039076D">
        <w:rPr>
          <w:b/>
          <w:bCs/>
          <w:i/>
          <w:iCs/>
          <w:u w:val="single"/>
        </w:rPr>
        <w:t>280</w:t>
      </w:r>
      <w:r w:rsidRPr="008E0C08">
        <w:rPr>
          <w:i/>
          <w:iCs/>
          <w:u w:val="single"/>
        </w:rPr>
        <w:t>.</w:t>
      </w:r>
      <w:r w:rsidRPr="00B10818">
        <w:rPr>
          <w:i/>
          <w:iCs/>
          <w:u w:val="single"/>
        </w:rPr>
        <w:t xml:space="preserve"> </w:t>
      </w:r>
    </w:p>
    <w:p w:rsidR="008E0C08" w:rsidP="00922302" w:rsidRDefault="008E0C08" w14:paraId="18B6201C" w14:textId="45A3F57D">
      <w:pPr>
        <w:rPr>
          <w:i/>
          <w:iCs/>
        </w:rPr>
      </w:pPr>
      <w:r w:rsidRPr="008E0C08">
        <w:rPr>
          <w:i/>
          <w:iCs/>
        </w:rPr>
        <w:t>1076 E&amp;I Res</w:t>
      </w:r>
      <w:r>
        <w:rPr>
          <w:i/>
          <w:iCs/>
        </w:rPr>
        <w:t xml:space="preserve">pondent Hours + 480 SERC Respondent Hours + 280 </w:t>
      </w:r>
      <w:r w:rsidR="00996681">
        <w:rPr>
          <w:i/>
          <w:iCs/>
        </w:rPr>
        <w:t>CS</w:t>
      </w:r>
      <w:r>
        <w:rPr>
          <w:i/>
          <w:iCs/>
        </w:rPr>
        <w:t xml:space="preserve"> Respondent Hours =</w:t>
      </w:r>
    </w:p>
    <w:p w:rsidRPr="008E0C08" w:rsidR="00F21CBC" w:rsidP="00922302" w:rsidRDefault="008E0C08" w14:paraId="5FE641C7" w14:textId="73F3C506">
      <w:pPr>
        <w:rPr>
          <w:i/>
          <w:iCs/>
        </w:rPr>
      </w:pPr>
      <w:r>
        <w:rPr>
          <w:b/>
          <w:bCs/>
          <w:i/>
          <w:iCs/>
          <w:u w:val="single"/>
        </w:rPr>
        <w:t xml:space="preserve">1836 </w:t>
      </w:r>
      <w:r w:rsidRPr="00F21CBC" w:rsidR="00F21CBC">
        <w:rPr>
          <w:b/>
          <w:bCs/>
          <w:i/>
          <w:iCs/>
          <w:u w:val="single"/>
        </w:rPr>
        <w:t xml:space="preserve">Combined </w:t>
      </w:r>
      <w:r>
        <w:rPr>
          <w:b/>
          <w:bCs/>
          <w:i/>
          <w:iCs/>
          <w:u w:val="single"/>
        </w:rPr>
        <w:t>T</w:t>
      </w:r>
      <w:r w:rsidRPr="00F21CBC" w:rsidR="00F21CBC">
        <w:rPr>
          <w:b/>
          <w:bCs/>
          <w:i/>
          <w:iCs/>
          <w:u w:val="single"/>
        </w:rPr>
        <w:t xml:space="preserve">otal </w:t>
      </w:r>
      <w:r>
        <w:rPr>
          <w:b/>
          <w:bCs/>
          <w:i/>
          <w:iCs/>
          <w:u w:val="single"/>
        </w:rPr>
        <w:t xml:space="preserve">Respondent </w:t>
      </w:r>
      <w:r w:rsidR="002B7322">
        <w:rPr>
          <w:b/>
          <w:bCs/>
          <w:i/>
          <w:iCs/>
          <w:u w:val="single"/>
        </w:rPr>
        <w:t>Burden Hours</w:t>
      </w:r>
    </w:p>
    <w:p w:rsidR="00954EE9" w:rsidP="00954EE9" w:rsidRDefault="00954EE9" w14:paraId="11B95978" w14:textId="77777777">
      <w:pPr>
        <w:rPr>
          <w:b/>
          <w:bCs/>
        </w:rPr>
      </w:pPr>
    </w:p>
    <w:tbl>
      <w:tblPr>
        <w:tblW w:w="10020" w:type="dxa"/>
        <w:tblLook w:val="04A0" w:firstRow="1" w:lastRow="0" w:firstColumn="1" w:lastColumn="0" w:noHBand="0" w:noVBand="1"/>
      </w:tblPr>
      <w:tblGrid>
        <w:gridCol w:w="2848"/>
        <w:gridCol w:w="1296"/>
        <w:gridCol w:w="1296"/>
        <w:gridCol w:w="1158"/>
        <w:gridCol w:w="1157"/>
        <w:gridCol w:w="1155"/>
        <w:gridCol w:w="1110"/>
      </w:tblGrid>
      <w:tr w:rsidRPr="006F3C12" w:rsidR="00954EE9" w:rsidTr="0063613B" w14:paraId="16741252" w14:textId="77777777">
        <w:trPr>
          <w:trHeight w:val="360"/>
        </w:trPr>
        <w:tc>
          <w:tcPr>
            <w:tcW w:w="8910" w:type="dxa"/>
            <w:gridSpan w:val="6"/>
            <w:tcBorders>
              <w:top w:val="nil"/>
              <w:left w:val="nil"/>
              <w:bottom w:val="single" w:color="auto" w:sz="4" w:space="0"/>
              <w:right w:val="nil"/>
            </w:tcBorders>
            <w:shd w:val="clear" w:color="auto" w:fill="auto"/>
            <w:hideMark/>
          </w:tcPr>
          <w:p w:rsidRPr="006F3C12" w:rsidR="00954EE9" w:rsidP="0063613B" w:rsidRDefault="00954EE9" w14:paraId="0EAA032C" w14:textId="77777777">
            <w:pPr>
              <w:spacing w:after="0" w:line="240" w:lineRule="auto"/>
              <w:jc w:val="center"/>
              <w:rPr>
                <w:rFonts w:ascii="Calibri" w:hAnsi="Calibri" w:eastAsia="Times New Roman" w:cs="Arial"/>
                <w:b/>
                <w:bCs/>
                <w:color w:val="0070C0"/>
                <w:sz w:val="28"/>
                <w:szCs w:val="28"/>
              </w:rPr>
            </w:pPr>
            <w:r w:rsidRPr="001D58FA">
              <w:rPr>
                <w:rFonts w:ascii="Calibri" w:hAnsi="Calibri" w:eastAsia="Times New Roman" w:cs="Arial"/>
                <w:b/>
                <w:bCs/>
                <w:color w:val="0070C0"/>
                <w:sz w:val="28"/>
                <w:szCs w:val="28"/>
              </w:rPr>
              <w:t>Table A1. Estimated Respondent Hour Burden</w:t>
            </w:r>
          </w:p>
        </w:tc>
        <w:tc>
          <w:tcPr>
            <w:tcW w:w="1110" w:type="dxa"/>
            <w:tcBorders>
              <w:top w:val="nil"/>
              <w:left w:val="nil"/>
              <w:bottom w:val="nil"/>
              <w:right w:val="nil"/>
            </w:tcBorders>
            <w:shd w:val="clear" w:color="auto" w:fill="auto"/>
            <w:noWrap/>
            <w:vAlign w:val="bottom"/>
            <w:hideMark/>
          </w:tcPr>
          <w:p w:rsidRPr="006F3C12" w:rsidR="00954EE9" w:rsidP="0063613B" w:rsidRDefault="00954EE9" w14:paraId="2B4879C4" w14:textId="77777777">
            <w:pPr>
              <w:spacing w:after="0" w:line="240" w:lineRule="auto"/>
              <w:jc w:val="center"/>
              <w:rPr>
                <w:rFonts w:ascii="Calibri" w:hAnsi="Calibri" w:eastAsia="Times New Roman" w:cs="Arial"/>
                <w:b/>
                <w:bCs/>
                <w:color w:val="0070C0"/>
                <w:sz w:val="28"/>
                <w:szCs w:val="28"/>
              </w:rPr>
            </w:pPr>
          </w:p>
        </w:tc>
      </w:tr>
      <w:tr w:rsidRPr="006F3C12" w:rsidR="00954EE9" w:rsidTr="0063613B" w14:paraId="6017CE5A" w14:textId="77777777">
        <w:trPr>
          <w:trHeight w:val="765"/>
        </w:trPr>
        <w:tc>
          <w:tcPr>
            <w:tcW w:w="2848" w:type="dxa"/>
            <w:tcBorders>
              <w:top w:val="nil"/>
              <w:left w:val="single" w:color="auto" w:sz="4" w:space="0"/>
              <w:bottom w:val="single" w:color="auto" w:sz="4" w:space="0"/>
              <w:right w:val="single" w:color="auto" w:sz="4" w:space="0"/>
            </w:tcBorders>
            <w:shd w:val="clear" w:color="000000" w:fill="00B0F0"/>
            <w:vAlign w:val="center"/>
            <w:hideMark/>
          </w:tcPr>
          <w:p w:rsidRPr="006F3C12" w:rsidR="00954EE9" w:rsidP="0063613B" w:rsidRDefault="00954EE9" w14:paraId="7DEF9D84"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Form Number/Title (and/or other Collection Instrument name)</w:t>
            </w:r>
          </w:p>
        </w:tc>
        <w:tc>
          <w:tcPr>
            <w:tcW w:w="1296" w:type="dxa"/>
            <w:tcBorders>
              <w:top w:val="nil"/>
              <w:left w:val="nil"/>
              <w:bottom w:val="single" w:color="auto" w:sz="4" w:space="0"/>
              <w:right w:val="single" w:color="auto" w:sz="4" w:space="0"/>
            </w:tcBorders>
            <w:shd w:val="clear" w:color="000000" w:fill="00B0F0"/>
            <w:vAlign w:val="center"/>
            <w:hideMark/>
          </w:tcPr>
          <w:p w:rsidRPr="006F3C12" w:rsidR="00954EE9" w:rsidP="0063613B" w:rsidRDefault="00954EE9" w14:paraId="6C7AC6F6"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Type of Respondents</w:t>
            </w:r>
          </w:p>
        </w:tc>
        <w:tc>
          <w:tcPr>
            <w:tcW w:w="1296" w:type="dxa"/>
            <w:tcBorders>
              <w:top w:val="nil"/>
              <w:left w:val="nil"/>
              <w:bottom w:val="single" w:color="auto" w:sz="4" w:space="0"/>
              <w:right w:val="single" w:color="auto" w:sz="4" w:space="0"/>
            </w:tcBorders>
            <w:shd w:val="clear" w:color="000000" w:fill="00B0F0"/>
            <w:vAlign w:val="center"/>
            <w:hideMark/>
          </w:tcPr>
          <w:p w:rsidRPr="006F3C12" w:rsidR="00954EE9" w:rsidP="0063613B" w:rsidRDefault="00954EE9" w14:paraId="3D2FCEDE"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Number of Respondents</w:t>
            </w:r>
          </w:p>
        </w:tc>
        <w:tc>
          <w:tcPr>
            <w:tcW w:w="1158" w:type="dxa"/>
            <w:tcBorders>
              <w:top w:val="nil"/>
              <w:left w:val="nil"/>
              <w:bottom w:val="single" w:color="auto" w:sz="4" w:space="0"/>
              <w:right w:val="single" w:color="auto" w:sz="4" w:space="0"/>
            </w:tcBorders>
            <w:shd w:val="clear" w:color="000000" w:fill="00B0F0"/>
            <w:vAlign w:val="center"/>
            <w:hideMark/>
          </w:tcPr>
          <w:p w:rsidRPr="006F3C12" w:rsidR="00954EE9" w:rsidP="0063613B" w:rsidRDefault="00954EE9" w14:paraId="6E1FEC18"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Annual Number of Responses</w:t>
            </w:r>
          </w:p>
        </w:tc>
        <w:tc>
          <w:tcPr>
            <w:tcW w:w="1157" w:type="dxa"/>
            <w:tcBorders>
              <w:top w:val="nil"/>
              <w:left w:val="nil"/>
              <w:bottom w:val="single" w:color="auto" w:sz="4" w:space="0"/>
              <w:right w:val="single" w:color="auto" w:sz="4" w:space="0"/>
            </w:tcBorders>
            <w:shd w:val="clear" w:color="000000" w:fill="00B0F0"/>
            <w:vAlign w:val="center"/>
            <w:hideMark/>
          </w:tcPr>
          <w:p w:rsidRPr="006F3C12" w:rsidR="00954EE9" w:rsidP="0063613B" w:rsidRDefault="00954EE9" w14:paraId="59B13F91"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Burden Hours Per Response</w:t>
            </w:r>
          </w:p>
        </w:tc>
        <w:tc>
          <w:tcPr>
            <w:tcW w:w="1155" w:type="dxa"/>
            <w:tcBorders>
              <w:top w:val="nil"/>
              <w:left w:val="nil"/>
              <w:bottom w:val="single" w:color="auto" w:sz="4" w:space="0"/>
              <w:right w:val="single" w:color="auto" w:sz="4" w:space="0"/>
            </w:tcBorders>
            <w:shd w:val="clear" w:color="000000" w:fill="00B0F0"/>
            <w:vAlign w:val="center"/>
            <w:hideMark/>
          </w:tcPr>
          <w:p w:rsidRPr="006F3C12" w:rsidR="00954EE9" w:rsidP="0063613B" w:rsidRDefault="00954EE9" w14:paraId="7FE07869"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Annual Burden Hours</w:t>
            </w:r>
          </w:p>
        </w:tc>
        <w:tc>
          <w:tcPr>
            <w:tcW w:w="1110" w:type="dxa"/>
            <w:tcBorders>
              <w:top w:val="single" w:color="auto" w:sz="4" w:space="0"/>
              <w:left w:val="nil"/>
              <w:bottom w:val="single" w:color="auto" w:sz="4" w:space="0"/>
              <w:right w:val="single" w:color="auto" w:sz="4" w:space="0"/>
            </w:tcBorders>
            <w:shd w:val="clear" w:color="000000" w:fill="00B0F0"/>
            <w:vAlign w:val="center"/>
            <w:hideMark/>
          </w:tcPr>
          <w:p w:rsidRPr="006F3C12" w:rsidR="00954EE9" w:rsidP="0063613B" w:rsidRDefault="00954EE9" w14:paraId="61785312"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Annual Reporting Frequency</w:t>
            </w:r>
          </w:p>
        </w:tc>
      </w:tr>
      <w:tr w:rsidRPr="006F3C12" w:rsidR="00954EE9" w:rsidTr="0063613B" w14:paraId="3AA893A6"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Pr="006F3C12" w:rsidR="00954EE9" w:rsidP="0063613B" w:rsidRDefault="006B7BC0" w14:paraId="0C54335B" w14:textId="59B1339D">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 xml:space="preserve">E&amp;I </w:t>
            </w:r>
            <w:r w:rsidR="00CC5A49">
              <w:rPr>
                <w:rFonts w:ascii="Calibri" w:hAnsi="Calibri" w:eastAsia="Times New Roman" w:cs="Arial"/>
                <w:color w:val="000000"/>
                <w:sz w:val="20"/>
                <w:szCs w:val="20"/>
              </w:rPr>
              <w:t>Grant</w:t>
            </w:r>
            <w:r>
              <w:rPr>
                <w:rFonts w:ascii="Calibri" w:hAnsi="Calibri" w:eastAsia="Times New Roman" w:cs="Arial"/>
                <w:color w:val="000000"/>
                <w:sz w:val="20"/>
                <w:szCs w:val="20"/>
              </w:rPr>
              <w:t xml:space="preserve"> File</w:t>
            </w:r>
            <w:r w:rsidR="006C7C05">
              <w:rPr>
                <w:rFonts w:ascii="Calibri" w:hAnsi="Calibri" w:eastAsia="Times New Roman" w:cs="Arial"/>
                <w:color w:val="000000"/>
                <w:sz w:val="20"/>
                <w:szCs w:val="20"/>
              </w:rPr>
              <w:t xml:space="preserve"> </w:t>
            </w:r>
            <w:r w:rsidR="00CC5A49">
              <w:rPr>
                <w:rFonts w:ascii="Calibri" w:hAnsi="Calibri" w:eastAsia="Times New Roman" w:cs="Arial"/>
                <w:color w:val="000000"/>
                <w:sz w:val="20"/>
                <w:szCs w:val="20"/>
              </w:rPr>
              <w:t xml:space="preserve">Worksheet </w:t>
            </w:r>
            <w:r w:rsidR="006C7C05">
              <w:rPr>
                <w:rFonts w:ascii="Calibri" w:hAnsi="Calibri" w:eastAsia="Times New Roman" w:cs="Arial"/>
                <w:color w:val="000000"/>
                <w:sz w:val="20"/>
                <w:szCs w:val="20"/>
              </w:rPr>
              <w:t xml:space="preserve">(DOE Form </w:t>
            </w:r>
            <w:r w:rsidR="00573049">
              <w:rPr>
                <w:rFonts w:ascii="Calibri" w:hAnsi="Calibri" w:eastAsia="Times New Roman" w:cs="Arial"/>
                <w:color w:val="000000"/>
                <w:sz w:val="20"/>
                <w:szCs w:val="20"/>
              </w:rPr>
              <w:t>540.8</w:t>
            </w:r>
            <w:r w:rsidR="006C7C05">
              <w:rPr>
                <w:rFonts w:ascii="Calibri" w:hAnsi="Calibri" w:eastAsia="Times New Roman" w:cs="Arial"/>
                <w:color w:val="000000"/>
                <w:sz w:val="20"/>
                <w:szCs w:val="20"/>
              </w:rPr>
              <w:t>)</w:t>
            </w:r>
          </w:p>
        </w:tc>
        <w:tc>
          <w:tcPr>
            <w:tcW w:w="1296" w:type="dxa"/>
            <w:tcBorders>
              <w:top w:val="nil"/>
              <w:left w:val="nil"/>
              <w:bottom w:val="single" w:color="auto" w:sz="4" w:space="0"/>
              <w:right w:val="single" w:color="auto" w:sz="4" w:space="0"/>
            </w:tcBorders>
            <w:shd w:val="clear" w:color="auto" w:fill="auto"/>
            <w:noWrap/>
            <w:vAlign w:val="bottom"/>
            <w:hideMark/>
          </w:tcPr>
          <w:p w:rsidRPr="006F3C12" w:rsidR="00954EE9" w:rsidP="0063613B" w:rsidRDefault="00954EE9" w14:paraId="1542E9AD" w14:textId="272B5A52">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F772A2">
              <w:rPr>
                <w:rFonts w:ascii="Calibri" w:hAnsi="Calibri" w:eastAsia="Times New Roman" w:cs="Arial"/>
                <w:color w:val="000000"/>
                <w:sz w:val="20"/>
                <w:szCs w:val="20"/>
              </w:rPr>
              <w:t>Financial Personnel</w:t>
            </w:r>
          </w:p>
        </w:tc>
        <w:tc>
          <w:tcPr>
            <w:tcW w:w="1296" w:type="dxa"/>
            <w:tcBorders>
              <w:top w:val="nil"/>
              <w:left w:val="nil"/>
              <w:bottom w:val="single" w:color="auto" w:sz="4" w:space="0"/>
              <w:right w:val="single" w:color="auto" w:sz="4" w:space="0"/>
            </w:tcBorders>
            <w:shd w:val="clear" w:color="auto" w:fill="auto"/>
            <w:noWrap/>
            <w:vAlign w:val="bottom"/>
            <w:hideMark/>
          </w:tcPr>
          <w:p w:rsidRPr="006F3C12" w:rsidR="00954EE9" w:rsidP="0063613B" w:rsidRDefault="00954EE9" w14:paraId="430B4D7E" w14:textId="145FDD5E">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1B2E58">
              <w:rPr>
                <w:rFonts w:ascii="Calibri" w:hAnsi="Calibri" w:eastAsia="Times New Roman" w:cs="Arial"/>
                <w:color w:val="000000"/>
                <w:sz w:val="20"/>
                <w:szCs w:val="20"/>
              </w:rPr>
              <w:t>28</w:t>
            </w:r>
          </w:p>
        </w:tc>
        <w:tc>
          <w:tcPr>
            <w:tcW w:w="1158" w:type="dxa"/>
            <w:tcBorders>
              <w:top w:val="nil"/>
              <w:left w:val="nil"/>
              <w:bottom w:val="single" w:color="auto" w:sz="4" w:space="0"/>
              <w:right w:val="single" w:color="auto" w:sz="4" w:space="0"/>
            </w:tcBorders>
            <w:shd w:val="clear" w:color="000000" w:fill="E2A5AC"/>
            <w:noWrap/>
            <w:vAlign w:val="bottom"/>
            <w:hideMark/>
          </w:tcPr>
          <w:p w:rsidR="00E11358" w:rsidP="0063613B" w:rsidRDefault="00E11358" w14:paraId="77A3B4A7" w14:textId="77777777">
            <w:pPr>
              <w:spacing w:after="0" w:line="240" w:lineRule="auto"/>
              <w:jc w:val="right"/>
              <w:rPr>
                <w:rFonts w:ascii="Calibri" w:hAnsi="Calibri" w:eastAsia="Times New Roman" w:cs="Arial"/>
                <w:color w:val="000000"/>
                <w:sz w:val="20"/>
                <w:szCs w:val="20"/>
              </w:rPr>
            </w:pPr>
          </w:p>
          <w:p w:rsidRPr="006F3C12" w:rsidR="00954EE9" w:rsidP="0063613B" w:rsidRDefault="007C75A1" w14:paraId="23A8A4BB" w14:textId="534B1FF0">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28</w:t>
            </w:r>
          </w:p>
        </w:tc>
        <w:tc>
          <w:tcPr>
            <w:tcW w:w="1157" w:type="dxa"/>
            <w:tcBorders>
              <w:top w:val="nil"/>
              <w:left w:val="nil"/>
              <w:bottom w:val="single" w:color="auto" w:sz="4" w:space="0"/>
              <w:right w:val="single" w:color="auto" w:sz="4" w:space="0"/>
            </w:tcBorders>
            <w:shd w:val="clear" w:color="auto" w:fill="auto"/>
            <w:noWrap/>
            <w:vAlign w:val="bottom"/>
            <w:hideMark/>
          </w:tcPr>
          <w:p w:rsidRPr="006F3C12" w:rsidR="007A422C" w:rsidP="0063613B" w:rsidRDefault="00954EE9" w14:paraId="17C45820" w14:textId="672C5418">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8E0C08">
              <w:rPr>
                <w:rFonts w:ascii="Calibri" w:hAnsi="Calibri" w:eastAsia="Times New Roman" w:cs="Arial"/>
                <w:color w:val="000000"/>
                <w:sz w:val="20"/>
                <w:szCs w:val="20"/>
              </w:rPr>
              <w:t>3</w:t>
            </w:r>
          </w:p>
        </w:tc>
        <w:tc>
          <w:tcPr>
            <w:tcW w:w="1155" w:type="dxa"/>
            <w:tcBorders>
              <w:top w:val="nil"/>
              <w:left w:val="nil"/>
              <w:bottom w:val="single" w:color="auto" w:sz="4" w:space="0"/>
              <w:right w:val="single" w:color="auto" w:sz="4" w:space="0"/>
            </w:tcBorders>
            <w:shd w:val="clear" w:color="000000" w:fill="E2A5AC"/>
            <w:noWrap/>
            <w:vAlign w:val="bottom"/>
            <w:hideMark/>
          </w:tcPr>
          <w:p w:rsidRPr="006F3C12" w:rsidR="00954EE9" w:rsidP="0063613B" w:rsidRDefault="008E0C08" w14:paraId="62759452" w14:textId="1F5AA6B2">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84</w:t>
            </w:r>
          </w:p>
        </w:tc>
        <w:tc>
          <w:tcPr>
            <w:tcW w:w="1110" w:type="dxa"/>
            <w:tcBorders>
              <w:top w:val="nil"/>
              <w:left w:val="nil"/>
              <w:bottom w:val="single" w:color="auto" w:sz="4" w:space="0"/>
              <w:right w:val="single" w:color="auto" w:sz="4" w:space="0"/>
            </w:tcBorders>
            <w:shd w:val="clear" w:color="auto" w:fill="auto"/>
            <w:noWrap/>
            <w:vAlign w:val="bottom"/>
            <w:hideMark/>
          </w:tcPr>
          <w:p w:rsidRPr="006F3C12" w:rsidR="00954EE9" w:rsidP="0063613B" w:rsidRDefault="00954EE9" w14:paraId="53C7FFAE" w14:textId="26E34ED1">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7C75A1">
              <w:rPr>
                <w:rFonts w:ascii="Calibri" w:hAnsi="Calibri" w:eastAsia="Times New Roman" w:cs="Arial"/>
                <w:color w:val="000000"/>
                <w:sz w:val="20"/>
                <w:szCs w:val="20"/>
              </w:rPr>
              <w:t>1</w:t>
            </w:r>
          </w:p>
        </w:tc>
      </w:tr>
      <w:tr w:rsidRPr="006F3C12" w:rsidR="00794B23" w:rsidTr="0063613B" w14:paraId="7AFC99F7"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00794B23" w:rsidP="0063613B" w:rsidRDefault="00794B23" w14:paraId="08B4801A" w14:textId="7366C5C0">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 xml:space="preserve">E&amp;I Subgrantee Worksheet (DOE Form </w:t>
            </w:r>
            <w:r w:rsidR="00D01AE5">
              <w:rPr>
                <w:rFonts w:ascii="Calibri" w:hAnsi="Calibri" w:eastAsia="Times New Roman" w:cs="Arial"/>
                <w:color w:val="000000"/>
                <w:sz w:val="20"/>
                <w:szCs w:val="20"/>
              </w:rPr>
              <w:t>540.</w:t>
            </w:r>
            <w:r w:rsidR="00497E48">
              <w:rPr>
                <w:rFonts w:ascii="Calibri" w:hAnsi="Calibri" w:eastAsia="Times New Roman" w:cs="Arial"/>
                <w:color w:val="000000"/>
                <w:sz w:val="20"/>
                <w:szCs w:val="20"/>
              </w:rPr>
              <w:t>5</w:t>
            </w:r>
            <w:r>
              <w:rPr>
                <w:rFonts w:ascii="Calibri" w:hAnsi="Calibri" w:eastAsia="Times New Roman" w:cs="Arial"/>
                <w:color w:val="000000"/>
                <w:sz w:val="20"/>
                <w:szCs w:val="20"/>
              </w:rPr>
              <w:t>)</w:t>
            </w:r>
          </w:p>
        </w:tc>
        <w:tc>
          <w:tcPr>
            <w:tcW w:w="1296" w:type="dxa"/>
            <w:tcBorders>
              <w:top w:val="nil"/>
              <w:left w:val="nil"/>
              <w:bottom w:val="single" w:color="auto" w:sz="4" w:space="0"/>
              <w:right w:val="single" w:color="auto" w:sz="4" w:space="0"/>
            </w:tcBorders>
            <w:shd w:val="clear" w:color="auto" w:fill="auto"/>
            <w:noWrap/>
            <w:vAlign w:val="bottom"/>
          </w:tcPr>
          <w:p w:rsidRPr="006F3C12" w:rsidR="00794B23" w:rsidP="0063613B" w:rsidRDefault="00794B23" w14:paraId="0FA32536" w14:textId="597B0D99">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Financial Personnel</w:t>
            </w:r>
          </w:p>
        </w:tc>
        <w:tc>
          <w:tcPr>
            <w:tcW w:w="1296" w:type="dxa"/>
            <w:tcBorders>
              <w:top w:val="nil"/>
              <w:left w:val="nil"/>
              <w:bottom w:val="single" w:color="auto" w:sz="4" w:space="0"/>
              <w:right w:val="single" w:color="auto" w:sz="4" w:space="0"/>
            </w:tcBorders>
            <w:shd w:val="clear" w:color="auto" w:fill="auto"/>
            <w:noWrap/>
            <w:vAlign w:val="bottom"/>
          </w:tcPr>
          <w:p w:rsidRPr="006F3C12" w:rsidR="00794B23" w:rsidP="0063613B" w:rsidRDefault="00794B23" w14:paraId="00D75233" w14:textId="13DC80E9">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28</w:t>
            </w:r>
          </w:p>
        </w:tc>
        <w:tc>
          <w:tcPr>
            <w:tcW w:w="1158" w:type="dxa"/>
            <w:tcBorders>
              <w:top w:val="nil"/>
              <w:left w:val="nil"/>
              <w:bottom w:val="single" w:color="auto" w:sz="4" w:space="0"/>
              <w:right w:val="single" w:color="auto" w:sz="4" w:space="0"/>
            </w:tcBorders>
            <w:shd w:val="clear" w:color="000000" w:fill="E2A5AC"/>
            <w:noWrap/>
            <w:vAlign w:val="bottom"/>
          </w:tcPr>
          <w:p w:rsidR="00794B23" w:rsidP="0063613B" w:rsidRDefault="00794B23" w14:paraId="5F79303D" w14:textId="33EB2911">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28</w:t>
            </w:r>
          </w:p>
        </w:tc>
        <w:tc>
          <w:tcPr>
            <w:tcW w:w="1157" w:type="dxa"/>
            <w:tcBorders>
              <w:top w:val="nil"/>
              <w:left w:val="nil"/>
              <w:bottom w:val="single" w:color="auto" w:sz="4" w:space="0"/>
              <w:right w:val="single" w:color="auto" w:sz="4" w:space="0"/>
            </w:tcBorders>
            <w:shd w:val="clear" w:color="auto" w:fill="auto"/>
            <w:noWrap/>
            <w:vAlign w:val="bottom"/>
          </w:tcPr>
          <w:p w:rsidRPr="006F3C12" w:rsidR="00794B23" w:rsidP="0063613B" w:rsidRDefault="008E0C08" w14:paraId="473C7977" w14:textId="49131B09">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2</w:t>
            </w:r>
          </w:p>
        </w:tc>
        <w:tc>
          <w:tcPr>
            <w:tcW w:w="1155" w:type="dxa"/>
            <w:tcBorders>
              <w:top w:val="nil"/>
              <w:left w:val="nil"/>
              <w:bottom w:val="single" w:color="auto" w:sz="4" w:space="0"/>
              <w:right w:val="single" w:color="auto" w:sz="4" w:space="0"/>
            </w:tcBorders>
            <w:shd w:val="clear" w:color="000000" w:fill="E2A5AC"/>
            <w:noWrap/>
            <w:vAlign w:val="bottom"/>
          </w:tcPr>
          <w:p w:rsidR="00794B23" w:rsidP="0063613B" w:rsidRDefault="008E0C08" w14:paraId="760C9F59" w14:textId="5E7CC1C9">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56</w:t>
            </w:r>
          </w:p>
        </w:tc>
        <w:tc>
          <w:tcPr>
            <w:tcW w:w="1110" w:type="dxa"/>
            <w:tcBorders>
              <w:top w:val="nil"/>
              <w:left w:val="nil"/>
              <w:bottom w:val="single" w:color="auto" w:sz="4" w:space="0"/>
              <w:right w:val="single" w:color="auto" w:sz="4" w:space="0"/>
            </w:tcBorders>
            <w:shd w:val="clear" w:color="auto" w:fill="auto"/>
            <w:noWrap/>
            <w:vAlign w:val="bottom"/>
          </w:tcPr>
          <w:p w:rsidRPr="006F3C12" w:rsidR="00794B23" w:rsidP="0063613B" w:rsidRDefault="00794B23" w14:paraId="5D4A005B" w14:textId="6F611DB5">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1</w:t>
            </w:r>
          </w:p>
        </w:tc>
      </w:tr>
      <w:tr w:rsidRPr="006F3C12" w:rsidR="00954EE9" w:rsidTr="0063613B" w14:paraId="0CEEADCE"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Pr="006F3C12" w:rsidR="00954EE9" w:rsidP="0063613B" w:rsidRDefault="006B7BC0" w14:paraId="70350E2F" w14:textId="3DA65AC9">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 xml:space="preserve">E&amp;I </w:t>
            </w:r>
            <w:r w:rsidR="007A422C">
              <w:rPr>
                <w:rFonts w:ascii="Calibri" w:hAnsi="Calibri" w:eastAsia="Times New Roman" w:cs="Arial"/>
                <w:color w:val="000000"/>
                <w:sz w:val="20"/>
                <w:szCs w:val="20"/>
              </w:rPr>
              <w:t xml:space="preserve">Historic Preservation (DOE Form </w:t>
            </w:r>
            <w:r w:rsidR="003E3213">
              <w:rPr>
                <w:rFonts w:ascii="Calibri" w:hAnsi="Calibri" w:eastAsia="Times New Roman" w:cs="Arial"/>
                <w:color w:val="000000"/>
                <w:sz w:val="20"/>
                <w:szCs w:val="20"/>
              </w:rPr>
              <w:t>540.6</w:t>
            </w:r>
            <w:r w:rsidR="007A422C">
              <w:rPr>
                <w:rFonts w:ascii="Calibri" w:hAnsi="Calibri" w:eastAsia="Times New Roman" w:cs="Arial"/>
                <w:color w:val="000000"/>
                <w:sz w:val="20"/>
                <w:szCs w:val="20"/>
              </w:rPr>
              <w:t>)</w:t>
            </w:r>
          </w:p>
        </w:tc>
        <w:tc>
          <w:tcPr>
            <w:tcW w:w="1296" w:type="dxa"/>
            <w:tcBorders>
              <w:top w:val="nil"/>
              <w:left w:val="nil"/>
              <w:bottom w:val="single" w:color="auto" w:sz="4" w:space="0"/>
              <w:right w:val="single" w:color="auto" w:sz="4" w:space="0"/>
            </w:tcBorders>
            <w:shd w:val="clear" w:color="auto" w:fill="auto"/>
            <w:noWrap/>
            <w:vAlign w:val="bottom"/>
            <w:hideMark/>
          </w:tcPr>
          <w:p w:rsidRPr="006F3C12" w:rsidR="00954EE9" w:rsidP="0063613B" w:rsidRDefault="00954EE9" w14:paraId="3E6E1AD5" w14:textId="69DBD952">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F772A2">
              <w:rPr>
                <w:rFonts w:ascii="Calibri" w:hAnsi="Calibri" w:eastAsia="Times New Roman" w:cs="Arial"/>
                <w:color w:val="000000"/>
                <w:sz w:val="20"/>
                <w:szCs w:val="20"/>
              </w:rPr>
              <w:t>Financial Personnel</w:t>
            </w:r>
          </w:p>
        </w:tc>
        <w:tc>
          <w:tcPr>
            <w:tcW w:w="1296" w:type="dxa"/>
            <w:tcBorders>
              <w:top w:val="nil"/>
              <w:left w:val="nil"/>
              <w:bottom w:val="single" w:color="auto" w:sz="4" w:space="0"/>
              <w:right w:val="single" w:color="auto" w:sz="4" w:space="0"/>
            </w:tcBorders>
            <w:shd w:val="clear" w:color="auto" w:fill="auto"/>
            <w:noWrap/>
            <w:vAlign w:val="bottom"/>
            <w:hideMark/>
          </w:tcPr>
          <w:p w:rsidRPr="006F3C12" w:rsidR="00954EE9" w:rsidP="0063613B" w:rsidRDefault="00954EE9" w14:paraId="21083DAA" w14:textId="02525BE8">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1B2E58">
              <w:rPr>
                <w:rFonts w:ascii="Calibri" w:hAnsi="Calibri" w:eastAsia="Times New Roman" w:cs="Arial"/>
                <w:color w:val="000000"/>
                <w:sz w:val="20"/>
                <w:szCs w:val="20"/>
              </w:rPr>
              <w:t>2</w:t>
            </w:r>
            <w:r w:rsidR="001C0781">
              <w:rPr>
                <w:rFonts w:ascii="Calibri" w:hAnsi="Calibri" w:eastAsia="Times New Roman" w:cs="Arial"/>
                <w:color w:val="000000"/>
                <w:sz w:val="20"/>
                <w:szCs w:val="20"/>
              </w:rPr>
              <w:t>0</w:t>
            </w:r>
          </w:p>
        </w:tc>
        <w:tc>
          <w:tcPr>
            <w:tcW w:w="1158" w:type="dxa"/>
            <w:tcBorders>
              <w:top w:val="nil"/>
              <w:left w:val="nil"/>
              <w:bottom w:val="single" w:color="auto" w:sz="4" w:space="0"/>
              <w:right w:val="single" w:color="auto" w:sz="4" w:space="0"/>
            </w:tcBorders>
            <w:shd w:val="clear" w:color="000000" w:fill="E2A5AC"/>
            <w:noWrap/>
            <w:vAlign w:val="bottom"/>
            <w:hideMark/>
          </w:tcPr>
          <w:p w:rsidRPr="006F3C12" w:rsidR="00954EE9" w:rsidP="0063613B" w:rsidRDefault="007C75A1" w14:paraId="543265E5" w14:textId="0BA2B563">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2</w:t>
            </w:r>
            <w:r w:rsidR="001C0781">
              <w:rPr>
                <w:rFonts w:ascii="Calibri" w:hAnsi="Calibri" w:eastAsia="Times New Roman" w:cs="Arial"/>
                <w:color w:val="000000"/>
                <w:sz w:val="20"/>
                <w:szCs w:val="20"/>
              </w:rPr>
              <w:t>0</w:t>
            </w:r>
          </w:p>
        </w:tc>
        <w:tc>
          <w:tcPr>
            <w:tcW w:w="1157" w:type="dxa"/>
            <w:tcBorders>
              <w:top w:val="nil"/>
              <w:left w:val="nil"/>
              <w:bottom w:val="single" w:color="auto" w:sz="4" w:space="0"/>
              <w:right w:val="single" w:color="auto" w:sz="4" w:space="0"/>
            </w:tcBorders>
            <w:shd w:val="clear" w:color="auto" w:fill="auto"/>
            <w:noWrap/>
            <w:vAlign w:val="bottom"/>
            <w:hideMark/>
          </w:tcPr>
          <w:p w:rsidRPr="006F3C12" w:rsidR="00954EE9" w:rsidP="0063613B" w:rsidRDefault="00954EE9" w14:paraId="2C7BD271" w14:textId="29CF0873">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8E0C08">
              <w:rPr>
                <w:rFonts w:ascii="Calibri" w:hAnsi="Calibri" w:eastAsia="Times New Roman" w:cs="Arial"/>
                <w:color w:val="000000"/>
                <w:sz w:val="20"/>
                <w:szCs w:val="20"/>
              </w:rPr>
              <w:t>2</w:t>
            </w:r>
          </w:p>
        </w:tc>
        <w:tc>
          <w:tcPr>
            <w:tcW w:w="1155" w:type="dxa"/>
            <w:tcBorders>
              <w:top w:val="nil"/>
              <w:left w:val="nil"/>
              <w:bottom w:val="single" w:color="auto" w:sz="4" w:space="0"/>
              <w:right w:val="single" w:color="auto" w:sz="4" w:space="0"/>
            </w:tcBorders>
            <w:shd w:val="clear" w:color="000000" w:fill="E2A5AC"/>
            <w:noWrap/>
            <w:vAlign w:val="bottom"/>
            <w:hideMark/>
          </w:tcPr>
          <w:p w:rsidRPr="006F3C12" w:rsidR="00954EE9" w:rsidP="0063613B" w:rsidRDefault="008E0C08" w14:paraId="25450122" w14:textId="5705D858">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40</w:t>
            </w:r>
          </w:p>
        </w:tc>
        <w:tc>
          <w:tcPr>
            <w:tcW w:w="1110" w:type="dxa"/>
            <w:tcBorders>
              <w:top w:val="nil"/>
              <w:left w:val="nil"/>
              <w:bottom w:val="single" w:color="auto" w:sz="4" w:space="0"/>
              <w:right w:val="single" w:color="auto" w:sz="4" w:space="0"/>
            </w:tcBorders>
            <w:shd w:val="clear" w:color="auto" w:fill="auto"/>
            <w:noWrap/>
            <w:vAlign w:val="bottom"/>
            <w:hideMark/>
          </w:tcPr>
          <w:p w:rsidRPr="006F3C12" w:rsidR="00954EE9" w:rsidP="0063613B" w:rsidRDefault="00954EE9" w14:paraId="63494526" w14:textId="1B962EB0">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B17AF1">
              <w:rPr>
                <w:rFonts w:ascii="Calibri" w:hAnsi="Calibri" w:eastAsia="Times New Roman" w:cs="Arial"/>
                <w:color w:val="000000"/>
                <w:sz w:val="20"/>
                <w:szCs w:val="20"/>
              </w:rPr>
              <w:t>1</w:t>
            </w:r>
          </w:p>
        </w:tc>
      </w:tr>
      <w:tr w:rsidRPr="006F3C12" w:rsidR="00954EE9" w:rsidTr="0063613B" w14:paraId="0E0379CA"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Pr="006F3C12" w:rsidR="00954EE9" w:rsidP="0063613B" w:rsidRDefault="00954EE9" w14:paraId="3B8E7A00" w14:textId="658B6B1D">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7A422C">
              <w:rPr>
                <w:rFonts w:ascii="Calibri" w:hAnsi="Calibri" w:eastAsia="Times New Roman" w:cs="Arial"/>
                <w:color w:val="000000"/>
                <w:sz w:val="20"/>
                <w:szCs w:val="20"/>
              </w:rPr>
              <w:t>E&amp;I Annual Report</w:t>
            </w:r>
            <w:r w:rsidR="00C7543A">
              <w:rPr>
                <w:rFonts w:ascii="Calibri" w:hAnsi="Calibri" w:eastAsia="Times New Roman" w:cs="Arial"/>
                <w:color w:val="000000"/>
                <w:sz w:val="20"/>
                <w:szCs w:val="20"/>
              </w:rPr>
              <w:t xml:space="preserve"> (DOE Form </w:t>
            </w:r>
            <w:r w:rsidR="00020C10">
              <w:rPr>
                <w:rFonts w:ascii="Calibri" w:hAnsi="Calibri" w:eastAsia="Times New Roman" w:cs="Arial"/>
                <w:color w:val="000000"/>
                <w:sz w:val="20"/>
                <w:szCs w:val="20"/>
              </w:rPr>
              <w:t>540.7</w:t>
            </w:r>
            <w:r w:rsidR="00C7543A">
              <w:rPr>
                <w:rFonts w:ascii="Calibri" w:hAnsi="Calibri" w:eastAsia="Times New Roman" w:cs="Arial"/>
                <w:color w:val="000000"/>
                <w:sz w:val="20"/>
                <w:szCs w:val="20"/>
              </w:rPr>
              <w:t>)</w:t>
            </w:r>
          </w:p>
        </w:tc>
        <w:tc>
          <w:tcPr>
            <w:tcW w:w="1296" w:type="dxa"/>
            <w:tcBorders>
              <w:top w:val="nil"/>
              <w:left w:val="nil"/>
              <w:bottom w:val="single" w:color="auto" w:sz="4" w:space="0"/>
              <w:right w:val="single" w:color="auto" w:sz="4" w:space="0"/>
            </w:tcBorders>
            <w:shd w:val="clear" w:color="auto" w:fill="auto"/>
            <w:noWrap/>
            <w:vAlign w:val="bottom"/>
            <w:hideMark/>
          </w:tcPr>
          <w:p w:rsidRPr="006F3C12" w:rsidR="00954EE9" w:rsidP="0063613B" w:rsidRDefault="00954EE9" w14:paraId="63EB1462" w14:textId="115D24FC">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7A422C">
              <w:rPr>
                <w:rFonts w:ascii="Calibri" w:hAnsi="Calibri" w:eastAsia="Times New Roman" w:cs="Arial"/>
                <w:color w:val="000000"/>
                <w:sz w:val="20"/>
                <w:szCs w:val="20"/>
              </w:rPr>
              <w:t>Financial Personnel</w:t>
            </w:r>
          </w:p>
        </w:tc>
        <w:tc>
          <w:tcPr>
            <w:tcW w:w="1296" w:type="dxa"/>
            <w:tcBorders>
              <w:top w:val="nil"/>
              <w:left w:val="nil"/>
              <w:bottom w:val="single" w:color="auto" w:sz="4" w:space="0"/>
              <w:right w:val="single" w:color="auto" w:sz="4" w:space="0"/>
            </w:tcBorders>
            <w:shd w:val="clear" w:color="auto" w:fill="auto"/>
            <w:noWrap/>
            <w:vAlign w:val="bottom"/>
            <w:hideMark/>
          </w:tcPr>
          <w:p w:rsidRPr="006F3C12" w:rsidR="00954EE9" w:rsidP="0063613B" w:rsidRDefault="001B2E58" w14:paraId="4C79F142" w14:textId="48ECCEC6">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28</w:t>
            </w:r>
          </w:p>
        </w:tc>
        <w:tc>
          <w:tcPr>
            <w:tcW w:w="1158" w:type="dxa"/>
            <w:tcBorders>
              <w:top w:val="nil"/>
              <w:left w:val="nil"/>
              <w:bottom w:val="single" w:color="auto" w:sz="4" w:space="0"/>
              <w:right w:val="single" w:color="auto" w:sz="4" w:space="0"/>
            </w:tcBorders>
            <w:shd w:val="clear" w:color="000000" w:fill="E2A5AC"/>
            <w:noWrap/>
            <w:vAlign w:val="bottom"/>
            <w:hideMark/>
          </w:tcPr>
          <w:p w:rsidRPr="006F3C12" w:rsidR="00954EE9" w:rsidP="0063613B" w:rsidRDefault="007C75A1" w14:paraId="7D293BE7" w14:textId="18D65495">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28</w:t>
            </w:r>
          </w:p>
        </w:tc>
        <w:tc>
          <w:tcPr>
            <w:tcW w:w="1157" w:type="dxa"/>
            <w:tcBorders>
              <w:top w:val="nil"/>
              <w:left w:val="nil"/>
              <w:bottom w:val="single" w:color="auto" w:sz="4" w:space="0"/>
              <w:right w:val="single" w:color="auto" w:sz="4" w:space="0"/>
            </w:tcBorders>
            <w:shd w:val="clear" w:color="auto" w:fill="auto"/>
            <w:noWrap/>
            <w:vAlign w:val="bottom"/>
            <w:hideMark/>
          </w:tcPr>
          <w:p w:rsidRPr="006F3C12" w:rsidR="00954EE9" w:rsidP="0063613B" w:rsidRDefault="00954EE9" w14:paraId="31EBFF56" w14:textId="5D1B625E">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9F5683">
              <w:rPr>
                <w:rFonts w:ascii="Calibri" w:hAnsi="Calibri" w:eastAsia="Times New Roman" w:cs="Arial"/>
                <w:color w:val="000000"/>
                <w:sz w:val="20"/>
                <w:szCs w:val="20"/>
              </w:rPr>
              <w:t>1</w:t>
            </w:r>
            <w:r w:rsidR="008E0C08">
              <w:rPr>
                <w:rFonts w:ascii="Calibri" w:hAnsi="Calibri" w:eastAsia="Times New Roman" w:cs="Arial"/>
                <w:color w:val="000000"/>
                <w:sz w:val="20"/>
                <w:szCs w:val="20"/>
              </w:rPr>
              <w:t>6</w:t>
            </w:r>
          </w:p>
        </w:tc>
        <w:tc>
          <w:tcPr>
            <w:tcW w:w="1155" w:type="dxa"/>
            <w:tcBorders>
              <w:top w:val="nil"/>
              <w:left w:val="nil"/>
              <w:bottom w:val="single" w:color="auto" w:sz="4" w:space="0"/>
              <w:right w:val="single" w:color="auto" w:sz="4" w:space="0"/>
            </w:tcBorders>
            <w:shd w:val="clear" w:color="000000" w:fill="E2A5AC"/>
            <w:noWrap/>
            <w:vAlign w:val="bottom"/>
            <w:hideMark/>
          </w:tcPr>
          <w:p w:rsidRPr="006F3C12" w:rsidR="00954EE9" w:rsidP="0063613B" w:rsidRDefault="00DD772F" w14:paraId="45AF47CE" w14:textId="251C87D9">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448</w:t>
            </w:r>
          </w:p>
        </w:tc>
        <w:tc>
          <w:tcPr>
            <w:tcW w:w="1110" w:type="dxa"/>
            <w:tcBorders>
              <w:top w:val="nil"/>
              <w:left w:val="nil"/>
              <w:bottom w:val="single" w:color="auto" w:sz="4" w:space="0"/>
              <w:right w:val="single" w:color="auto" w:sz="4" w:space="0"/>
            </w:tcBorders>
            <w:shd w:val="clear" w:color="auto" w:fill="auto"/>
            <w:noWrap/>
            <w:vAlign w:val="bottom"/>
            <w:hideMark/>
          </w:tcPr>
          <w:p w:rsidRPr="006F3C12" w:rsidR="009F5683" w:rsidP="0063613B" w:rsidRDefault="00954EE9" w14:paraId="70628133" w14:textId="07454D26">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9F5683">
              <w:rPr>
                <w:rFonts w:ascii="Calibri" w:hAnsi="Calibri" w:eastAsia="Times New Roman" w:cs="Arial"/>
                <w:color w:val="000000"/>
                <w:sz w:val="20"/>
                <w:szCs w:val="20"/>
              </w:rPr>
              <w:t>1</w:t>
            </w:r>
          </w:p>
        </w:tc>
      </w:tr>
      <w:tr w:rsidRPr="006F3C12" w:rsidR="00C7543A" w:rsidTr="0063613B" w14:paraId="6190DF74"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Pr="006F3C12" w:rsidR="00C7543A" w:rsidP="00C7543A" w:rsidRDefault="00C7543A" w14:paraId="3D6F5EA1" w14:textId="17F25829">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Pr>
                <w:rFonts w:ascii="Calibri" w:hAnsi="Calibri" w:eastAsia="Times New Roman" w:cs="Arial"/>
                <w:color w:val="000000"/>
                <w:sz w:val="20"/>
                <w:szCs w:val="20"/>
              </w:rPr>
              <w:t xml:space="preserve">E&amp;I Quarterly Performance Report (DOE Form </w:t>
            </w:r>
            <w:r w:rsidR="007B17CE">
              <w:rPr>
                <w:rFonts w:ascii="Calibri" w:hAnsi="Calibri" w:eastAsia="Times New Roman" w:cs="Arial"/>
                <w:color w:val="000000"/>
                <w:sz w:val="20"/>
                <w:szCs w:val="20"/>
              </w:rPr>
              <w:t>540.9</w:t>
            </w:r>
            <w:r>
              <w:rPr>
                <w:rFonts w:ascii="Calibri" w:hAnsi="Calibri" w:eastAsia="Times New Roman" w:cs="Arial"/>
                <w:color w:val="000000"/>
                <w:sz w:val="20"/>
                <w:szCs w:val="20"/>
              </w:rPr>
              <w:t>)</w:t>
            </w:r>
          </w:p>
        </w:tc>
        <w:tc>
          <w:tcPr>
            <w:tcW w:w="1296" w:type="dxa"/>
            <w:tcBorders>
              <w:top w:val="nil"/>
              <w:left w:val="nil"/>
              <w:bottom w:val="single" w:color="auto" w:sz="4" w:space="0"/>
              <w:right w:val="single" w:color="auto" w:sz="4" w:space="0"/>
            </w:tcBorders>
            <w:shd w:val="clear" w:color="auto" w:fill="auto"/>
            <w:noWrap/>
            <w:vAlign w:val="bottom"/>
          </w:tcPr>
          <w:p w:rsidRPr="006F3C12" w:rsidR="00C7543A" w:rsidP="00C7543A" w:rsidRDefault="00C7543A" w14:paraId="748E27AB" w14:textId="41851654">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Pr>
                <w:rFonts w:ascii="Calibri" w:hAnsi="Calibri" w:eastAsia="Times New Roman" w:cs="Arial"/>
                <w:color w:val="000000"/>
                <w:sz w:val="20"/>
                <w:szCs w:val="20"/>
              </w:rPr>
              <w:t>Financial Personnel</w:t>
            </w:r>
          </w:p>
        </w:tc>
        <w:tc>
          <w:tcPr>
            <w:tcW w:w="1296" w:type="dxa"/>
            <w:tcBorders>
              <w:top w:val="nil"/>
              <w:left w:val="nil"/>
              <w:bottom w:val="single" w:color="auto" w:sz="4" w:space="0"/>
              <w:right w:val="single" w:color="auto" w:sz="4" w:space="0"/>
            </w:tcBorders>
            <w:shd w:val="clear" w:color="auto" w:fill="auto"/>
            <w:noWrap/>
            <w:vAlign w:val="bottom"/>
          </w:tcPr>
          <w:p w:rsidR="00C7543A" w:rsidP="00C7543A" w:rsidRDefault="00C7543A" w14:paraId="0C94BB84" w14:textId="62C2E24C">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1B2E58">
              <w:rPr>
                <w:rFonts w:ascii="Calibri" w:hAnsi="Calibri" w:eastAsia="Times New Roman" w:cs="Arial"/>
                <w:color w:val="000000"/>
                <w:sz w:val="20"/>
                <w:szCs w:val="20"/>
              </w:rPr>
              <w:t>28</w:t>
            </w:r>
          </w:p>
        </w:tc>
        <w:tc>
          <w:tcPr>
            <w:tcW w:w="1158" w:type="dxa"/>
            <w:tcBorders>
              <w:top w:val="nil"/>
              <w:left w:val="nil"/>
              <w:bottom w:val="single" w:color="auto" w:sz="4" w:space="0"/>
              <w:right w:val="single" w:color="auto" w:sz="4" w:space="0"/>
            </w:tcBorders>
            <w:shd w:val="clear" w:color="000000" w:fill="E2A5AC"/>
            <w:noWrap/>
            <w:vAlign w:val="bottom"/>
          </w:tcPr>
          <w:p w:rsidRPr="006F3C12" w:rsidR="00C7543A" w:rsidP="00C7543A" w:rsidRDefault="007C75A1" w14:paraId="40EA7C1D" w14:textId="5F07485F">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112</w:t>
            </w:r>
          </w:p>
        </w:tc>
        <w:tc>
          <w:tcPr>
            <w:tcW w:w="1157" w:type="dxa"/>
            <w:tcBorders>
              <w:top w:val="nil"/>
              <w:left w:val="nil"/>
              <w:bottom w:val="single" w:color="auto" w:sz="4" w:space="0"/>
              <w:right w:val="single" w:color="auto" w:sz="4" w:space="0"/>
            </w:tcBorders>
            <w:shd w:val="clear" w:color="auto" w:fill="auto"/>
            <w:noWrap/>
            <w:vAlign w:val="bottom"/>
          </w:tcPr>
          <w:p w:rsidRPr="006F3C12" w:rsidR="00C7543A" w:rsidP="00C7543A" w:rsidRDefault="00C7543A" w14:paraId="7EA8311C" w14:textId="6823CE05">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8E0C08">
              <w:rPr>
                <w:rFonts w:ascii="Calibri" w:hAnsi="Calibri" w:eastAsia="Times New Roman" w:cs="Arial"/>
                <w:color w:val="000000"/>
                <w:sz w:val="20"/>
                <w:szCs w:val="20"/>
              </w:rPr>
              <w:t>4</w:t>
            </w:r>
          </w:p>
        </w:tc>
        <w:tc>
          <w:tcPr>
            <w:tcW w:w="1155" w:type="dxa"/>
            <w:tcBorders>
              <w:top w:val="nil"/>
              <w:left w:val="nil"/>
              <w:bottom w:val="single" w:color="auto" w:sz="4" w:space="0"/>
              <w:right w:val="single" w:color="auto" w:sz="4" w:space="0"/>
            </w:tcBorders>
            <w:shd w:val="clear" w:color="000000" w:fill="E2A5AC"/>
            <w:noWrap/>
            <w:vAlign w:val="bottom"/>
          </w:tcPr>
          <w:p w:rsidRPr="006F3C12" w:rsidR="00C7543A" w:rsidP="00C7543A" w:rsidRDefault="00DD772F" w14:paraId="1570F171" w14:textId="7BD1DFCE">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448</w:t>
            </w:r>
          </w:p>
        </w:tc>
        <w:tc>
          <w:tcPr>
            <w:tcW w:w="1110" w:type="dxa"/>
            <w:tcBorders>
              <w:top w:val="nil"/>
              <w:left w:val="nil"/>
              <w:bottom w:val="single" w:color="auto" w:sz="4" w:space="0"/>
              <w:right w:val="single" w:color="auto" w:sz="4" w:space="0"/>
            </w:tcBorders>
            <w:shd w:val="clear" w:color="auto" w:fill="auto"/>
            <w:noWrap/>
            <w:vAlign w:val="bottom"/>
          </w:tcPr>
          <w:p w:rsidRPr="006F3C12" w:rsidR="00C7543A" w:rsidP="00C7543A" w:rsidRDefault="00C7543A" w14:paraId="28EB2FAE" w14:textId="443DBDF5">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Pr>
                <w:rFonts w:ascii="Calibri" w:hAnsi="Calibri" w:eastAsia="Times New Roman" w:cs="Arial"/>
                <w:color w:val="000000"/>
                <w:sz w:val="20"/>
                <w:szCs w:val="20"/>
              </w:rPr>
              <w:t>4</w:t>
            </w:r>
          </w:p>
        </w:tc>
      </w:tr>
      <w:tr w:rsidRPr="006F3C12" w:rsidR="00C7543A" w:rsidTr="0063613B" w14:paraId="2750A963"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Pr="006F3C12" w:rsidR="00C7543A" w:rsidP="00C7543A" w:rsidRDefault="00C7543A" w14:paraId="36640264" w14:textId="2B661996">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Pr>
                <w:rFonts w:ascii="Calibri" w:hAnsi="Calibri" w:eastAsia="Times New Roman" w:cs="Arial"/>
                <w:color w:val="000000"/>
                <w:sz w:val="20"/>
                <w:szCs w:val="20"/>
              </w:rPr>
              <w:t xml:space="preserve">SERC Annual File Worksheet </w:t>
            </w:r>
            <w:r w:rsidR="00CC5A49">
              <w:rPr>
                <w:rFonts w:ascii="Calibri" w:hAnsi="Calibri" w:eastAsia="Times New Roman" w:cs="Arial"/>
                <w:color w:val="000000"/>
                <w:sz w:val="20"/>
                <w:szCs w:val="20"/>
              </w:rPr>
              <w:t>(Combined DOE Forms 540.2</w:t>
            </w:r>
            <w:r w:rsidRPr="00CC5A49" w:rsidR="00CC5A49">
              <w:rPr>
                <w:rFonts w:ascii="Calibri" w:hAnsi="Calibri" w:eastAsia="Times New Roman" w:cs="Arial"/>
                <w:color w:val="000000"/>
                <w:sz w:val="20"/>
                <w:szCs w:val="20"/>
              </w:rPr>
              <w:t xml:space="preserve"> </w:t>
            </w:r>
            <w:r w:rsidRPr="00794B23" w:rsidR="00CC5A49">
              <w:rPr>
                <w:rFonts w:ascii="Calibri" w:hAnsi="Calibri" w:eastAsia="Times New Roman" w:cs="Arial"/>
                <w:color w:val="000000"/>
                <w:sz w:val="20"/>
                <w:szCs w:val="20"/>
              </w:rPr>
              <w:t xml:space="preserve">and </w:t>
            </w:r>
            <w:r w:rsidR="00CC5A49">
              <w:rPr>
                <w:rFonts w:ascii="Calibri" w:hAnsi="Calibri" w:eastAsia="Times New Roman" w:cs="Arial"/>
                <w:color w:val="000000"/>
                <w:sz w:val="20"/>
                <w:szCs w:val="20"/>
              </w:rPr>
              <w:t>540.4)</w:t>
            </w:r>
          </w:p>
        </w:tc>
        <w:tc>
          <w:tcPr>
            <w:tcW w:w="1296" w:type="dxa"/>
            <w:tcBorders>
              <w:top w:val="nil"/>
              <w:left w:val="nil"/>
              <w:bottom w:val="single" w:color="auto" w:sz="4" w:space="0"/>
              <w:right w:val="single" w:color="auto" w:sz="4" w:space="0"/>
            </w:tcBorders>
            <w:shd w:val="clear" w:color="auto" w:fill="auto"/>
            <w:noWrap/>
            <w:vAlign w:val="bottom"/>
            <w:hideMark/>
          </w:tcPr>
          <w:p w:rsidRPr="006F3C12" w:rsidR="00C7543A" w:rsidP="00C7543A" w:rsidRDefault="00C7543A" w14:paraId="35BC7F29" w14:textId="0E401B32">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Pr>
                <w:rFonts w:ascii="Calibri" w:hAnsi="Calibri" w:eastAsia="Times New Roman" w:cs="Arial"/>
                <w:color w:val="000000"/>
                <w:sz w:val="20"/>
                <w:szCs w:val="20"/>
              </w:rPr>
              <w:t>Financial Personnel</w:t>
            </w:r>
          </w:p>
        </w:tc>
        <w:tc>
          <w:tcPr>
            <w:tcW w:w="1296" w:type="dxa"/>
            <w:tcBorders>
              <w:top w:val="nil"/>
              <w:left w:val="nil"/>
              <w:bottom w:val="single" w:color="auto" w:sz="4" w:space="0"/>
              <w:right w:val="single" w:color="auto" w:sz="4" w:space="0"/>
            </w:tcBorders>
            <w:shd w:val="clear" w:color="auto" w:fill="auto"/>
            <w:noWrap/>
            <w:vAlign w:val="bottom"/>
            <w:hideMark/>
          </w:tcPr>
          <w:p w:rsidRPr="006F3C12" w:rsidR="00C7543A" w:rsidP="00C7543A" w:rsidRDefault="00C7543A" w14:paraId="1B6710A7" w14:textId="150D02A3">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1B2E58">
              <w:rPr>
                <w:rFonts w:ascii="Calibri" w:hAnsi="Calibri" w:eastAsia="Times New Roman" w:cs="Arial"/>
                <w:color w:val="000000"/>
                <w:sz w:val="20"/>
                <w:szCs w:val="20"/>
              </w:rPr>
              <w:t>24</w:t>
            </w:r>
          </w:p>
        </w:tc>
        <w:tc>
          <w:tcPr>
            <w:tcW w:w="1158" w:type="dxa"/>
            <w:tcBorders>
              <w:top w:val="nil"/>
              <w:left w:val="nil"/>
              <w:bottom w:val="single" w:color="auto" w:sz="4" w:space="0"/>
              <w:right w:val="single" w:color="auto" w:sz="4" w:space="0"/>
            </w:tcBorders>
            <w:shd w:val="clear" w:color="000000" w:fill="E2A5AC"/>
            <w:noWrap/>
            <w:vAlign w:val="bottom"/>
            <w:hideMark/>
          </w:tcPr>
          <w:p w:rsidRPr="006F3C12" w:rsidR="00C7543A" w:rsidP="00C7543A" w:rsidRDefault="00442CA9" w14:paraId="5BF69874" w14:textId="4733CA77">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24</w:t>
            </w:r>
          </w:p>
        </w:tc>
        <w:tc>
          <w:tcPr>
            <w:tcW w:w="1157" w:type="dxa"/>
            <w:tcBorders>
              <w:top w:val="nil"/>
              <w:left w:val="nil"/>
              <w:bottom w:val="single" w:color="auto" w:sz="4" w:space="0"/>
              <w:right w:val="single" w:color="auto" w:sz="4" w:space="0"/>
            </w:tcBorders>
            <w:shd w:val="clear" w:color="auto" w:fill="auto"/>
            <w:noWrap/>
            <w:vAlign w:val="bottom"/>
            <w:hideMark/>
          </w:tcPr>
          <w:p w:rsidRPr="006F3C12" w:rsidR="00C7543A" w:rsidP="00C7543A" w:rsidRDefault="00C7543A" w14:paraId="1E43866A" w14:textId="3CA97D5D">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8E0C08">
              <w:rPr>
                <w:rFonts w:ascii="Calibri" w:hAnsi="Calibri" w:eastAsia="Times New Roman" w:cs="Arial"/>
                <w:color w:val="000000"/>
                <w:sz w:val="20"/>
                <w:szCs w:val="20"/>
              </w:rPr>
              <w:t>4</w:t>
            </w:r>
          </w:p>
        </w:tc>
        <w:tc>
          <w:tcPr>
            <w:tcW w:w="1155" w:type="dxa"/>
            <w:tcBorders>
              <w:top w:val="nil"/>
              <w:left w:val="nil"/>
              <w:bottom w:val="single" w:color="auto" w:sz="4" w:space="0"/>
              <w:right w:val="single" w:color="auto" w:sz="4" w:space="0"/>
            </w:tcBorders>
            <w:shd w:val="clear" w:color="000000" w:fill="E2A5AC"/>
            <w:noWrap/>
            <w:vAlign w:val="bottom"/>
            <w:hideMark/>
          </w:tcPr>
          <w:p w:rsidRPr="006F3C12" w:rsidR="00C7543A" w:rsidP="00C7543A" w:rsidRDefault="00DD772F" w14:paraId="1F88560B" w14:textId="544678D7">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96</w:t>
            </w:r>
          </w:p>
        </w:tc>
        <w:tc>
          <w:tcPr>
            <w:tcW w:w="1110" w:type="dxa"/>
            <w:tcBorders>
              <w:top w:val="nil"/>
              <w:left w:val="nil"/>
              <w:bottom w:val="single" w:color="auto" w:sz="4" w:space="0"/>
              <w:right w:val="single" w:color="auto" w:sz="4" w:space="0"/>
            </w:tcBorders>
            <w:shd w:val="clear" w:color="auto" w:fill="auto"/>
            <w:noWrap/>
            <w:vAlign w:val="bottom"/>
            <w:hideMark/>
          </w:tcPr>
          <w:p w:rsidRPr="006F3C12" w:rsidR="00C7543A" w:rsidP="00C7543A" w:rsidRDefault="00C7543A" w14:paraId="4C59AD0D" w14:textId="08AD549E">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Pr>
                <w:rFonts w:ascii="Calibri" w:hAnsi="Calibri" w:eastAsia="Times New Roman" w:cs="Arial"/>
                <w:color w:val="000000"/>
                <w:sz w:val="20"/>
                <w:szCs w:val="20"/>
              </w:rPr>
              <w:t>1</w:t>
            </w:r>
          </w:p>
        </w:tc>
      </w:tr>
      <w:tr w:rsidRPr="006F3C12" w:rsidR="00C7543A" w:rsidTr="0063613B" w14:paraId="7572BA03"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Pr="006F3C12" w:rsidR="00C7543A" w:rsidP="00C7543A" w:rsidRDefault="00C7543A" w14:paraId="1C60A480" w14:textId="667FF257">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Pr>
                <w:rFonts w:ascii="Calibri" w:hAnsi="Calibri" w:eastAsia="Times New Roman" w:cs="Arial"/>
                <w:color w:val="000000"/>
                <w:sz w:val="20"/>
                <w:szCs w:val="20"/>
              </w:rPr>
              <w:t xml:space="preserve">SERC Quarterly Performance Report (DOE Form </w:t>
            </w:r>
            <w:r w:rsidR="00263C0F">
              <w:rPr>
                <w:rFonts w:ascii="Calibri" w:hAnsi="Calibri" w:eastAsia="Times New Roman" w:cs="Arial"/>
                <w:color w:val="000000"/>
                <w:sz w:val="20"/>
                <w:szCs w:val="20"/>
              </w:rPr>
              <w:t>540.11</w:t>
            </w:r>
            <w:r>
              <w:rPr>
                <w:rFonts w:ascii="Calibri" w:hAnsi="Calibri" w:eastAsia="Times New Roman" w:cs="Arial"/>
                <w:color w:val="000000"/>
                <w:sz w:val="20"/>
                <w:szCs w:val="20"/>
              </w:rPr>
              <w:t>)</w:t>
            </w:r>
          </w:p>
        </w:tc>
        <w:tc>
          <w:tcPr>
            <w:tcW w:w="1296" w:type="dxa"/>
            <w:tcBorders>
              <w:top w:val="nil"/>
              <w:left w:val="nil"/>
              <w:bottom w:val="single" w:color="auto" w:sz="4" w:space="0"/>
              <w:right w:val="single" w:color="auto" w:sz="4" w:space="0"/>
            </w:tcBorders>
            <w:shd w:val="clear" w:color="auto" w:fill="auto"/>
            <w:noWrap/>
            <w:vAlign w:val="bottom"/>
            <w:hideMark/>
          </w:tcPr>
          <w:p w:rsidRPr="006F3C12" w:rsidR="00C7543A" w:rsidP="00C7543A" w:rsidRDefault="00C7543A" w14:paraId="42937BF8" w14:textId="78605458">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Pr>
                <w:rFonts w:ascii="Calibri" w:hAnsi="Calibri" w:eastAsia="Times New Roman" w:cs="Arial"/>
                <w:color w:val="000000"/>
                <w:sz w:val="20"/>
                <w:szCs w:val="20"/>
              </w:rPr>
              <w:t>Financial Personnel</w:t>
            </w:r>
          </w:p>
        </w:tc>
        <w:tc>
          <w:tcPr>
            <w:tcW w:w="1296" w:type="dxa"/>
            <w:tcBorders>
              <w:top w:val="nil"/>
              <w:left w:val="nil"/>
              <w:bottom w:val="single" w:color="auto" w:sz="4" w:space="0"/>
              <w:right w:val="single" w:color="auto" w:sz="4" w:space="0"/>
            </w:tcBorders>
            <w:shd w:val="clear" w:color="auto" w:fill="auto"/>
            <w:noWrap/>
            <w:vAlign w:val="bottom"/>
            <w:hideMark/>
          </w:tcPr>
          <w:p w:rsidRPr="006F3C12" w:rsidR="00C7543A" w:rsidP="00C7543A" w:rsidRDefault="00C7543A" w14:paraId="2F07BF26" w14:textId="31AA97A4">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1B2E58">
              <w:rPr>
                <w:rFonts w:ascii="Calibri" w:hAnsi="Calibri" w:eastAsia="Times New Roman" w:cs="Arial"/>
                <w:color w:val="000000"/>
                <w:sz w:val="20"/>
                <w:szCs w:val="20"/>
              </w:rPr>
              <w:t>24</w:t>
            </w:r>
          </w:p>
        </w:tc>
        <w:tc>
          <w:tcPr>
            <w:tcW w:w="1158" w:type="dxa"/>
            <w:tcBorders>
              <w:top w:val="nil"/>
              <w:left w:val="nil"/>
              <w:bottom w:val="single" w:color="auto" w:sz="4" w:space="0"/>
              <w:right w:val="single" w:color="auto" w:sz="4" w:space="0"/>
            </w:tcBorders>
            <w:shd w:val="clear" w:color="000000" w:fill="E2A5AC"/>
            <w:noWrap/>
            <w:vAlign w:val="bottom"/>
            <w:hideMark/>
          </w:tcPr>
          <w:p w:rsidRPr="006F3C12" w:rsidR="00C7543A" w:rsidP="00C7543A" w:rsidRDefault="007C75A1" w14:paraId="573CD76A" w14:textId="1EAFBD35">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96</w:t>
            </w:r>
          </w:p>
        </w:tc>
        <w:tc>
          <w:tcPr>
            <w:tcW w:w="1157" w:type="dxa"/>
            <w:tcBorders>
              <w:top w:val="nil"/>
              <w:left w:val="nil"/>
              <w:bottom w:val="single" w:color="auto" w:sz="4" w:space="0"/>
              <w:right w:val="single" w:color="auto" w:sz="4" w:space="0"/>
            </w:tcBorders>
            <w:shd w:val="clear" w:color="auto" w:fill="auto"/>
            <w:noWrap/>
            <w:vAlign w:val="bottom"/>
            <w:hideMark/>
          </w:tcPr>
          <w:p w:rsidRPr="006F3C12" w:rsidR="00C7543A" w:rsidP="00C7543A" w:rsidRDefault="00C7543A" w14:paraId="5420E9B4" w14:textId="0F7A7586">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8E0C08">
              <w:rPr>
                <w:rFonts w:ascii="Calibri" w:hAnsi="Calibri" w:eastAsia="Times New Roman" w:cs="Arial"/>
                <w:color w:val="000000"/>
                <w:sz w:val="20"/>
                <w:szCs w:val="20"/>
              </w:rPr>
              <w:t>4</w:t>
            </w:r>
          </w:p>
        </w:tc>
        <w:tc>
          <w:tcPr>
            <w:tcW w:w="1155" w:type="dxa"/>
            <w:tcBorders>
              <w:top w:val="nil"/>
              <w:left w:val="nil"/>
              <w:bottom w:val="single" w:color="auto" w:sz="4" w:space="0"/>
              <w:right w:val="single" w:color="auto" w:sz="4" w:space="0"/>
            </w:tcBorders>
            <w:shd w:val="clear" w:color="000000" w:fill="E2A5AC"/>
            <w:noWrap/>
            <w:vAlign w:val="bottom"/>
            <w:hideMark/>
          </w:tcPr>
          <w:p w:rsidR="00442CA9" w:rsidP="00C7543A" w:rsidRDefault="00442CA9" w14:paraId="7B448099" w14:textId="77777777">
            <w:pPr>
              <w:spacing w:after="0" w:line="240" w:lineRule="auto"/>
              <w:jc w:val="right"/>
              <w:rPr>
                <w:rFonts w:ascii="Calibri" w:hAnsi="Calibri" w:eastAsia="Times New Roman" w:cs="Arial"/>
                <w:color w:val="000000"/>
                <w:sz w:val="20"/>
                <w:szCs w:val="20"/>
              </w:rPr>
            </w:pPr>
          </w:p>
          <w:p w:rsidR="00C7543A" w:rsidP="00C7543A" w:rsidRDefault="00DD772F" w14:paraId="3C537005" w14:textId="15949E69">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384</w:t>
            </w:r>
          </w:p>
          <w:p w:rsidRPr="006F3C12" w:rsidR="00442CA9" w:rsidP="00C7543A" w:rsidRDefault="00442CA9" w14:paraId="0DB28353" w14:textId="756B9C2D">
            <w:pPr>
              <w:spacing w:after="0" w:line="240" w:lineRule="auto"/>
              <w:jc w:val="right"/>
              <w:rPr>
                <w:rFonts w:ascii="Calibri" w:hAnsi="Calibri" w:eastAsia="Times New Roman" w:cs="Arial"/>
                <w:color w:val="000000"/>
                <w:sz w:val="20"/>
                <w:szCs w:val="20"/>
              </w:rPr>
            </w:pPr>
          </w:p>
        </w:tc>
        <w:tc>
          <w:tcPr>
            <w:tcW w:w="1110" w:type="dxa"/>
            <w:tcBorders>
              <w:top w:val="nil"/>
              <w:left w:val="nil"/>
              <w:bottom w:val="single" w:color="auto" w:sz="4" w:space="0"/>
              <w:right w:val="single" w:color="auto" w:sz="4" w:space="0"/>
            </w:tcBorders>
            <w:shd w:val="clear" w:color="auto" w:fill="auto"/>
            <w:noWrap/>
            <w:vAlign w:val="bottom"/>
            <w:hideMark/>
          </w:tcPr>
          <w:p w:rsidRPr="006F3C12" w:rsidR="00C7543A" w:rsidP="00C7543A" w:rsidRDefault="00C7543A" w14:paraId="1464ADF8" w14:textId="60321FEF">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Pr>
                <w:rFonts w:ascii="Calibri" w:hAnsi="Calibri" w:eastAsia="Times New Roman" w:cs="Arial"/>
                <w:color w:val="000000"/>
                <w:sz w:val="20"/>
                <w:szCs w:val="20"/>
              </w:rPr>
              <w:t>4</w:t>
            </w:r>
          </w:p>
        </w:tc>
      </w:tr>
      <w:tr w:rsidRPr="006F3C12" w:rsidR="00C7543A" w:rsidTr="0063613B" w14:paraId="1061B3B3"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Pr="006F3C12" w:rsidR="00C7543A" w:rsidP="00C7543A" w:rsidRDefault="00C7543A" w14:paraId="10C8B9EA" w14:textId="0B35C724">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Pr>
                <w:rFonts w:ascii="Calibri" w:hAnsi="Calibri" w:eastAsia="Times New Roman" w:cs="Arial"/>
                <w:color w:val="000000"/>
                <w:sz w:val="20"/>
                <w:szCs w:val="20"/>
              </w:rPr>
              <w:t xml:space="preserve">CS Annual File Worksheet </w:t>
            </w:r>
            <w:r w:rsidR="00794B23">
              <w:rPr>
                <w:rFonts w:ascii="Calibri" w:hAnsi="Calibri" w:eastAsia="Times New Roman" w:cs="Arial"/>
                <w:color w:val="000000"/>
                <w:sz w:val="20"/>
                <w:szCs w:val="20"/>
              </w:rPr>
              <w:t xml:space="preserve">(Combined DOE Forms </w:t>
            </w:r>
            <w:r w:rsidR="00CC5A49">
              <w:rPr>
                <w:rFonts w:ascii="Calibri" w:hAnsi="Calibri" w:eastAsia="Times New Roman" w:cs="Arial"/>
                <w:color w:val="000000"/>
                <w:sz w:val="20"/>
                <w:szCs w:val="20"/>
              </w:rPr>
              <w:t>540.2</w:t>
            </w:r>
            <w:r w:rsidRPr="00CC5A49" w:rsidR="00794B23">
              <w:rPr>
                <w:rFonts w:ascii="Calibri" w:hAnsi="Calibri" w:eastAsia="Times New Roman" w:cs="Arial"/>
                <w:color w:val="000000"/>
                <w:sz w:val="20"/>
                <w:szCs w:val="20"/>
              </w:rPr>
              <w:t xml:space="preserve"> </w:t>
            </w:r>
            <w:r w:rsidRPr="00794B23" w:rsidR="00794B23">
              <w:rPr>
                <w:rFonts w:ascii="Calibri" w:hAnsi="Calibri" w:eastAsia="Times New Roman" w:cs="Arial"/>
                <w:color w:val="000000"/>
                <w:sz w:val="20"/>
                <w:szCs w:val="20"/>
              </w:rPr>
              <w:t xml:space="preserve">and </w:t>
            </w:r>
            <w:r w:rsidR="00CC5A49">
              <w:rPr>
                <w:rFonts w:ascii="Calibri" w:hAnsi="Calibri" w:eastAsia="Times New Roman" w:cs="Arial"/>
                <w:color w:val="000000"/>
                <w:sz w:val="20"/>
                <w:szCs w:val="20"/>
              </w:rPr>
              <w:t>540.4</w:t>
            </w:r>
            <w:r w:rsidR="00794B23">
              <w:rPr>
                <w:rFonts w:ascii="Calibri" w:hAnsi="Calibri" w:eastAsia="Times New Roman" w:cs="Arial"/>
                <w:color w:val="000000"/>
                <w:sz w:val="20"/>
                <w:szCs w:val="20"/>
              </w:rPr>
              <w:t>)</w:t>
            </w:r>
          </w:p>
        </w:tc>
        <w:tc>
          <w:tcPr>
            <w:tcW w:w="1296" w:type="dxa"/>
            <w:tcBorders>
              <w:top w:val="nil"/>
              <w:left w:val="nil"/>
              <w:bottom w:val="single" w:color="auto" w:sz="4" w:space="0"/>
              <w:right w:val="single" w:color="auto" w:sz="4" w:space="0"/>
            </w:tcBorders>
            <w:shd w:val="clear" w:color="auto" w:fill="auto"/>
            <w:noWrap/>
            <w:vAlign w:val="bottom"/>
          </w:tcPr>
          <w:p w:rsidRPr="006F3C12" w:rsidR="00C7543A" w:rsidP="00C7543A" w:rsidRDefault="00C7543A" w14:paraId="7F910C49" w14:textId="240019DD">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Pr>
                <w:rFonts w:ascii="Calibri" w:hAnsi="Calibri" w:eastAsia="Times New Roman" w:cs="Arial"/>
                <w:color w:val="000000"/>
                <w:sz w:val="20"/>
                <w:szCs w:val="20"/>
              </w:rPr>
              <w:t>Financial Personnel</w:t>
            </w:r>
          </w:p>
        </w:tc>
        <w:tc>
          <w:tcPr>
            <w:tcW w:w="1296" w:type="dxa"/>
            <w:tcBorders>
              <w:top w:val="nil"/>
              <w:left w:val="nil"/>
              <w:bottom w:val="single" w:color="auto" w:sz="4" w:space="0"/>
              <w:right w:val="single" w:color="auto" w:sz="4" w:space="0"/>
            </w:tcBorders>
            <w:shd w:val="clear" w:color="auto" w:fill="auto"/>
            <w:noWrap/>
            <w:vAlign w:val="bottom"/>
          </w:tcPr>
          <w:p w:rsidRPr="006F3C12" w:rsidR="00C7543A" w:rsidP="00C7543A" w:rsidRDefault="00C7543A" w14:paraId="7A915B41" w14:textId="371E68C3">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1B2E58">
              <w:rPr>
                <w:rFonts w:ascii="Calibri" w:hAnsi="Calibri" w:eastAsia="Times New Roman" w:cs="Arial"/>
                <w:color w:val="000000"/>
                <w:sz w:val="20"/>
                <w:szCs w:val="20"/>
              </w:rPr>
              <w:t>14</w:t>
            </w:r>
          </w:p>
        </w:tc>
        <w:tc>
          <w:tcPr>
            <w:tcW w:w="1158" w:type="dxa"/>
            <w:tcBorders>
              <w:top w:val="nil"/>
              <w:left w:val="nil"/>
              <w:bottom w:val="single" w:color="auto" w:sz="4" w:space="0"/>
              <w:right w:val="single" w:color="auto" w:sz="4" w:space="0"/>
            </w:tcBorders>
            <w:shd w:val="clear" w:color="000000" w:fill="E2A5AC"/>
            <w:noWrap/>
            <w:vAlign w:val="bottom"/>
          </w:tcPr>
          <w:p w:rsidRPr="006F3C12" w:rsidR="00C7543A" w:rsidP="00C7543A" w:rsidRDefault="007C75A1" w14:paraId="3566CDDE" w14:textId="1C9EA2A5">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14</w:t>
            </w:r>
          </w:p>
        </w:tc>
        <w:tc>
          <w:tcPr>
            <w:tcW w:w="1157" w:type="dxa"/>
            <w:tcBorders>
              <w:top w:val="nil"/>
              <w:left w:val="nil"/>
              <w:bottom w:val="single" w:color="auto" w:sz="4" w:space="0"/>
              <w:right w:val="single" w:color="auto" w:sz="4" w:space="0"/>
            </w:tcBorders>
            <w:shd w:val="clear" w:color="auto" w:fill="auto"/>
            <w:noWrap/>
            <w:vAlign w:val="bottom"/>
          </w:tcPr>
          <w:p w:rsidRPr="006F3C12" w:rsidR="00C7543A" w:rsidP="00C7543A" w:rsidRDefault="00C7543A" w14:paraId="43F47DDD" w14:textId="2F1E0A9A">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8E0C08">
              <w:rPr>
                <w:rFonts w:ascii="Calibri" w:hAnsi="Calibri" w:eastAsia="Times New Roman" w:cs="Arial"/>
                <w:color w:val="000000"/>
                <w:sz w:val="20"/>
                <w:szCs w:val="20"/>
              </w:rPr>
              <w:t>4</w:t>
            </w:r>
          </w:p>
        </w:tc>
        <w:tc>
          <w:tcPr>
            <w:tcW w:w="1155" w:type="dxa"/>
            <w:tcBorders>
              <w:top w:val="nil"/>
              <w:left w:val="nil"/>
              <w:bottom w:val="single" w:color="auto" w:sz="4" w:space="0"/>
              <w:right w:val="single" w:color="auto" w:sz="4" w:space="0"/>
            </w:tcBorders>
            <w:shd w:val="clear" w:color="000000" w:fill="E2A5AC"/>
            <w:noWrap/>
            <w:vAlign w:val="bottom"/>
          </w:tcPr>
          <w:p w:rsidRPr="006F3C12" w:rsidR="00C7543A" w:rsidP="00C7543A" w:rsidRDefault="00DD772F" w14:paraId="158D5450" w14:textId="68BDE590">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56</w:t>
            </w:r>
          </w:p>
        </w:tc>
        <w:tc>
          <w:tcPr>
            <w:tcW w:w="1110" w:type="dxa"/>
            <w:tcBorders>
              <w:top w:val="nil"/>
              <w:left w:val="nil"/>
              <w:bottom w:val="single" w:color="auto" w:sz="4" w:space="0"/>
              <w:right w:val="single" w:color="auto" w:sz="4" w:space="0"/>
            </w:tcBorders>
            <w:shd w:val="clear" w:color="auto" w:fill="auto"/>
            <w:noWrap/>
            <w:vAlign w:val="bottom"/>
          </w:tcPr>
          <w:p w:rsidRPr="006F3C12" w:rsidR="00C7543A" w:rsidP="00C7543A" w:rsidRDefault="00C7543A" w14:paraId="69E85069" w14:textId="2C4E2625">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Pr>
                <w:rFonts w:ascii="Calibri" w:hAnsi="Calibri" w:eastAsia="Times New Roman" w:cs="Arial"/>
                <w:color w:val="000000"/>
                <w:sz w:val="20"/>
                <w:szCs w:val="20"/>
              </w:rPr>
              <w:t>1</w:t>
            </w:r>
          </w:p>
        </w:tc>
      </w:tr>
      <w:tr w:rsidRPr="006F3C12" w:rsidR="00C7543A" w:rsidTr="0063613B" w14:paraId="1CAE27F3"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Pr="006F3C12" w:rsidR="00C7543A" w:rsidP="00C7543A" w:rsidRDefault="00C7543A" w14:paraId="4D570AC3" w14:textId="2B5E8E2F">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Pr>
                <w:rFonts w:ascii="Calibri" w:hAnsi="Calibri" w:eastAsia="Times New Roman" w:cs="Arial"/>
                <w:color w:val="000000"/>
                <w:sz w:val="20"/>
                <w:szCs w:val="20"/>
              </w:rPr>
              <w:t xml:space="preserve">CS Quarterly Performance report (DOE Form </w:t>
            </w:r>
            <w:r w:rsidR="00BA2A5B">
              <w:rPr>
                <w:rFonts w:ascii="Calibri" w:hAnsi="Calibri" w:eastAsia="Times New Roman" w:cs="Arial"/>
                <w:color w:val="000000"/>
                <w:sz w:val="20"/>
                <w:szCs w:val="20"/>
              </w:rPr>
              <w:t>540.</w:t>
            </w:r>
            <w:r w:rsidR="003E3213">
              <w:rPr>
                <w:rFonts w:ascii="Calibri" w:hAnsi="Calibri" w:eastAsia="Times New Roman" w:cs="Arial"/>
                <w:color w:val="000000"/>
                <w:sz w:val="20"/>
                <w:szCs w:val="20"/>
              </w:rPr>
              <w:t>12</w:t>
            </w:r>
            <w:r>
              <w:rPr>
                <w:rFonts w:ascii="Calibri" w:hAnsi="Calibri" w:eastAsia="Times New Roman" w:cs="Arial"/>
                <w:color w:val="000000"/>
                <w:sz w:val="20"/>
                <w:szCs w:val="20"/>
              </w:rPr>
              <w:t>)</w:t>
            </w:r>
          </w:p>
        </w:tc>
        <w:tc>
          <w:tcPr>
            <w:tcW w:w="1296" w:type="dxa"/>
            <w:tcBorders>
              <w:top w:val="nil"/>
              <w:left w:val="nil"/>
              <w:bottom w:val="single" w:color="auto" w:sz="4" w:space="0"/>
              <w:right w:val="single" w:color="auto" w:sz="4" w:space="0"/>
            </w:tcBorders>
            <w:shd w:val="clear" w:color="auto" w:fill="auto"/>
            <w:noWrap/>
            <w:vAlign w:val="bottom"/>
            <w:hideMark/>
          </w:tcPr>
          <w:p w:rsidRPr="006F3C12" w:rsidR="00C7543A" w:rsidP="00C7543A" w:rsidRDefault="00C7543A" w14:paraId="1F44B67B" w14:textId="215D6DCB">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Pr>
                <w:rFonts w:ascii="Calibri" w:hAnsi="Calibri" w:eastAsia="Times New Roman" w:cs="Arial"/>
                <w:color w:val="000000"/>
                <w:sz w:val="20"/>
                <w:szCs w:val="20"/>
              </w:rPr>
              <w:t>Financial Personnel</w:t>
            </w:r>
          </w:p>
        </w:tc>
        <w:tc>
          <w:tcPr>
            <w:tcW w:w="1296" w:type="dxa"/>
            <w:tcBorders>
              <w:top w:val="nil"/>
              <w:left w:val="nil"/>
              <w:bottom w:val="single" w:color="auto" w:sz="4" w:space="0"/>
              <w:right w:val="single" w:color="auto" w:sz="4" w:space="0"/>
            </w:tcBorders>
            <w:shd w:val="clear" w:color="auto" w:fill="auto"/>
            <w:noWrap/>
            <w:vAlign w:val="bottom"/>
            <w:hideMark/>
          </w:tcPr>
          <w:p w:rsidRPr="006F3C12" w:rsidR="00C7543A" w:rsidP="00C7543A" w:rsidRDefault="00C7543A" w14:paraId="2A1945C8" w14:textId="07089179">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1B2E58">
              <w:rPr>
                <w:rFonts w:ascii="Calibri" w:hAnsi="Calibri" w:eastAsia="Times New Roman" w:cs="Arial"/>
                <w:color w:val="000000"/>
                <w:sz w:val="20"/>
                <w:szCs w:val="20"/>
              </w:rPr>
              <w:t>14</w:t>
            </w:r>
          </w:p>
        </w:tc>
        <w:tc>
          <w:tcPr>
            <w:tcW w:w="1158" w:type="dxa"/>
            <w:tcBorders>
              <w:top w:val="nil"/>
              <w:left w:val="nil"/>
              <w:bottom w:val="single" w:color="auto" w:sz="4" w:space="0"/>
              <w:right w:val="single" w:color="auto" w:sz="4" w:space="0"/>
            </w:tcBorders>
            <w:shd w:val="clear" w:color="000000" w:fill="E2A5AC"/>
            <w:noWrap/>
            <w:vAlign w:val="bottom"/>
            <w:hideMark/>
          </w:tcPr>
          <w:p w:rsidRPr="006F3C12" w:rsidR="00C7543A" w:rsidP="00C7543A" w:rsidRDefault="007C75A1" w14:paraId="2696CCDE" w14:textId="0E6CBDA2">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56</w:t>
            </w:r>
          </w:p>
        </w:tc>
        <w:tc>
          <w:tcPr>
            <w:tcW w:w="1157" w:type="dxa"/>
            <w:tcBorders>
              <w:top w:val="nil"/>
              <w:left w:val="nil"/>
              <w:bottom w:val="single" w:color="auto" w:sz="4" w:space="0"/>
              <w:right w:val="single" w:color="auto" w:sz="4" w:space="0"/>
            </w:tcBorders>
            <w:shd w:val="clear" w:color="auto" w:fill="auto"/>
            <w:noWrap/>
            <w:vAlign w:val="bottom"/>
            <w:hideMark/>
          </w:tcPr>
          <w:p w:rsidRPr="006F3C12" w:rsidR="00C7543A" w:rsidP="00C7543A" w:rsidRDefault="00C7543A" w14:paraId="023E37DE" w14:textId="69A69A02">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8E0C08">
              <w:rPr>
                <w:rFonts w:ascii="Calibri" w:hAnsi="Calibri" w:eastAsia="Times New Roman" w:cs="Arial"/>
                <w:color w:val="000000"/>
                <w:sz w:val="20"/>
                <w:szCs w:val="20"/>
              </w:rPr>
              <w:t>4</w:t>
            </w:r>
          </w:p>
        </w:tc>
        <w:tc>
          <w:tcPr>
            <w:tcW w:w="1155" w:type="dxa"/>
            <w:tcBorders>
              <w:top w:val="nil"/>
              <w:left w:val="nil"/>
              <w:bottom w:val="single" w:color="auto" w:sz="4" w:space="0"/>
              <w:right w:val="single" w:color="auto" w:sz="4" w:space="0"/>
            </w:tcBorders>
            <w:shd w:val="clear" w:color="000000" w:fill="E2A5AC"/>
            <w:noWrap/>
            <w:vAlign w:val="bottom"/>
            <w:hideMark/>
          </w:tcPr>
          <w:p w:rsidRPr="006F3C12" w:rsidR="00C7543A" w:rsidP="00C7543A" w:rsidRDefault="00442CA9" w14:paraId="27F2039C" w14:textId="6DC205C2">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2</w:t>
            </w:r>
            <w:r w:rsidR="00DD772F">
              <w:rPr>
                <w:rFonts w:ascii="Calibri" w:hAnsi="Calibri" w:eastAsia="Times New Roman" w:cs="Arial"/>
                <w:color w:val="000000"/>
                <w:sz w:val="20"/>
                <w:szCs w:val="20"/>
              </w:rPr>
              <w:t>24</w:t>
            </w:r>
          </w:p>
        </w:tc>
        <w:tc>
          <w:tcPr>
            <w:tcW w:w="1110" w:type="dxa"/>
            <w:tcBorders>
              <w:top w:val="nil"/>
              <w:left w:val="nil"/>
              <w:bottom w:val="single" w:color="auto" w:sz="4" w:space="0"/>
              <w:right w:val="single" w:color="auto" w:sz="4" w:space="0"/>
            </w:tcBorders>
            <w:shd w:val="clear" w:color="auto" w:fill="auto"/>
            <w:noWrap/>
            <w:vAlign w:val="bottom"/>
            <w:hideMark/>
          </w:tcPr>
          <w:p w:rsidRPr="006F3C12" w:rsidR="00C7543A" w:rsidP="00C7543A" w:rsidRDefault="00C7543A" w14:paraId="0A8147DA" w14:textId="7E000A0F">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Pr>
                <w:rFonts w:ascii="Calibri" w:hAnsi="Calibri" w:eastAsia="Times New Roman" w:cs="Arial"/>
                <w:color w:val="000000"/>
                <w:sz w:val="20"/>
                <w:szCs w:val="20"/>
              </w:rPr>
              <w:t>4</w:t>
            </w:r>
          </w:p>
        </w:tc>
      </w:tr>
      <w:tr w:rsidRPr="006F3C12" w:rsidR="00C7543A" w:rsidTr="0063613B" w14:paraId="11D04B9E"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Pr="006F3C12" w:rsidR="00C7543A" w:rsidP="00C7543A" w:rsidRDefault="00C7543A" w14:paraId="603F6021"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TOTAL</w:t>
            </w:r>
          </w:p>
        </w:tc>
        <w:tc>
          <w:tcPr>
            <w:tcW w:w="1296" w:type="dxa"/>
            <w:tcBorders>
              <w:top w:val="nil"/>
              <w:left w:val="nil"/>
              <w:bottom w:val="single" w:color="auto" w:sz="4" w:space="0"/>
              <w:right w:val="single" w:color="auto" w:sz="4" w:space="0"/>
            </w:tcBorders>
            <w:shd w:val="clear" w:color="000000" w:fill="333333"/>
            <w:noWrap/>
            <w:vAlign w:val="bottom"/>
            <w:hideMark/>
          </w:tcPr>
          <w:p w:rsidRPr="006F3C12" w:rsidR="00C7543A" w:rsidP="00C7543A" w:rsidRDefault="00C7543A" w14:paraId="7A57BD6F"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 </w:t>
            </w:r>
          </w:p>
        </w:tc>
        <w:tc>
          <w:tcPr>
            <w:tcW w:w="1296" w:type="dxa"/>
            <w:tcBorders>
              <w:top w:val="nil"/>
              <w:left w:val="nil"/>
              <w:bottom w:val="single" w:color="auto" w:sz="4" w:space="0"/>
              <w:right w:val="single" w:color="auto" w:sz="4" w:space="0"/>
            </w:tcBorders>
            <w:shd w:val="clear" w:color="000000" w:fill="E2A5AC"/>
            <w:noWrap/>
            <w:vAlign w:val="bottom"/>
            <w:hideMark/>
          </w:tcPr>
          <w:p w:rsidRPr="006F3C12" w:rsidR="00C7543A" w:rsidP="00C7543A" w:rsidRDefault="00A92BD2" w14:paraId="130B374D" w14:textId="3040C60F">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50</w:t>
            </w:r>
          </w:p>
        </w:tc>
        <w:tc>
          <w:tcPr>
            <w:tcW w:w="1158" w:type="dxa"/>
            <w:tcBorders>
              <w:top w:val="nil"/>
              <w:left w:val="nil"/>
              <w:bottom w:val="single" w:color="auto" w:sz="4" w:space="0"/>
              <w:right w:val="single" w:color="auto" w:sz="4" w:space="0"/>
            </w:tcBorders>
            <w:shd w:val="clear" w:color="000000" w:fill="E2A5AC"/>
            <w:noWrap/>
            <w:vAlign w:val="bottom"/>
            <w:hideMark/>
          </w:tcPr>
          <w:p w:rsidRPr="006F3C12" w:rsidR="00C7543A" w:rsidP="00C7543A" w:rsidRDefault="00794B23" w14:paraId="30552EB6" w14:textId="25B3E9C6">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406</w:t>
            </w:r>
          </w:p>
        </w:tc>
        <w:tc>
          <w:tcPr>
            <w:tcW w:w="1157" w:type="dxa"/>
            <w:tcBorders>
              <w:top w:val="nil"/>
              <w:left w:val="nil"/>
              <w:bottom w:val="single" w:color="auto" w:sz="4" w:space="0"/>
              <w:right w:val="single" w:color="auto" w:sz="4" w:space="0"/>
            </w:tcBorders>
            <w:shd w:val="clear" w:color="000000" w:fill="333333"/>
            <w:noWrap/>
            <w:vAlign w:val="bottom"/>
            <w:hideMark/>
          </w:tcPr>
          <w:p w:rsidRPr="006F3C12" w:rsidR="00C7543A" w:rsidP="00C7543A" w:rsidRDefault="00C7543A" w14:paraId="4EEDB643"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 </w:t>
            </w:r>
          </w:p>
        </w:tc>
        <w:tc>
          <w:tcPr>
            <w:tcW w:w="1155" w:type="dxa"/>
            <w:tcBorders>
              <w:top w:val="nil"/>
              <w:left w:val="nil"/>
              <w:bottom w:val="single" w:color="auto" w:sz="4" w:space="0"/>
              <w:right w:val="single" w:color="auto" w:sz="4" w:space="0"/>
            </w:tcBorders>
            <w:shd w:val="clear" w:color="000000" w:fill="E2A5AC"/>
            <w:noWrap/>
            <w:vAlign w:val="bottom"/>
            <w:hideMark/>
          </w:tcPr>
          <w:p w:rsidRPr="006F3C12" w:rsidR="00C7543A" w:rsidP="00C7543A" w:rsidRDefault="00DD772F" w14:paraId="10760062" w14:textId="4DD262C6">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18</w:t>
            </w:r>
            <w:r w:rsidR="00794B23">
              <w:rPr>
                <w:rFonts w:ascii="Calibri" w:hAnsi="Calibri" w:eastAsia="Times New Roman" w:cs="Arial"/>
                <w:b/>
                <w:bCs/>
                <w:color w:val="000000"/>
                <w:sz w:val="20"/>
                <w:szCs w:val="20"/>
              </w:rPr>
              <w:t>36</w:t>
            </w:r>
          </w:p>
        </w:tc>
        <w:tc>
          <w:tcPr>
            <w:tcW w:w="1110" w:type="dxa"/>
            <w:tcBorders>
              <w:top w:val="nil"/>
              <w:left w:val="nil"/>
              <w:bottom w:val="single" w:color="auto" w:sz="4" w:space="0"/>
              <w:right w:val="single" w:color="auto" w:sz="4" w:space="0"/>
            </w:tcBorders>
            <w:shd w:val="clear" w:color="000000" w:fill="333333"/>
            <w:noWrap/>
            <w:vAlign w:val="bottom"/>
            <w:hideMark/>
          </w:tcPr>
          <w:p w:rsidRPr="006F3C12" w:rsidR="00C7543A" w:rsidP="00C7543A" w:rsidRDefault="00C7543A" w14:paraId="19F9737D"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 </w:t>
            </w:r>
          </w:p>
        </w:tc>
      </w:tr>
    </w:tbl>
    <w:p w:rsidRPr="00A41763" w:rsidR="00954EE9" w:rsidP="00954EE9" w:rsidRDefault="00954EE9" w14:paraId="7EF1B1A1" w14:textId="77777777"/>
    <w:p w:rsidR="00954EE9" w:rsidP="00F00C23" w:rsidRDefault="00954EE9" w14:paraId="19386766" w14:textId="77777777">
      <w:pPr>
        <w:pStyle w:val="Heading2"/>
      </w:pPr>
      <w:bookmarkStart w:name="_Toc16271331" w:id="14"/>
      <w:r w:rsidRPr="007C75A1">
        <w:lastRenderedPageBreak/>
        <w:t>A.12B. Estimate of Annual Cost to Respondent for Burden Hours</w:t>
      </w:r>
      <w:bookmarkEnd w:id="14"/>
      <w:r w:rsidRPr="00F056C3">
        <w:t xml:space="preserve"> </w:t>
      </w:r>
    </w:p>
    <w:p w:rsidR="00954EE9" w:rsidP="00954EE9" w:rsidRDefault="00954EE9" w14:paraId="23E37BEA" w14:textId="2A2544FA">
      <w:pPr>
        <w:pStyle w:val="Default"/>
        <w:rPr>
          <w:b/>
          <w:bCs/>
        </w:rPr>
      </w:pPr>
      <w:r w:rsidRPr="00AC69E8">
        <w:rPr>
          <w:b/>
          <w:bCs/>
        </w:rPr>
        <w:t>Provide estimates of annualized cost to respondents for the hour</w:t>
      </w:r>
      <w:r>
        <w:rPr>
          <w:b/>
          <w:bCs/>
        </w:rPr>
        <w:t xml:space="preserve"> </w:t>
      </w:r>
      <w:r w:rsidRPr="00AC69E8">
        <w:rPr>
          <w:b/>
          <w:bCs/>
        </w:rPr>
        <w:t xml:space="preserve">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Pr="00AC69E8" w:rsidR="007637A0" w:rsidP="00954EE9" w:rsidRDefault="007637A0" w14:paraId="72D3E6FC" w14:textId="77777777">
      <w:pPr>
        <w:pStyle w:val="Default"/>
        <w:rPr>
          <w:b/>
          <w:bCs/>
        </w:rPr>
      </w:pPr>
    </w:p>
    <w:p w:rsidRPr="00E57072" w:rsidR="007637A0" w:rsidP="007637A0" w:rsidRDefault="007637A0" w14:paraId="37E82E03" w14:textId="2C47BEF6">
      <w:pPr>
        <w:spacing w:after="0" w:line="240" w:lineRule="auto"/>
        <w:rPr>
          <w:rFonts w:eastAsia="Times New Roman" w:cs="Times New Roman"/>
        </w:rPr>
      </w:pPr>
      <w:r>
        <w:rPr>
          <w:rFonts w:eastAsia="Times New Roman" w:cs="Times New Roman"/>
        </w:rPr>
        <w:t>Financial Personnel</w:t>
      </w:r>
      <w:r w:rsidRPr="00E57072">
        <w:rPr>
          <w:rFonts w:eastAsia="Times New Roman" w:cs="Times New Roman"/>
        </w:rPr>
        <w:t xml:space="preserve"> at the State</w:t>
      </w:r>
      <w:r w:rsidR="006A4673">
        <w:rPr>
          <w:rFonts w:eastAsia="Times New Roman" w:cs="Times New Roman"/>
        </w:rPr>
        <w:t>, local, or tribal government level, or other non-profits,</w:t>
      </w:r>
      <w:r w:rsidRPr="00E57072">
        <w:rPr>
          <w:rFonts w:eastAsia="Times New Roman" w:cs="Times New Roman"/>
        </w:rPr>
        <w:t xml:space="preserve"> will fill out and submit the</w:t>
      </w:r>
      <w:r>
        <w:rPr>
          <w:rFonts w:eastAsia="Times New Roman" w:cs="Times New Roman"/>
        </w:rPr>
        <w:t>se</w:t>
      </w:r>
      <w:r w:rsidRPr="00E57072">
        <w:rPr>
          <w:rFonts w:eastAsia="Times New Roman" w:cs="Times New Roman"/>
        </w:rPr>
        <w:t xml:space="preserve"> report</w:t>
      </w:r>
      <w:r>
        <w:rPr>
          <w:rFonts w:eastAsia="Times New Roman" w:cs="Times New Roman"/>
        </w:rPr>
        <w:t>s</w:t>
      </w:r>
      <w:r w:rsidRPr="00E57072">
        <w:rPr>
          <w:rFonts w:eastAsia="Times New Roman" w:cs="Times New Roman"/>
        </w:rPr>
        <w:t xml:space="preserve">. The average hourly wage </w:t>
      </w:r>
      <w:r w:rsidR="00886F51">
        <w:rPr>
          <w:rFonts w:eastAsia="Times New Roman" w:cs="Times New Roman"/>
        </w:rPr>
        <w:t>rate (adjusted with the 1.4 multiplier for the fully burdened rate)</w:t>
      </w:r>
      <w:r w:rsidRPr="00E57072">
        <w:rPr>
          <w:rFonts w:eastAsia="Times New Roman" w:cs="Times New Roman"/>
        </w:rPr>
        <w:t xml:space="preserve"> </w:t>
      </w:r>
      <w:r>
        <w:rPr>
          <w:rFonts w:eastAsia="Times New Roman" w:cs="Times New Roman"/>
        </w:rPr>
        <w:t xml:space="preserve">published by the U.S. Department of Labor </w:t>
      </w:r>
      <w:r w:rsidRPr="00E57072">
        <w:rPr>
          <w:rFonts w:eastAsia="Times New Roman" w:cs="Times New Roman"/>
        </w:rPr>
        <w:t>for this type</w:t>
      </w:r>
      <w:r>
        <w:rPr>
          <w:rFonts w:eastAsia="Times New Roman" w:cs="Times New Roman"/>
        </w:rPr>
        <w:t xml:space="preserve"> is $</w:t>
      </w:r>
      <w:r w:rsidR="00886F51">
        <w:rPr>
          <w:rFonts w:eastAsia="Times New Roman" w:cs="Times New Roman"/>
        </w:rPr>
        <w:t>59.318</w:t>
      </w:r>
      <w:r w:rsidRPr="00E57072">
        <w:rPr>
          <w:rFonts w:eastAsia="Times New Roman" w:cs="Times New Roman"/>
        </w:rPr>
        <w:t>.</w:t>
      </w:r>
      <w:r>
        <w:rPr>
          <w:rStyle w:val="FootnoteReference"/>
          <w:rFonts w:eastAsia="Times New Roman" w:cs="Times New Roman"/>
        </w:rPr>
        <w:footnoteReference w:id="1"/>
      </w:r>
      <w:r w:rsidRPr="00E57072">
        <w:rPr>
          <w:rFonts w:eastAsia="Times New Roman" w:cs="Times New Roman"/>
        </w:rPr>
        <w:t xml:space="preserve"> By multiplying this by the total annual burden hours that respondents will incur in, we calculate that the tota</w:t>
      </w:r>
      <w:r>
        <w:rPr>
          <w:rFonts w:eastAsia="Times New Roman" w:cs="Times New Roman"/>
        </w:rPr>
        <w:t xml:space="preserve">l respondents’ costs amount to </w:t>
      </w:r>
      <w:r w:rsidRPr="00E073E7">
        <w:rPr>
          <w:rFonts w:eastAsia="Times New Roman" w:cs="Times New Roman"/>
        </w:rPr>
        <w:t>$</w:t>
      </w:r>
      <w:r w:rsidR="00886F51">
        <w:rPr>
          <w:rFonts w:eastAsia="Times New Roman" w:cs="Times New Roman"/>
        </w:rPr>
        <w:t>108,907.85</w:t>
      </w:r>
      <w:r w:rsidRPr="00E073E7">
        <w:rPr>
          <w:rFonts w:eastAsia="Times New Roman" w:cs="Times New Roman"/>
        </w:rPr>
        <w:t>.</w:t>
      </w:r>
      <w:r w:rsidRPr="00E57072">
        <w:rPr>
          <w:rFonts w:eastAsia="Times New Roman" w:cs="Times New Roman"/>
        </w:rPr>
        <w:t xml:space="preserve"> </w:t>
      </w:r>
      <w:r w:rsidRPr="00C94EC7">
        <w:rPr>
          <w:rFonts w:eastAsia="Times New Roman" w:cs="Times New Roman"/>
        </w:rPr>
        <w:t xml:space="preserve">The previously approved collection incorrectly stated that the total cost for respondents was </w:t>
      </w:r>
      <w:r>
        <w:rPr>
          <w:rFonts w:eastAsia="Times New Roman" w:cs="Times New Roman"/>
        </w:rPr>
        <w:t>$32,640</w:t>
      </w:r>
      <w:r w:rsidRPr="00C94EC7">
        <w:rPr>
          <w:rFonts w:eastAsia="Times New Roman" w:cs="Times New Roman"/>
        </w:rPr>
        <w:t>. DOE is adjusting these numbers to correct this information.</w:t>
      </w:r>
    </w:p>
    <w:p w:rsidRPr="006F3C12" w:rsidR="00954EE9" w:rsidP="00954EE9" w:rsidRDefault="00954EE9" w14:paraId="7818C0EA" w14:textId="77777777"/>
    <w:tbl>
      <w:tblPr>
        <w:tblW w:w="10020" w:type="dxa"/>
        <w:tblLook w:val="04A0" w:firstRow="1" w:lastRow="0" w:firstColumn="1" w:lastColumn="0" w:noHBand="0" w:noVBand="1"/>
      </w:tblPr>
      <w:tblGrid>
        <w:gridCol w:w="2226"/>
        <w:gridCol w:w="2184"/>
        <w:gridCol w:w="1890"/>
        <w:gridCol w:w="2424"/>
        <w:gridCol w:w="1296"/>
      </w:tblGrid>
      <w:tr w:rsidRPr="006F3C12" w:rsidR="00954EE9" w:rsidTr="0063613B" w14:paraId="6A01C476" w14:textId="77777777">
        <w:trPr>
          <w:trHeight w:val="360"/>
        </w:trPr>
        <w:tc>
          <w:tcPr>
            <w:tcW w:w="8724" w:type="dxa"/>
            <w:gridSpan w:val="4"/>
            <w:tcBorders>
              <w:top w:val="nil"/>
              <w:left w:val="nil"/>
              <w:bottom w:val="single" w:color="auto" w:sz="4" w:space="0"/>
              <w:right w:val="nil"/>
            </w:tcBorders>
            <w:shd w:val="clear" w:color="auto" w:fill="auto"/>
            <w:hideMark/>
          </w:tcPr>
          <w:p w:rsidRPr="006F3C12" w:rsidR="00954EE9" w:rsidP="0063613B" w:rsidRDefault="00954EE9" w14:paraId="68ADB868" w14:textId="77777777">
            <w:pPr>
              <w:spacing w:after="0" w:line="240" w:lineRule="auto"/>
              <w:jc w:val="center"/>
              <w:rPr>
                <w:rFonts w:ascii="Calibri" w:hAnsi="Calibri" w:eastAsia="Times New Roman" w:cs="Arial"/>
                <w:b/>
                <w:bCs/>
                <w:color w:val="0070C0"/>
                <w:sz w:val="28"/>
                <w:szCs w:val="28"/>
              </w:rPr>
            </w:pPr>
            <w:r w:rsidRPr="00F772A2">
              <w:rPr>
                <w:rFonts w:ascii="Calibri" w:hAnsi="Calibri" w:eastAsia="Times New Roman" w:cs="Arial"/>
                <w:b/>
                <w:bCs/>
                <w:color w:val="0070C0"/>
                <w:sz w:val="28"/>
                <w:szCs w:val="28"/>
              </w:rPr>
              <w:t>Table A2. Estimated Respondent Cost Burden</w:t>
            </w:r>
          </w:p>
        </w:tc>
        <w:tc>
          <w:tcPr>
            <w:tcW w:w="1296" w:type="dxa"/>
            <w:tcBorders>
              <w:top w:val="nil"/>
              <w:left w:val="nil"/>
              <w:bottom w:val="nil"/>
              <w:right w:val="nil"/>
            </w:tcBorders>
            <w:shd w:val="clear" w:color="auto" w:fill="auto"/>
            <w:noWrap/>
            <w:vAlign w:val="bottom"/>
            <w:hideMark/>
          </w:tcPr>
          <w:p w:rsidRPr="006F3C12" w:rsidR="00954EE9" w:rsidP="0063613B" w:rsidRDefault="00954EE9" w14:paraId="6B886118" w14:textId="77777777">
            <w:pPr>
              <w:spacing w:after="0" w:line="240" w:lineRule="auto"/>
              <w:jc w:val="center"/>
              <w:rPr>
                <w:rFonts w:ascii="Calibri" w:hAnsi="Calibri" w:eastAsia="Times New Roman" w:cs="Arial"/>
                <w:b/>
                <w:bCs/>
                <w:color w:val="0070C0"/>
                <w:sz w:val="28"/>
                <w:szCs w:val="28"/>
              </w:rPr>
            </w:pPr>
          </w:p>
        </w:tc>
      </w:tr>
      <w:tr w:rsidRPr="006F3C12" w:rsidR="00954EE9" w:rsidTr="0063613B" w14:paraId="54BF1A06" w14:textId="77777777">
        <w:trPr>
          <w:gridAfter w:val="1"/>
          <w:wAfter w:w="1296" w:type="dxa"/>
          <w:trHeight w:val="765"/>
        </w:trPr>
        <w:tc>
          <w:tcPr>
            <w:tcW w:w="2226" w:type="dxa"/>
            <w:tcBorders>
              <w:top w:val="nil"/>
              <w:left w:val="single" w:color="auto" w:sz="4" w:space="0"/>
              <w:bottom w:val="single" w:color="auto" w:sz="4" w:space="0"/>
              <w:right w:val="single" w:color="auto" w:sz="4" w:space="0"/>
            </w:tcBorders>
            <w:shd w:val="clear" w:color="000000" w:fill="00B0F0"/>
            <w:vAlign w:val="center"/>
            <w:hideMark/>
          </w:tcPr>
          <w:p w:rsidRPr="006F3C12" w:rsidR="00954EE9" w:rsidP="0063613B" w:rsidRDefault="00954EE9" w14:paraId="60DACEB0"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Type of Respondents</w:t>
            </w:r>
          </w:p>
        </w:tc>
        <w:tc>
          <w:tcPr>
            <w:tcW w:w="2184" w:type="dxa"/>
            <w:tcBorders>
              <w:top w:val="nil"/>
              <w:left w:val="nil"/>
              <w:bottom w:val="single" w:color="auto" w:sz="4" w:space="0"/>
              <w:right w:val="single" w:color="auto" w:sz="4" w:space="0"/>
            </w:tcBorders>
            <w:shd w:val="clear" w:color="000000" w:fill="00B0F0"/>
            <w:vAlign w:val="center"/>
            <w:hideMark/>
          </w:tcPr>
          <w:p w:rsidRPr="00F772A2" w:rsidR="00954EE9" w:rsidP="0063613B" w:rsidRDefault="00954EE9" w14:paraId="45381E63" w14:textId="77777777">
            <w:pPr>
              <w:spacing w:after="0" w:line="240" w:lineRule="auto"/>
              <w:jc w:val="center"/>
              <w:rPr>
                <w:rFonts w:ascii="Calibri" w:hAnsi="Calibri" w:eastAsia="Times New Roman" w:cs="Arial"/>
                <w:b/>
                <w:bCs/>
                <w:sz w:val="20"/>
                <w:szCs w:val="20"/>
                <w:highlight w:val="yellow"/>
              </w:rPr>
            </w:pPr>
            <w:r w:rsidRPr="007C75A1">
              <w:rPr>
                <w:rFonts w:ascii="Calibri" w:hAnsi="Calibri" w:eastAsia="Times New Roman" w:cs="Arial"/>
                <w:b/>
                <w:bCs/>
                <w:sz w:val="20"/>
                <w:szCs w:val="20"/>
              </w:rPr>
              <w:t>Total Annual Burden Hours</w:t>
            </w:r>
          </w:p>
        </w:tc>
        <w:tc>
          <w:tcPr>
            <w:tcW w:w="1890" w:type="dxa"/>
            <w:tcBorders>
              <w:top w:val="nil"/>
              <w:left w:val="nil"/>
              <w:bottom w:val="single" w:color="auto" w:sz="4" w:space="0"/>
              <w:right w:val="single" w:color="auto" w:sz="4" w:space="0"/>
            </w:tcBorders>
            <w:shd w:val="clear" w:color="000000" w:fill="00B0F0"/>
            <w:vAlign w:val="center"/>
            <w:hideMark/>
          </w:tcPr>
          <w:p w:rsidRPr="006F3C12" w:rsidR="00954EE9" w:rsidP="0063613B" w:rsidRDefault="00954EE9" w14:paraId="14F29DC0"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Hourly Wage Rate</w:t>
            </w:r>
          </w:p>
        </w:tc>
        <w:tc>
          <w:tcPr>
            <w:tcW w:w="2424" w:type="dxa"/>
            <w:tcBorders>
              <w:top w:val="nil"/>
              <w:left w:val="nil"/>
              <w:bottom w:val="single" w:color="auto" w:sz="4" w:space="0"/>
              <w:right w:val="single" w:color="auto" w:sz="4" w:space="0"/>
            </w:tcBorders>
            <w:shd w:val="clear" w:color="000000" w:fill="00B0F0"/>
            <w:vAlign w:val="center"/>
            <w:hideMark/>
          </w:tcPr>
          <w:p w:rsidRPr="006F3C12" w:rsidR="00954EE9" w:rsidP="0063613B" w:rsidRDefault="001A6E52" w14:paraId="3A9A83CD" w14:textId="74072259">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w:t>
            </w:r>
            <w:r w:rsidR="00954EE9">
              <w:rPr>
                <w:rFonts w:ascii="Calibri" w:hAnsi="Calibri" w:eastAsia="Times New Roman" w:cs="Arial"/>
                <w:b/>
                <w:bCs/>
                <w:sz w:val="20"/>
                <w:szCs w:val="20"/>
              </w:rPr>
              <w:t>Total Respondent Costs</w:t>
            </w:r>
          </w:p>
        </w:tc>
      </w:tr>
      <w:tr w:rsidRPr="00AB0F3F" w:rsidR="00954EE9" w:rsidTr="0063613B" w14:paraId="678EA327"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6F3C12" w:rsidR="00954EE9" w:rsidP="0063613B" w:rsidRDefault="00F772A2" w14:paraId="42564E1E" w14:textId="0A9D4887">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State,</w:t>
            </w:r>
            <w:r w:rsidR="006A4673">
              <w:rPr>
                <w:rFonts w:ascii="Calibri" w:hAnsi="Calibri" w:eastAsia="Times New Roman" w:cs="Arial"/>
                <w:color w:val="000000"/>
                <w:sz w:val="20"/>
                <w:szCs w:val="20"/>
              </w:rPr>
              <w:t xml:space="preserve"> </w:t>
            </w:r>
            <w:r>
              <w:rPr>
                <w:rFonts w:ascii="Calibri" w:hAnsi="Calibri" w:eastAsia="Times New Roman" w:cs="Arial"/>
                <w:color w:val="000000"/>
                <w:sz w:val="20"/>
                <w:szCs w:val="20"/>
              </w:rPr>
              <w:t>Local, or Tribal Government</w:t>
            </w:r>
            <w:r w:rsidR="006A4673">
              <w:rPr>
                <w:rFonts w:ascii="Calibri" w:hAnsi="Calibri" w:eastAsia="Times New Roman" w:cs="Arial"/>
                <w:color w:val="000000"/>
                <w:sz w:val="20"/>
                <w:szCs w:val="20"/>
              </w:rPr>
              <w:t>, other non-profits</w:t>
            </w:r>
          </w:p>
        </w:tc>
        <w:tc>
          <w:tcPr>
            <w:tcW w:w="2184" w:type="dxa"/>
            <w:tcBorders>
              <w:top w:val="nil"/>
              <w:left w:val="nil"/>
              <w:bottom w:val="single" w:color="auto" w:sz="4" w:space="0"/>
              <w:right w:val="single" w:color="auto" w:sz="4" w:space="0"/>
            </w:tcBorders>
            <w:shd w:val="clear" w:color="auto" w:fill="auto"/>
            <w:noWrap/>
            <w:vAlign w:val="bottom"/>
            <w:hideMark/>
          </w:tcPr>
          <w:p w:rsidRPr="00F772A2" w:rsidR="00954EE9" w:rsidP="0063613B" w:rsidRDefault="00954EE9" w14:paraId="03FFAAFF" w14:textId="0D0F4CE5">
            <w:pPr>
              <w:spacing w:after="0" w:line="240" w:lineRule="auto"/>
              <w:rPr>
                <w:rFonts w:ascii="Calibri" w:hAnsi="Calibri" w:eastAsia="Times New Roman" w:cs="Arial"/>
                <w:color w:val="000000"/>
                <w:sz w:val="20"/>
                <w:szCs w:val="20"/>
                <w:highlight w:val="yellow"/>
              </w:rPr>
            </w:pPr>
            <w:r w:rsidRPr="00ED1A39">
              <w:rPr>
                <w:rFonts w:ascii="Calibri" w:hAnsi="Calibri" w:eastAsia="Times New Roman" w:cs="Arial"/>
                <w:color w:val="000000"/>
                <w:sz w:val="20"/>
                <w:szCs w:val="20"/>
              </w:rPr>
              <w:t> </w:t>
            </w:r>
            <w:r w:rsidR="00F60057">
              <w:rPr>
                <w:rFonts w:ascii="Calibri" w:hAnsi="Calibri" w:eastAsia="Times New Roman" w:cs="Arial"/>
                <w:color w:val="000000"/>
                <w:sz w:val="20"/>
                <w:szCs w:val="20"/>
              </w:rPr>
              <w:t>18</w:t>
            </w:r>
            <w:r w:rsidR="001001C7">
              <w:rPr>
                <w:rFonts w:ascii="Calibri" w:hAnsi="Calibri" w:eastAsia="Times New Roman" w:cs="Arial"/>
                <w:color w:val="000000"/>
                <w:sz w:val="20"/>
                <w:szCs w:val="20"/>
              </w:rPr>
              <w:t>36</w:t>
            </w:r>
          </w:p>
        </w:tc>
        <w:tc>
          <w:tcPr>
            <w:tcW w:w="1890" w:type="dxa"/>
            <w:tcBorders>
              <w:top w:val="nil"/>
              <w:left w:val="nil"/>
              <w:bottom w:val="single" w:color="auto" w:sz="4" w:space="0"/>
              <w:right w:val="single" w:color="auto" w:sz="4" w:space="0"/>
            </w:tcBorders>
            <w:shd w:val="clear" w:color="auto" w:fill="auto"/>
            <w:noWrap/>
            <w:vAlign w:val="bottom"/>
            <w:hideMark/>
          </w:tcPr>
          <w:p w:rsidRPr="006F3C12" w:rsidR="00954EE9" w:rsidP="0063613B" w:rsidRDefault="00954EE9" w14:paraId="024FA0CD" w14:textId="4BC8B698">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886F51">
              <w:rPr>
                <w:rFonts w:ascii="Calibri" w:hAnsi="Calibri" w:eastAsia="Times New Roman" w:cs="Arial"/>
                <w:color w:val="000000"/>
                <w:sz w:val="20"/>
                <w:szCs w:val="20"/>
              </w:rPr>
              <w:t>59.318</w:t>
            </w:r>
          </w:p>
        </w:tc>
        <w:tc>
          <w:tcPr>
            <w:tcW w:w="2424" w:type="dxa"/>
            <w:tcBorders>
              <w:top w:val="nil"/>
              <w:left w:val="nil"/>
              <w:bottom w:val="single" w:color="auto" w:sz="4" w:space="0"/>
              <w:right w:val="single" w:color="auto" w:sz="4" w:space="0"/>
            </w:tcBorders>
            <w:shd w:val="clear" w:color="000000" w:fill="E2A5AC"/>
            <w:noWrap/>
            <w:vAlign w:val="bottom"/>
            <w:hideMark/>
          </w:tcPr>
          <w:p w:rsidRPr="00AB0F3F" w:rsidR="00954EE9" w:rsidP="0063613B" w:rsidRDefault="00886F51" w14:paraId="43D899BC" w14:textId="4948418A">
            <w:pPr>
              <w:spacing w:after="0" w:line="240" w:lineRule="auto"/>
              <w:jc w:val="right"/>
              <w:rPr>
                <w:rFonts w:ascii="Calibri" w:hAnsi="Calibri" w:eastAsia="Times New Roman" w:cs="Arial"/>
                <w:color w:val="000000"/>
                <w:sz w:val="20"/>
                <w:szCs w:val="20"/>
                <w:highlight w:val="yellow"/>
              </w:rPr>
            </w:pPr>
            <w:r w:rsidRPr="00886F51">
              <w:rPr>
                <w:rFonts w:ascii="Calibri" w:hAnsi="Calibri" w:eastAsia="Times New Roman" w:cs="Arial"/>
                <w:color w:val="000000"/>
                <w:sz w:val="20"/>
                <w:szCs w:val="20"/>
              </w:rPr>
              <w:t>108,90</w:t>
            </w:r>
            <w:r w:rsidR="001A6E52">
              <w:rPr>
                <w:rFonts w:ascii="Calibri" w:hAnsi="Calibri" w:eastAsia="Times New Roman" w:cs="Arial"/>
                <w:color w:val="000000"/>
                <w:sz w:val="20"/>
                <w:szCs w:val="20"/>
              </w:rPr>
              <w:t>8</w:t>
            </w:r>
          </w:p>
        </w:tc>
      </w:tr>
      <w:tr w:rsidRPr="006F3C12" w:rsidR="00954EE9" w:rsidTr="0063613B" w14:paraId="4C089804"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6F3C12" w:rsidR="00954EE9" w:rsidP="0063613B" w:rsidRDefault="00954EE9" w14:paraId="36F13F10"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TOTAL</w:t>
            </w:r>
          </w:p>
        </w:tc>
        <w:tc>
          <w:tcPr>
            <w:tcW w:w="2184" w:type="dxa"/>
            <w:tcBorders>
              <w:top w:val="nil"/>
              <w:left w:val="nil"/>
              <w:bottom w:val="single" w:color="auto" w:sz="4" w:space="0"/>
              <w:right w:val="single" w:color="auto" w:sz="4" w:space="0"/>
            </w:tcBorders>
            <w:shd w:val="clear" w:color="000000" w:fill="E2A5AC"/>
            <w:noWrap/>
            <w:vAlign w:val="bottom"/>
            <w:hideMark/>
          </w:tcPr>
          <w:p w:rsidRPr="00F21CBC" w:rsidR="00954EE9" w:rsidP="001B6A6A" w:rsidRDefault="00F60057" w14:paraId="600D1F5A" w14:textId="3D3ACE6D">
            <w:pPr>
              <w:spacing w:after="0" w:line="240" w:lineRule="auto"/>
              <w:rPr>
                <w:rFonts w:ascii="Calibri" w:hAnsi="Calibri" w:eastAsia="Times New Roman" w:cs="Arial"/>
                <w:b/>
                <w:bCs/>
                <w:color w:val="000000"/>
                <w:sz w:val="20"/>
                <w:szCs w:val="20"/>
              </w:rPr>
            </w:pPr>
            <w:r>
              <w:rPr>
                <w:rFonts w:ascii="Calibri" w:hAnsi="Calibri" w:eastAsia="Times New Roman" w:cs="Arial"/>
                <w:b/>
                <w:bCs/>
                <w:color w:val="000000"/>
                <w:sz w:val="20"/>
                <w:szCs w:val="20"/>
              </w:rPr>
              <w:t>18</w:t>
            </w:r>
            <w:r w:rsidR="001001C7">
              <w:rPr>
                <w:rFonts w:ascii="Calibri" w:hAnsi="Calibri" w:eastAsia="Times New Roman" w:cs="Arial"/>
                <w:b/>
                <w:bCs/>
                <w:color w:val="000000"/>
                <w:sz w:val="20"/>
                <w:szCs w:val="20"/>
              </w:rPr>
              <w:t>36</w:t>
            </w:r>
          </w:p>
        </w:tc>
        <w:tc>
          <w:tcPr>
            <w:tcW w:w="1890" w:type="dxa"/>
            <w:tcBorders>
              <w:top w:val="nil"/>
              <w:left w:val="nil"/>
              <w:bottom w:val="single" w:color="auto" w:sz="4" w:space="0"/>
              <w:right w:val="single" w:color="auto" w:sz="4" w:space="0"/>
            </w:tcBorders>
            <w:shd w:val="clear" w:color="000000" w:fill="333333"/>
            <w:noWrap/>
            <w:vAlign w:val="bottom"/>
            <w:hideMark/>
          </w:tcPr>
          <w:p w:rsidRPr="00F21CBC" w:rsidR="00954EE9" w:rsidP="0063613B" w:rsidRDefault="00954EE9" w14:paraId="7278B807" w14:textId="77777777">
            <w:pPr>
              <w:spacing w:after="0" w:line="240" w:lineRule="auto"/>
              <w:rPr>
                <w:rFonts w:ascii="Calibri" w:hAnsi="Calibri" w:eastAsia="Times New Roman" w:cs="Arial"/>
                <w:b/>
                <w:bCs/>
                <w:color w:val="000000"/>
                <w:sz w:val="20"/>
                <w:szCs w:val="20"/>
              </w:rPr>
            </w:pPr>
            <w:r w:rsidRPr="00F21CBC">
              <w:rPr>
                <w:rFonts w:ascii="Calibri" w:hAnsi="Calibri" w:eastAsia="Times New Roman" w:cs="Arial"/>
                <w:b/>
                <w:bCs/>
                <w:color w:val="000000"/>
                <w:sz w:val="20"/>
                <w:szCs w:val="20"/>
              </w:rPr>
              <w:t> </w:t>
            </w:r>
          </w:p>
        </w:tc>
        <w:tc>
          <w:tcPr>
            <w:tcW w:w="2424" w:type="dxa"/>
            <w:tcBorders>
              <w:top w:val="nil"/>
              <w:left w:val="nil"/>
              <w:bottom w:val="single" w:color="auto" w:sz="4" w:space="0"/>
              <w:right w:val="single" w:color="auto" w:sz="4" w:space="0"/>
            </w:tcBorders>
            <w:shd w:val="clear" w:color="000000" w:fill="E2A5AC"/>
            <w:noWrap/>
            <w:vAlign w:val="bottom"/>
            <w:hideMark/>
          </w:tcPr>
          <w:p w:rsidRPr="006F3C12" w:rsidR="00954EE9" w:rsidP="0063613B" w:rsidRDefault="00886F51" w14:paraId="1C38D9CF" w14:textId="4A3E0BD3">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108,90</w:t>
            </w:r>
            <w:r w:rsidR="001A6E52">
              <w:rPr>
                <w:rFonts w:ascii="Calibri" w:hAnsi="Calibri" w:eastAsia="Times New Roman" w:cs="Arial"/>
                <w:b/>
                <w:bCs/>
                <w:color w:val="000000"/>
                <w:sz w:val="20"/>
                <w:szCs w:val="20"/>
              </w:rPr>
              <w:t>8</w:t>
            </w:r>
          </w:p>
        </w:tc>
      </w:tr>
    </w:tbl>
    <w:p w:rsidRPr="001A6E52" w:rsidR="00954EE9" w:rsidP="00954EE9" w:rsidRDefault="001A6E52" w14:paraId="00BCA5AD" w14:textId="5D38A9EA">
      <w:pPr>
        <w:rPr>
          <w:b/>
          <w:bCs/>
          <w:sz w:val="18"/>
          <w:szCs w:val="18"/>
        </w:rPr>
      </w:pPr>
      <w:r w:rsidRPr="001A6E52">
        <w:rPr>
          <w:b/>
          <w:bCs/>
          <w:sz w:val="18"/>
          <w:szCs w:val="18"/>
        </w:rPr>
        <w:t>*Rounded figures</w:t>
      </w:r>
    </w:p>
    <w:p w:rsidRPr="00FF2D85" w:rsidR="00954EE9" w:rsidP="00F00C23" w:rsidRDefault="00954EE9" w14:paraId="602C979E" w14:textId="77777777">
      <w:pPr>
        <w:pStyle w:val="Heading2"/>
      </w:pPr>
      <w:bookmarkStart w:name="_Toc16271332" w:id="15"/>
      <w:r w:rsidRPr="00FF2D85">
        <w:t>A.13. Other Estimated Annual Cost to Respondents</w:t>
      </w:r>
      <w:bookmarkEnd w:id="15"/>
    </w:p>
    <w:p w:rsidRPr="00F9010B" w:rsidR="00954EE9" w:rsidP="00954EE9" w:rsidRDefault="00954EE9" w14:paraId="29C163F7" w14:textId="77777777">
      <w:r w:rsidRPr="00F9010B">
        <w:rPr>
          <w:b/>
          <w:bCs/>
        </w:rPr>
        <w:t xml:space="preserve">Provide an estimate for the total annual cost burden to respondents or recordkeepers resulting from the collection of information. </w:t>
      </w:r>
    </w:p>
    <w:p w:rsidR="00CE2B1D" w:rsidP="00954EE9" w:rsidRDefault="00FF2D85" w14:paraId="019452B1" w14:textId="4810E9D3">
      <w:r>
        <w:t>No other additional costs to respondents.</w:t>
      </w:r>
    </w:p>
    <w:p w:rsidRPr="00CE2B1D" w:rsidR="00954EE9" w:rsidP="00F00C23" w:rsidRDefault="00954EE9" w14:paraId="3195D7AC" w14:textId="77777777">
      <w:pPr>
        <w:pStyle w:val="Heading2"/>
      </w:pPr>
      <w:bookmarkStart w:name="_Toc16271333" w:id="16"/>
      <w:r w:rsidRPr="00CE2B1D">
        <w:t>A.14. Annual Cost to the Federal Government</w:t>
      </w:r>
      <w:bookmarkEnd w:id="16"/>
      <w:r w:rsidRPr="00CE2B1D">
        <w:t xml:space="preserve"> </w:t>
      </w:r>
    </w:p>
    <w:p w:rsidR="00954EE9" w:rsidP="00954EE9" w:rsidRDefault="00954EE9" w14:paraId="5C7FC0A4" w14:textId="5C7E21EB">
      <w:pPr>
        <w:rPr>
          <w:b/>
          <w:bCs/>
        </w:rPr>
      </w:pPr>
      <w:r w:rsidRPr="00F9010B">
        <w:rPr>
          <w:b/>
          <w:bCs/>
        </w:rPr>
        <w:t xml:space="preserve">Provide estimates of annualized cost to the Federal government. </w:t>
      </w:r>
    </w:p>
    <w:tbl>
      <w:tblPr>
        <w:tblStyle w:val="GridTable1Light"/>
        <w:tblW w:w="0" w:type="auto"/>
        <w:tblInd w:w="607" w:type="dxa"/>
        <w:tblLook w:val="04A0" w:firstRow="1" w:lastRow="0" w:firstColumn="1" w:lastColumn="0" w:noHBand="0" w:noVBand="1"/>
      </w:tblPr>
      <w:tblGrid>
        <w:gridCol w:w="3258"/>
        <w:gridCol w:w="1170"/>
      </w:tblGrid>
      <w:tr w:rsidR="00A84754" w:rsidTr="00A84754" w14:paraId="7E03701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rsidR="00A84754" w:rsidP="0033511D" w:rsidRDefault="00A84754" w14:paraId="53E4793A" w14:textId="77777777">
            <w:r>
              <w:t>E&amp;I Form</w:t>
            </w:r>
          </w:p>
        </w:tc>
        <w:tc>
          <w:tcPr>
            <w:tcW w:w="1170" w:type="dxa"/>
          </w:tcPr>
          <w:p w:rsidR="00A84754" w:rsidP="0033511D" w:rsidRDefault="00A84754" w14:paraId="78D1ECD2" w14:textId="77777777">
            <w:pPr>
              <w:jc w:val="center"/>
              <w:cnfStyle w:val="100000000000" w:firstRow="1" w:lastRow="0" w:firstColumn="0" w:lastColumn="0" w:oddVBand="0" w:evenVBand="0" w:oddHBand="0" w:evenHBand="0" w:firstRowFirstColumn="0" w:firstRowLastColumn="0" w:lastRowFirstColumn="0" w:lastRowLastColumn="0"/>
            </w:pPr>
            <w:r>
              <w:t>DOE PO (Fed Gov)</w:t>
            </w:r>
          </w:p>
        </w:tc>
      </w:tr>
      <w:tr w:rsidR="00A84754" w:rsidTr="00A84754" w14:paraId="16932E1D" w14:textId="77777777">
        <w:tc>
          <w:tcPr>
            <w:cnfStyle w:val="001000000000" w:firstRow="0" w:lastRow="0" w:firstColumn="1" w:lastColumn="0" w:oddVBand="0" w:evenVBand="0" w:oddHBand="0" w:evenHBand="0" w:firstRowFirstColumn="0" w:firstRowLastColumn="0" w:lastRowFirstColumn="0" w:lastRowLastColumn="0"/>
            <w:tcW w:w="3258" w:type="dxa"/>
          </w:tcPr>
          <w:p w:rsidR="00A84754" w:rsidP="0033511D" w:rsidRDefault="00A84754" w14:paraId="64F01272" w14:textId="77777777">
            <w:r>
              <w:t>Grant File Worksheet (GF)</w:t>
            </w:r>
          </w:p>
        </w:tc>
        <w:tc>
          <w:tcPr>
            <w:tcW w:w="1170" w:type="dxa"/>
          </w:tcPr>
          <w:p w:rsidR="00A84754" w:rsidP="0033511D" w:rsidRDefault="00A84754" w14:paraId="567153A8" w14:textId="77777777">
            <w:pPr>
              <w:jc w:val="center"/>
              <w:cnfStyle w:val="000000000000" w:firstRow="0" w:lastRow="0" w:firstColumn="0" w:lastColumn="0" w:oddVBand="0" w:evenVBand="0" w:oddHBand="0" w:evenHBand="0" w:firstRowFirstColumn="0" w:firstRowLastColumn="0" w:lastRowFirstColumn="0" w:lastRowLastColumn="0"/>
            </w:pPr>
            <w:r>
              <w:t>1</w:t>
            </w:r>
          </w:p>
        </w:tc>
      </w:tr>
      <w:tr w:rsidR="00A84754" w:rsidTr="00A84754" w14:paraId="2CB0624A" w14:textId="77777777">
        <w:tc>
          <w:tcPr>
            <w:cnfStyle w:val="001000000000" w:firstRow="0" w:lastRow="0" w:firstColumn="1" w:lastColumn="0" w:oddVBand="0" w:evenVBand="0" w:oddHBand="0" w:evenHBand="0" w:firstRowFirstColumn="0" w:firstRowLastColumn="0" w:lastRowFirstColumn="0" w:lastRowLastColumn="0"/>
            <w:tcW w:w="3258" w:type="dxa"/>
          </w:tcPr>
          <w:p w:rsidR="00A84754" w:rsidP="0033511D" w:rsidRDefault="00A84754" w14:paraId="275CC682" w14:textId="77777777">
            <w:r>
              <w:t>Subgrantee Worksheet (SW)</w:t>
            </w:r>
          </w:p>
        </w:tc>
        <w:tc>
          <w:tcPr>
            <w:tcW w:w="1170" w:type="dxa"/>
          </w:tcPr>
          <w:p w:rsidR="00A84754" w:rsidP="0033511D" w:rsidRDefault="00A84754" w14:paraId="60A2E9AB" w14:textId="77777777">
            <w:pPr>
              <w:jc w:val="center"/>
              <w:cnfStyle w:val="000000000000" w:firstRow="0" w:lastRow="0" w:firstColumn="0" w:lastColumn="0" w:oddVBand="0" w:evenVBand="0" w:oddHBand="0" w:evenHBand="0" w:firstRowFirstColumn="0" w:firstRowLastColumn="0" w:lastRowFirstColumn="0" w:lastRowLastColumn="0"/>
            </w:pPr>
            <w:r>
              <w:t>1</w:t>
            </w:r>
          </w:p>
        </w:tc>
      </w:tr>
      <w:tr w:rsidR="00A84754" w:rsidTr="00A84754" w14:paraId="647FC4AA" w14:textId="77777777">
        <w:tc>
          <w:tcPr>
            <w:cnfStyle w:val="001000000000" w:firstRow="0" w:lastRow="0" w:firstColumn="1" w:lastColumn="0" w:oddVBand="0" w:evenVBand="0" w:oddHBand="0" w:evenHBand="0" w:firstRowFirstColumn="0" w:firstRowLastColumn="0" w:lastRowFirstColumn="0" w:lastRowLastColumn="0"/>
            <w:tcW w:w="3258" w:type="dxa"/>
          </w:tcPr>
          <w:p w:rsidR="00A84754" w:rsidP="0033511D" w:rsidRDefault="00A84754" w14:paraId="05B7742C" w14:textId="77777777">
            <w:r>
              <w:lastRenderedPageBreak/>
              <w:t>Quarterly Performance Report (QPR)</w:t>
            </w:r>
          </w:p>
        </w:tc>
        <w:tc>
          <w:tcPr>
            <w:tcW w:w="1170" w:type="dxa"/>
          </w:tcPr>
          <w:p w:rsidR="00A84754" w:rsidP="0033511D" w:rsidRDefault="00A84754" w14:paraId="48978C0A" w14:textId="77777777">
            <w:pPr>
              <w:jc w:val="center"/>
              <w:cnfStyle w:val="000000000000" w:firstRow="0" w:lastRow="0" w:firstColumn="0" w:lastColumn="0" w:oddVBand="0" w:evenVBand="0" w:oddHBand="0" w:evenHBand="0" w:firstRowFirstColumn="0" w:firstRowLastColumn="0" w:lastRowFirstColumn="0" w:lastRowLastColumn="0"/>
            </w:pPr>
            <w:r>
              <w:t>1</w:t>
            </w:r>
          </w:p>
        </w:tc>
      </w:tr>
      <w:tr w:rsidR="00A84754" w:rsidTr="00A84754" w14:paraId="08A02CA7" w14:textId="77777777">
        <w:tc>
          <w:tcPr>
            <w:cnfStyle w:val="001000000000" w:firstRow="0" w:lastRow="0" w:firstColumn="1" w:lastColumn="0" w:oddVBand="0" w:evenVBand="0" w:oddHBand="0" w:evenHBand="0" w:firstRowFirstColumn="0" w:firstRowLastColumn="0" w:lastRowFirstColumn="0" w:lastRowLastColumn="0"/>
            <w:tcW w:w="3258" w:type="dxa"/>
          </w:tcPr>
          <w:p w:rsidR="00A84754" w:rsidP="0033511D" w:rsidRDefault="00A84754" w14:paraId="14A89397" w14:textId="77777777">
            <w:r>
              <w:t>Annual Report (AR)</w:t>
            </w:r>
          </w:p>
        </w:tc>
        <w:tc>
          <w:tcPr>
            <w:tcW w:w="1170" w:type="dxa"/>
          </w:tcPr>
          <w:p w:rsidR="00A84754" w:rsidP="0033511D" w:rsidRDefault="00A84754" w14:paraId="0E6C2783" w14:textId="77777777">
            <w:pPr>
              <w:jc w:val="center"/>
              <w:cnfStyle w:val="000000000000" w:firstRow="0" w:lastRow="0" w:firstColumn="0" w:lastColumn="0" w:oddVBand="0" w:evenVBand="0" w:oddHBand="0" w:evenHBand="0" w:firstRowFirstColumn="0" w:firstRowLastColumn="0" w:lastRowFirstColumn="0" w:lastRowLastColumn="0"/>
            </w:pPr>
            <w:r>
              <w:t>3</w:t>
            </w:r>
          </w:p>
        </w:tc>
      </w:tr>
      <w:tr w:rsidR="00A84754" w:rsidTr="00A84754" w14:paraId="559E2E73" w14:textId="77777777">
        <w:tc>
          <w:tcPr>
            <w:cnfStyle w:val="001000000000" w:firstRow="0" w:lastRow="0" w:firstColumn="1" w:lastColumn="0" w:oddVBand="0" w:evenVBand="0" w:oddHBand="0" w:evenHBand="0" w:firstRowFirstColumn="0" w:firstRowLastColumn="0" w:lastRowFirstColumn="0" w:lastRowLastColumn="0"/>
            <w:tcW w:w="3258" w:type="dxa"/>
          </w:tcPr>
          <w:p w:rsidR="00A84754" w:rsidP="0033511D" w:rsidRDefault="00A84754" w14:paraId="03DDAAAF" w14:textId="77777777">
            <w:r>
              <w:t>Historic Preservation Annual Report (HPR)</w:t>
            </w:r>
          </w:p>
        </w:tc>
        <w:tc>
          <w:tcPr>
            <w:tcW w:w="1170" w:type="dxa"/>
          </w:tcPr>
          <w:p w:rsidR="00A84754" w:rsidP="0033511D" w:rsidRDefault="00A84754" w14:paraId="44E797A7" w14:textId="77777777">
            <w:pPr>
              <w:jc w:val="center"/>
              <w:cnfStyle w:val="000000000000" w:firstRow="0" w:lastRow="0" w:firstColumn="0" w:lastColumn="0" w:oddVBand="0" w:evenVBand="0" w:oddHBand="0" w:evenHBand="0" w:firstRowFirstColumn="0" w:firstRowLastColumn="0" w:lastRowFirstColumn="0" w:lastRowLastColumn="0"/>
            </w:pPr>
            <w:r>
              <w:t>1</w:t>
            </w:r>
          </w:p>
        </w:tc>
      </w:tr>
    </w:tbl>
    <w:p w:rsidR="00A84754" w:rsidP="00954EE9" w:rsidRDefault="00A84754" w14:paraId="6DE80EA8" w14:textId="358EFD67"/>
    <w:tbl>
      <w:tblPr>
        <w:tblStyle w:val="GridTable1Light"/>
        <w:tblW w:w="0" w:type="auto"/>
        <w:tblInd w:w="607" w:type="dxa"/>
        <w:tblLook w:val="04A0" w:firstRow="1" w:lastRow="0" w:firstColumn="1" w:lastColumn="0" w:noHBand="0" w:noVBand="1"/>
      </w:tblPr>
      <w:tblGrid>
        <w:gridCol w:w="3258"/>
        <w:gridCol w:w="1170"/>
      </w:tblGrid>
      <w:tr w:rsidR="00A84754" w:rsidTr="00A84754" w14:paraId="0F1A487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rsidR="00A84754" w:rsidP="0033511D" w:rsidRDefault="00A84754" w14:paraId="08D3790E" w14:textId="77777777">
            <w:r>
              <w:t>SERC Form</w:t>
            </w:r>
          </w:p>
        </w:tc>
        <w:tc>
          <w:tcPr>
            <w:tcW w:w="1170" w:type="dxa"/>
          </w:tcPr>
          <w:p w:rsidR="00A84754" w:rsidP="0033511D" w:rsidRDefault="00A84754" w14:paraId="7A17C13A" w14:textId="77777777">
            <w:pPr>
              <w:jc w:val="center"/>
              <w:cnfStyle w:val="100000000000" w:firstRow="1" w:lastRow="0" w:firstColumn="0" w:lastColumn="0" w:oddVBand="0" w:evenVBand="0" w:oddHBand="0" w:evenHBand="0" w:firstRowFirstColumn="0" w:firstRowLastColumn="0" w:lastRowFirstColumn="0" w:lastRowLastColumn="0"/>
            </w:pPr>
            <w:r>
              <w:t>DOE PO (Fed Gov)</w:t>
            </w:r>
          </w:p>
        </w:tc>
      </w:tr>
      <w:tr w:rsidRPr="00922302" w:rsidR="00A84754" w:rsidTr="00A84754" w14:paraId="19CD7A30" w14:textId="77777777">
        <w:tc>
          <w:tcPr>
            <w:cnfStyle w:val="001000000000" w:firstRow="0" w:lastRow="0" w:firstColumn="1" w:lastColumn="0" w:oddVBand="0" w:evenVBand="0" w:oddHBand="0" w:evenHBand="0" w:firstRowFirstColumn="0" w:firstRowLastColumn="0" w:lastRowFirstColumn="0" w:lastRowLastColumn="0"/>
            <w:tcW w:w="3258" w:type="dxa"/>
          </w:tcPr>
          <w:p w:rsidR="00A84754" w:rsidP="0033511D" w:rsidRDefault="00A84754" w14:paraId="7E5B9862" w14:textId="77777777">
            <w:r>
              <w:t>Quarterly Performance Report (QPR)</w:t>
            </w:r>
          </w:p>
        </w:tc>
        <w:tc>
          <w:tcPr>
            <w:tcW w:w="1170" w:type="dxa"/>
          </w:tcPr>
          <w:p w:rsidRPr="00922302" w:rsidR="00A84754" w:rsidP="0033511D" w:rsidRDefault="00A84754" w14:paraId="4A00E211" w14:textId="77777777">
            <w:pPr>
              <w:jc w:val="center"/>
              <w:cnfStyle w:val="000000000000" w:firstRow="0" w:lastRow="0" w:firstColumn="0" w:lastColumn="0" w:oddVBand="0" w:evenVBand="0" w:oddHBand="0" w:evenHBand="0" w:firstRowFirstColumn="0" w:firstRowLastColumn="0" w:lastRowFirstColumn="0" w:lastRowLastColumn="0"/>
              <w:rPr>
                <w:highlight w:val="yellow"/>
              </w:rPr>
            </w:pPr>
            <w:r w:rsidRPr="006756A9">
              <w:t>1</w:t>
            </w:r>
          </w:p>
        </w:tc>
      </w:tr>
      <w:tr w:rsidRPr="00B0365E" w:rsidR="00A84754" w:rsidTr="00A84754" w14:paraId="450086C3" w14:textId="77777777">
        <w:tc>
          <w:tcPr>
            <w:cnfStyle w:val="001000000000" w:firstRow="0" w:lastRow="0" w:firstColumn="1" w:lastColumn="0" w:oddVBand="0" w:evenVBand="0" w:oddHBand="0" w:evenHBand="0" w:firstRowFirstColumn="0" w:firstRowLastColumn="0" w:lastRowFirstColumn="0" w:lastRowLastColumn="0"/>
            <w:tcW w:w="3258" w:type="dxa"/>
          </w:tcPr>
          <w:p w:rsidR="00A84754" w:rsidP="0033511D" w:rsidRDefault="00A84754" w14:paraId="7AD533B0" w14:textId="77777777">
            <w:r>
              <w:t>Annual File Worksheet (AF)</w:t>
            </w:r>
          </w:p>
        </w:tc>
        <w:tc>
          <w:tcPr>
            <w:tcW w:w="1170" w:type="dxa"/>
          </w:tcPr>
          <w:p w:rsidRPr="00B0365E" w:rsidR="00A84754" w:rsidP="0033511D" w:rsidRDefault="00A84754" w14:paraId="3589A361" w14:textId="77777777">
            <w:pPr>
              <w:jc w:val="center"/>
              <w:cnfStyle w:val="000000000000" w:firstRow="0" w:lastRow="0" w:firstColumn="0" w:lastColumn="0" w:oddVBand="0" w:evenVBand="0" w:oddHBand="0" w:evenHBand="0" w:firstRowFirstColumn="0" w:firstRowLastColumn="0" w:lastRowFirstColumn="0" w:lastRowLastColumn="0"/>
            </w:pPr>
            <w:r w:rsidRPr="00B0365E">
              <w:t>2</w:t>
            </w:r>
          </w:p>
        </w:tc>
      </w:tr>
    </w:tbl>
    <w:p w:rsidR="00A84754" w:rsidP="00954EE9" w:rsidRDefault="00A84754" w14:paraId="499C3614" w14:textId="3AD307F4"/>
    <w:tbl>
      <w:tblPr>
        <w:tblStyle w:val="GridTable1Light"/>
        <w:tblW w:w="0" w:type="auto"/>
        <w:tblInd w:w="607" w:type="dxa"/>
        <w:tblLook w:val="04A0" w:firstRow="1" w:lastRow="0" w:firstColumn="1" w:lastColumn="0" w:noHBand="0" w:noVBand="1"/>
      </w:tblPr>
      <w:tblGrid>
        <w:gridCol w:w="3258"/>
        <w:gridCol w:w="1170"/>
      </w:tblGrid>
      <w:tr w:rsidR="00A84754" w:rsidTr="00A84754" w14:paraId="25BE086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rsidR="00A84754" w:rsidP="0033511D" w:rsidRDefault="00A84754" w14:paraId="0771AC66" w14:textId="77777777">
            <w:r>
              <w:t>CS Form</w:t>
            </w:r>
          </w:p>
        </w:tc>
        <w:tc>
          <w:tcPr>
            <w:tcW w:w="1170" w:type="dxa"/>
          </w:tcPr>
          <w:p w:rsidR="00A84754" w:rsidP="0033511D" w:rsidRDefault="00A84754" w14:paraId="3166284F" w14:textId="77777777">
            <w:pPr>
              <w:jc w:val="center"/>
              <w:cnfStyle w:val="100000000000" w:firstRow="1" w:lastRow="0" w:firstColumn="0" w:lastColumn="0" w:oddVBand="0" w:evenVBand="0" w:oddHBand="0" w:evenHBand="0" w:firstRowFirstColumn="0" w:firstRowLastColumn="0" w:lastRowFirstColumn="0" w:lastRowLastColumn="0"/>
            </w:pPr>
            <w:r>
              <w:t>DOE PO (Fed Gov)</w:t>
            </w:r>
          </w:p>
        </w:tc>
      </w:tr>
      <w:tr w:rsidRPr="006756A9" w:rsidR="00A84754" w:rsidTr="00A84754" w14:paraId="5D9D73A5" w14:textId="77777777">
        <w:tc>
          <w:tcPr>
            <w:cnfStyle w:val="001000000000" w:firstRow="0" w:lastRow="0" w:firstColumn="1" w:lastColumn="0" w:oddVBand="0" w:evenVBand="0" w:oddHBand="0" w:evenHBand="0" w:firstRowFirstColumn="0" w:firstRowLastColumn="0" w:lastRowFirstColumn="0" w:lastRowLastColumn="0"/>
            <w:tcW w:w="3258" w:type="dxa"/>
          </w:tcPr>
          <w:p w:rsidR="00A84754" w:rsidP="0033511D" w:rsidRDefault="00A84754" w14:paraId="06564C57" w14:textId="77777777">
            <w:r>
              <w:t>Quarterly Performance Report (QPR)</w:t>
            </w:r>
          </w:p>
        </w:tc>
        <w:tc>
          <w:tcPr>
            <w:tcW w:w="1170" w:type="dxa"/>
          </w:tcPr>
          <w:p w:rsidRPr="006756A9" w:rsidR="00A84754" w:rsidP="0033511D" w:rsidRDefault="00A84754" w14:paraId="297AAA9F" w14:textId="77777777">
            <w:pPr>
              <w:jc w:val="center"/>
              <w:cnfStyle w:val="000000000000" w:firstRow="0" w:lastRow="0" w:firstColumn="0" w:lastColumn="0" w:oddVBand="0" w:evenVBand="0" w:oddHBand="0" w:evenHBand="0" w:firstRowFirstColumn="0" w:firstRowLastColumn="0" w:lastRowFirstColumn="0" w:lastRowLastColumn="0"/>
            </w:pPr>
            <w:r w:rsidRPr="006756A9">
              <w:t>1</w:t>
            </w:r>
          </w:p>
        </w:tc>
      </w:tr>
      <w:tr w:rsidRPr="006C7C05" w:rsidR="00A84754" w:rsidTr="00A84754" w14:paraId="3C5297E5" w14:textId="77777777">
        <w:tc>
          <w:tcPr>
            <w:cnfStyle w:val="001000000000" w:firstRow="0" w:lastRow="0" w:firstColumn="1" w:lastColumn="0" w:oddVBand="0" w:evenVBand="0" w:oddHBand="0" w:evenHBand="0" w:firstRowFirstColumn="0" w:firstRowLastColumn="0" w:lastRowFirstColumn="0" w:lastRowLastColumn="0"/>
            <w:tcW w:w="3258" w:type="dxa"/>
          </w:tcPr>
          <w:p w:rsidR="00A84754" w:rsidP="0033511D" w:rsidRDefault="00A84754" w14:paraId="7C6A6BA3" w14:textId="77777777">
            <w:r>
              <w:t>Annual File Worksheet (AF)</w:t>
            </w:r>
          </w:p>
        </w:tc>
        <w:tc>
          <w:tcPr>
            <w:tcW w:w="1170" w:type="dxa"/>
          </w:tcPr>
          <w:p w:rsidRPr="006C7C05" w:rsidR="00A84754" w:rsidP="0033511D" w:rsidRDefault="00A84754" w14:paraId="19768D62" w14:textId="77777777">
            <w:pPr>
              <w:jc w:val="center"/>
              <w:cnfStyle w:val="000000000000" w:firstRow="0" w:lastRow="0" w:firstColumn="0" w:lastColumn="0" w:oddVBand="0" w:evenVBand="0" w:oddHBand="0" w:evenHBand="0" w:firstRowFirstColumn="0" w:firstRowLastColumn="0" w:lastRowFirstColumn="0" w:lastRowLastColumn="0"/>
            </w:pPr>
            <w:r>
              <w:t>2</w:t>
            </w:r>
          </w:p>
        </w:tc>
      </w:tr>
    </w:tbl>
    <w:p w:rsidRPr="00F9010B" w:rsidR="00A84754" w:rsidP="00954EE9" w:rsidRDefault="00A84754" w14:paraId="4CE4FAAD" w14:textId="77777777"/>
    <w:p w:rsidR="00BB265E" w:rsidP="00BB265E" w:rsidRDefault="007637A0" w14:paraId="228BF511" w14:textId="752C5F75">
      <w:pPr>
        <w:spacing w:after="0" w:line="240" w:lineRule="auto"/>
        <w:rPr>
          <w:rFonts w:eastAsia="Times New Roman" w:cs="Times New Roman"/>
        </w:rPr>
      </w:pPr>
      <w:bookmarkStart w:name="_Toc16271334" w:id="17"/>
      <w:r>
        <w:rPr>
          <w:rFonts w:eastAsia="Times New Roman" w:cs="Times New Roman"/>
          <w:i/>
          <w:iCs/>
        </w:rPr>
        <w:t>E</w:t>
      </w:r>
      <w:r w:rsidRPr="007637A0" w:rsidR="00BB265E">
        <w:rPr>
          <w:rFonts w:eastAsia="Times New Roman" w:cs="Times New Roman"/>
          <w:i/>
          <w:iCs/>
        </w:rPr>
        <w:t xml:space="preserve">stimated </w:t>
      </w:r>
      <w:r>
        <w:rPr>
          <w:rFonts w:eastAsia="Times New Roman" w:cs="Times New Roman"/>
          <w:i/>
          <w:iCs/>
        </w:rPr>
        <w:t>Annual T</w:t>
      </w:r>
      <w:r w:rsidRPr="007637A0" w:rsidR="00BB265E">
        <w:rPr>
          <w:rFonts w:eastAsia="Times New Roman" w:cs="Times New Roman"/>
          <w:i/>
          <w:iCs/>
        </w:rPr>
        <w:t xml:space="preserve">ime </w:t>
      </w:r>
      <w:r>
        <w:rPr>
          <w:rFonts w:eastAsia="Times New Roman" w:cs="Times New Roman"/>
          <w:i/>
          <w:iCs/>
        </w:rPr>
        <w:t>R</w:t>
      </w:r>
      <w:r w:rsidRPr="007637A0" w:rsidR="00BB265E">
        <w:rPr>
          <w:rFonts w:eastAsia="Times New Roman" w:cs="Times New Roman"/>
          <w:i/>
          <w:iCs/>
        </w:rPr>
        <w:t xml:space="preserve">equired for DOE </w:t>
      </w:r>
      <w:r>
        <w:rPr>
          <w:rFonts w:eastAsia="Times New Roman" w:cs="Times New Roman"/>
          <w:i/>
          <w:iCs/>
        </w:rPr>
        <w:t>S</w:t>
      </w:r>
      <w:r w:rsidRPr="007637A0" w:rsidR="00BB265E">
        <w:rPr>
          <w:rFonts w:eastAsia="Times New Roman" w:cs="Times New Roman"/>
          <w:i/>
          <w:iCs/>
        </w:rPr>
        <w:t xml:space="preserve">taff to </w:t>
      </w:r>
      <w:r>
        <w:rPr>
          <w:rFonts w:eastAsia="Times New Roman" w:cs="Times New Roman"/>
          <w:i/>
          <w:iCs/>
        </w:rPr>
        <w:t>R</w:t>
      </w:r>
      <w:r w:rsidRPr="007637A0" w:rsidR="00BB265E">
        <w:rPr>
          <w:rFonts w:eastAsia="Times New Roman" w:cs="Times New Roman"/>
          <w:i/>
          <w:iCs/>
        </w:rPr>
        <w:t xml:space="preserve">eview </w:t>
      </w:r>
      <w:r>
        <w:rPr>
          <w:rFonts w:eastAsia="Times New Roman" w:cs="Times New Roman"/>
          <w:i/>
          <w:iCs/>
        </w:rPr>
        <w:t>R</w:t>
      </w:r>
      <w:r w:rsidRPr="007637A0" w:rsidR="00BB265E">
        <w:rPr>
          <w:rFonts w:eastAsia="Times New Roman" w:cs="Times New Roman"/>
          <w:i/>
          <w:iCs/>
        </w:rPr>
        <w:t>esponses</w:t>
      </w:r>
      <w:r>
        <w:rPr>
          <w:rFonts w:eastAsia="Times New Roman" w:cs="Times New Roman"/>
        </w:rPr>
        <w:t xml:space="preserve">: </w:t>
      </w:r>
      <w:r w:rsidR="00F87086">
        <w:rPr>
          <w:rFonts w:eastAsia="Times New Roman" w:cs="Times New Roman"/>
        </w:rPr>
        <w:t>E&amp;I AF</w:t>
      </w:r>
      <w:r w:rsidR="00E76767">
        <w:rPr>
          <w:rFonts w:eastAsia="Times New Roman" w:cs="Times New Roman"/>
        </w:rPr>
        <w:t>: 28</w:t>
      </w:r>
      <w:r w:rsidR="0024259E">
        <w:rPr>
          <w:rFonts w:eastAsia="Times New Roman" w:cs="Times New Roman"/>
        </w:rPr>
        <w:t>x1</w:t>
      </w:r>
      <w:r w:rsidR="00E76767">
        <w:rPr>
          <w:rFonts w:eastAsia="Times New Roman" w:cs="Times New Roman"/>
        </w:rPr>
        <w:t>=</w:t>
      </w:r>
      <w:r w:rsidR="0024259E">
        <w:rPr>
          <w:rFonts w:eastAsia="Times New Roman" w:cs="Times New Roman"/>
          <w:u w:val="single"/>
        </w:rPr>
        <w:t>28</w:t>
      </w:r>
      <w:r w:rsidRPr="00FF2D85" w:rsidR="00E76767">
        <w:rPr>
          <w:rFonts w:eastAsia="Times New Roman" w:cs="Times New Roman"/>
          <w:u w:val="single"/>
        </w:rPr>
        <w:t>hrs</w:t>
      </w:r>
      <w:r w:rsidR="00E76767">
        <w:rPr>
          <w:rFonts w:eastAsia="Times New Roman" w:cs="Times New Roman"/>
        </w:rPr>
        <w:t xml:space="preserve">, </w:t>
      </w:r>
      <w:r w:rsidR="00F87086">
        <w:rPr>
          <w:rFonts w:eastAsia="Times New Roman" w:cs="Times New Roman"/>
        </w:rPr>
        <w:t>E&amp;I SW: 28x1=</w:t>
      </w:r>
      <w:r w:rsidRPr="00F87086" w:rsidR="00F87086">
        <w:rPr>
          <w:rFonts w:eastAsia="Times New Roman" w:cs="Times New Roman"/>
          <w:u w:val="single"/>
        </w:rPr>
        <w:t>28hrs</w:t>
      </w:r>
      <w:r w:rsidR="00F87086">
        <w:rPr>
          <w:rFonts w:eastAsia="Times New Roman" w:cs="Times New Roman"/>
        </w:rPr>
        <w:t xml:space="preserve">, E&amp;I </w:t>
      </w:r>
      <w:r w:rsidR="00E76767">
        <w:rPr>
          <w:rFonts w:eastAsia="Times New Roman" w:cs="Times New Roman"/>
        </w:rPr>
        <w:t>HP: 20x1=</w:t>
      </w:r>
      <w:r w:rsidRPr="00FF2D85" w:rsidR="00E76767">
        <w:rPr>
          <w:rFonts w:eastAsia="Times New Roman" w:cs="Times New Roman"/>
          <w:u w:val="single"/>
        </w:rPr>
        <w:t>20hrs</w:t>
      </w:r>
      <w:r w:rsidR="00E76767">
        <w:rPr>
          <w:rFonts w:eastAsia="Times New Roman" w:cs="Times New Roman"/>
        </w:rPr>
        <w:t>, E&amp;I QPR: 28x</w:t>
      </w:r>
      <w:r w:rsidR="00FF2D85">
        <w:rPr>
          <w:rFonts w:eastAsia="Times New Roman" w:cs="Times New Roman"/>
        </w:rPr>
        <w:t>4</w:t>
      </w:r>
      <w:r w:rsidR="00E76767">
        <w:rPr>
          <w:rFonts w:eastAsia="Times New Roman" w:cs="Times New Roman"/>
        </w:rPr>
        <w:t>=</w:t>
      </w:r>
      <w:r w:rsidRPr="00FF2D85" w:rsidR="00FF2D85">
        <w:rPr>
          <w:rFonts w:eastAsia="Times New Roman" w:cs="Times New Roman"/>
          <w:u w:val="single"/>
        </w:rPr>
        <w:t>112</w:t>
      </w:r>
      <w:r w:rsidRPr="00FF2D85" w:rsidR="00E76767">
        <w:rPr>
          <w:rFonts w:eastAsia="Times New Roman" w:cs="Times New Roman"/>
          <w:u w:val="single"/>
        </w:rPr>
        <w:t>hrs</w:t>
      </w:r>
      <w:r w:rsidR="00E76767">
        <w:rPr>
          <w:rFonts w:eastAsia="Times New Roman" w:cs="Times New Roman"/>
        </w:rPr>
        <w:t>, Annual Report: 28x3=</w:t>
      </w:r>
      <w:r w:rsidRPr="00FF2D85" w:rsidR="00E76767">
        <w:rPr>
          <w:rFonts w:eastAsia="Times New Roman" w:cs="Times New Roman"/>
          <w:u w:val="single"/>
        </w:rPr>
        <w:t>84hrs</w:t>
      </w:r>
      <w:r w:rsidR="00E76767">
        <w:rPr>
          <w:rFonts w:eastAsia="Times New Roman" w:cs="Times New Roman"/>
        </w:rPr>
        <w:t>, SERC QPR: 24x</w:t>
      </w:r>
      <w:r w:rsidR="00FF2D85">
        <w:rPr>
          <w:rFonts w:eastAsia="Times New Roman" w:cs="Times New Roman"/>
        </w:rPr>
        <w:t>4</w:t>
      </w:r>
      <w:r w:rsidR="00E76767">
        <w:rPr>
          <w:rFonts w:eastAsia="Times New Roman" w:cs="Times New Roman"/>
        </w:rPr>
        <w:t>=</w:t>
      </w:r>
      <w:r w:rsidRPr="00FF2D85" w:rsidR="00FF2D85">
        <w:rPr>
          <w:rFonts w:eastAsia="Times New Roman" w:cs="Times New Roman"/>
          <w:u w:val="single"/>
        </w:rPr>
        <w:t>96</w:t>
      </w:r>
      <w:r w:rsidRPr="00FF2D85" w:rsidR="00E76767">
        <w:rPr>
          <w:rFonts w:eastAsia="Times New Roman" w:cs="Times New Roman"/>
          <w:u w:val="single"/>
        </w:rPr>
        <w:t>hrs</w:t>
      </w:r>
      <w:r w:rsidR="00E76767">
        <w:rPr>
          <w:rFonts w:eastAsia="Times New Roman" w:cs="Times New Roman"/>
        </w:rPr>
        <w:t>, SERC Annual File: 24x2=</w:t>
      </w:r>
      <w:r w:rsidRPr="00FF2D85" w:rsidR="00E76767">
        <w:rPr>
          <w:rFonts w:eastAsia="Times New Roman" w:cs="Times New Roman"/>
          <w:u w:val="single"/>
        </w:rPr>
        <w:t>48hrs</w:t>
      </w:r>
      <w:r w:rsidR="00E76767">
        <w:rPr>
          <w:rFonts w:eastAsia="Times New Roman" w:cs="Times New Roman"/>
        </w:rPr>
        <w:t>, CS QPR: 14x</w:t>
      </w:r>
      <w:r w:rsidR="00FF2D85">
        <w:rPr>
          <w:rFonts w:eastAsia="Times New Roman" w:cs="Times New Roman"/>
        </w:rPr>
        <w:t>4</w:t>
      </w:r>
      <w:r w:rsidR="00E76767">
        <w:rPr>
          <w:rFonts w:eastAsia="Times New Roman" w:cs="Times New Roman"/>
        </w:rPr>
        <w:t>=</w:t>
      </w:r>
      <w:r w:rsidRPr="00FF2D85" w:rsidR="00FF2D85">
        <w:rPr>
          <w:rFonts w:eastAsia="Times New Roman" w:cs="Times New Roman"/>
          <w:u w:val="single"/>
        </w:rPr>
        <w:t>56</w:t>
      </w:r>
      <w:r w:rsidRPr="00FF2D85" w:rsidR="00E76767">
        <w:rPr>
          <w:rFonts w:eastAsia="Times New Roman" w:cs="Times New Roman"/>
          <w:u w:val="single"/>
        </w:rPr>
        <w:t>hrs</w:t>
      </w:r>
      <w:r w:rsidR="00E76767">
        <w:rPr>
          <w:rFonts w:eastAsia="Times New Roman" w:cs="Times New Roman"/>
        </w:rPr>
        <w:t>, CS Annual File: 14x2=</w:t>
      </w:r>
      <w:r w:rsidRPr="00FF2D85" w:rsidR="00E76767">
        <w:rPr>
          <w:rFonts w:eastAsia="Times New Roman" w:cs="Times New Roman"/>
          <w:u w:val="single"/>
        </w:rPr>
        <w:t>28hrs</w:t>
      </w:r>
      <w:r w:rsidR="00E76767">
        <w:rPr>
          <w:rFonts w:eastAsia="Times New Roman" w:cs="Times New Roman"/>
        </w:rPr>
        <w:t>)</w:t>
      </w:r>
      <w:r>
        <w:rPr>
          <w:rFonts w:eastAsia="Times New Roman" w:cs="Times New Roman"/>
        </w:rPr>
        <w:t xml:space="preserve"> = </w:t>
      </w:r>
      <w:r w:rsidR="0024259E">
        <w:rPr>
          <w:rFonts w:eastAsia="Times New Roman" w:cs="Times New Roman"/>
        </w:rPr>
        <w:t>28</w:t>
      </w:r>
      <w:r>
        <w:rPr>
          <w:rFonts w:eastAsia="Times New Roman" w:cs="Times New Roman"/>
        </w:rPr>
        <w:t xml:space="preserve"> + </w:t>
      </w:r>
      <w:r w:rsidR="00F87086">
        <w:rPr>
          <w:rFonts w:eastAsia="Times New Roman" w:cs="Times New Roman"/>
        </w:rPr>
        <w:t xml:space="preserve">28 + </w:t>
      </w:r>
      <w:r>
        <w:rPr>
          <w:rFonts w:eastAsia="Times New Roman" w:cs="Times New Roman"/>
        </w:rPr>
        <w:t xml:space="preserve">20 + 112 + 84 + 96 + 48 + 56 + 28 = </w:t>
      </w:r>
      <w:r w:rsidR="00F87086">
        <w:rPr>
          <w:rFonts w:eastAsia="Times New Roman" w:cs="Times New Roman"/>
          <w:b/>
          <w:bCs/>
        </w:rPr>
        <w:t>500</w:t>
      </w:r>
      <w:r w:rsidRPr="00FF2D85">
        <w:rPr>
          <w:rFonts w:eastAsia="Times New Roman" w:cs="Times New Roman"/>
          <w:b/>
          <w:bCs/>
        </w:rPr>
        <w:t xml:space="preserve"> hours </w:t>
      </w:r>
    </w:p>
    <w:p w:rsidRPr="00E57072" w:rsidR="00FF2D85" w:rsidP="00BB265E" w:rsidRDefault="00FF2D85" w14:paraId="3B736B3E" w14:textId="77777777">
      <w:pPr>
        <w:spacing w:after="0" w:line="240" w:lineRule="auto"/>
        <w:rPr>
          <w:rFonts w:eastAsia="Times New Roman" w:cs="Times New Roman"/>
        </w:rPr>
      </w:pPr>
    </w:p>
    <w:p w:rsidRPr="00FF2D85" w:rsidR="00BB265E" w:rsidP="00BB265E" w:rsidRDefault="007637A0" w14:paraId="6E45533B" w14:textId="3E137808">
      <w:pPr>
        <w:spacing w:after="0" w:line="240" w:lineRule="auto"/>
        <w:rPr>
          <w:rFonts w:eastAsia="Times New Roman" w:cs="Times New Roman"/>
          <w:b/>
          <w:bCs/>
        </w:rPr>
      </w:pPr>
      <w:r>
        <w:rPr>
          <w:rFonts w:eastAsia="Times New Roman" w:cs="Times New Roman"/>
          <w:bCs/>
          <w:i/>
          <w:iCs/>
        </w:rPr>
        <w:t xml:space="preserve">Estimated </w:t>
      </w:r>
      <w:r w:rsidRPr="007637A0" w:rsidR="00BB265E">
        <w:rPr>
          <w:rFonts w:eastAsia="Times New Roman" w:cs="Times New Roman"/>
          <w:bCs/>
          <w:i/>
          <w:iCs/>
        </w:rPr>
        <w:t xml:space="preserve">Annual Cost </w:t>
      </w:r>
      <w:r>
        <w:rPr>
          <w:rFonts w:eastAsia="Times New Roman" w:cs="Times New Roman"/>
          <w:bCs/>
          <w:i/>
          <w:iCs/>
        </w:rPr>
        <w:t xml:space="preserve">in Dollars </w:t>
      </w:r>
      <w:r w:rsidRPr="007637A0" w:rsidR="00BB265E">
        <w:rPr>
          <w:rFonts w:eastAsia="Times New Roman" w:cs="Times New Roman"/>
          <w:bCs/>
          <w:i/>
          <w:iCs/>
        </w:rPr>
        <w:t>to the Federal Government</w:t>
      </w:r>
      <w:r w:rsidR="00886F51">
        <w:rPr>
          <w:rFonts w:eastAsia="Times New Roman" w:cs="Times New Roman"/>
          <w:bCs/>
          <w:i/>
          <w:iCs/>
        </w:rPr>
        <w:t xml:space="preserve"> (fully burdened rate)</w:t>
      </w:r>
      <w:r w:rsidRPr="00E073E7" w:rsidR="00BB265E">
        <w:rPr>
          <w:rFonts w:eastAsia="Times New Roman" w:cs="Times New Roman"/>
          <w:b/>
        </w:rPr>
        <w:t>:</w:t>
      </w:r>
      <w:r w:rsidRPr="00E57072" w:rsidR="00BB265E">
        <w:rPr>
          <w:rFonts w:eastAsia="Times New Roman" w:cs="Times New Roman"/>
        </w:rPr>
        <w:t xml:space="preserve"> </w:t>
      </w:r>
      <w:r w:rsidR="00F87086">
        <w:rPr>
          <w:rFonts w:eastAsia="Times New Roman" w:cs="Times New Roman"/>
        </w:rPr>
        <w:t>500</w:t>
      </w:r>
      <w:r w:rsidR="00BB265E">
        <w:rPr>
          <w:rFonts w:eastAsia="Times New Roman" w:cs="Times New Roman"/>
        </w:rPr>
        <w:t xml:space="preserve"> hours </w:t>
      </w:r>
      <w:r w:rsidRPr="00E57072" w:rsidR="00BB265E">
        <w:rPr>
          <w:rFonts w:eastAsia="Times New Roman" w:cs="Times New Roman"/>
        </w:rPr>
        <w:t xml:space="preserve">x </w:t>
      </w:r>
      <w:r w:rsidRPr="00E24CFC" w:rsidR="00BB265E">
        <w:rPr>
          <w:rFonts w:eastAsia="Times New Roman" w:cs="Times New Roman"/>
        </w:rPr>
        <w:t>$</w:t>
      </w:r>
      <w:r w:rsidR="00886F51">
        <w:rPr>
          <w:rFonts w:eastAsia="Times New Roman" w:cs="Times New Roman"/>
        </w:rPr>
        <w:t>78.05</w:t>
      </w:r>
      <w:r w:rsidRPr="00E24CFC" w:rsidR="00BB265E">
        <w:rPr>
          <w:rFonts w:eastAsia="Times New Roman" w:cs="Times New Roman"/>
        </w:rPr>
        <w:t xml:space="preserve"> </w:t>
      </w:r>
      <w:r w:rsidR="00BB265E">
        <w:rPr>
          <w:rFonts w:eastAsia="Times New Roman" w:cs="Times New Roman"/>
        </w:rPr>
        <w:t>hourly wage rate</w:t>
      </w:r>
      <w:r w:rsidR="00211AFE">
        <w:rPr>
          <w:rStyle w:val="FootnoteReference"/>
          <w:rFonts w:eastAsia="Times New Roman" w:cs="Times New Roman"/>
        </w:rPr>
        <w:footnoteReference w:id="2"/>
      </w:r>
      <w:r w:rsidR="00BB265E">
        <w:rPr>
          <w:rFonts w:eastAsia="Times New Roman" w:cs="Times New Roman"/>
        </w:rPr>
        <w:t xml:space="preserve"> </w:t>
      </w:r>
      <w:r w:rsidRPr="00E57072" w:rsidR="00BB265E">
        <w:rPr>
          <w:rFonts w:eastAsia="Times New Roman" w:cs="Times New Roman"/>
        </w:rPr>
        <w:t xml:space="preserve">= </w:t>
      </w:r>
      <w:r w:rsidRPr="00FF2D85" w:rsidR="00FF2D85">
        <w:rPr>
          <w:rFonts w:eastAsia="Times New Roman" w:cs="Times New Roman"/>
          <w:b/>
          <w:bCs/>
        </w:rPr>
        <w:t>$</w:t>
      </w:r>
      <w:r w:rsidR="00886F51">
        <w:rPr>
          <w:rFonts w:eastAsia="Times New Roman" w:cs="Times New Roman"/>
          <w:b/>
          <w:bCs/>
        </w:rPr>
        <w:t>39,025</w:t>
      </w:r>
    </w:p>
    <w:p w:rsidRPr="00912F78" w:rsidR="00954EE9" w:rsidP="00F00C23" w:rsidRDefault="00954EE9" w14:paraId="3ADF4648" w14:textId="77777777">
      <w:pPr>
        <w:pStyle w:val="Heading2"/>
      </w:pPr>
      <w:r w:rsidRPr="00912F78">
        <w:t>A.15. Reasons for Changes in Burden</w:t>
      </w:r>
      <w:bookmarkEnd w:id="17"/>
    </w:p>
    <w:p w:rsidRPr="00A41763" w:rsidR="00954EE9" w:rsidP="00954EE9" w:rsidRDefault="00954EE9" w14:paraId="2297FA9F" w14:textId="77777777">
      <w:r w:rsidRPr="00912F78">
        <w:rPr>
          <w:b/>
          <w:bCs/>
        </w:rPr>
        <w:t>Explain the reasons for any program changes or adjustments reported in Items 13 (or 14) of OMB Form 83-I.</w:t>
      </w:r>
      <w:r w:rsidRPr="00A41763">
        <w:rPr>
          <w:b/>
          <w:bCs/>
        </w:rPr>
        <w:t xml:space="preserve"> </w:t>
      </w:r>
    </w:p>
    <w:p w:rsidRPr="00A41763" w:rsidR="00F060B4" w:rsidP="00F060B4" w:rsidRDefault="00342866" w14:paraId="4B353F18" w14:textId="66980C36">
      <w:r>
        <w:t>This information collection request is a reinstatement, with change, of the 1910-5157 collection</w:t>
      </w:r>
      <w:r w:rsidR="001B6A6A">
        <w:t xml:space="preserve">. </w:t>
      </w:r>
      <w:r w:rsidR="00F060B4">
        <w:t xml:space="preserve">Because this collection was previously discontinued, there is no existing approved hourly burden, and all burdens are represented as changes due to agency discretion </w:t>
      </w:r>
      <w:proofErr w:type="gramStart"/>
      <w:r w:rsidR="00F060B4">
        <w:t>as a result of</w:t>
      </w:r>
      <w:proofErr w:type="gramEnd"/>
      <w:r w:rsidR="00F060B4">
        <w:t xml:space="preserve"> re-instating the collection.</w:t>
      </w:r>
    </w:p>
    <w:p w:rsidRPr="00C90FFA" w:rsidR="0057244B" w:rsidP="00E347F2" w:rsidRDefault="00E347F2" w14:paraId="4F00F9C3" w14:textId="3B984099">
      <w:pPr>
        <w:jc w:val="center"/>
      </w:pPr>
      <w:r w:rsidRPr="00DE2808">
        <w:rPr>
          <w:rFonts w:ascii="Arial" w:hAnsi="Arial" w:eastAsia="Times New Roman" w:cs="Arial"/>
          <w:b/>
          <w:color w:val="0070C0"/>
          <w:sz w:val="28"/>
          <w:szCs w:val="28"/>
        </w:rPr>
        <w:lastRenderedPageBreak/>
        <w:t>Table A4. ICR Summary of Burden</w:t>
      </w:r>
    </w:p>
    <w:tbl>
      <w:tblPr>
        <w:tblW w:w="8518" w:type="dxa"/>
        <w:jc w:val="center"/>
        <w:tblLayout w:type="fixed"/>
        <w:tblCellMar>
          <w:left w:w="115" w:type="dxa"/>
          <w:right w:w="115" w:type="dxa"/>
        </w:tblCellMar>
        <w:tblLook w:val="04A0" w:firstRow="1" w:lastRow="0" w:firstColumn="1" w:lastColumn="0" w:noHBand="0" w:noVBand="1"/>
      </w:tblPr>
      <w:tblGrid>
        <w:gridCol w:w="2252"/>
        <w:gridCol w:w="2236"/>
        <w:gridCol w:w="2091"/>
        <w:gridCol w:w="1939"/>
      </w:tblGrid>
      <w:tr w:rsidRPr="00812C91" w:rsidR="00E347F2" w:rsidTr="00E347F2" w14:paraId="356251EF" w14:textId="77777777">
        <w:trPr>
          <w:trHeight w:val="510"/>
          <w:jc w:val="center"/>
        </w:trPr>
        <w:tc>
          <w:tcPr>
            <w:tcW w:w="2252" w:type="dxa"/>
            <w:tcBorders>
              <w:top w:val="single" w:color="auto" w:sz="4" w:space="0"/>
              <w:left w:val="single" w:color="auto" w:sz="4" w:space="0"/>
              <w:bottom w:val="single" w:color="auto" w:sz="4" w:space="0"/>
              <w:right w:val="single" w:color="auto" w:sz="4" w:space="0"/>
            </w:tcBorders>
            <w:shd w:val="clear" w:color="000000" w:fill="00B0F0"/>
            <w:vAlign w:val="center"/>
            <w:hideMark/>
          </w:tcPr>
          <w:p w:rsidRPr="00812C91" w:rsidR="00E347F2" w:rsidP="0063613B" w:rsidRDefault="00E347F2" w14:paraId="21121DC2" w14:textId="77777777">
            <w:pPr>
              <w:spacing w:after="0" w:line="240" w:lineRule="auto"/>
              <w:jc w:val="center"/>
              <w:rPr>
                <w:rFonts w:ascii="Calibri" w:hAnsi="Calibri" w:eastAsia="Times New Roman" w:cs="Arial"/>
                <w:b/>
                <w:bCs/>
                <w:color w:val="FFFFFF"/>
                <w:sz w:val="20"/>
                <w:szCs w:val="20"/>
              </w:rPr>
            </w:pPr>
            <w:r w:rsidRPr="00812C91">
              <w:rPr>
                <w:rFonts w:ascii="Calibri" w:hAnsi="Calibri" w:eastAsia="Times New Roman" w:cs="Arial"/>
                <w:b/>
                <w:bCs/>
                <w:color w:val="FFFFFF"/>
                <w:sz w:val="20"/>
                <w:szCs w:val="20"/>
              </w:rPr>
              <w:t> </w:t>
            </w:r>
          </w:p>
        </w:tc>
        <w:tc>
          <w:tcPr>
            <w:tcW w:w="2236" w:type="dxa"/>
            <w:tcBorders>
              <w:top w:val="single" w:color="auto" w:sz="4" w:space="0"/>
              <w:left w:val="nil"/>
              <w:bottom w:val="single" w:color="auto" w:sz="4" w:space="0"/>
              <w:right w:val="single" w:color="auto" w:sz="4" w:space="0"/>
            </w:tcBorders>
            <w:shd w:val="clear" w:color="000000" w:fill="00B0F0"/>
            <w:vAlign w:val="center"/>
            <w:hideMark/>
          </w:tcPr>
          <w:p w:rsidRPr="00812C91" w:rsidR="00E347F2" w:rsidP="0063613B" w:rsidRDefault="00E347F2" w14:paraId="4F0C5745"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Requested</w:t>
            </w:r>
          </w:p>
        </w:tc>
        <w:tc>
          <w:tcPr>
            <w:tcW w:w="2091" w:type="dxa"/>
            <w:tcBorders>
              <w:top w:val="single" w:color="auto" w:sz="4" w:space="0"/>
              <w:left w:val="nil"/>
              <w:bottom w:val="single" w:color="auto" w:sz="4" w:space="0"/>
              <w:right w:val="single" w:color="auto" w:sz="4" w:space="0"/>
            </w:tcBorders>
            <w:shd w:val="clear" w:color="000000" w:fill="00B0F0"/>
            <w:vAlign w:val="center"/>
            <w:hideMark/>
          </w:tcPr>
          <w:p w:rsidRPr="00DE2808" w:rsidR="00E347F2" w:rsidP="0063613B" w:rsidRDefault="00E347F2" w14:paraId="277CC9F6" w14:textId="77777777">
            <w:pPr>
              <w:spacing w:after="0" w:line="240" w:lineRule="auto"/>
              <w:jc w:val="center"/>
              <w:rPr>
                <w:rFonts w:ascii="Calibri" w:hAnsi="Calibri" w:eastAsia="Times New Roman" w:cs="Arial"/>
                <w:b/>
                <w:bCs/>
                <w:sz w:val="20"/>
                <w:szCs w:val="20"/>
                <w:highlight w:val="yellow"/>
              </w:rPr>
            </w:pPr>
            <w:r w:rsidRPr="006A4673">
              <w:rPr>
                <w:rFonts w:ascii="Calibri" w:hAnsi="Calibri" w:eastAsia="Times New Roman" w:cs="Arial"/>
                <w:b/>
                <w:bCs/>
                <w:sz w:val="20"/>
                <w:szCs w:val="20"/>
              </w:rPr>
              <w:t>Program Change Due to Agency Discretion</w:t>
            </w:r>
          </w:p>
        </w:tc>
        <w:tc>
          <w:tcPr>
            <w:tcW w:w="1939" w:type="dxa"/>
            <w:tcBorders>
              <w:top w:val="single" w:color="auto" w:sz="4" w:space="0"/>
              <w:left w:val="nil"/>
              <w:bottom w:val="single" w:color="auto" w:sz="4" w:space="0"/>
              <w:right w:val="single" w:color="auto" w:sz="4" w:space="0"/>
            </w:tcBorders>
            <w:shd w:val="clear" w:color="000000" w:fill="00B0F0"/>
            <w:vAlign w:val="center"/>
            <w:hideMark/>
          </w:tcPr>
          <w:p w:rsidRPr="006A4673" w:rsidR="00E347F2" w:rsidP="0063613B" w:rsidRDefault="00E347F2" w14:paraId="795C9850" w14:textId="77777777">
            <w:pPr>
              <w:spacing w:after="0" w:line="240" w:lineRule="auto"/>
              <w:jc w:val="center"/>
              <w:rPr>
                <w:rFonts w:ascii="Calibri" w:hAnsi="Calibri" w:eastAsia="Times New Roman" w:cs="Arial"/>
                <w:b/>
                <w:bCs/>
                <w:sz w:val="20"/>
                <w:szCs w:val="20"/>
              </w:rPr>
            </w:pPr>
            <w:r w:rsidRPr="006A4673">
              <w:rPr>
                <w:rFonts w:ascii="Calibri" w:hAnsi="Calibri" w:eastAsia="Times New Roman" w:cs="Arial"/>
                <w:b/>
                <w:bCs/>
                <w:sz w:val="20"/>
                <w:szCs w:val="20"/>
              </w:rPr>
              <w:t>Change Due to Adjustment in Agency Estimate</w:t>
            </w:r>
          </w:p>
        </w:tc>
      </w:tr>
      <w:tr w:rsidRPr="00812C91" w:rsidR="00E347F2" w:rsidTr="00E347F2" w14:paraId="073FE3A9" w14:textId="77777777">
        <w:trPr>
          <w:trHeight w:val="525"/>
          <w:jc w:val="center"/>
        </w:trPr>
        <w:tc>
          <w:tcPr>
            <w:tcW w:w="2252" w:type="dxa"/>
            <w:tcBorders>
              <w:top w:val="nil"/>
              <w:left w:val="single" w:color="auto" w:sz="4" w:space="0"/>
              <w:bottom w:val="single" w:color="auto" w:sz="4" w:space="0"/>
              <w:right w:val="single" w:color="auto" w:sz="4" w:space="0"/>
            </w:tcBorders>
            <w:shd w:val="clear" w:color="auto" w:fill="auto"/>
            <w:vAlign w:val="center"/>
            <w:hideMark/>
          </w:tcPr>
          <w:p w:rsidRPr="00812C91" w:rsidR="00E347F2" w:rsidP="0063613B" w:rsidRDefault="00E347F2" w14:paraId="17EE1F75"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 xml:space="preserve">Total </w:t>
            </w:r>
            <w:r w:rsidRPr="00812C91">
              <w:rPr>
                <w:rFonts w:ascii="Calibri" w:hAnsi="Calibri" w:eastAsia="Times New Roman" w:cs="Arial"/>
                <w:color w:val="576170"/>
                <w:sz w:val="20"/>
                <w:szCs w:val="20"/>
              </w:rPr>
              <w:t>Number of Responses</w:t>
            </w:r>
          </w:p>
        </w:tc>
        <w:tc>
          <w:tcPr>
            <w:tcW w:w="2236" w:type="dxa"/>
            <w:tcBorders>
              <w:top w:val="nil"/>
              <w:left w:val="nil"/>
              <w:bottom w:val="single" w:color="auto" w:sz="4" w:space="0"/>
              <w:right w:val="single" w:color="auto" w:sz="4" w:space="0"/>
            </w:tcBorders>
            <w:shd w:val="clear" w:color="auto" w:fill="auto"/>
            <w:vAlign w:val="center"/>
            <w:hideMark/>
          </w:tcPr>
          <w:p w:rsidRPr="00812C91" w:rsidR="00E347F2" w:rsidP="0063613B" w:rsidRDefault="00E347F2" w14:paraId="253998FB" w14:textId="241A038F">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Pr>
                <w:rFonts w:ascii="Calibri" w:hAnsi="Calibri" w:eastAsia="Times New Roman" w:cs="Arial"/>
                <w:color w:val="576170"/>
                <w:sz w:val="20"/>
                <w:szCs w:val="20"/>
              </w:rPr>
              <w:t>406</w:t>
            </w:r>
          </w:p>
        </w:tc>
        <w:tc>
          <w:tcPr>
            <w:tcW w:w="2091" w:type="dxa"/>
            <w:tcBorders>
              <w:top w:val="nil"/>
              <w:left w:val="nil"/>
              <w:bottom w:val="single" w:color="auto" w:sz="4" w:space="0"/>
              <w:right w:val="single" w:color="auto" w:sz="4" w:space="0"/>
            </w:tcBorders>
            <w:shd w:val="clear" w:color="auto" w:fill="auto"/>
            <w:vAlign w:val="center"/>
            <w:hideMark/>
          </w:tcPr>
          <w:p w:rsidRPr="00812C91" w:rsidR="00E347F2" w:rsidP="0063613B" w:rsidRDefault="00E347F2" w14:paraId="2DAEA7FB" w14:textId="5C4F34F5">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Pr>
                <w:rFonts w:ascii="Calibri" w:hAnsi="Calibri" w:eastAsia="Times New Roman" w:cs="Arial"/>
                <w:color w:val="576170"/>
                <w:sz w:val="20"/>
                <w:szCs w:val="20"/>
              </w:rPr>
              <w:t>406</w:t>
            </w:r>
          </w:p>
        </w:tc>
        <w:tc>
          <w:tcPr>
            <w:tcW w:w="1939" w:type="dxa"/>
            <w:tcBorders>
              <w:top w:val="nil"/>
              <w:left w:val="nil"/>
              <w:bottom w:val="single" w:color="auto" w:sz="4" w:space="0"/>
              <w:right w:val="single" w:color="auto" w:sz="4" w:space="0"/>
            </w:tcBorders>
            <w:shd w:val="clear" w:color="auto" w:fill="auto"/>
            <w:vAlign w:val="center"/>
            <w:hideMark/>
          </w:tcPr>
          <w:p w:rsidRPr="006A4673" w:rsidR="00E347F2" w:rsidP="0063613B" w:rsidRDefault="00E347F2" w14:paraId="206F1703" w14:textId="11F5E863">
            <w:pPr>
              <w:spacing w:after="0" w:line="240" w:lineRule="auto"/>
              <w:rPr>
                <w:rFonts w:ascii="Calibri" w:hAnsi="Calibri" w:eastAsia="Times New Roman" w:cs="Arial"/>
                <w:color w:val="576170"/>
                <w:sz w:val="20"/>
                <w:szCs w:val="20"/>
              </w:rPr>
            </w:pPr>
            <w:r w:rsidRPr="006A4673">
              <w:rPr>
                <w:rFonts w:ascii="Calibri" w:hAnsi="Calibri" w:eastAsia="Times New Roman" w:cs="Arial"/>
                <w:color w:val="576170"/>
                <w:sz w:val="20"/>
                <w:szCs w:val="20"/>
              </w:rPr>
              <w:t> </w:t>
            </w:r>
            <w:r>
              <w:rPr>
                <w:rFonts w:ascii="Calibri" w:hAnsi="Calibri" w:eastAsia="Times New Roman" w:cs="Arial"/>
                <w:color w:val="576170"/>
                <w:sz w:val="20"/>
                <w:szCs w:val="20"/>
              </w:rPr>
              <w:t>0</w:t>
            </w:r>
          </w:p>
        </w:tc>
      </w:tr>
      <w:tr w:rsidRPr="00812C91" w:rsidR="00E347F2" w:rsidTr="00E347F2" w14:paraId="296245EB" w14:textId="77777777">
        <w:trPr>
          <w:trHeight w:val="525"/>
          <w:jc w:val="center"/>
        </w:trPr>
        <w:tc>
          <w:tcPr>
            <w:tcW w:w="225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12C91" w:rsidR="00E347F2" w:rsidP="0063613B" w:rsidRDefault="00E347F2" w14:paraId="390D87E9"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Tota</w:t>
            </w:r>
            <w:r w:rsidRPr="00812C91">
              <w:rPr>
                <w:rFonts w:ascii="Calibri" w:hAnsi="Calibri" w:eastAsia="Times New Roman" w:cs="Arial"/>
                <w:color w:val="576170"/>
                <w:sz w:val="20"/>
                <w:szCs w:val="20"/>
              </w:rPr>
              <w:t>l Time Burden (</w:t>
            </w:r>
            <w:proofErr w:type="spellStart"/>
            <w:r w:rsidRPr="00812C91">
              <w:rPr>
                <w:rFonts w:ascii="Calibri" w:hAnsi="Calibri" w:eastAsia="Times New Roman" w:cs="Arial"/>
                <w:color w:val="576170"/>
                <w:sz w:val="20"/>
                <w:szCs w:val="20"/>
              </w:rPr>
              <w:t>Hr</w:t>
            </w:r>
            <w:proofErr w:type="spellEnd"/>
            <w:r w:rsidRPr="00812C91">
              <w:rPr>
                <w:rFonts w:ascii="Calibri" w:hAnsi="Calibri" w:eastAsia="Times New Roman" w:cs="Arial"/>
                <w:color w:val="576170"/>
                <w:sz w:val="20"/>
                <w:szCs w:val="20"/>
              </w:rPr>
              <w:t>)</w:t>
            </w:r>
          </w:p>
        </w:tc>
        <w:tc>
          <w:tcPr>
            <w:tcW w:w="2236" w:type="dxa"/>
            <w:tcBorders>
              <w:top w:val="single" w:color="auto" w:sz="4" w:space="0"/>
              <w:left w:val="nil"/>
              <w:bottom w:val="single" w:color="auto" w:sz="4" w:space="0"/>
              <w:right w:val="single" w:color="auto" w:sz="4" w:space="0"/>
            </w:tcBorders>
            <w:shd w:val="clear" w:color="auto" w:fill="auto"/>
            <w:vAlign w:val="center"/>
            <w:hideMark/>
          </w:tcPr>
          <w:p w:rsidRPr="00812C91" w:rsidR="00E347F2" w:rsidP="0063613B" w:rsidRDefault="001A6E52" w14:paraId="5723D45A" w14:textId="6A0CB6AC">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1,836</w:t>
            </w:r>
          </w:p>
        </w:tc>
        <w:tc>
          <w:tcPr>
            <w:tcW w:w="2091" w:type="dxa"/>
            <w:tcBorders>
              <w:top w:val="single" w:color="auto" w:sz="4" w:space="0"/>
              <w:left w:val="nil"/>
              <w:bottom w:val="single" w:color="auto" w:sz="4" w:space="0"/>
              <w:right w:val="single" w:color="auto" w:sz="4" w:space="0"/>
            </w:tcBorders>
            <w:shd w:val="clear" w:color="auto" w:fill="auto"/>
            <w:vAlign w:val="center"/>
            <w:hideMark/>
          </w:tcPr>
          <w:p w:rsidRPr="00812C91" w:rsidR="00E347F2" w:rsidP="0063613B" w:rsidRDefault="001A6E52" w14:paraId="14967151" w14:textId="04E5749B">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1,836</w:t>
            </w:r>
          </w:p>
        </w:tc>
        <w:tc>
          <w:tcPr>
            <w:tcW w:w="1939" w:type="dxa"/>
            <w:tcBorders>
              <w:top w:val="single" w:color="auto" w:sz="4" w:space="0"/>
              <w:left w:val="nil"/>
              <w:bottom w:val="single" w:color="auto" w:sz="4" w:space="0"/>
              <w:right w:val="single" w:color="auto" w:sz="4" w:space="0"/>
            </w:tcBorders>
            <w:shd w:val="clear" w:color="auto" w:fill="auto"/>
            <w:vAlign w:val="center"/>
            <w:hideMark/>
          </w:tcPr>
          <w:p w:rsidRPr="00812C91" w:rsidR="00E347F2" w:rsidP="0063613B" w:rsidRDefault="00E347F2" w14:paraId="6A85E420" w14:textId="21E0E440">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Pr>
                <w:rFonts w:ascii="Calibri" w:hAnsi="Calibri" w:eastAsia="Times New Roman" w:cs="Arial"/>
                <w:color w:val="576170"/>
                <w:sz w:val="20"/>
                <w:szCs w:val="20"/>
              </w:rPr>
              <w:t>0</w:t>
            </w:r>
          </w:p>
        </w:tc>
      </w:tr>
      <w:tr w:rsidRPr="00812C91" w:rsidR="00E347F2" w:rsidTr="00E347F2" w14:paraId="61EFB218" w14:textId="77777777">
        <w:trPr>
          <w:trHeight w:val="525"/>
          <w:jc w:val="center"/>
        </w:trPr>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rsidR="00E347F2" w:rsidP="0063613B" w:rsidRDefault="00E347F2" w14:paraId="3A2117B9"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Total Cost Burden</w:t>
            </w:r>
          </w:p>
        </w:tc>
        <w:tc>
          <w:tcPr>
            <w:tcW w:w="2236" w:type="dxa"/>
            <w:tcBorders>
              <w:top w:val="single" w:color="auto" w:sz="4" w:space="0"/>
              <w:left w:val="nil"/>
              <w:bottom w:val="single" w:color="auto" w:sz="4" w:space="0"/>
              <w:right w:val="single" w:color="auto" w:sz="4" w:space="0"/>
            </w:tcBorders>
            <w:shd w:val="clear" w:color="auto" w:fill="auto"/>
            <w:vAlign w:val="center"/>
          </w:tcPr>
          <w:p w:rsidRPr="00812C91" w:rsidR="00E347F2" w:rsidP="0063613B" w:rsidRDefault="00E347F2" w14:paraId="2297D566" w14:textId="059A9C70">
            <w:pPr>
              <w:spacing w:after="0" w:line="240" w:lineRule="auto"/>
              <w:rPr>
                <w:rFonts w:ascii="Calibri" w:hAnsi="Calibri" w:eastAsia="Times New Roman" w:cs="Arial"/>
                <w:color w:val="576170"/>
                <w:sz w:val="20"/>
                <w:szCs w:val="20"/>
              </w:rPr>
            </w:pPr>
            <w:r w:rsidRPr="00E347F2">
              <w:rPr>
                <w:rFonts w:ascii="Calibri" w:hAnsi="Calibri" w:eastAsia="Times New Roman" w:cs="Arial"/>
                <w:color w:val="576170"/>
                <w:sz w:val="20"/>
                <w:szCs w:val="20"/>
              </w:rPr>
              <w:t>$</w:t>
            </w:r>
            <w:r w:rsidRPr="00CB338B" w:rsidR="00CB338B">
              <w:rPr>
                <w:rFonts w:ascii="Calibri" w:hAnsi="Calibri" w:eastAsia="Times New Roman" w:cs="Arial"/>
                <w:color w:val="576170"/>
                <w:sz w:val="20"/>
                <w:szCs w:val="20"/>
              </w:rPr>
              <w:t>108,908</w:t>
            </w:r>
          </w:p>
        </w:tc>
        <w:tc>
          <w:tcPr>
            <w:tcW w:w="2091" w:type="dxa"/>
            <w:tcBorders>
              <w:top w:val="single" w:color="auto" w:sz="4" w:space="0"/>
              <w:left w:val="nil"/>
              <w:bottom w:val="single" w:color="auto" w:sz="4" w:space="0"/>
              <w:right w:val="single" w:color="auto" w:sz="4" w:space="0"/>
            </w:tcBorders>
            <w:shd w:val="clear" w:color="auto" w:fill="auto"/>
            <w:vAlign w:val="center"/>
          </w:tcPr>
          <w:p w:rsidRPr="00A02011" w:rsidR="00E347F2" w:rsidP="0063613B" w:rsidRDefault="00E347F2" w14:paraId="35E25E95" w14:textId="5CEA0DED">
            <w:pPr>
              <w:spacing w:after="0" w:line="240" w:lineRule="auto"/>
              <w:rPr>
                <w:rFonts w:ascii="Calibri" w:hAnsi="Calibri" w:eastAsia="Times New Roman" w:cs="Arial"/>
                <w:color w:val="576170"/>
                <w:sz w:val="20"/>
                <w:szCs w:val="20"/>
              </w:rPr>
            </w:pPr>
            <w:r w:rsidRPr="00E347F2">
              <w:rPr>
                <w:rFonts w:ascii="Calibri" w:hAnsi="Calibri" w:eastAsia="Times New Roman" w:cs="Arial"/>
                <w:color w:val="576170"/>
                <w:sz w:val="20"/>
                <w:szCs w:val="20"/>
              </w:rPr>
              <w:t>$</w:t>
            </w:r>
            <w:r w:rsidRPr="00CB338B" w:rsidR="00CB338B">
              <w:rPr>
                <w:rFonts w:ascii="Calibri" w:hAnsi="Calibri" w:eastAsia="Times New Roman" w:cs="Arial"/>
                <w:color w:val="576170"/>
                <w:sz w:val="20"/>
                <w:szCs w:val="20"/>
              </w:rPr>
              <w:t>108,908</w:t>
            </w:r>
          </w:p>
        </w:tc>
        <w:tc>
          <w:tcPr>
            <w:tcW w:w="1939" w:type="dxa"/>
            <w:tcBorders>
              <w:top w:val="single" w:color="auto" w:sz="4" w:space="0"/>
              <w:left w:val="nil"/>
              <w:bottom w:val="single" w:color="auto" w:sz="4" w:space="0"/>
              <w:right w:val="single" w:color="auto" w:sz="4" w:space="0"/>
            </w:tcBorders>
            <w:shd w:val="clear" w:color="auto" w:fill="auto"/>
            <w:vAlign w:val="center"/>
          </w:tcPr>
          <w:p w:rsidRPr="00812C91" w:rsidR="00E347F2" w:rsidP="0063613B" w:rsidRDefault="00E347F2" w14:paraId="48533A44" w14:textId="4BA12D43">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0</w:t>
            </w:r>
          </w:p>
        </w:tc>
      </w:tr>
    </w:tbl>
    <w:p w:rsidR="00954EE9" w:rsidP="00F00C23" w:rsidRDefault="00954EE9" w14:paraId="0CA4149B" w14:textId="5AF2F48A">
      <w:pPr>
        <w:pStyle w:val="Heading2"/>
      </w:pPr>
      <w:bookmarkStart w:name="_Toc16271335" w:id="18"/>
      <w:r w:rsidRPr="00C90FFA">
        <w:t>A.16. Collection, Tabulation, and Publication Plans</w:t>
      </w:r>
      <w:bookmarkEnd w:id="18"/>
      <w:r w:rsidRPr="00F056C3">
        <w:t xml:space="preserve"> </w:t>
      </w:r>
    </w:p>
    <w:p w:rsidRPr="00A41763" w:rsidR="00954EE9" w:rsidP="00954EE9" w:rsidRDefault="00954EE9" w14:paraId="0DB72CB1" w14:textId="77777777">
      <w:r w:rsidRPr="00A41763">
        <w:rPr>
          <w:b/>
          <w:bCs/>
        </w:rPr>
        <w:t xml:space="preserve">For collections whose results will be published, outline the plans for tabulation and publication. </w:t>
      </w:r>
    </w:p>
    <w:p w:rsidR="00954EE9" w:rsidP="00954EE9" w:rsidRDefault="00C90FFA" w14:paraId="473A467C" w14:textId="7C54DD17">
      <w:r w:rsidRPr="00C90FFA">
        <w:t>There are no plans for publication.</w:t>
      </w:r>
    </w:p>
    <w:p w:rsidRPr="00C90FFA" w:rsidR="00954EE9" w:rsidP="00F00C23" w:rsidRDefault="00954EE9" w14:paraId="4E0BEEBD" w14:textId="77777777">
      <w:pPr>
        <w:pStyle w:val="Heading2"/>
      </w:pPr>
      <w:bookmarkStart w:name="_Toc16271336" w:id="19"/>
      <w:r w:rsidRPr="00C90FFA">
        <w:t>A.17. OMB Number and Expiration Date</w:t>
      </w:r>
      <w:bookmarkEnd w:id="19"/>
      <w:r w:rsidRPr="00C90FFA">
        <w:t xml:space="preserve"> </w:t>
      </w:r>
    </w:p>
    <w:p w:rsidRPr="00A41763" w:rsidR="00954EE9" w:rsidP="00954EE9" w:rsidRDefault="00954EE9" w14:paraId="3AD29DB4" w14:textId="77777777">
      <w:r w:rsidRPr="00A41763">
        <w:rPr>
          <w:b/>
          <w:bCs/>
        </w:rPr>
        <w:t xml:space="preserve">If seeking approval to not display the expiration date for OMB approval of the information collection, explain the reasons why display would be inappropriate. </w:t>
      </w:r>
    </w:p>
    <w:p w:rsidR="00C90FFA" w:rsidP="00C90FFA" w:rsidRDefault="00C90FFA" w14:paraId="074B4CA7" w14:textId="0717AE0D">
      <w:r w:rsidRPr="002950AF">
        <w:t xml:space="preserve">The Department is not seeking approval to not display the expiration date for OMB approval of the information collections contained in this package. </w:t>
      </w:r>
    </w:p>
    <w:p w:rsidR="00954EE9" w:rsidP="00F00C23" w:rsidRDefault="00954EE9" w14:paraId="27AA5B20" w14:textId="77777777">
      <w:pPr>
        <w:pStyle w:val="Heading2"/>
      </w:pPr>
      <w:bookmarkStart w:name="_Toc16271337" w:id="20"/>
      <w:r>
        <w:t>A.</w:t>
      </w:r>
      <w:r w:rsidRPr="00A41763">
        <w:t xml:space="preserve">18. </w:t>
      </w:r>
      <w:r w:rsidRPr="00F056C3">
        <w:t>Certification Statement</w:t>
      </w:r>
      <w:bookmarkEnd w:id="20"/>
      <w:r w:rsidRPr="00F056C3">
        <w:t xml:space="preserve"> </w:t>
      </w:r>
    </w:p>
    <w:p w:rsidRPr="00A41763" w:rsidR="00954EE9" w:rsidP="00954EE9" w:rsidRDefault="00954EE9" w14:paraId="4D76A195" w14:textId="77777777">
      <w:r w:rsidRPr="00A41763">
        <w:rPr>
          <w:b/>
          <w:bCs/>
        </w:rPr>
        <w:t xml:space="preserve">Explain each exception to the certification statement identified in Item 19 of OMB Form 83-I. </w:t>
      </w:r>
    </w:p>
    <w:p w:rsidRPr="00F9010B" w:rsidR="003E4BFB" w:rsidRDefault="00F9010B" w14:paraId="024FD14D" w14:textId="7A1359F2">
      <w:r>
        <w:t>There are no exceptions to the certification statement identified in item 19 of OMB Form 83-</w:t>
      </w:r>
      <w:r w:rsidR="00F060B4">
        <w:t>I</w:t>
      </w:r>
      <w:r>
        <w:t>.</w:t>
      </w:r>
    </w:p>
    <w:sectPr w:rsidRPr="00F9010B" w:rsidR="003E4BFB" w:rsidSect="00933D5D">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776D1" w14:textId="77777777" w:rsidR="00F46B78" w:rsidRDefault="00F95F73">
      <w:pPr>
        <w:spacing w:after="0" w:line="240" w:lineRule="auto"/>
      </w:pPr>
      <w:r>
        <w:separator/>
      </w:r>
    </w:p>
  </w:endnote>
  <w:endnote w:type="continuationSeparator" w:id="0">
    <w:p w14:paraId="44E07679" w14:textId="77777777" w:rsidR="00F46B78" w:rsidRDefault="00F95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43F42" w14:textId="77023F1F" w:rsidR="008F16EC" w:rsidRPr="001F3A8F" w:rsidRDefault="00954EE9" w:rsidP="00616E46">
    <w:pPr>
      <w:pStyle w:val="Footer"/>
      <w:tabs>
        <w:tab w:val="clear" w:pos="9720"/>
        <w:tab w:val="left" w:pos="8655"/>
      </w:tabs>
    </w:pPr>
    <w:r w:rsidRPr="00CB180D">
      <w:t xml:space="preserve">U.S. </w:t>
    </w:r>
    <w:r>
      <w:t>Department of Energy</w:t>
    </w:r>
    <w:r w:rsidRPr="00CB180D">
      <w:t xml:space="preserve">   |</w:t>
    </w:r>
    <w:r>
      <w:t xml:space="preserve">   </w:t>
    </w:r>
    <w:sdt>
      <w:sdtPr>
        <w:alias w:val="Title"/>
        <w:tag w:val=""/>
        <w:id w:val="463942435"/>
        <w:placeholder>
          <w:docPart w:val="BFF88D0CEC0D406595EFCD013E386059"/>
        </w:placeholder>
        <w:dataBinding w:prefixMappings="xmlns:ns0='http://purl.org/dc/elements/1.1/' xmlns:ns1='http://schemas.openxmlformats.org/package/2006/metadata/core-properties' " w:xpath="/ns1:coreProperties[1]/ns0:title[1]" w:storeItemID="{6C3C8BC8-F283-45AE-878A-BAB7291924A1}"/>
        <w:text/>
      </w:sdtPr>
      <w:sdtEndPr/>
      <w:sdtContent>
        <w:r w:rsidR="00A21148">
          <w:t>Supporting Statement for Weatherization Assistance Program Sub-Programs: WAP Enhancement and Innovation (E&amp;I), Sustainable Energy Resources for Consumers (SERC), and Community Scale Pilot Project (CSPP) Grants</w:t>
        </w:r>
      </w:sdtContent>
    </w:sdt>
    <w:r>
      <w:t xml:space="preserve"> </w:t>
    </w:r>
    <w:r>
      <w:tab/>
      <w:t xml:space="preserv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D5C6D" w14:textId="77777777" w:rsidR="008F16EC" w:rsidRDefault="00CB338B" w:rsidP="00760677">
    <w:pPr>
      <w:pStyle w:val="Footer"/>
    </w:pPr>
    <w:sdt>
      <w:sdtPr>
        <w:id w:val="272451101"/>
        <w:docPartObj>
          <w:docPartGallery w:val="Page Numbers (Bottom of Page)"/>
          <w:docPartUnique/>
        </w:docPartObj>
      </w:sdtPr>
      <w:sdtEndPr/>
      <w:sdtContent>
        <w:r w:rsidR="00954EE9" w:rsidRPr="00CB180D">
          <w:t xml:space="preserve">U.S. Energy Information Administration   |   </w:t>
        </w:r>
        <w:sdt>
          <w:sdtPr>
            <w:alias w:val="Subject"/>
            <w:id w:val="406421018"/>
            <w:showingPlcHdr/>
            <w:dataBinding w:prefixMappings="xmlns:ns0='http://purl.org/dc/elements/1.1/' xmlns:ns1='http://schemas.openxmlformats.org/package/2006/metadata/core-properties' " w:xpath="/ns1:coreProperties[1]/ns0:subject[1]" w:storeItemID="{6C3C8BC8-F283-45AE-878A-BAB7291924A1}"/>
            <w:text/>
          </w:sdtPr>
          <w:sdtEndPr/>
          <w:sdtContent>
            <w:r w:rsidR="00954EE9">
              <w:t xml:space="preserve">     </w:t>
            </w:r>
          </w:sdtContent>
        </w:sdt>
        <w:r w:rsidR="00954EE9" w:rsidRPr="00CB180D">
          <w:tab/>
        </w:r>
      </w:sdtContent>
    </w:sdt>
    <w:r w:rsidR="00954EE9" w:rsidRPr="00760677">
      <w:t xml:space="preserve"> </w:t>
    </w:r>
    <w:r w:rsidR="00954EE9">
      <w:fldChar w:fldCharType="begin"/>
    </w:r>
    <w:r w:rsidR="00954EE9">
      <w:instrText xml:space="preserve"> PAGE   \* MERGEFORMAT </w:instrText>
    </w:r>
    <w:r w:rsidR="00954EE9">
      <w:fldChar w:fldCharType="separate"/>
    </w:r>
    <w:r w:rsidR="00954EE9">
      <w:rPr>
        <w:noProof/>
      </w:rPr>
      <w:t>i</w:t>
    </w:r>
    <w:r w:rsidR="00954EE9">
      <w:rPr>
        <w:noProof/>
      </w:rPr>
      <w:fldChar w:fldCharType="end"/>
    </w:r>
  </w:p>
  <w:p w14:paraId="70CFB2F6" w14:textId="77777777" w:rsidR="008F16EC" w:rsidRDefault="00CB33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8096E" w14:textId="77777777" w:rsidR="008F16EC" w:rsidRDefault="00CB338B" w:rsidP="00760677">
    <w:pPr>
      <w:pStyle w:val="Footer"/>
    </w:pPr>
    <w:sdt>
      <w:sdtPr>
        <w:id w:val="-22715443"/>
        <w:docPartObj>
          <w:docPartGallery w:val="Page Numbers (Bottom of Page)"/>
          <w:docPartUnique/>
        </w:docPartObj>
      </w:sdtPr>
      <w:sdtEndPr/>
      <w:sdtContent>
        <w:r w:rsidR="00954EE9" w:rsidRPr="00CB180D">
          <w:t xml:space="preserve">U.S. Energy Information Administration   |   </w:t>
        </w:r>
        <w:sdt>
          <w:sdtPr>
            <w:alias w:val="Subject"/>
            <w:id w:val="-135803878"/>
            <w:showingPlcHdr/>
            <w:dataBinding w:prefixMappings="xmlns:ns0='http://purl.org/dc/elements/1.1/' xmlns:ns1='http://schemas.openxmlformats.org/package/2006/metadata/core-properties' " w:xpath="/ns1:coreProperties[1]/ns0:subject[1]" w:storeItemID="{6C3C8BC8-F283-45AE-878A-BAB7291924A1}"/>
            <w:text/>
          </w:sdtPr>
          <w:sdtEndPr/>
          <w:sdtContent>
            <w:r w:rsidR="00954EE9">
              <w:t xml:space="preserve">     </w:t>
            </w:r>
          </w:sdtContent>
        </w:sdt>
        <w:r w:rsidR="00954EE9" w:rsidRPr="00CB180D">
          <w:tab/>
        </w:r>
      </w:sdtContent>
    </w:sdt>
    <w:r w:rsidR="00954EE9" w:rsidRPr="00760677">
      <w:t xml:space="preserve"> </w:t>
    </w:r>
    <w:r w:rsidR="00954EE9">
      <w:fldChar w:fldCharType="begin"/>
    </w:r>
    <w:r w:rsidR="00954EE9">
      <w:instrText xml:space="preserve"> PAGE   \* MERGEFORMAT </w:instrText>
    </w:r>
    <w:r w:rsidR="00954EE9">
      <w:fldChar w:fldCharType="separate"/>
    </w:r>
    <w:r w:rsidR="00954EE9">
      <w:rPr>
        <w:noProof/>
      </w:rPr>
      <w:t>ii</w:t>
    </w:r>
    <w:r w:rsidR="00954EE9">
      <w:rPr>
        <w:noProof/>
      </w:rPr>
      <w:fldChar w:fldCharType="end"/>
    </w:r>
  </w:p>
  <w:p w14:paraId="12DE6E4C" w14:textId="77777777" w:rsidR="008F16EC" w:rsidRDefault="00CB338B" w:rsidP="007606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6BDC7" w14:textId="2965EDBD" w:rsidR="008F16EC" w:rsidRPr="001F3A8F" w:rsidRDefault="00954EE9" w:rsidP="00616E46">
    <w:pPr>
      <w:pStyle w:val="Footer"/>
      <w:tabs>
        <w:tab w:val="clear" w:pos="9720"/>
        <w:tab w:val="left" w:pos="8655"/>
      </w:tabs>
    </w:pPr>
    <w:r>
      <w:t>U.S. Department of Energy</w:t>
    </w:r>
    <w:r w:rsidRPr="00CB180D">
      <w:t xml:space="preserve">   |</w:t>
    </w:r>
    <w:r>
      <w:t xml:space="preserve">   </w:t>
    </w:r>
    <w:sdt>
      <w:sdtPr>
        <w:alias w:val="Title"/>
        <w:tag w:val=""/>
        <w:id w:val="-850179400"/>
        <w:placeholder>
          <w:docPart w:val="BFF88D0CEC0D406595EFCD013E386059"/>
        </w:placeholder>
        <w:dataBinding w:prefixMappings="xmlns:ns0='http://purl.org/dc/elements/1.1/' xmlns:ns1='http://schemas.openxmlformats.org/package/2006/metadata/core-properties' " w:xpath="/ns1:coreProperties[1]/ns0:title[1]" w:storeItemID="{6C3C8BC8-F283-45AE-878A-BAB7291924A1}"/>
        <w:text/>
      </w:sdtPr>
      <w:sdtEndPr/>
      <w:sdtContent>
        <w:r w:rsidR="00A21148">
          <w:t>Supporting Statement for Weatherization Assistance Program Sub-Programs: WAP Enhancement and Innovation (E&amp;I), Sustainable Energy Resources for Consumers (SERC), and Community Scale Pilot Project (CSPP) Grants</w:t>
        </w:r>
      </w:sdtContent>
    </w:sdt>
    <w:r>
      <w:t xml:space="preserve"> </w:t>
    </w:r>
    <w:r>
      <w:tab/>
      <w:t xml:space="preserve"> </w:t>
    </w:r>
    <w:r>
      <w:fldChar w:fldCharType="begin"/>
    </w:r>
    <w:r>
      <w:instrText xml:space="preserve"> PAGE   \* MERGEFORMAT </w:instrText>
    </w:r>
    <w:r>
      <w:fldChar w:fldCharType="separate"/>
    </w:r>
    <w:r>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44033" w14:textId="77777777" w:rsidR="00F46B78" w:rsidRDefault="00F95F73">
      <w:pPr>
        <w:spacing w:after="0" w:line="240" w:lineRule="auto"/>
      </w:pPr>
      <w:r>
        <w:separator/>
      </w:r>
    </w:p>
  </w:footnote>
  <w:footnote w:type="continuationSeparator" w:id="0">
    <w:p w14:paraId="3C88E09A" w14:textId="77777777" w:rsidR="00F46B78" w:rsidRDefault="00F95F73">
      <w:pPr>
        <w:spacing w:after="0" w:line="240" w:lineRule="auto"/>
      </w:pPr>
      <w:r>
        <w:continuationSeparator/>
      </w:r>
    </w:p>
  </w:footnote>
  <w:footnote w:id="1">
    <w:p w14:paraId="613A0A58" w14:textId="77777777" w:rsidR="007637A0" w:rsidRDefault="007637A0" w:rsidP="007637A0">
      <w:pPr>
        <w:pStyle w:val="CommentText"/>
      </w:pPr>
      <w:r>
        <w:rPr>
          <w:rStyle w:val="FootnoteReference"/>
        </w:rPr>
        <w:footnoteRef/>
      </w:r>
      <w:r>
        <w:t xml:space="preserve"> The Department of Labor’s Bureau of Labor Statistics periodically updates the National Occupational Employment and Wage Estimates for the United States. Personnel Financial Advisors at the State/Territory level fill out and submit this report. </w:t>
      </w:r>
      <w:r>
        <w:rPr>
          <w:rStyle w:val="Hyperlink"/>
          <w:i/>
        </w:rPr>
        <w:t xml:space="preserve">See </w:t>
      </w:r>
      <w:r>
        <w:t>U.S. Bureau of Labor Statistics, U.S. Department of Labor National Occupational Employment and Wage Estimates</w:t>
      </w:r>
      <w:r>
        <w:rPr>
          <w:i/>
        </w:rPr>
        <w:t xml:space="preserve">, </w:t>
      </w:r>
      <w:hyperlink r:id="rId1" w:anchor="13-0000" w:history="1">
        <w:r w:rsidRPr="00DD3805">
          <w:rPr>
            <w:rStyle w:val="Hyperlink"/>
          </w:rPr>
          <w:t>https://www.bls.gov/oes/current/oes_nat.htm#13-0000</w:t>
        </w:r>
      </w:hyperlink>
      <w:r>
        <w:rPr>
          <w:rStyle w:val="Hyperlink"/>
        </w:rPr>
        <w:t xml:space="preserve">. </w:t>
      </w:r>
    </w:p>
  </w:footnote>
  <w:footnote w:id="2">
    <w:p w14:paraId="6F5DB3B2" w14:textId="77777777" w:rsidR="00211AFE" w:rsidRDefault="00211AFE" w:rsidP="00211AFE">
      <w:pPr>
        <w:pStyle w:val="FootnoteText"/>
      </w:pPr>
      <w:r>
        <w:rPr>
          <w:rStyle w:val="FootnoteReference"/>
        </w:rPr>
        <w:footnoteRef/>
      </w:r>
      <w:r>
        <w:t xml:space="preserve"> </w:t>
      </w:r>
      <w:r w:rsidRPr="00211AFE">
        <w:t>https://www.opm.gov/policy-data-oversight/pay-leave/salaries-wages/salary-tables/pdf/2020/DCB_h.pdf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71B4F" w14:textId="77777777" w:rsidR="008F16EC" w:rsidRDefault="00CB338B" w:rsidP="0072545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32B38"/>
    <w:multiLevelType w:val="hybridMultilevel"/>
    <w:tmpl w:val="82FC798E"/>
    <w:lvl w:ilvl="0" w:tplc="C5725C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B57EB1"/>
    <w:multiLevelType w:val="hybridMultilevel"/>
    <w:tmpl w:val="551A2194"/>
    <w:lvl w:ilvl="0" w:tplc="86ECA4B6">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34372D"/>
    <w:multiLevelType w:val="hybridMultilevel"/>
    <w:tmpl w:val="F8A229C8"/>
    <w:lvl w:ilvl="0" w:tplc="6AFA63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4" w15:restartNumberingAfterBreak="0">
    <w:nsid w:val="742F0832"/>
    <w:multiLevelType w:val="hybridMultilevel"/>
    <w:tmpl w:val="3A424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4955D4"/>
    <w:multiLevelType w:val="hybridMultilevel"/>
    <w:tmpl w:val="F9FAB4F8"/>
    <w:lvl w:ilvl="0" w:tplc="1DE8A2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EE9"/>
    <w:rsid w:val="00006E10"/>
    <w:rsid w:val="0001294D"/>
    <w:rsid w:val="00014F5D"/>
    <w:rsid w:val="00020C10"/>
    <w:rsid w:val="00032AE6"/>
    <w:rsid w:val="000361BE"/>
    <w:rsid w:val="000420A9"/>
    <w:rsid w:val="00042A5B"/>
    <w:rsid w:val="00050C2F"/>
    <w:rsid w:val="0006154C"/>
    <w:rsid w:val="000825AF"/>
    <w:rsid w:val="00092B76"/>
    <w:rsid w:val="000A1E20"/>
    <w:rsid w:val="000A403E"/>
    <w:rsid w:val="000A51CD"/>
    <w:rsid w:val="000B2ED4"/>
    <w:rsid w:val="000D0B3B"/>
    <w:rsid w:val="000D4ECA"/>
    <w:rsid w:val="000D5067"/>
    <w:rsid w:val="000F6FA3"/>
    <w:rsid w:val="000F7AAE"/>
    <w:rsid w:val="001001C7"/>
    <w:rsid w:val="001304D5"/>
    <w:rsid w:val="00144E4C"/>
    <w:rsid w:val="0016057A"/>
    <w:rsid w:val="00181FC7"/>
    <w:rsid w:val="001932F9"/>
    <w:rsid w:val="00195F70"/>
    <w:rsid w:val="001A3156"/>
    <w:rsid w:val="001A6E52"/>
    <w:rsid w:val="001B2E58"/>
    <w:rsid w:val="001B35C5"/>
    <w:rsid w:val="001B6A6A"/>
    <w:rsid w:val="001C0781"/>
    <w:rsid w:val="001C213F"/>
    <w:rsid w:val="001D26F7"/>
    <w:rsid w:val="001D2EFA"/>
    <w:rsid w:val="001D58FA"/>
    <w:rsid w:val="001E2A19"/>
    <w:rsid w:val="001F3AA1"/>
    <w:rsid w:val="001F3F91"/>
    <w:rsid w:val="001F4A41"/>
    <w:rsid w:val="0021137E"/>
    <w:rsid w:val="00211AFE"/>
    <w:rsid w:val="00216439"/>
    <w:rsid w:val="00224AB4"/>
    <w:rsid w:val="0024259E"/>
    <w:rsid w:val="00243044"/>
    <w:rsid w:val="002511AE"/>
    <w:rsid w:val="00263C0F"/>
    <w:rsid w:val="00263D92"/>
    <w:rsid w:val="0028275D"/>
    <w:rsid w:val="002905D8"/>
    <w:rsid w:val="00295E3E"/>
    <w:rsid w:val="002B6F30"/>
    <w:rsid w:val="002B7322"/>
    <w:rsid w:val="002D6301"/>
    <w:rsid w:val="002E379A"/>
    <w:rsid w:val="002F1E2C"/>
    <w:rsid w:val="00307A59"/>
    <w:rsid w:val="003270F4"/>
    <w:rsid w:val="00342866"/>
    <w:rsid w:val="00343F03"/>
    <w:rsid w:val="003552F9"/>
    <w:rsid w:val="003633E0"/>
    <w:rsid w:val="00376774"/>
    <w:rsid w:val="003868EC"/>
    <w:rsid w:val="0039076D"/>
    <w:rsid w:val="003A0E28"/>
    <w:rsid w:val="003B2CEE"/>
    <w:rsid w:val="003C55EC"/>
    <w:rsid w:val="003E3213"/>
    <w:rsid w:val="003E4BFB"/>
    <w:rsid w:val="003F18F3"/>
    <w:rsid w:val="0040320C"/>
    <w:rsid w:val="00404996"/>
    <w:rsid w:val="00411D30"/>
    <w:rsid w:val="004266D2"/>
    <w:rsid w:val="00442CA9"/>
    <w:rsid w:val="0046444B"/>
    <w:rsid w:val="00477C06"/>
    <w:rsid w:val="00496F8E"/>
    <w:rsid w:val="004975DA"/>
    <w:rsid w:val="00497E48"/>
    <w:rsid w:val="004A1DED"/>
    <w:rsid w:val="004C00F3"/>
    <w:rsid w:val="004E26B5"/>
    <w:rsid w:val="004E6242"/>
    <w:rsid w:val="004F3DBB"/>
    <w:rsid w:val="004F5A4E"/>
    <w:rsid w:val="005005DD"/>
    <w:rsid w:val="00513CEF"/>
    <w:rsid w:val="005168F9"/>
    <w:rsid w:val="00570A5D"/>
    <w:rsid w:val="0057244B"/>
    <w:rsid w:val="00573049"/>
    <w:rsid w:val="00576E06"/>
    <w:rsid w:val="005822B1"/>
    <w:rsid w:val="005B02A5"/>
    <w:rsid w:val="005D108B"/>
    <w:rsid w:val="005E58DF"/>
    <w:rsid w:val="005E59BC"/>
    <w:rsid w:val="005E67F4"/>
    <w:rsid w:val="0060209C"/>
    <w:rsid w:val="00607A9F"/>
    <w:rsid w:val="0066633D"/>
    <w:rsid w:val="00666C5D"/>
    <w:rsid w:val="00670AF2"/>
    <w:rsid w:val="00671233"/>
    <w:rsid w:val="006756A9"/>
    <w:rsid w:val="00692FC9"/>
    <w:rsid w:val="006A4673"/>
    <w:rsid w:val="006B7BC0"/>
    <w:rsid w:val="006C07B3"/>
    <w:rsid w:val="006C2063"/>
    <w:rsid w:val="006C7C05"/>
    <w:rsid w:val="006E4392"/>
    <w:rsid w:val="006F6772"/>
    <w:rsid w:val="00700B68"/>
    <w:rsid w:val="00703A0D"/>
    <w:rsid w:val="00706105"/>
    <w:rsid w:val="007131D2"/>
    <w:rsid w:val="007136C5"/>
    <w:rsid w:val="007162BE"/>
    <w:rsid w:val="00740830"/>
    <w:rsid w:val="007637A0"/>
    <w:rsid w:val="0078391D"/>
    <w:rsid w:val="00791326"/>
    <w:rsid w:val="00794818"/>
    <w:rsid w:val="00794B23"/>
    <w:rsid w:val="007A2C0A"/>
    <w:rsid w:val="007A422C"/>
    <w:rsid w:val="007B049D"/>
    <w:rsid w:val="007B17CE"/>
    <w:rsid w:val="007C0B74"/>
    <w:rsid w:val="007C424A"/>
    <w:rsid w:val="007C561C"/>
    <w:rsid w:val="007C5868"/>
    <w:rsid w:val="007C75A1"/>
    <w:rsid w:val="007E1818"/>
    <w:rsid w:val="007E427F"/>
    <w:rsid w:val="008230A5"/>
    <w:rsid w:val="00832AE6"/>
    <w:rsid w:val="00833D74"/>
    <w:rsid w:val="008366D0"/>
    <w:rsid w:val="00841252"/>
    <w:rsid w:val="00841C29"/>
    <w:rsid w:val="0084639A"/>
    <w:rsid w:val="00864D1B"/>
    <w:rsid w:val="00866DA2"/>
    <w:rsid w:val="008725FC"/>
    <w:rsid w:val="00872F0F"/>
    <w:rsid w:val="00886F51"/>
    <w:rsid w:val="008A7BB1"/>
    <w:rsid w:val="008C6AD2"/>
    <w:rsid w:val="008C7E9F"/>
    <w:rsid w:val="008D5605"/>
    <w:rsid w:val="008D562F"/>
    <w:rsid w:val="008E0C08"/>
    <w:rsid w:val="008E120F"/>
    <w:rsid w:val="008F615E"/>
    <w:rsid w:val="00912F78"/>
    <w:rsid w:val="00922302"/>
    <w:rsid w:val="009310DA"/>
    <w:rsid w:val="00935CE0"/>
    <w:rsid w:val="00946DFD"/>
    <w:rsid w:val="00951B68"/>
    <w:rsid w:val="00954EE9"/>
    <w:rsid w:val="00964D92"/>
    <w:rsid w:val="00996681"/>
    <w:rsid w:val="009B1B40"/>
    <w:rsid w:val="009B6388"/>
    <w:rsid w:val="009D38C3"/>
    <w:rsid w:val="009E11A3"/>
    <w:rsid w:val="009E7551"/>
    <w:rsid w:val="009F04A5"/>
    <w:rsid w:val="009F5683"/>
    <w:rsid w:val="00A02011"/>
    <w:rsid w:val="00A0744C"/>
    <w:rsid w:val="00A21148"/>
    <w:rsid w:val="00A23D9C"/>
    <w:rsid w:val="00A244C3"/>
    <w:rsid w:val="00A37232"/>
    <w:rsid w:val="00A37B05"/>
    <w:rsid w:val="00A44032"/>
    <w:rsid w:val="00A50A26"/>
    <w:rsid w:val="00A50F27"/>
    <w:rsid w:val="00A84754"/>
    <w:rsid w:val="00A92BD2"/>
    <w:rsid w:val="00AA1012"/>
    <w:rsid w:val="00AA2ACF"/>
    <w:rsid w:val="00AA4857"/>
    <w:rsid w:val="00AB0F3F"/>
    <w:rsid w:val="00AE0129"/>
    <w:rsid w:val="00AE64BF"/>
    <w:rsid w:val="00AE79BB"/>
    <w:rsid w:val="00AF34D9"/>
    <w:rsid w:val="00B0365E"/>
    <w:rsid w:val="00B051E7"/>
    <w:rsid w:val="00B10818"/>
    <w:rsid w:val="00B17AF1"/>
    <w:rsid w:val="00B32B3A"/>
    <w:rsid w:val="00B400E8"/>
    <w:rsid w:val="00B45D1E"/>
    <w:rsid w:val="00B86AD6"/>
    <w:rsid w:val="00B87317"/>
    <w:rsid w:val="00B931D9"/>
    <w:rsid w:val="00BA05C2"/>
    <w:rsid w:val="00BA2A5B"/>
    <w:rsid w:val="00BB265E"/>
    <w:rsid w:val="00BB6C39"/>
    <w:rsid w:val="00BC16F6"/>
    <w:rsid w:val="00BC50AD"/>
    <w:rsid w:val="00BE6956"/>
    <w:rsid w:val="00BF7833"/>
    <w:rsid w:val="00C10DD3"/>
    <w:rsid w:val="00C17CFE"/>
    <w:rsid w:val="00C41E64"/>
    <w:rsid w:val="00C4414C"/>
    <w:rsid w:val="00C7543A"/>
    <w:rsid w:val="00C90FFA"/>
    <w:rsid w:val="00CA42DA"/>
    <w:rsid w:val="00CB338B"/>
    <w:rsid w:val="00CC1B15"/>
    <w:rsid w:val="00CC5A49"/>
    <w:rsid w:val="00CD0EC4"/>
    <w:rsid w:val="00CD361D"/>
    <w:rsid w:val="00CD410E"/>
    <w:rsid w:val="00CD4714"/>
    <w:rsid w:val="00CE2824"/>
    <w:rsid w:val="00CE2B1D"/>
    <w:rsid w:val="00CE7F7E"/>
    <w:rsid w:val="00CF2011"/>
    <w:rsid w:val="00CF610A"/>
    <w:rsid w:val="00D01AE5"/>
    <w:rsid w:val="00D06F07"/>
    <w:rsid w:val="00D4687E"/>
    <w:rsid w:val="00D57675"/>
    <w:rsid w:val="00D62A24"/>
    <w:rsid w:val="00D77499"/>
    <w:rsid w:val="00D9135B"/>
    <w:rsid w:val="00DA019C"/>
    <w:rsid w:val="00DD772F"/>
    <w:rsid w:val="00DE142D"/>
    <w:rsid w:val="00DE2808"/>
    <w:rsid w:val="00DE3CC3"/>
    <w:rsid w:val="00DE66C0"/>
    <w:rsid w:val="00DE7254"/>
    <w:rsid w:val="00DF3F54"/>
    <w:rsid w:val="00E06A0B"/>
    <w:rsid w:val="00E11358"/>
    <w:rsid w:val="00E21275"/>
    <w:rsid w:val="00E225B4"/>
    <w:rsid w:val="00E24AA1"/>
    <w:rsid w:val="00E30ECB"/>
    <w:rsid w:val="00E337C2"/>
    <w:rsid w:val="00E33BC4"/>
    <w:rsid w:val="00E347F2"/>
    <w:rsid w:val="00E60AF7"/>
    <w:rsid w:val="00E63B05"/>
    <w:rsid w:val="00E76767"/>
    <w:rsid w:val="00EA7FFD"/>
    <w:rsid w:val="00EB217C"/>
    <w:rsid w:val="00EC7EF7"/>
    <w:rsid w:val="00ED1A39"/>
    <w:rsid w:val="00ED2538"/>
    <w:rsid w:val="00EE5002"/>
    <w:rsid w:val="00EF5CB8"/>
    <w:rsid w:val="00EF7B98"/>
    <w:rsid w:val="00F00C23"/>
    <w:rsid w:val="00F060B4"/>
    <w:rsid w:val="00F21CBC"/>
    <w:rsid w:val="00F25D7C"/>
    <w:rsid w:val="00F365C1"/>
    <w:rsid w:val="00F46B78"/>
    <w:rsid w:val="00F533ED"/>
    <w:rsid w:val="00F56AF5"/>
    <w:rsid w:val="00F60057"/>
    <w:rsid w:val="00F74241"/>
    <w:rsid w:val="00F75ED0"/>
    <w:rsid w:val="00F772A2"/>
    <w:rsid w:val="00F81497"/>
    <w:rsid w:val="00F87086"/>
    <w:rsid w:val="00F9010B"/>
    <w:rsid w:val="00F95F73"/>
    <w:rsid w:val="00FA26C3"/>
    <w:rsid w:val="00FA37AA"/>
    <w:rsid w:val="00FB7E7F"/>
    <w:rsid w:val="00FC2223"/>
    <w:rsid w:val="00FC4120"/>
    <w:rsid w:val="00FD50B7"/>
    <w:rsid w:val="00FF2D85"/>
    <w:rsid w:val="00FF7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CE6BB"/>
  <w15:chartTrackingRefBased/>
  <w15:docId w15:val="{877517E8-DB91-4EDF-8590-5B7056100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EE9"/>
    <w:pPr>
      <w:spacing w:after="200" w:line="300" w:lineRule="atLeast"/>
    </w:pPr>
  </w:style>
  <w:style w:type="paragraph" w:styleId="Heading1">
    <w:name w:val="heading 1"/>
    <w:basedOn w:val="Normal"/>
    <w:next w:val="Normal"/>
    <w:link w:val="Heading1Char"/>
    <w:autoRedefine/>
    <w:uiPriority w:val="1"/>
    <w:qFormat/>
    <w:rsid w:val="00954EE9"/>
    <w:pPr>
      <w:keepNext/>
      <w:keepLines/>
      <w:numPr>
        <w:numId w:val="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00C23"/>
    <w:pPr>
      <w:keepNext/>
      <w:keepLines/>
      <w:spacing w:before="200" w:after="0" w:line="240" w:lineRule="auto"/>
      <w:outlineLvl w:val="1"/>
    </w:pPr>
    <w:rPr>
      <w:rFonts w:eastAsiaTheme="majorEastAsia" w:cstheme="majorBidi"/>
      <w:b/>
      <w:color w:val="1396D8"/>
      <w:sz w:val="28"/>
      <w:szCs w:val="26"/>
    </w:rPr>
  </w:style>
  <w:style w:type="paragraph" w:styleId="Heading4">
    <w:name w:val="heading 4"/>
    <w:basedOn w:val="Normal"/>
    <w:next w:val="Normal"/>
    <w:link w:val="Heading4Char"/>
    <w:uiPriority w:val="9"/>
    <w:unhideWhenUsed/>
    <w:qFormat/>
    <w:rsid w:val="0040499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54EE9"/>
    <w:rPr>
      <w:rFonts w:asciiTheme="majorHAnsi" w:eastAsiaTheme="majorEastAsia" w:hAnsiTheme="majorHAnsi" w:cstheme="majorBidi"/>
      <w:b/>
      <w:bCs/>
      <w:sz w:val="44"/>
      <w:szCs w:val="44"/>
    </w:rPr>
  </w:style>
  <w:style w:type="character" w:customStyle="1" w:styleId="Heading2Char">
    <w:name w:val="Heading 2 Char"/>
    <w:basedOn w:val="DefaultParagraphFont"/>
    <w:link w:val="Heading2"/>
    <w:uiPriority w:val="1"/>
    <w:rsid w:val="00F00C23"/>
    <w:rPr>
      <w:rFonts w:eastAsiaTheme="majorEastAsia" w:cstheme="majorBidi"/>
      <w:b/>
      <w:color w:val="1396D8"/>
      <w:sz w:val="28"/>
      <w:szCs w:val="26"/>
    </w:rPr>
  </w:style>
  <w:style w:type="paragraph" w:styleId="Header">
    <w:name w:val="header"/>
    <w:basedOn w:val="Normal"/>
    <w:link w:val="HeaderChar"/>
    <w:autoRedefine/>
    <w:uiPriority w:val="99"/>
    <w:qFormat/>
    <w:rsid w:val="00954EE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954EE9"/>
    <w:rPr>
      <w:i/>
    </w:rPr>
  </w:style>
  <w:style w:type="paragraph" w:styleId="Footer">
    <w:name w:val="footer"/>
    <w:basedOn w:val="Normal"/>
    <w:link w:val="FooterChar"/>
    <w:autoRedefine/>
    <w:uiPriority w:val="99"/>
    <w:qFormat/>
    <w:rsid w:val="00954EE9"/>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954EE9"/>
    <w:rPr>
      <w:sz w:val="16"/>
    </w:rPr>
  </w:style>
  <w:style w:type="character" w:styleId="Hyperlink">
    <w:name w:val="Hyperlink"/>
    <w:basedOn w:val="DefaultParagraphFont"/>
    <w:uiPriority w:val="99"/>
    <w:qFormat/>
    <w:rsid w:val="00954EE9"/>
    <w:rPr>
      <w:rFonts w:asciiTheme="minorHAnsi" w:hAnsiTheme="minorHAnsi"/>
      <w:color w:val="1396D8"/>
      <w:u w:val="single"/>
    </w:rPr>
  </w:style>
  <w:style w:type="paragraph" w:styleId="TOCHeading">
    <w:name w:val="TOC Heading"/>
    <w:basedOn w:val="Heading1"/>
    <w:next w:val="Normal"/>
    <w:autoRedefine/>
    <w:uiPriority w:val="39"/>
    <w:qFormat/>
    <w:rsid w:val="00954EE9"/>
    <w:pPr>
      <w:numPr>
        <w:numId w:val="0"/>
      </w:numPr>
      <w:pBdr>
        <w:bottom w:val="single" w:sz="4" w:space="1" w:color="BFBFBF" w:themeColor="background1" w:themeShade="BF"/>
      </w:pBdr>
      <w:spacing w:before="480" w:line="240" w:lineRule="auto"/>
      <w:outlineLvl w:val="9"/>
    </w:pPr>
    <w:rPr>
      <w:color w:val="4472C4" w:themeColor="accent1"/>
    </w:rPr>
  </w:style>
  <w:style w:type="paragraph" w:styleId="TOC1">
    <w:name w:val="toc 1"/>
    <w:basedOn w:val="Normal"/>
    <w:next w:val="Normal"/>
    <w:autoRedefine/>
    <w:uiPriority w:val="39"/>
    <w:qFormat/>
    <w:rsid w:val="00954EE9"/>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954EE9"/>
    <w:pPr>
      <w:ind w:left="288"/>
    </w:pPr>
  </w:style>
  <w:style w:type="character" w:styleId="PlaceholderText">
    <w:name w:val="Placeholder Text"/>
    <w:basedOn w:val="DefaultParagraphFont"/>
    <w:uiPriority w:val="99"/>
    <w:semiHidden/>
    <w:rsid w:val="00954EE9"/>
    <w:rPr>
      <w:color w:val="808080"/>
    </w:rPr>
  </w:style>
  <w:style w:type="paragraph" w:customStyle="1" w:styleId="Default">
    <w:name w:val="Default"/>
    <w:rsid w:val="00954EE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404996"/>
    <w:rPr>
      <w:rFonts w:asciiTheme="majorHAnsi" w:eastAsiaTheme="majorEastAsia" w:hAnsiTheme="majorHAnsi" w:cstheme="majorBidi"/>
      <w:i/>
      <w:iCs/>
      <w:color w:val="2F5496" w:themeColor="accent1" w:themeShade="BF"/>
    </w:rPr>
  </w:style>
  <w:style w:type="paragraph" w:customStyle="1" w:styleId="note-body">
    <w:name w:val="note-body"/>
    <w:basedOn w:val="Normal"/>
    <w:rsid w:val="00404996"/>
    <w:pPr>
      <w:spacing w:before="100" w:beforeAutospacing="1" w:after="100" w:afterAutospacing="1" w:line="240" w:lineRule="auto"/>
    </w:pPr>
    <w:rPr>
      <w:rFonts w:ascii="Calibri" w:hAnsi="Calibri" w:cs="Calibri"/>
    </w:rPr>
  </w:style>
  <w:style w:type="paragraph" w:customStyle="1" w:styleId="note-body-1em">
    <w:name w:val="note-body-1em"/>
    <w:basedOn w:val="Normal"/>
    <w:rsid w:val="00404996"/>
    <w:pPr>
      <w:spacing w:before="100" w:beforeAutospacing="1" w:after="100" w:afterAutospacing="1" w:line="240" w:lineRule="auto"/>
    </w:pPr>
    <w:rPr>
      <w:rFonts w:ascii="Calibri" w:hAnsi="Calibri" w:cs="Calibri"/>
    </w:rPr>
  </w:style>
  <w:style w:type="character" w:customStyle="1" w:styleId="stdref">
    <w:name w:val="stdref"/>
    <w:basedOn w:val="DefaultParagraphFont"/>
    <w:rsid w:val="00404996"/>
  </w:style>
  <w:style w:type="character" w:styleId="FollowedHyperlink">
    <w:name w:val="FollowedHyperlink"/>
    <w:basedOn w:val="DefaultParagraphFont"/>
    <w:uiPriority w:val="99"/>
    <w:semiHidden/>
    <w:unhideWhenUsed/>
    <w:rsid w:val="00B051E7"/>
    <w:rPr>
      <w:color w:val="954F72" w:themeColor="followedHyperlink"/>
      <w:u w:val="single"/>
    </w:rPr>
  </w:style>
  <w:style w:type="paragraph" w:styleId="ListParagraph">
    <w:name w:val="List Paragraph"/>
    <w:basedOn w:val="Normal"/>
    <w:autoRedefine/>
    <w:qFormat/>
    <w:rsid w:val="00671233"/>
    <w:pPr>
      <w:numPr>
        <w:numId w:val="3"/>
      </w:numPr>
      <w:contextualSpacing/>
    </w:pPr>
  </w:style>
  <w:style w:type="character" w:styleId="CommentReference">
    <w:name w:val="annotation reference"/>
    <w:basedOn w:val="DefaultParagraphFont"/>
    <w:uiPriority w:val="99"/>
    <w:semiHidden/>
    <w:unhideWhenUsed/>
    <w:rsid w:val="00032AE6"/>
    <w:rPr>
      <w:sz w:val="16"/>
      <w:szCs w:val="16"/>
    </w:rPr>
  </w:style>
  <w:style w:type="paragraph" w:styleId="CommentText">
    <w:name w:val="annotation text"/>
    <w:basedOn w:val="Normal"/>
    <w:link w:val="CommentTextChar"/>
    <w:uiPriority w:val="99"/>
    <w:unhideWhenUsed/>
    <w:rsid w:val="00032AE6"/>
    <w:pPr>
      <w:spacing w:line="240" w:lineRule="auto"/>
    </w:pPr>
    <w:rPr>
      <w:sz w:val="20"/>
      <w:szCs w:val="20"/>
    </w:rPr>
  </w:style>
  <w:style w:type="character" w:customStyle="1" w:styleId="CommentTextChar">
    <w:name w:val="Comment Text Char"/>
    <w:basedOn w:val="DefaultParagraphFont"/>
    <w:link w:val="CommentText"/>
    <w:uiPriority w:val="99"/>
    <w:rsid w:val="00032AE6"/>
    <w:rPr>
      <w:sz w:val="20"/>
      <w:szCs w:val="20"/>
    </w:rPr>
  </w:style>
  <w:style w:type="table" w:styleId="GridTable1Light">
    <w:name w:val="Grid Table 1 Light"/>
    <w:basedOn w:val="TableNormal"/>
    <w:uiPriority w:val="46"/>
    <w:rsid w:val="0092230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ommentSubject">
    <w:name w:val="annotation subject"/>
    <w:basedOn w:val="CommentText"/>
    <w:next w:val="CommentText"/>
    <w:link w:val="CommentSubjectChar"/>
    <w:uiPriority w:val="99"/>
    <w:semiHidden/>
    <w:unhideWhenUsed/>
    <w:rsid w:val="00CE2B1D"/>
    <w:rPr>
      <w:b/>
      <w:bCs/>
    </w:rPr>
  </w:style>
  <w:style w:type="character" w:customStyle="1" w:styleId="CommentSubjectChar">
    <w:name w:val="Comment Subject Char"/>
    <w:basedOn w:val="CommentTextChar"/>
    <w:link w:val="CommentSubject"/>
    <w:uiPriority w:val="99"/>
    <w:semiHidden/>
    <w:rsid w:val="00CE2B1D"/>
    <w:rPr>
      <w:b/>
      <w:bCs/>
      <w:sz w:val="20"/>
      <w:szCs w:val="20"/>
    </w:rPr>
  </w:style>
  <w:style w:type="character" w:styleId="UnresolvedMention">
    <w:name w:val="Unresolved Mention"/>
    <w:basedOn w:val="DefaultParagraphFont"/>
    <w:uiPriority w:val="99"/>
    <w:semiHidden/>
    <w:unhideWhenUsed/>
    <w:rsid w:val="0046444B"/>
    <w:rPr>
      <w:color w:val="605E5C"/>
      <w:shd w:val="clear" w:color="auto" w:fill="E1DFDD"/>
    </w:rPr>
  </w:style>
  <w:style w:type="character" w:styleId="FootnoteReference">
    <w:name w:val="footnote reference"/>
    <w:basedOn w:val="DefaultParagraphFont"/>
    <w:uiPriority w:val="8"/>
    <w:rsid w:val="007637A0"/>
    <w:rPr>
      <w:vertAlign w:val="superscript"/>
    </w:rPr>
  </w:style>
  <w:style w:type="paragraph" w:styleId="FootnoteText">
    <w:name w:val="footnote text"/>
    <w:basedOn w:val="Normal"/>
    <w:link w:val="FootnoteTextChar"/>
    <w:uiPriority w:val="99"/>
    <w:semiHidden/>
    <w:unhideWhenUsed/>
    <w:rsid w:val="00211A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1AFE"/>
    <w:rPr>
      <w:sz w:val="20"/>
      <w:szCs w:val="20"/>
    </w:rPr>
  </w:style>
  <w:style w:type="paragraph" w:styleId="HTMLPreformatted">
    <w:name w:val="HTML Preformatted"/>
    <w:basedOn w:val="Normal"/>
    <w:link w:val="HTMLPreformattedChar"/>
    <w:uiPriority w:val="99"/>
    <w:unhideWhenUsed/>
    <w:rsid w:val="00426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266D2"/>
    <w:rPr>
      <w:rFonts w:ascii="Courier New" w:hAnsi="Courier New" w:cs="Courier New"/>
      <w:sz w:val="20"/>
      <w:szCs w:val="20"/>
    </w:rPr>
  </w:style>
  <w:style w:type="paragraph" w:styleId="Revision">
    <w:name w:val="Revision"/>
    <w:hidden/>
    <w:uiPriority w:val="99"/>
    <w:semiHidden/>
    <w:rsid w:val="001F4A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nergy.gov/sites/default/files/2021/01/f82/wpn-21-2_v2.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code.house.gov/view.xhtml?hl=false&amp;edition=prelim&amp;req=granuleid%3AUSC-prelim-title42-section6872&amp;f=treesort&amp;num=0&amp;saved=%7CKHRpdGxlOjQyIHNlY3Rpb246Njg2MSBlZGl0aW9uOnByZWxpbSkgT1IgKGdyYW51bGVpZDpVU0MtcHJlbGltLXRpdGxlNDItc2VjdGlvbjY4NjEp%7CdHJlZXNvcnQ%3D%7C%7C0%7Cfalse%7Cprelim"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federalregister.gov/documents/2021/06/30/2021-13985/notice-of-intent-to-announce-financial-assistance-for-weatherization-enhancement-and-innov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energy.gov/sites/default/files/2021-06/wap-memo-077_0.pdf" TargetMode="External"/><Relationship Id="rId10" Type="http://schemas.openxmlformats.org/officeDocument/2006/relationships/footer" Target="foot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scode.house.gov/statviewer.htm?volume=121&amp;page=160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F88D0CEC0D406595EFCD013E386059"/>
        <w:category>
          <w:name w:val="General"/>
          <w:gallery w:val="placeholder"/>
        </w:category>
        <w:types>
          <w:type w:val="bbPlcHdr"/>
        </w:types>
        <w:behaviors>
          <w:behavior w:val="content"/>
        </w:behaviors>
        <w:guid w:val="{18DEAB5E-1A43-4D36-933B-3DAA4CA31697}"/>
      </w:docPartPr>
      <w:docPartBody>
        <w:p w:rsidR="009E5672" w:rsidRDefault="005C3184" w:rsidP="005C3184">
          <w:pPr>
            <w:pStyle w:val="BFF88D0CEC0D406595EFCD013E386059"/>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184"/>
    <w:rsid w:val="001D6C34"/>
    <w:rsid w:val="00245BFC"/>
    <w:rsid w:val="002473A2"/>
    <w:rsid w:val="00314AB1"/>
    <w:rsid w:val="00353ECC"/>
    <w:rsid w:val="0036161B"/>
    <w:rsid w:val="003F6ADE"/>
    <w:rsid w:val="005C3184"/>
    <w:rsid w:val="0078554B"/>
    <w:rsid w:val="008B7555"/>
    <w:rsid w:val="00924383"/>
    <w:rsid w:val="00936C35"/>
    <w:rsid w:val="009E5672"/>
    <w:rsid w:val="009F7D97"/>
    <w:rsid w:val="00A03109"/>
    <w:rsid w:val="00A30AB3"/>
    <w:rsid w:val="00A7266E"/>
    <w:rsid w:val="00B33028"/>
    <w:rsid w:val="00B70460"/>
    <w:rsid w:val="00C52A8A"/>
    <w:rsid w:val="00CD6055"/>
    <w:rsid w:val="00CF435A"/>
    <w:rsid w:val="00D647E6"/>
    <w:rsid w:val="00DA56DF"/>
    <w:rsid w:val="00DD20BA"/>
    <w:rsid w:val="00DF209C"/>
    <w:rsid w:val="00F76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3028"/>
    <w:rPr>
      <w:color w:val="808080"/>
    </w:rPr>
  </w:style>
  <w:style w:type="paragraph" w:customStyle="1" w:styleId="BFF88D0CEC0D406595EFCD013E386059">
    <w:name w:val="BFF88D0CEC0D406595EFCD013E386059"/>
    <w:rsid w:val="005C31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1422A-6D62-47B0-A464-B4DED857C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1335</TotalTime>
  <Pages>18</Pages>
  <Words>6408</Words>
  <Characters>36532</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Supporting Statement for Weatherization Assistance Program Sub-Programs: WAP Enhancement and Innovation (E&amp;I), Sustainable Energy Resources for Consumers (SERC), and Community Scale Pilot Project (CSPP) Grants</vt:lpstr>
    </vt:vector>
  </TitlesOfParts>
  <Company/>
  <LinksUpToDate>false</LinksUpToDate>
  <CharactersWithSpaces>42855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Weatherization Assistance Program Sub-Programs: WAP Enhancement and Innovation (E&amp;I), Sustainable Energy Resources for Consumers (SERC), and Community Scale Pilot Project (CSPP) Grants</dc:title>
  <dc:subject/>
  <dc:creator>Tidwell, Michael (FELLOW)</dc:creator>
  <cp:keywords/>
  <dc:description/>
  <cp:lastModifiedBy>Freeman, Yohanna</cp:lastModifiedBy>
  <cp:revision>5</cp:revision>
  <dcterms:created xsi:type="dcterms:W3CDTF">2022-02-15T17:21:00Z</dcterms:created>
  <dcterms:modified xsi:type="dcterms:W3CDTF">2022-02-25T18:49:00Z</dcterms:modified>
</cp:coreProperties>
</file>