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819F0" w:rsidR="00E6682E" w:rsidP="006819F0" w:rsidRDefault="00E6682E" w14:paraId="3565FDD0" w14:textId="79FA5B0A">
      <w:pPr>
        <w:jc w:val="center"/>
        <w:rPr>
          <w:b/>
          <w:bCs/>
        </w:rPr>
      </w:pPr>
      <w:r w:rsidRPr="006819F0">
        <w:rPr>
          <w:b/>
          <w:bCs/>
        </w:rPr>
        <w:t xml:space="preserve">Comparing the </w:t>
      </w:r>
      <w:r w:rsidRPr="006819F0" w:rsidR="009A44CB">
        <w:rPr>
          <w:b/>
          <w:bCs/>
        </w:rPr>
        <w:t xml:space="preserve">Burden/Cost </w:t>
      </w:r>
      <w:r w:rsidRPr="006819F0">
        <w:rPr>
          <w:b/>
          <w:bCs/>
        </w:rPr>
        <w:t xml:space="preserve">in the </w:t>
      </w:r>
      <w:r w:rsidR="009A44CB">
        <w:rPr>
          <w:b/>
          <w:bCs/>
        </w:rPr>
        <w:t>P</w:t>
      </w:r>
      <w:r w:rsidRPr="006819F0">
        <w:rPr>
          <w:b/>
          <w:bCs/>
        </w:rPr>
        <w:t xml:space="preserve">revious vs. </w:t>
      </w:r>
      <w:r w:rsidR="009A44CB">
        <w:rPr>
          <w:b/>
          <w:bCs/>
        </w:rPr>
        <w:t>C</w:t>
      </w:r>
      <w:r w:rsidRPr="006819F0">
        <w:rPr>
          <w:b/>
          <w:bCs/>
        </w:rPr>
        <w:t>urrent ICRs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17"/>
        <w:gridCol w:w="2035"/>
        <w:gridCol w:w="2074"/>
        <w:gridCol w:w="1900"/>
        <w:gridCol w:w="1624"/>
      </w:tblGrid>
      <w:tr w:rsidRPr="00E6682E" w:rsidR="00F32C8C" w:rsidTr="00F32C8C" w14:paraId="70DA10FC" w14:textId="3918B24B">
        <w:trPr>
          <w:jc w:val="center"/>
        </w:trPr>
        <w:tc>
          <w:tcPr>
            <w:tcW w:w="1717" w:type="dxa"/>
          </w:tcPr>
          <w:p w:rsidRPr="00CC2FD8" w:rsidR="00F32C8C" w:rsidRDefault="00F32C8C" w14:paraId="729D7EAD" w14:textId="77777777">
            <w:pPr>
              <w:rPr>
                <w:rFonts w:ascii="Calibri" w:hAnsi="Calibri" w:cs="Calibri"/>
                <w:sz w:val="20"/>
                <w:szCs w:val="20"/>
              </w:rPr>
            </w:pPr>
            <w:bookmarkStart w:name="_Hlk75772614" w:id="0"/>
          </w:p>
        </w:tc>
        <w:tc>
          <w:tcPr>
            <w:tcW w:w="2035" w:type="dxa"/>
          </w:tcPr>
          <w:p w:rsidRPr="00CC2FD8" w:rsidR="00F32C8C" w:rsidRDefault="00F32C8C" w14:paraId="1F11A27E" w14:textId="73E5355A">
            <w:pPr>
              <w:rPr>
                <w:rFonts w:ascii="Calibri" w:hAnsi="Calibri" w:cs="Calibri"/>
                <w:sz w:val="20"/>
                <w:szCs w:val="20"/>
              </w:rPr>
            </w:pPr>
            <w:r w:rsidRPr="00CC2FD8">
              <w:rPr>
                <w:rFonts w:ascii="Calibri" w:hAnsi="Calibri" w:cs="Calibri"/>
                <w:sz w:val="20"/>
                <w:szCs w:val="20"/>
              </w:rPr>
              <w:t>201</w:t>
            </w:r>
            <w:r w:rsidR="008038E0">
              <w:rPr>
                <w:rFonts w:ascii="Calibri" w:hAnsi="Calibri" w:cs="Calibri"/>
                <w:sz w:val="20"/>
                <w:szCs w:val="20"/>
              </w:rPr>
              <w:t>9</w:t>
            </w:r>
            <w:r w:rsidR="00CC2FD8">
              <w:rPr>
                <w:rFonts w:ascii="Calibri" w:hAnsi="Calibri" w:cs="Calibri"/>
                <w:sz w:val="20"/>
                <w:szCs w:val="20"/>
              </w:rPr>
              <w:t xml:space="preserve"> ICR</w:t>
            </w:r>
          </w:p>
        </w:tc>
        <w:tc>
          <w:tcPr>
            <w:tcW w:w="2074" w:type="dxa"/>
          </w:tcPr>
          <w:p w:rsidRPr="00CC2FD8" w:rsidR="00F32C8C" w:rsidRDefault="00F32C8C" w14:paraId="02938821" w14:textId="23CC9833">
            <w:pPr>
              <w:rPr>
                <w:rFonts w:ascii="Calibri" w:hAnsi="Calibri" w:cs="Calibri"/>
                <w:sz w:val="20"/>
                <w:szCs w:val="20"/>
              </w:rPr>
            </w:pPr>
            <w:r w:rsidRPr="00CC2FD8">
              <w:rPr>
                <w:rFonts w:ascii="Calibri" w:hAnsi="Calibri" w:cs="Calibri"/>
                <w:sz w:val="20"/>
                <w:szCs w:val="20"/>
              </w:rPr>
              <w:t>202</w:t>
            </w:r>
            <w:r w:rsidR="008038E0">
              <w:rPr>
                <w:rFonts w:ascii="Calibri" w:hAnsi="Calibri" w:cs="Calibri"/>
                <w:sz w:val="20"/>
                <w:szCs w:val="20"/>
              </w:rPr>
              <w:t>2</w:t>
            </w:r>
            <w:r w:rsidRPr="00CC2FD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CC2FD8">
              <w:rPr>
                <w:rFonts w:ascii="Calibri" w:hAnsi="Calibri" w:cs="Calibri"/>
                <w:sz w:val="20"/>
                <w:szCs w:val="20"/>
              </w:rPr>
              <w:t>ICR</w:t>
            </w:r>
          </w:p>
        </w:tc>
        <w:tc>
          <w:tcPr>
            <w:tcW w:w="1900" w:type="dxa"/>
          </w:tcPr>
          <w:p w:rsidRPr="00CC2FD8" w:rsidR="00F32C8C" w:rsidRDefault="00F32C8C" w14:paraId="2E630A77" w14:textId="3AA67943">
            <w:pPr>
              <w:rPr>
                <w:rFonts w:ascii="Calibri" w:hAnsi="Calibri" w:cs="Calibri"/>
                <w:sz w:val="20"/>
                <w:szCs w:val="20"/>
              </w:rPr>
            </w:pPr>
            <w:r w:rsidRPr="00CC2FD8">
              <w:rPr>
                <w:rFonts w:ascii="Calibri" w:hAnsi="Calibri" w:cs="Calibri"/>
                <w:sz w:val="20"/>
                <w:szCs w:val="20"/>
              </w:rPr>
              <w:t>Change</w:t>
            </w:r>
          </w:p>
        </w:tc>
        <w:tc>
          <w:tcPr>
            <w:tcW w:w="1624" w:type="dxa"/>
          </w:tcPr>
          <w:p w:rsidRPr="00CC2FD8" w:rsidR="00F32C8C" w:rsidRDefault="00F32C8C" w14:paraId="037CB327" w14:textId="198427B4">
            <w:pPr>
              <w:rPr>
                <w:rFonts w:ascii="Calibri" w:hAnsi="Calibri" w:cs="Calibri"/>
                <w:sz w:val="20"/>
                <w:szCs w:val="20"/>
              </w:rPr>
            </w:pPr>
            <w:r w:rsidRPr="00CC2FD8">
              <w:rPr>
                <w:rFonts w:ascii="Calibri" w:hAnsi="Calibri" w:cs="Calibri"/>
                <w:sz w:val="20"/>
                <w:szCs w:val="20"/>
              </w:rPr>
              <w:t>Percent Change</w:t>
            </w:r>
          </w:p>
        </w:tc>
      </w:tr>
      <w:tr w:rsidRPr="00E6682E" w:rsidR="004B72EF" w:rsidTr="008A15B9" w14:paraId="061F9480" w14:textId="2625EB51">
        <w:trPr>
          <w:jc w:val="center"/>
        </w:trPr>
        <w:tc>
          <w:tcPr>
            <w:tcW w:w="1717" w:type="dxa"/>
          </w:tcPr>
          <w:p w:rsidRPr="00CC2FD8" w:rsidR="004B72EF" w:rsidP="004B72EF" w:rsidRDefault="004B72EF" w14:paraId="78CA79D3" w14:textId="4F98F9B8">
            <w:pPr>
              <w:rPr>
                <w:rFonts w:ascii="Calibri" w:hAnsi="Calibri" w:cs="Calibri"/>
                <w:sz w:val="20"/>
                <w:szCs w:val="20"/>
              </w:rPr>
            </w:pPr>
            <w:r w:rsidRPr="00CC2FD8">
              <w:rPr>
                <w:rFonts w:ascii="Calibri" w:hAnsi="Calibri" w:cs="Calibri"/>
                <w:sz w:val="20"/>
                <w:szCs w:val="20"/>
              </w:rPr>
              <w:t>Respondents</w:t>
            </w:r>
          </w:p>
        </w:tc>
        <w:tc>
          <w:tcPr>
            <w:tcW w:w="2035" w:type="dxa"/>
          </w:tcPr>
          <w:p w:rsidRPr="00CC2FD8" w:rsidR="004B72EF" w:rsidP="004B72EF" w:rsidRDefault="004B72EF" w14:paraId="0AB0822D" w14:textId="0BF9AD20">
            <w:pPr>
              <w:rPr>
                <w:rFonts w:ascii="Calibri" w:hAnsi="Calibri" w:cs="Calibri"/>
                <w:sz w:val="20"/>
                <w:szCs w:val="20"/>
              </w:rPr>
            </w:pPr>
            <w:r w:rsidRPr="00CC2FD8">
              <w:rPr>
                <w:rFonts w:ascii="Calibri" w:hAnsi="Calibri" w:cs="Calibri"/>
                <w:sz w:val="20"/>
                <w:szCs w:val="20"/>
              </w:rPr>
              <w:t>40,168</w:t>
            </w:r>
          </w:p>
        </w:tc>
        <w:tc>
          <w:tcPr>
            <w:tcW w:w="2074" w:type="dxa"/>
            <w:vAlign w:val="center"/>
          </w:tcPr>
          <w:p w:rsidRPr="00CC2FD8" w:rsidR="004B72EF" w:rsidP="004B72EF" w:rsidRDefault="004B72EF" w14:paraId="307EA8D4" w14:textId="209BCD60">
            <w:pPr>
              <w:rPr>
                <w:rFonts w:ascii="Calibri" w:hAnsi="Calibri" w:cs="Calibri"/>
                <w:sz w:val="20"/>
                <w:szCs w:val="20"/>
              </w:rPr>
            </w:pPr>
            <w:r w:rsidRPr="004B72EF">
              <w:rPr>
                <w:rFonts w:ascii="Calibri" w:hAnsi="Calibri" w:eastAsia="Times New Roman" w:cs="Calibri"/>
                <w:sz w:val="20"/>
                <w:szCs w:val="20"/>
              </w:rPr>
              <w:t>37,677</w:t>
            </w:r>
          </w:p>
        </w:tc>
        <w:tc>
          <w:tcPr>
            <w:tcW w:w="1900" w:type="dxa"/>
            <w:vAlign w:val="center"/>
          </w:tcPr>
          <w:p w:rsidRPr="00CC2FD8" w:rsidR="004B72EF" w:rsidP="004B72EF" w:rsidRDefault="004B72EF" w14:paraId="7E82C8B0" w14:textId="1422AF33">
            <w:pPr>
              <w:rPr>
                <w:rFonts w:ascii="Calibri" w:hAnsi="Calibri" w:cs="Calibri"/>
                <w:sz w:val="20"/>
                <w:szCs w:val="20"/>
              </w:rPr>
            </w:pPr>
            <w:r w:rsidRPr="004B72EF">
              <w:rPr>
                <w:rFonts w:ascii="Calibri" w:hAnsi="Calibri" w:eastAsia="Times New Roman" w:cs="Calibri"/>
                <w:sz w:val="20"/>
                <w:szCs w:val="20"/>
              </w:rPr>
              <w:t>-2,491</w:t>
            </w:r>
          </w:p>
        </w:tc>
        <w:tc>
          <w:tcPr>
            <w:tcW w:w="1624" w:type="dxa"/>
            <w:vAlign w:val="bottom"/>
          </w:tcPr>
          <w:p w:rsidRPr="00CC2FD8" w:rsidR="004B72EF" w:rsidP="004B72EF" w:rsidRDefault="004B72EF" w14:paraId="17C15107" w14:textId="11A7EA68">
            <w:pPr>
              <w:rPr>
                <w:rFonts w:ascii="Calibri" w:hAnsi="Calibri" w:cs="Calibri"/>
                <w:sz w:val="20"/>
                <w:szCs w:val="20"/>
              </w:rPr>
            </w:pPr>
            <w:r w:rsidRPr="004B72EF">
              <w:rPr>
                <w:rFonts w:ascii="Calibri" w:hAnsi="Calibri" w:eastAsia="Times New Roman" w:cs="Calibri"/>
                <w:sz w:val="20"/>
                <w:szCs w:val="20"/>
              </w:rPr>
              <w:t>-6%</w:t>
            </w:r>
          </w:p>
        </w:tc>
      </w:tr>
      <w:tr w:rsidRPr="00E6682E" w:rsidR="004B72EF" w:rsidTr="008A15B9" w14:paraId="553F8716" w14:textId="2A5E2A97">
        <w:trPr>
          <w:jc w:val="center"/>
        </w:trPr>
        <w:tc>
          <w:tcPr>
            <w:tcW w:w="1717" w:type="dxa"/>
          </w:tcPr>
          <w:p w:rsidRPr="00CC2FD8" w:rsidR="004B72EF" w:rsidP="004B72EF" w:rsidRDefault="004B72EF" w14:paraId="0490B0EB" w14:textId="14856AEF">
            <w:pPr>
              <w:rPr>
                <w:rFonts w:ascii="Calibri" w:hAnsi="Calibri" w:cs="Calibri"/>
                <w:sz w:val="20"/>
                <w:szCs w:val="20"/>
              </w:rPr>
            </w:pPr>
            <w:r w:rsidRPr="00CC2FD8">
              <w:rPr>
                <w:rFonts w:ascii="Calibri" w:hAnsi="Calibri" w:cs="Calibri"/>
                <w:sz w:val="20"/>
                <w:szCs w:val="20"/>
              </w:rPr>
              <w:t>Burden</w:t>
            </w:r>
          </w:p>
        </w:tc>
        <w:tc>
          <w:tcPr>
            <w:tcW w:w="2035" w:type="dxa"/>
          </w:tcPr>
          <w:p w:rsidRPr="00CC2FD8" w:rsidR="004B72EF" w:rsidP="004B72EF" w:rsidRDefault="004B72EF" w14:paraId="3DDFE69C" w14:textId="178A68F1">
            <w:pPr>
              <w:rPr>
                <w:rFonts w:ascii="Calibri" w:hAnsi="Calibri" w:cs="Calibri"/>
                <w:sz w:val="20"/>
                <w:szCs w:val="20"/>
              </w:rPr>
            </w:pPr>
            <w:r w:rsidRPr="00CC2FD8">
              <w:rPr>
                <w:rFonts w:ascii="Calibri" w:hAnsi="Calibri" w:cs="Calibri"/>
                <w:sz w:val="20"/>
                <w:szCs w:val="20"/>
              </w:rPr>
              <w:t>1,292,260</w:t>
            </w:r>
          </w:p>
        </w:tc>
        <w:tc>
          <w:tcPr>
            <w:tcW w:w="2074" w:type="dxa"/>
            <w:vAlign w:val="center"/>
          </w:tcPr>
          <w:p w:rsidRPr="00CC2FD8" w:rsidR="004B72EF" w:rsidP="004B72EF" w:rsidRDefault="004B72EF" w14:paraId="519ED433" w14:textId="71D85811">
            <w:pPr>
              <w:rPr>
                <w:rFonts w:ascii="Calibri" w:hAnsi="Calibri" w:cs="Calibri"/>
                <w:sz w:val="20"/>
                <w:szCs w:val="20"/>
              </w:rPr>
            </w:pPr>
            <w:r w:rsidRPr="004B72EF">
              <w:rPr>
                <w:rFonts w:ascii="Calibri" w:hAnsi="Calibri" w:eastAsia="Times New Roman" w:cs="Calibri"/>
                <w:sz w:val="20"/>
                <w:szCs w:val="20"/>
              </w:rPr>
              <w:t>1,631,360</w:t>
            </w:r>
          </w:p>
        </w:tc>
        <w:tc>
          <w:tcPr>
            <w:tcW w:w="1900" w:type="dxa"/>
            <w:vAlign w:val="center"/>
          </w:tcPr>
          <w:p w:rsidRPr="00CC2FD8" w:rsidR="004B72EF" w:rsidP="004B72EF" w:rsidRDefault="004B72EF" w14:paraId="6B6179F6" w14:textId="13B77E89">
            <w:pPr>
              <w:rPr>
                <w:rFonts w:ascii="Calibri" w:hAnsi="Calibri" w:cs="Calibri"/>
                <w:sz w:val="20"/>
                <w:szCs w:val="20"/>
              </w:rPr>
            </w:pPr>
            <w:r w:rsidRPr="004B72EF">
              <w:rPr>
                <w:rFonts w:ascii="Calibri" w:hAnsi="Calibri" w:eastAsia="Times New Roman" w:cs="Calibri"/>
                <w:sz w:val="20"/>
                <w:szCs w:val="20"/>
              </w:rPr>
              <w:t>339,100</w:t>
            </w:r>
          </w:p>
        </w:tc>
        <w:tc>
          <w:tcPr>
            <w:tcW w:w="1624" w:type="dxa"/>
            <w:vAlign w:val="bottom"/>
          </w:tcPr>
          <w:p w:rsidRPr="00CC2FD8" w:rsidR="004B72EF" w:rsidP="004B72EF" w:rsidRDefault="004B72EF" w14:paraId="7994ACBB" w14:textId="017E1914">
            <w:pPr>
              <w:rPr>
                <w:rFonts w:ascii="Calibri" w:hAnsi="Calibri" w:cs="Calibri"/>
                <w:sz w:val="20"/>
                <w:szCs w:val="20"/>
              </w:rPr>
            </w:pPr>
            <w:r w:rsidRPr="004B72EF">
              <w:rPr>
                <w:rFonts w:ascii="Calibri" w:hAnsi="Calibri" w:eastAsia="Times New Roman" w:cs="Calibri"/>
                <w:sz w:val="20"/>
                <w:szCs w:val="20"/>
              </w:rPr>
              <w:t>26%</w:t>
            </w:r>
          </w:p>
        </w:tc>
      </w:tr>
      <w:tr w:rsidRPr="00E6682E" w:rsidR="004B72EF" w:rsidTr="008A15B9" w14:paraId="32F69B27" w14:textId="09BA1FC3">
        <w:trPr>
          <w:jc w:val="center"/>
        </w:trPr>
        <w:tc>
          <w:tcPr>
            <w:tcW w:w="1717" w:type="dxa"/>
          </w:tcPr>
          <w:p w:rsidRPr="00CC2FD8" w:rsidR="004B72EF" w:rsidP="004B72EF" w:rsidRDefault="004B72EF" w14:paraId="012E39AD" w14:textId="7CE11067">
            <w:pPr>
              <w:rPr>
                <w:rFonts w:ascii="Calibri" w:hAnsi="Calibri" w:cs="Calibri"/>
                <w:sz w:val="20"/>
                <w:szCs w:val="20"/>
              </w:rPr>
            </w:pPr>
            <w:r w:rsidRPr="00CC2FD8">
              <w:rPr>
                <w:rFonts w:ascii="Calibri" w:hAnsi="Calibri" w:cs="Calibri"/>
                <w:sz w:val="20"/>
                <w:szCs w:val="20"/>
              </w:rPr>
              <w:t xml:space="preserve">Total Cost </w:t>
            </w:r>
          </w:p>
        </w:tc>
        <w:tc>
          <w:tcPr>
            <w:tcW w:w="2035" w:type="dxa"/>
          </w:tcPr>
          <w:p w:rsidRPr="00CC2FD8" w:rsidR="004B72EF" w:rsidP="004B72EF" w:rsidRDefault="004B72EF" w14:paraId="65675DCA" w14:textId="3FEFE121">
            <w:pPr>
              <w:rPr>
                <w:rFonts w:ascii="Calibri" w:hAnsi="Calibri" w:cs="Calibri"/>
                <w:sz w:val="20"/>
                <w:szCs w:val="20"/>
              </w:rPr>
            </w:pPr>
            <w:r w:rsidRPr="00CC2FD8">
              <w:rPr>
                <w:rFonts w:ascii="Calibri" w:hAnsi="Calibri" w:cs="Calibri"/>
                <w:sz w:val="20"/>
                <w:szCs w:val="20"/>
              </w:rPr>
              <w:t>$</w:t>
            </w:r>
            <w:r w:rsidRPr="00CC2FD8">
              <w:rPr>
                <w:rFonts w:ascii="Calibri" w:hAnsi="Calibri" w:eastAsia="Times New Roman" w:cs="Calibri"/>
                <w:sz w:val="20"/>
                <w:szCs w:val="20"/>
              </w:rPr>
              <w:t xml:space="preserve">227,307,259 </w:t>
            </w:r>
          </w:p>
        </w:tc>
        <w:tc>
          <w:tcPr>
            <w:tcW w:w="2074" w:type="dxa"/>
            <w:vAlign w:val="center"/>
          </w:tcPr>
          <w:p w:rsidRPr="00CC2FD8" w:rsidR="004B72EF" w:rsidP="004B72EF" w:rsidRDefault="004B72EF" w14:paraId="4985F436" w14:textId="283D5B59">
            <w:pPr>
              <w:rPr>
                <w:rFonts w:ascii="Calibri" w:hAnsi="Calibri" w:cs="Calibri"/>
                <w:sz w:val="20"/>
                <w:szCs w:val="20"/>
              </w:rPr>
            </w:pPr>
            <w:r w:rsidRPr="004B72EF">
              <w:rPr>
                <w:rFonts w:ascii="Calibri" w:hAnsi="Calibri" w:eastAsia="Times New Roman" w:cs="Calibri"/>
                <w:sz w:val="20"/>
                <w:szCs w:val="20"/>
              </w:rPr>
              <w:t xml:space="preserve">$363,309,464 </w:t>
            </w:r>
          </w:p>
        </w:tc>
        <w:tc>
          <w:tcPr>
            <w:tcW w:w="1900" w:type="dxa"/>
            <w:vAlign w:val="center"/>
          </w:tcPr>
          <w:p w:rsidRPr="00CC2FD8" w:rsidR="004B72EF" w:rsidP="004B72EF" w:rsidRDefault="004B72EF" w14:paraId="7001FBC0" w14:textId="003DF19F">
            <w:pPr>
              <w:rPr>
                <w:rFonts w:ascii="Calibri" w:hAnsi="Calibri" w:cs="Calibri"/>
                <w:sz w:val="20"/>
                <w:szCs w:val="20"/>
              </w:rPr>
            </w:pPr>
            <w:r w:rsidRPr="00CC2FD8">
              <w:rPr>
                <w:rFonts w:ascii="Calibri" w:hAnsi="Calibri" w:eastAsia="Times New Roman" w:cs="Calibri"/>
                <w:sz w:val="20"/>
                <w:szCs w:val="20"/>
              </w:rPr>
              <w:t>$</w:t>
            </w:r>
            <w:r w:rsidRPr="004B72EF">
              <w:rPr>
                <w:rFonts w:ascii="Calibri" w:hAnsi="Calibri" w:eastAsia="Times New Roman" w:cs="Calibri"/>
                <w:sz w:val="20"/>
                <w:szCs w:val="20"/>
              </w:rPr>
              <w:t>136,002,205</w:t>
            </w:r>
          </w:p>
        </w:tc>
        <w:tc>
          <w:tcPr>
            <w:tcW w:w="1624" w:type="dxa"/>
            <w:vAlign w:val="bottom"/>
          </w:tcPr>
          <w:p w:rsidRPr="00CC2FD8" w:rsidR="004B72EF" w:rsidP="004B72EF" w:rsidRDefault="004B72EF" w14:paraId="44613250" w14:textId="636B01BA">
            <w:pPr>
              <w:rPr>
                <w:rFonts w:ascii="Calibri" w:hAnsi="Calibri" w:cs="Calibri"/>
                <w:sz w:val="20"/>
                <w:szCs w:val="20"/>
              </w:rPr>
            </w:pPr>
            <w:r w:rsidRPr="004B72EF">
              <w:rPr>
                <w:rFonts w:ascii="Calibri" w:hAnsi="Calibri" w:eastAsia="Times New Roman" w:cs="Calibri"/>
                <w:sz w:val="20"/>
                <w:szCs w:val="20"/>
              </w:rPr>
              <w:t>60%</w:t>
            </w:r>
          </w:p>
        </w:tc>
      </w:tr>
      <w:tr w:rsidRPr="00E6682E" w:rsidR="004B72EF" w:rsidTr="008A15B9" w14:paraId="5B08F250" w14:textId="68B9F84A">
        <w:trPr>
          <w:jc w:val="center"/>
        </w:trPr>
        <w:tc>
          <w:tcPr>
            <w:tcW w:w="1717" w:type="dxa"/>
          </w:tcPr>
          <w:p w:rsidRPr="00CC2FD8" w:rsidR="004B72EF" w:rsidP="004B72EF" w:rsidRDefault="004B72EF" w14:paraId="500C77EA" w14:textId="79C63745">
            <w:pPr>
              <w:rPr>
                <w:rFonts w:ascii="Calibri" w:hAnsi="Calibri" w:cs="Calibri"/>
                <w:sz w:val="20"/>
                <w:szCs w:val="20"/>
              </w:rPr>
            </w:pPr>
            <w:r w:rsidRPr="00CC2FD8">
              <w:rPr>
                <w:rFonts w:ascii="Calibri" w:hAnsi="Calibri" w:cs="Calibri"/>
                <w:sz w:val="20"/>
                <w:szCs w:val="20"/>
              </w:rPr>
              <w:t>O&amp;M Cost</w:t>
            </w:r>
          </w:p>
        </w:tc>
        <w:tc>
          <w:tcPr>
            <w:tcW w:w="2035" w:type="dxa"/>
          </w:tcPr>
          <w:p w:rsidRPr="00CC2FD8" w:rsidR="004B72EF" w:rsidP="004B72EF" w:rsidRDefault="004B72EF" w14:paraId="09612075" w14:textId="0365E09F">
            <w:pPr>
              <w:rPr>
                <w:rFonts w:ascii="Calibri" w:hAnsi="Calibri" w:cs="Calibri"/>
                <w:sz w:val="20"/>
                <w:szCs w:val="20"/>
              </w:rPr>
            </w:pPr>
            <w:r w:rsidRPr="00CC2FD8">
              <w:rPr>
                <w:rFonts w:ascii="Calibri" w:hAnsi="Calibri" w:cs="Calibri"/>
                <w:sz w:val="20"/>
                <w:szCs w:val="20"/>
              </w:rPr>
              <w:t>$</w:t>
            </w:r>
            <w:r w:rsidRPr="00CC2FD8">
              <w:rPr>
                <w:rFonts w:ascii="Calibri" w:hAnsi="Calibri" w:eastAsia="Times New Roman" w:cs="Calibri"/>
                <w:sz w:val="20"/>
                <w:szCs w:val="20"/>
              </w:rPr>
              <w:t>168,345,558</w:t>
            </w:r>
          </w:p>
        </w:tc>
        <w:tc>
          <w:tcPr>
            <w:tcW w:w="2074" w:type="dxa"/>
            <w:vAlign w:val="center"/>
          </w:tcPr>
          <w:p w:rsidRPr="00CC2FD8" w:rsidR="004B72EF" w:rsidP="004B72EF" w:rsidRDefault="004B72EF" w14:paraId="6E26D0D0" w14:textId="1B2E39C8">
            <w:pPr>
              <w:rPr>
                <w:rFonts w:ascii="Calibri" w:hAnsi="Calibri" w:cs="Calibri"/>
                <w:sz w:val="20"/>
                <w:szCs w:val="20"/>
              </w:rPr>
            </w:pPr>
            <w:r w:rsidRPr="004B72EF">
              <w:rPr>
                <w:rFonts w:ascii="Calibri" w:hAnsi="Calibri" w:eastAsia="Times New Roman" w:cs="Calibri"/>
                <w:sz w:val="20"/>
                <w:szCs w:val="20"/>
              </w:rPr>
              <w:t xml:space="preserve">$276,069,465 </w:t>
            </w:r>
          </w:p>
        </w:tc>
        <w:tc>
          <w:tcPr>
            <w:tcW w:w="1900" w:type="dxa"/>
            <w:vAlign w:val="center"/>
          </w:tcPr>
          <w:p w:rsidRPr="00CC2FD8" w:rsidR="004B72EF" w:rsidP="004B72EF" w:rsidRDefault="004B72EF" w14:paraId="6225B120" w14:textId="4CE1CDE1">
            <w:pPr>
              <w:rPr>
                <w:rFonts w:ascii="Calibri" w:hAnsi="Calibri" w:cs="Calibri"/>
                <w:sz w:val="20"/>
                <w:szCs w:val="20"/>
              </w:rPr>
            </w:pPr>
            <w:r w:rsidRPr="00CC2FD8">
              <w:rPr>
                <w:rFonts w:ascii="Calibri" w:hAnsi="Calibri" w:eastAsia="Times New Roman" w:cs="Calibri"/>
                <w:sz w:val="20"/>
                <w:szCs w:val="20"/>
              </w:rPr>
              <w:t>$</w:t>
            </w:r>
            <w:r w:rsidRPr="004B72EF">
              <w:rPr>
                <w:rFonts w:ascii="Calibri" w:hAnsi="Calibri" w:eastAsia="Times New Roman" w:cs="Calibri"/>
                <w:sz w:val="20"/>
                <w:szCs w:val="20"/>
              </w:rPr>
              <w:t>107,723,907</w:t>
            </w:r>
          </w:p>
        </w:tc>
        <w:tc>
          <w:tcPr>
            <w:tcW w:w="1624" w:type="dxa"/>
            <w:vAlign w:val="bottom"/>
          </w:tcPr>
          <w:p w:rsidRPr="00CC2FD8" w:rsidR="004B72EF" w:rsidP="004B72EF" w:rsidRDefault="004B72EF" w14:paraId="41772D96" w14:textId="0DA3FE5E">
            <w:pPr>
              <w:rPr>
                <w:rFonts w:ascii="Calibri" w:hAnsi="Calibri" w:cs="Calibri"/>
                <w:sz w:val="20"/>
                <w:szCs w:val="20"/>
              </w:rPr>
            </w:pPr>
            <w:r w:rsidRPr="004B72EF">
              <w:rPr>
                <w:rFonts w:ascii="Calibri" w:hAnsi="Calibri" w:eastAsia="Times New Roman" w:cs="Calibri"/>
                <w:sz w:val="20"/>
                <w:szCs w:val="20"/>
              </w:rPr>
              <w:t>64%</w:t>
            </w:r>
          </w:p>
        </w:tc>
      </w:tr>
      <w:tr w:rsidRPr="00E6682E" w:rsidR="004B72EF" w:rsidTr="008A15B9" w14:paraId="2B72EB73" w14:textId="4F7612F9">
        <w:trPr>
          <w:jc w:val="center"/>
        </w:trPr>
        <w:tc>
          <w:tcPr>
            <w:tcW w:w="1717" w:type="dxa"/>
          </w:tcPr>
          <w:p w:rsidRPr="00CC2FD8" w:rsidR="004B72EF" w:rsidP="004B72EF" w:rsidRDefault="004B72EF" w14:paraId="2B811793" w14:textId="14017989">
            <w:pPr>
              <w:rPr>
                <w:rFonts w:ascii="Calibri" w:hAnsi="Calibri" w:cs="Calibri"/>
                <w:sz w:val="20"/>
                <w:szCs w:val="20"/>
              </w:rPr>
            </w:pPr>
            <w:r w:rsidRPr="00CC2FD8">
              <w:rPr>
                <w:rFonts w:ascii="Calibri" w:hAnsi="Calibri" w:cs="Calibri"/>
                <w:sz w:val="20"/>
                <w:szCs w:val="20"/>
              </w:rPr>
              <w:t>Labor Cost</w:t>
            </w:r>
          </w:p>
        </w:tc>
        <w:tc>
          <w:tcPr>
            <w:tcW w:w="2035" w:type="dxa"/>
          </w:tcPr>
          <w:p w:rsidRPr="00CC2FD8" w:rsidR="004B72EF" w:rsidP="004B72EF" w:rsidRDefault="004B72EF" w14:paraId="12723D38" w14:textId="321D161D">
            <w:pPr>
              <w:rPr>
                <w:rFonts w:ascii="Calibri" w:hAnsi="Calibri" w:cs="Calibri"/>
                <w:sz w:val="20"/>
                <w:szCs w:val="20"/>
              </w:rPr>
            </w:pPr>
            <w:r w:rsidRPr="00CC2FD8">
              <w:rPr>
                <w:rFonts w:ascii="Calibri" w:hAnsi="Calibri" w:cs="Calibri"/>
                <w:sz w:val="20"/>
                <w:szCs w:val="20"/>
              </w:rPr>
              <w:t>$58,961,701</w:t>
            </w:r>
          </w:p>
        </w:tc>
        <w:tc>
          <w:tcPr>
            <w:tcW w:w="2074" w:type="dxa"/>
            <w:vAlign w:val="center"/>
          </w:tcPr>
          <w:p w:rsidRPr="00CC2FD8" w:rsidR="004B72EF" w:rsidP="004B72EF" w:rsidRDefault="004B72EF" w14:paraId="43A34684" w14:textId="67621684">
            <w:pPr>
              <w:rPr>
                <w:rFonts w:ascii="Calibri" w:hAnsi="Calibri" w:cs="Calibri"/>
                <w:sz w:val="20"/>
                <w:szCs w:val="20"/>
              </w:rPr>
            </w:pPr>
            <w:r w:rsidRPr="004B72EF">
              <w:rPr>
                <w:rFonts w:ascii="Calibri" w:hAnsi="Calibri" w:eastAsia="Times New Roman" w:cs="Calibri"/>
                <w:sz w:val="20"/>
                <w:szCs w:val="20"/>
              </w:rPr>
              <w:t xml:space="preserve">$87,239,999 </w:t>
            </w:r>
          </w:p>
        </w:tc>
        <w:tc>
          <w:tcPr>
            <w:tcW w:w="1900" w:type="dxa"/>
            <w:vAlign w:val="center"/>
          </w:tcPr>
          <w:p w:rsidRPr="00CC2FD8" w:rsidR="004B72EF" w:rsidP="004B72EF" w:rsidRDefault="004B72EF" w14:paraId="69D50021" w14:textId="3906B2E6">
            <w:pPr>
              <w:rPr>
                <w:rFonts w:ascii="Calibri" w:hAnsi="Calibri" w:cs="Calibri"/>
                <w:sz w:val="20"/>
                <w:szCs w:val="20"/>
              </w:rPr>
            </w:pPr>
            <w:r w:rsidRPr="00CC2FD8">
              <w:rPr>
                <w:rFonts w:ascii="Calibri" w:hAnsi="Calibri" w:eastAsia="Times New Roman" w:cs="Calibri"/>
                <w:sz w:val="20"/>
                <w:szCs w:val="20"/>
              </w:rPr>
              <w:t>$</w:t>
            </w:r>
            <w:r w:rsidRPr="004B72EF">
              <w:rPr>
                <w:rFonts w:ascii="Calibri" w:hAnsi="Calibri" w:eastAsia="Times New Roman" w:cs="Calibri"/>
                <w:sz w:val="20"/>
                <w:szCs w:val="20"/>
              </w:rPr>
              <w:t>28,278,298</w:t>
            </w:r>
          </w:p>
        </w:tc>
        <w:tc>
          <w:tcPr>
            <w:tcW w:w="1624" w:type="dxa"/>
            <w:vAlign w:val="bottom"/>
          </w:tcPr>
          <w:p w:rsidRPr="00CC2FD8" w:rsidR="004B72EF" w:rsidP="004B72EF" w:rsidRDefault="004B72EF" w14:paraId="7FC2C646" w14:textId="5109FF70">
            <w:pPr>
              <w:rPr>
                <w:rFonts w:ascii="Calibri" w:hAnsi="Calibri" w:cs="Calibri"/>
                <w:sz w:val="20"/>
                <w:szCs w:val="20"/>
              </w:rPr>
            </w:pPr>
            <w:r w:rsidRPr="004B72EF">
              <w:rPr>
                <w:rFonts w:ascii="Calibri" w:hAnsi="Calibri" w:eastAsia="Times New Roman" w:cs="Calibri"/>
                <w:sz w:val="20"/>
                <w:szCs w:val="20"/>
              </w:rPr>
              <w:t>48%</w:t>
            </w:r>
          </w:p>
        </w:tc>
      </w:tr>
    </w:tbl>
    <w:bookmarkEnd w:id="0"/>
    <w:p w:rsidR="009C21BC" w:rsidRDefault="002D3E6B" w14:paraId="55BD607E" w14:textId="35FCE0B3">
      <w:r>
        <w:tab/>
      </w:r>
    </w:p>
    <w:p w:rsidRPr="009C21BC" w:rsidR="00027B67" w:rsidRDefault="00E51610" w14:paraId="3267EBE3" w14:textId="7545AFDD">
      <w:pPr>
        <w:rPr>
          <w:b/>
          <w:bCs/>
          <w:i/>
          <w:iCs/>
        </w:rPr>
      </w:pPr>
      <w:r w:rsidRPr="009C21BC">
        <w:rPr>
          <w:b/>
          <w:bCs/>
          <w:i/>
          <w:iCs/>
        </w:rPr>
        <w:t>R</w:t>
      </w:r>
      <w:r w:rsidRPr="009C21BC" w:rsidR="009C21BC">
        <w:rPr>
          <w:b/>
          <w:bCs/>
          <w:i/>
          <w:iCs/>
        </w:rPr>
        <w:t xml:space="preserve">eductions </w:t>
      </w:r>
      <w:r>
        <w:rPr>
          <w:b/>
          <w:bCs/>
          <w:i/>
          <w:iCs/>
        </w:rPr>
        <w:t xml:space="preserve">in the number of respondents are </w:t>
      </w:r>
      <w:r w:rsidRPr="009C21BC" w:rsidR="009C21BC">
        <w:rPr>
          <w:b/>
          <w:bCs/>
          <w:i/>
          <w:iCs/>
        </w:rPr>
        <w:t>due to:</w:t>
      </w:r>
    </w:p>
    <w:p w:rsidR="00F9379B" w:rsidP="00A33B26" w:rsidRDefault="00F9379B" w14:paraId="56BD6CD4" w14:textId="016FFA76">
      <w:pPr>
        <w:pStyle w:val="ListParagraph"/>
        <w:numPr>
          <w:ilvl w:val="0"/>
          <w:numId w:val="5"/>
        </w:numPr>
      </w:pPr>
      <w:r>
        <w:t>Class II inventory decrease</w:t>
      </w:r>
      <w:r w:rsidR="0050148B">
        <w:t>–fe</w:t>
      </w:r>
      <w:r w:rsidR="00A33B26">
        <w:t>wer operators</w:t>
      </w:r>
      <w:r w:rsidR="00F23E85">
        <w:t xml:space="preserve"> </w:t>
      </w:r>
      <w:proofErr w:type="gramStart"/>
      <w:r w:rsidR="00F23E85">
        <w:t>means</w:t>
      </w:r>
      <w:proofErr w:type="gramEnd"/>
      <w:r w:rsidR="00F23E85">
        <w:t xml:space="preserve"> </w:t>
      </w:r>
      <w:r w:rsidR="004B49ED">
        <w:t>fewer</w:t>
      </w:r>
      <w:r w:rsidR="00A33B26">
        <w:t xml:space="preserve"> </w:t>
      </w:r>
      <w:r w:rsidR="00F23E85">
        <w:t xml:space="preserve">entities are performing </w:t>
      </w:r>
      <w:r w:rsidR="00A33B26">
        <w:t xml:space="preserve">various </w:t>
      </w:r>
      <w:r w:rsidR="0008795E">
        <w:t>post-permitting</w:t>
      </w:r>
      <w:r w:rsidR="005F7DBB">
        <w:t xml:space="preserve"> </w:t>
      </w:r>
      <w:r w:rsidR="00A33B26">
        <w:t>activities</w:t>
      </w:r>
      <w:r w:rsidR="002D3E6B">
        <w:t xml:space="preserve"> (e.g., monitoring)</w:t>
      </w:r>
      <w:r w:rsidR="00F23E85">
        <w:t>.</w:t>
      </w:r>
      <w:r w:rsidRPr="005D0BFC" w:rsidR="005D0BFC">
        <w:t xml:space="preserve"> </w:t>
      </w:r>
      <w:r w:rsidR="005D0BFC">
        <w:t xml:space="preserve">The </w:t>
      </w:r>
      <w:r w:rsidR="008027BA">
        <w:t xml:space="preserve">number of </w:t>
      </w:r>
      <w:r w:rsidR="004B49ED">
        <w:t xml:space="preserve">Class II </w:t>
      </w:r>
      <w:r w:rsidR="008027BA">
        <w:t xml:space="preserve">respondents </w:t>
      </w:r>
      <w:r w:rsidR="005D0BFC">
        <w:t xml:space="preserve">decreased by 12% </w:t>
      </w:r>
      <w:r w:rsidR="002579A9">
        <w:t>(2,093)</w:t>
      </w:r>
      <w:r w:rsidR="00C604DF">
        <w:t xml:space="preserve"> </w:t>
      </w:r>
      <w:r w:rsidR="005D0BFC">
        <w:t>between inventories.</w:t>
      </w:r>
    </w:p>
    <w:p w:rsidR="008027BA" w:rsidP="00A33B26" w:rsidRDefault="008027BA" w14:paraId="71A7F9B0" w14:textId="5FEC2633">
      <w:pPr>
        <w:pStyle w:val="ListParagraph"/>
        <w:numPr>
          <w:ilvl w:val="0"/>
          <w:numId w:val="5"/>
        </w:numPr>
      </w:pPr>
      <w:r>
        <w:t xml:space="preserve">The number of Class IV respondents </w:t>
      </w:r>
      <w:r w:rsidR="00862A46">
        <w:t>decreased by 89% because th</w:t>
      </w:r>
      <w:r w:rsidR="005F7DBB">
        <w:t xml:space="preserve">is </w:t>
      </w:r>
      <w:r w:rsidR="00862A46">
        <w:t xml:space="preserve">number is now based on compiled national-level data </w:t>
      </w:r>
      <w:r w:rsidR="005F7DBB">
        <w:t xml:space="preserve">from </w:t>
      </w:r>
      <w:r w:rsidR="00862A46">
        <w:t xml:space="preserve">Form 7520-2B; previously this number was based on </w:t>
      </w:r>
      <w:r w:rsidR="00F52842">
        <w:t>Program Activity Measures data</w:t>
      </w:r>
      <w:r w:rsidR="005F7DBB">
        <w:t xml:space="preserve"> (which likely over-counted </w:t>
      </w:r>
      <w:r w:rsidR="0008795E">
        <w:t xml:space="preserve">these </w:t>
      </w:r>
      <w:r w:rsidR="005F7DBB">
        <w:t>wells)</w:t>
      </w:r>
      <w:r w:rsidR="00862A46">
        <w:t>.</w:t>
      </w:r>
    </w:p>
    <w:p w:rsidR="00A33B26" w:rsidP="00A33B26" w:rsidRDefault="00A33B26" w14:paraId="3DEEA5E3" w14:textId="1333F55C">
      <w:pPr>
        <w:pStyle w:val="ListParagraph"/>
        <w:numPr>
          <w:ilvl w:val="0"/>
          <w:numId w:val="5"/>
        </w:numPr>
      </w:pPr>
      <w:r w:rsidRPr="00A33B26">
        <w:t>The number of respondents for the other well classes</w:t>
      </w:r>
      <w:r w:rsidR="005F7DBB">
        <w:t xml:space="preserve"> increased</w:t>
      </w:r>
      <w:r w:rsidR="006005B5">
        <w:t>:</w:t>
      </w:r>
    </w:p>
    <w:p w:rsidR="006A3A14" w:rsidP="006A3A14" w:rsidRDefault="006A3A14" w14:paraId="3F06A676" w14:textId="162F59EA">
      <w:pPr>
        <w:pStyle w:val="ListParagraph"/>
        <w:numPr>
          <w:ilvl w:val="1"/>
          <w:numId w:val="5"/>
        </w:numPr>
      </w:pPr>
      <w:r>
        <w:t xml:space="preserve">Class I </w:t>
      </w:r>
      <w:r w:rsidR="006005B5">
        <w:t>7</w:t>
      </w:r>
      <w:r>
        <w:t>% increase</w:t>
      </w:r>
    </w:p>
    <w:p w:rsidR="006A3A14" w:rsidP="006A3A14" w:rsidRDefault="006A3A14" w14:paraId="1D86FD43" w14:textId="31993489">
      <w:pPr>
        <w:pStyle w:val="ListParagraph"/>
        <w:numPr>
          <w:ilvl w:val="1"/>
          <w:numId w:val="5"/>
        </w:numPr>
      </w:pPr>
      <w:r>
        <w:t xml:space="preserve">Class III </w:t>
      </w:r>
      <w:r w:rsidR="006005B5">
        <w:t>33</w:t>
      </w:r>
      <w:r>
        <w:t>% increase</w:t>
      </w:r>
    </w:p>
    <w:p w:rsidR="005F7DBB" w:rsidP="006A3A14" w:rsidRDefault="005F7DBB" w14:paraId="4CD18741" w14:textId="1D7761D2">
      <w:pPr>
        <w:pStyle w:val="ListParagraph"/>
        <w:numPr>
          <w:ilvl w:val="1"/>
          <w:numId w:val="5"/>
        </w:numPr>
      </w:pPr>
      <w:r>
        <w:t xml:space="preserve">Class V 0.3% increase </w:t>
      </w:r>
    </w:p>
    <w:p w:rsidR="006A3A14" w:rsidP="006A3A14" w:rsidRDefault="006A3A14" w14:paraId="401011B8" w14:textId="07F0786E">
      <w:pPr>
        <w:pStyle w:val="ListParagraph"/>
        <w:numPr>
          <w:ilvl w:val="1"/>
          <w:numId w:val="5"/>
        </w:numPr>
      </w:pPr>
      <w:r>
        <w:t xml:space="preserve">Class VI </w:t>
      </w:r>
      <w:r w:rsidR="008027BA">
        <w:t>373</w:t>
      </w:r>
      <w:r>
        <w:t>% increase</w:t>
      </w:r>
    </w:p>
    <w:p w:rsidRPr="009C21BC" w:rsidR="009C21BC" w:rsidRDefault="009C21BC" w14:paraId="423977F7" w14:textId="7B635CCD">
      <w:pPr>
        <w:rPr>
          <w:b/>
          <w:bCs/>
          <w:i/>
          <w:iCs/>
        </w:rPr>
      </w:pPr>
      <w:r w:rsidRPr="009C21BC">
        <w:rPr>
          <w:b/>
          <w:bCs/>
          <w:i/>
          <w:iCs/>
        </w:rPr>
        <w:t>Burden and cost increases</w:t>
      </w:r>
      <w:r w:rsidR="00CF48CB">
        <w:rPr>
          <w:b/>
          <w:bCs/>
          <w:i/>
          <w:iCs/>
        </w:rPr>
        <w:t xml:space="preserve"> are</w:t>
      </w:r>
      <w:r w:rsidRPr="009C21BC">
        <w:rPr>
          <w:b/>
          <w:bCs/>
          <w:i/>
          <w:iCs/>
        </w:rPr>
        <w:t xml:space="preserve"> due to:</w:t>
      </w:r>
    </w:p>
    <w:p w:rsidR="004525F7" w:rsidP="004525F7" w:rsidRDefault="005D0BFC" w14:paraId="463DA836" w14:textId="3EC96E6A">
      <w:pPr>
        <w:pStyle w:val="ListParagraph"/>
        <w:numPr>
          <w:ilvl w:val="0"/>
          <w:numId w:val="4"/>
        </w:numPr>
      </w:pPr>
      <w:r w:rsidRPr="00CF48CB">
        <w:t>A</w:t>
      </w:r>
      <w:r w:rsidRPr="00CF48CB" w:rsidR="00CF48CB">
        <w:t>n increase</w:t>
      </w:r>
      <w:r>
        <w:t>d</w:t>
      </w:r>
      <w:r w:rsidRPr="00CF48CB" w:rsidR="00CF48CB">
        <w:t xml:space="preserve"> number of </w:t>
      </w:r>
      <w:r w:rsidR="00CC2FD8">
        <w:t xml:space="preserve">Class I, II, and III </w:t>
      </w:r>
      <w:r w:rsidRPr="00CF48CB" w:rsidR="00CF48CB">
        <w:t>permit applications</w:t>
      </w:r>
      <w:r>
        <w:t xml:space="preserve"> </w:t>
      </w:r>
      <w:r w:rsidR="00CC2FD8">
        <w:t xml:space="preserve">that are </w:t>
      </w:r>
      <w:r>
        <w:t>assumed to be submitted in the next 3 years</w:t>
      </w:r>
      <w:r w:rsidR="00CF48CB">
        <w:t xml:space="preserve">. </w:t>
      </w:r>
      <w:r w:rsidR="004525F7">
        <w:t xml:space="preserve">This is the most labor- and cost-intensive activity in the </w:t>
      </w:r>
      <w:r w:rsidR="006A3A14">
        <w:t>ICR and</w:t>
      </w:r>
      <w:r w:rsidR="004525F7">
        <w:t xml:space="preserve"> add</w:t>
      </w:r>
      <w:r w:rsidR="0008795E">
        <w:t xml:space="preserve">s </w:t>
      </w:r>
      <w:r w:rsidR="004B49ED">
        <w:t xml:space="preserve">about </w:t>
      </w:r>
      <w:r w:rsidR="00CC2FD8">
        <w:t>286</w:t>
      </w:r>
      <w:r w:rsidR="004525F7">
        <w:t>,</w:t>
      </w:r>
      <w:r w:rsidR="004B49ED">
        <w:t>00</w:t>
      </w:r>
      <w:r w:rsidR="004525F7">
        <w:t xml:space="preserve">0 hours to </w:t>
      </w:r>
      <w:r w:rsidR="00E8548D">
        <w:t xml:space="preserve">the </w:t>
      </w:r>
      <w:r w:rsidR="004525F7">
        <w:t>operator burden</w:t>
      </w:r>
      <w:r w:rsidR="001500AB">
        <w:t xml:space="preserve"> (t</w:t>
      </w:r>
      <w:r w:rsidR="00F23E85">
        <w:t xml:space="preserve">here </w:t>
      </w:r>
      <w:r w:rsidR="0008795E">
        <w:t xml:space="preserve">is </w:t>
      </w:r>
      <w:r w:rsidR="00F23E85">
        <w:t>a corresponding increase in state burden as well</w:t>
      </w:r>
      <w:r w:rsidR="001500AB">
        <w:t>)</w:t>
      </w:r>
      <w:r w:rsidR="00F23E85">
        <w:t xml:space="preserve">. </w:t>
      </w:r>
      <w:r w:rsidRPr="00CF48CB" w:rsidR="00CF48CB">
        <w:t xml:space="preserve">The </w:t>
      </w:r>
      <w:r w:rsidR="00CF48CB">
        <w:t xml:space="preserve">unit </w:t>
      </w:r>
      <w:r w:rsidRPr="00CF48CB" w:rsidR="00CF48CB">
        <w:t xml:space="preserve">burden for completing </w:t>
      </w:r>
      <w:r w:rsidR="00CF48CB">
        <w:t xml:space="preserve">a </w:t>
      </w:r>
      <w:r w:rsidRPr="00CF48CB" w:rsidR="00CF48CB">
        <w:t>permit application has not changed</w:t>
      </w:r>
      <w:r w:rsidR="00580356">
        <w:t>,</w:t>
      </w:r>
      <w:r w:rsidRPr="00CF48CB" w:rsidR="00CF48CB">
        <w:t xml:space="preserve"> but the number of entities performing these activities </w:t>
      </w:r>
      <w:r w:rsidR="00CF48CB">
        <w:t xml:space="preserve">has. </w:t>
      </w:r>
      <w:r w:rsidR="001500AB">
        <w:t xml:space="preserve">The number of permit applications is now based on </w:t>
      </w:r>
      <w:r w:rsidR="00CC2FD8">
        <w:t xml:space="preserve">trends in </w:t>
      </w:r>
      <w:r w:rsidR="001500AB">
        <w:t xml:space="preserve">7520 data (it was previously based on </w:t>
      </w:r>
      <w:r w:rsidR="004B49ED">
        <w:t xml:space="preserve">best professional judgement </w:t>
      </w:r>
      <w:r w:rsidR="001500AB">
        <w:t>due to a lack of compiled national-level data).</w:t>
      </w:r>
    </w:p>
    <w:p w:rsidR="004525F7" w:rsidP="004525F7" w:rsidRDefault="004525F7" w14:paraId="466B0419" w14:textId="4702AF14">
      <w:pPr>
        <w:pStyle w:val="ListParagraph"/>
        <w:numPr>
          <w:ilvl w:val="0"/>
          <w:numId w:val="4"/>
        </w:numPr>
      </w:pPr>
      <w:r>
        <w:t xml:space="preserve">There is anticipated to be a significant increase in the number of Class VI permit applications over the next </w:t>
      </w:r>
      <w:r w:rsidR="0050148B">
        <w:t>3</w:t>
      </w:r>
      <w:r>
        <w:t xml:space="preserve"> years</w:t>
      </w:r>
      <w:r w:rsidR="005F7DBB">
        <w:t xml:space="preserve"> (anticipated due to the 45Q tax credit)</w:t>
      </w:r>
      <w:r>
        <w:t xml:space="preserve">. </w:t>
      </w:r>
      <w:r w:rsidR="00CF48CB">
        <w:t>T</w:t>
      </w:r>
      <w:r>
        <w:t xml:space="preserve">he burden </w:t>
      </w:r>
      <w:r w:rsidR="004B49ED">
        <w:t xml:space="preserve">and cost </w:t>
      </w:r>
      <w:r>
        <w:t xml:space="preserve">associated with preparing the applications and reviewing them is higher than for </w:t>
      </w:r>
      <w:r w:rsidR="00CF48CB">
        <w:t xml:space="preserve">any </w:t>
      </w:r>
      <w:r>
        <w:t xml:space="preserve">other well class. This added </w:t>
      </w:r>
      <w:r w:rsidR="005D0BFC">
        <w:t xml:space="preserve">about </w:t>
      </w:r>
      <w:r w:rsidR="00714CD8">
        <w:t>44</w:t>
      </w:r>
      <w:r>
        <w:t>,</w:t>
      </w:r>
      <w:r w:rsidR="005D0BFC">
        <w:t>000</w:t>
      </w:r>
      <w:r>
        <w:t xml:space="preserve"> hours to the operator burden estimate.</w:t>
      </w:r>
      <w:r w:rsidR="00F23E85">
        <w:t xml:space="preserve"> There will be a</w:t>
      </w:r>
      <w:r w:rsidR="004B49ED">
        <w:t>n</w:t>
      </w:r>
      <w:r w:rsidR="00F23E85">
        <w:t xml:space="preserve"> increase in state</w:t>
      </w:r>
      <w:r w:rsidR="004B49ED">
        <w:t>/DI</w:t>
      </w:r>
      <w:r w:rsidR="00F23E85">
        <w:t xml:space="preserve"> burden </w:t>
      </w:r>
      <w:r w:rsidR="005F7DBB">
        <w:t xml:space="preserve">to process these applications </w:t>
      </w:r>
      <w:r w:rsidR="00F23E85">
        <w:t>as well</w:t>
      </w:r>
      <w:r w:rsidR="00580356">
        <w:t>.</w:t>
      </w:r>
      <w:r w:rsidR="004B49ED">
        <w:t xml:space="preserve"> </w:t>
      </w:r>
      <w:r w:rsidR="00CC2FD8">
        <w:t>The number of Class VI permit applications is based on professional judgement/discussions with the states and regions.</w:t>
      </w:r>
    </w:p>
    <w:p w:rsidR="004525F7" w:rsidP="004525F7" w:rsidRDefault="004525F7" w14:paraId="1288FCD1" w14:textId="4D03667C">
      <w:pPr>
        <w:pStyle w:val="ListParagraph"/>
        <w:numPr>
          <w:ilvl w:val="0"/>
          <w:numId w:val="4"/>
        </w:numPr>
      </w:pPr>
      <w:r>
        <w:t xml:space="preserve">The </w:t>
      </w:r>
      <w:r w:rsidR="00CF48CB">
        <w:t xml:space="preserve">overall lower </w:t>
      </w:r>
      <w:r>
        <w:t xml:space="preserve">well inventory means that the </w:t>
      </w:r>
      <w:r w:rsidR="005D0BFC">
        <w:t xml:space="preserve">increase in </w:t>
      </w:r>
      <w:r w:rsidR="00CF48CB">
        <w:t xml:space="preserve">permit application </w:t>
      </w:r>
      <w:r>
        <w:t xml:space="preserve">burden </w:t>
      </w:r>
      <w:r w:rsidR="005D0BFC">
        <w:t xml:space="preserve">is </w:t>
      </w:r>
      <w:r>
        <w:t xml:space="preserve">offset by a reduction of </w:t>
      </w:r>
      <w:r w:rsidR="002D3E6B">
        <w:t xml:space="preserve">approximately </w:t>
      </w:r>
      <w:r>
        <w:t>6</w:t>
      </w:r>
      <w:r w:rsidR="00714CD8">
        <w:t>5</w:t>
      </w:r>
      <w:r>
        <w:t>,00</w:t>
      </w:r>
      <w:r w:rsidR="002D3E6B">
        <w:t>0</w:t>
      </w:r>
      <w:r>
        <w:t xml:space="preserve"> operator labor hours associated with </w:t>
      </w:r>
      <w:r w:rsidR="00CF48CB">
        <w:t xml:space="preserve">reporting and recordkeeping </w:t>
      </w:r>
      <w:r>
        <w:t>activities.</w:t>
      </w:r>
    </w:p>
    <w:p w:rsidR="00814BF7" w:rsidP="004525F7" w:rsidRDefault="005D0BFC" w14:paraId="337975D6" w14:textId="631D1154">
      <w:pPr>
        <w:pStyle w:val="ListParagraph"/>
        <w:numPr>
          <w:ilvl w:val="0"/>
          <w:numId w:val="4"/>
        </w:numPr>
      </w:pPr>
      <w:r>
        <w:t xml:space="preserve">Increases in </w:t>
      </w:r>
      <w:r w:rsidR="00814BF7">
        <w:t xml:space="preserve">the cost </w:t>
      </w:r>
      <w:r>
        <w:t xml:space="preserve">estimates </w:t>
      </w:r>
      <w:r w:rsidR="00814BF7">
        <w:t>reflect</w:t>
      </w:r>
      <w:r w:rsidR="0008795E">
        <w:t>:</w:t>
      </w:r>
      <w:r w:rsidR="00814BF7">
        <w:t xml:space="preserve"> </w:t>
      </w:r>
      <w:r w:rsidR="0008795E">
        <w:t xml:space="preserve">(1) increased </w:t>
      </w:r>
      <w:r w:rsidR="00814BF7">
        <w:t xml:space="preserve">labor costs </w:t>
      </w:r>
      <w:r w:rsidR="0008795E">
        <w:t xml:space="preserve">(both an increase in the number of </w:t>
      </w:r>
      <w:r w:rsidR="00CC2FD8">
        <w:t xml:space="preserve">labor </w:t>
      </w:r>
      <w:r w:rsidR="0008795E">
        <w:t xml:space="preserve">hours and the cost of the labor) </w:t>
      </w:r>
      <w:r w:rsidR="005F7DBB">
        <w:t>and</w:t>
      </w:r>
      <w:r w:rsidR="00814BF7">
        <w:t xml:space="preserve"> </w:t>
      </w:r>
      <w:r w:rsidR="0008795E">
        <w:t xml:space="preserve">(2) </w:t>
      </w:r>
      <w:r w:rsidR="00814BF7">
        <w:t>inflation of non-labor costs.</w:t>
      </w:r>
    </w:p>
    <w:p w:rsidR="00496FB6" w:rsidP="008A15B9" w:rsidRDefault="00CF48CB" w14:paraId="05F68240" w14:textId="24DCDF28">
      <w:pPr>
        <w:spacing w:after="200"/>
      </w:pPr>
      <w:r>
        <w:t>Note that these changes will be categorized as changes in “assumptions</w:t>
      </w:r>
      <w:r w:rsidR="004B49ED">
        <w:t>/calculations</w:t>
      </w:r>
      <w:r>
        <w:t>” rather than “regulatory changes,” and will be less scrutinized by OMB.</w:t>
      </w:r>
    </w:p>
    <w:p w:rsidRPr="008A15B9" w:rsidR="00CF48CB" w:rsidP="00E51610" w:rsidRDefault="00F54C98" w14:paraId="2BB4A44A" w14:textId="66032E64">
      <w:pPr>
        <w:keepNext/>
        <w:keepLines/>
        <w:rPr>
          <w:b/>
          <w:bCs/>
          <w:i/>
          <w:iCs/>
        </w:rPr>
      </w:pPr>
      <w:r w:rsidRPr="008A15B9">
        <w:rPr>
          <w:b/>
          <w:bCs/>
          <w:i/>
          <w:iCs/>
        </w:rPr>
        <w:lastRenderedPageBreak/>
        <w:t>Changes to the reporting forms</w:t>
      </w:r>
      <w:r w:rsidRPr="008A15B9" w:rsidR="00CF48CB">
        <w:rPr>
          <w:b/>
          <w:bCs/>
          <w:i/>
          <w:iCs/>
        </w:rPr>
        <w:t>:</w:t>
      </w:r>
    </w:p>
    <w:p w:rsidRPr="00F54C98" w:rsidR="005D0BFC" w:rsidP="008A15B9" w:rsidRDefault="00CF48CB" w14:paraId="1D4E0247" w14:textId="5C34DF17">
      <w:pPr>
        <w:rPr>
          <w:rFonts w:ascii="Calibri" w:hAnsi="Calibri" w:cs="Calibri"/>
        </w:rPr>
      </w:pPr>
      <w:r w:rsidRPr="00F54C98">
        <w:rPr>
          <w:rFonts w:ascii="Calibri" w:hAnsi="Calibri" w:cs="Calibri"/>
        </w:rPr>
        <w:t>The</w:t>
      </w:r>
      <w:r w:rsidRPr="00F54C98" w:rsidR="006819F0">
        <w:rPr>
          <w:rFonts w:ascii="Calibri" w:hAnsi="Calibri" w:cs="Calibri"/>
        </w:rPr>
        <w:t xml:space="preserve"> </w:t>
      </w:r>
      <w:r w:rsidR="00F54C98">
        <w:rPr>
          <w:rFonts w:ascii="Calibri" w:hAnsi="Calibri" w:cs="Calibri"/>
        </w:rPr>
        <w:t>following changes were made to the state reporting forms</w:t>
      </w:r>
      <w:r w:rsidRPr="00F54C98" w:rsidR="005D0BFC">
        <w:rPr>
          <w:rFonts w:ascii="Calibri" w:hAnsi="Calibri" w:cs="Calibri"/>
        </w:rPr>
        <w:t>:</w:t>
      </w:r>
      <w:r w:rsidRPr="00F54C98">
        <w:rPr>
          <w:rFonts w:ascii="Calibri" w:hAnsi="Calibri" w:cs="Calibri"/>
        </w:rPr>
        <w:t xml:space="preserve"> </w:t>
      </w:r>
    </w:p>
    <w:p w:rsidRPr="00F54C98" w:rsidR="00F54C98" w:rsidP="008A15B9" w:rsidRDefault="00F54C98" w14:paraId="6C902990" w14:textId="0BF0BC7A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Pr="00F54C98">
        <w:rPr>
          <w:rFonts w:ascii="Calibri" w:hAnsi="Calibri" w:cs="Calibri"/>
        </w:rPr>
        <w:t>mplement</w:t>
      </w:r>
      <w:r>
        <w:rPr>
          <w:rFonts w:ascii="Calibri" w:hAnsi="Calibri" w:cs="Calibri"/>
        </w:rPr>
        <w:t xml:space="preserve">ing </w:t>
      </w:r>
      <w:r w:rsidRPr="00F54C98">
        <w:rPr>
          <w:rFonts w:ascii="Calibri" w:hAnsi="Calibri" w:cs="Calibri"/>
        </w:rPr>
        <w:t xml:space="preserve">a web-based system </w:t>
      </w:r>
      <w:r>
        <w:rPr>
          <w:rFonts w:ascii="Calibri" w:hAnsi="Calibri" w:cs="Calibri"/>
        </w:rPr>
        <w:t>that</w:t>
      </w:r>
      <w:r w:rsidRPr="00F54C98">
        <w:rPr>
          <w:rFonts w:ascii="Calibri" w:hAnsi="Calibri" w:cs="Calibri"/>
        </w:rPr>
        <w:t xml:space="preserve"> replaces the paper </w:t>
      </w:r>
      <w:r w:rsidRPr="00F54C98" w:rsidR="00687AD7">
        <w:rPr>
          <w:rFonts w:ascii="Calibri" w:hAnsi="Calibri" w:cs="Calibri"/>
        </w:rPr>
        <w:t xml:space="preserve">Forms </w:t>
      </w:r>
      <w:r w:rsidRPr="00F54C98">
        <w:rPr>
          <w:rFonts w:ascii="Calibri" w:hAnsi="Calibri" w:cs="Calibri"/>
        </w:rPr>
        <w:t>7520-1 through 7520-4</w:t>
      </w:r>
      <w:r w:rsidR="008A15B9">
        <w:rPr>
          <w:rFonts w:ascii="Calibri" w:hAnsi="Calibri" w:cs="Calibri"/>
        </w:rPr>
        <w:t xml:space="preserve"> and inventory reporting</w:t>
      </w:r>
      <w:r w:rsidRPr="00F54C98">
        <w:rPr>
          <w:rFonts w:ascii="Calibri" w:hAnsi="Calibri" w:cs="Calibri"/>
        </w:rPr>
        <w:t>.</w:t>
      </w:r>
    </w:p>
    <w:p w:rsidR="00F54C98" w:rsidP="008A15B9" w:rsidRDefault="00F54C98" w14:paraId="098F59B0" w14:textId="6D13D390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Including space to report about Class VI wells on </w:t>
      </w:r>
      <w:r w:rsidRPr="00F54C98" w:rsidR="00687AD7">
        <w:rPr>
          <w:rFonts w:ascii="Calibri" w:hAnsi="Calibri" w:cs="Calibri"/>
        </w:rPr>
        <w:t xml:space="preserve">Forms </w:t>
      </w:r>
      <w:r w:rsidRPr="00F54C98">
        <w:rPr>
          <w:rFonts w:ascii="Calibri" w:hAnsi="Calibri" w:cs="Calibri"/>
        </w:rPr>
        <w:t>7520-1 through 7520-</w:t>
      </w:r>
      <w:r>
        <w:rPr>
          <w:rFonts w:ascii="Calibri" w:hAnsi="Calibri" w:cs="Calibri"/>
        </w:rPr>
        <w:t>3.</w:t>
      </w:r>
    </w:p>
    <w:p w:rsidR="00F54C98" w:rsidP="008A15B9" w:rsidRDefault="00F54C98" w14:paraId="005D1376" w14:textId="1FE12F03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Eliminating the quarterly and annual breakout of </w:t>
      </w:r>
      <w:r w:rsidR="00687AD7">
        <w:rPr>
          <w:rFonts w:ascii="Calibri" w:hAnsi="Calibri" w:cs="Calibri"/>
        </w:rPr>
        <w:t xml:space="preserve">the </w:t>
      </w:r>
      <w:r w:rsidRPr="00F54C98" w:rsidR="00687AD7">
        <w:rPr>
          <w:rFonts w:ascii="Calibri" w:hAnsi="Calibri" w:cs="Calibri"/>
        </w:rPr>
        <w:t xml:space="preserve">number of wells </w:t>
      </w:r>
      <w:r w:rsidR="007D52EA">
        <w:rPr>
          <w:rFonts w:ascii="Calibri" w:hAnsi="Calibri" w:cs="Calibri"/>
        </w:rPr>
        <w:t xml:space="preserve">that </w:t>
      </w:r>
      <w:r w:rsidRPr="00F54C98" w:rsidR="00687AD7">
        <w:rPr>
          <w:rFonts w:ascii="Calibri" w:hAnsi="Calibri" w:cs="Calibri"/>
        </w:rPr>
        <w:t>returned to compliance</w:t>
      </w:r>
      <w:r>
        <w:rPr>
          <w:rFonts w:ascii="Calibri" w:hAnsi="Calibri" w:cs="Calibri"/>
        </w:rPr>
        <w:t xml:space="preserve"> on </w:t>
      </w:r>
      <w:r w:rsidRPr="00F54C98" w:rsidR="00687AD7">
        <w:rPr>
          <w:rFonts w:ascii="Calibri" w:hAnsi="Calibri" w:cs="Calibri"/>
        </w:rPr>
        <w:t xml:space="preserve">Forms </w:t>
      </w:r>
      <w:r>
        <w:rPr>
          <w:rFonts w:ascii="Calibri" w:hAnsi="Calibri" w:cs="Calibri"/>
        </w:rPr>
        <w:t>7520-2A and 2B.</w:t>
      </w:r>
    </w:p>
    <w:p w:rsidR="005B651C" w:rsidP="008A15B9" w:rsidRDefault="005B651C" w14:paraId="1CD53EBD" w14:textId="69A0FCFD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Adding space to provide the </w:t>
      </w:r>
      <w:r w:rsidRPr="005B651C">
        <w:rPr>
          <w:rFonts w:ascii="Calibri" w:hAnsi="Calibri" w:cs="Calibri"/>
        </w:rPr>
        <w:t xml:space="preserve">name and address of </w:t>
      </w:r>
      <w:r>
        <w:rPr>
          <w:rFonts w:ascii="Calibri" w:hAnsi="Calibri" w:cs="Calibri"/>
        </w:rPr>
        <w:t xml:space="preserve">the </w:t>
      </w:r>
      <w:r w:rsidRPr="005B651C">
        <w:rPr>
          <w:rFonts w:ascii="Calibri" w:hAnsi="Calibri" w:cs="Calibri"/>
        </w:rPr>
        <w:t>reporting agency</w:t>
      </w:r>
      <w:r>
        <w:rPr>
          <w:rFonts w:ascii="Calibri" w:hAnsi="Calibri" w:cs="Calibri"/>
        </w:rPr>
        <w:t xml:space="preserve"> on </w:t>
      </w:r>
      <w:r w:rsidRPr="00F54C98">
        <w:rPr>
          <w:rFonts w:ascii="Calibri" w:hAnsi="Calibri" w:cs="Calibri"/>
        </w:rPr>
        <w:t>Form 7520-</w:t>
      </w:r>
      <w:r>
        <w:rPr>
          <w:rFonts w:ascii="Calibri" w:hAnsi="Calibri" w:cs="Calibri"/>
        </w:rPr>
        <w:t>4.</w:t>
      </w:r>
    </w:p>
    <w:p w:rsidR="00F54C98" w:rsidP="008A15B9" w:rsidRDefault="00F54C98" w14:paraId="3C13828C" w14:textId="5A2F0574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F54C98">
        <w:rPr>
          <w:rFonts w:ascii="Calibri" w:hAnsi="Calibri" w:cs="Calibri"/>
        </w:rPr>
        <w:t>Clarify</w:t>
      </w:r>
      <w:r>
        <w:rPr>
          <w:rFonts w:ascii="Calibri" w:hAnsi="Calibri" w:cs="Calibri"/>
        </w:rPr>
        <w:t>ing</w:t>
      </w:r>
      <w:r w:rsidRPr="00F54C98">
        <w:rPr>
          <w:rFonts w:ascii="Calibri" w:hAnsi="Calibri" w:cs="Calibri"/>
        </w:rPr>
        <w:t xml:space="preserve"> the </w:t>
      </w:r>
      <w:r>
        <w:rPr>
          <w:rFonts w:ascii="Calibri" w:hAnsi="Calibri" w:cs="Calibri"/>
        </w:rPr>
        <w:t xml:space="preserve">language and </w:t>
      </w:r>
      <w:r w:rsidRPr="00F54C98">
        <w:rPr>
          <w:rFonts w:ascii="Calibri" w:hAnsi="Calibri" w:cs="Calibri"/>
        </w:rPr>
        <w:t xml:space="preserve">instructions </w:t>
      </w:r>
      <w:r>
        <w:rPr>
          <w:rFonts w:ascii="Calibri" w:hAnsi="Calibri" w:cs="Calibri"/>
        </w:rPr>
        <w:t xml:space="preserve">on </w:t>
      </w:r>
      <w:proofErr w:type="gramStart"/>
      <w:r>
        <w:rPr>
          <w:rFonts w:ascii="Calibri" w:hAnsi="Calibri" w:cs="Calibri"/>
        </w:rPr>
        <w:t>all of</w:t>
      </w:r>
      <w:proofErr w:type="gramEnd"/>
      <w:r>
        <w:rPr>
          <w:rFonts w:ascii="Calibri" w:hAnsi="Calibri" w:cs="Calibri"/>
        </w:rPr>
        <w:t xml:space="preserve"> the forms.</w:t>
      </w:r>
    </w:p>
    <w:p w:rsidR="008F60FE" w:rsidP="008F60FE" w:rsidRDefault="008A15B9" w14:paraId="712116A5" w14:textId="60167211">
      <w:pPr>
        <w:keepNext/>
        <w:keepLines/>
      </w:pPr>
      <w:r w:rsidRPr="00F54C98">
        <w:rPr>
          <w:rFonts w:ascii="Calibri" w:hAnsi="Calibri" w:cs="Calibri"/>
        </w:rPr>
        <w:t>T</w:t>
      </w:r>
      <w:r w:rsidRPr="00F54C98" w:rsidR="00F54C98">
        <w:rPr>
          <w:rFonts w:ascii="Calibri" w:hAnsi="Calibri" w:cs="Calibri"/>
        </w:rPr>
        <w:t xml:space="preserve">hese improvements will reduce burden to primacy agencies by </w:t>
      </w:r>
      <w:r>
        <w:rPr>
          <w:rFonts w:ascii="Calibri" w:hAnsi="Calibri" w:cs="Calibri"/>
        </w:rPr>
        <w:t xml:space="preserve">an estimated </w:t>
      </w:r>
      <w:r w:rsidRPr="00F54C98" w:rsidR="00F54C98">
        <w:rPr>
          <w:rFonts w:ascii="Calibri" w:hAnsi="Calibri" w:cs="Calibri"/>
        </w:rPr>
        <w:t>826 hours annually.</w:t>
      </w:r>
      <w:r w:rsidRPr="008F60FE" w:rsidR="008F60FE">
        <w:t xml:space="preserve"> </w:t>
      </w:r>
    </w:p>
    <w:p w:rsidRPr="008A15B9" w:rsidR="008F60FE" w:rsidP="008F60FE" w:rsidRDefault="008F60FE" w14:paraId="452AD50F" w14:textId="5C24215F">
      <w:pPr>
        <w:keepNext/>
        <w:keepLines/>
      </w:pPr>
      <w:r>
        <w:t>The following changes were made to the owner or operator reporting forms</w:t>
      </w:r>
      <w:r w:rsidRPr="00F54C98">
        <w:rPr>
          <w:rFonts w:ascii="Calibri" w:hAnsi="Calibri" w:cs="Calibri"/>
        </w:rPr>
        <w:t>:</w:t>
      </w:r>
    </w:p>
    <w:p w:rsidRPr="00F54C98" w:rsidR="008F60FE" w:rsidP="008F60FE" w:rsidRDefault="008F60FE" w14:paraId="173C6B61" w14:textId="77777777">
      <w:pPr>
        <w:pStyle w:val="CommentText"/>
        <w:keepNext/>
        <w:keepLines/>
        <w:numPr>
          <w:ilvl w:val="0"/>
          <w:numId w:val="7"/>
        </w:numPr>
        <w:autoSpaceDE/>
        <w:autoSpaceDN/>
        <w:adjustRightInd/>
        <w:spacing w:after="120"/>
        <w:rPr>
          <w:rFonts w:ascii="Calibri" w:hAnsi="Calibri" w:cs="Calibri"/>
          <w:sz w:val="22"/>
          <w:szCs w:val="22"/>
        </w:rPr>
      </w:pPr>
      <w:r w:rsidRPr="00F54C98">
        <w:rPr>
          <w:rFonts w:ascii="Calibri" w:hAnsi="Calibri" w:cs="Calibri"/>
          <w:sz w:val="22"/>
          <w:szCs w:val="22"/>
        </w:rPr>
        <w:t xml:space="preserve">Revising the signature blocks and instructions on </w:t>
      </w:r>
      <w:proofErr w:type="gramStart"/>
      <w:r w:rsidRPr="00F54C98">
        <w:rPr>
          <w:rFonts w:ascii="Calibri" w:hAnsi="Calibri" w:cs="Calibri"/>
          <w:sz w:val="22"/>
          <w:szCs w:val="22"/>
        </w:rPr>
        <w:t>all of</w:t>
      </w:r>
      <w:proofErr w:type="gramEnd"/>
      <w:r w:rsidRPr="00F54C98">
        <w:rPr>
          <w:rFonts w:ascii="Calibri" w:hAnsi="Calibri" w:cs="Calibri"/>
          <w:sz w:val="22"/>
          <w:szCs w:val="22"/>
        </w:rPr>
        <w:t xml:space="preserve"> the operator reporting forms to clarify that an authorized person must sign the form; this change will reduce confusion and the need to request re-signing/submittal of the reporting forms.</w:t>
      </w:r>
    </w:p>
    <w:p w:rsidRPr="00F54C98" w:rsidR="008F60FE" w:rsidP="008F60FE" w:rsidRDefault="008F60FE" w14:paraId="03F0344B" w14:textId="77777777">
      <w:pPr>
        <w:pStyle w:val="CommentText"/>
        <w:numPr>
          <w:ilvl w:val="0"/>
          <w:numId w:val="7"/>
        </w:numPr>
        <w:autoSpaceDE/>
        <w:autoSpaceDN/>
        <w:adjustRightInd/>
        <w:spacing w:after="120"/>
        <w:rPr>
          <w:rFonts w:ascii="Calibri" w:hAnsi="Calibri" w:cs="Calibri"/>
          <w:sz w:val="22"/>
          <w:szCs w:val="22"/>
        </w:rPr>
      </w:pPr>
      <w:r w:rsidRPr="00F54C98">
        <w:rPr>
          <w:rFonts w:ascii="Calibri" w:hAnsi="Calibri" w:cs="Calibri"/>
          <w:sz w:val="22"/>
          <w:szCs w:val="22"/>
        </w:rPr>
        <w:t>Deleting a potentially confusing check box and clarifying the instructions to indicate that a well schematic and financial responsibility information must be submitted with all transfer applications on Form 7520-7 (Application to Transfer).</w:t>
      </w:r>
    </w:p>
    <w:p w:rsidRPr="00F54C98" w:rsidR="008F60FE" w:rsidP="008F60FE" w:rsidRDefault="008F60FE" w14:paraId="3112E2BC" w14:textId="77777777">
      <w:pPr>
        <w:pStyle w:val="CommentText"/>
        <w:numPr>
          <w:ilvl w:val="0"/>
          <w:numId w:val="7"/>
        </w:numPr>
        <w:autoSpaceDE/>
        <w:autoSpaceDN/>
        <w:adjustRightInd/>
        <w:spacing w:after="120"/>
        <w:rPr>
          <w:rFonts w:ascii="Calibri" w:hAnsi="Calibri" w:cs="Calibri"/>
          <w:sz w:val="22"/>
          <w:szCs w:val="22"/>
        </w:rPr>
      </w:pPr>
      <w:r w:rsidRPr="00F54C98">
        <w:rPr>
          <w:rFonts w:ascii="Calibri" w:hAnsi="Calibri" w:cs="Calibri"/>
          <w:sz w:val="22"/>
          <w:szCs w:val="22"/>
        </w:rPr>
        <w:t xml:space="preserve">Editing the title and instructions to the Injection Well Monitoring Report (Form 7520-8) to remove reference to a specific reporting timeframe (i.e., quarterly) and allow wider use by permittees with varying reporting frequencies in their permits and avoid confusion about reporting frequencies. </w:t>
      </w:r>
    </w:p>
    <w:p w:rsidRPr="00F54C98" w:rsidR="008F60FE" w:rsidP="008F60FE" w:rsidRDefault="008F60FE" w14:paraId="3C9116B2" w14:textId="77777777">
      <w:pPr>
        <w:pStyle w:val="CommentText"/>
        <w:numPr>
          <w:ilvl w:val="0"/>
          <w:numId w:val="7"/>
        </w:numPr>
        <w:autoSpaceDE/>
        <w:autoSpaceDN/>
        <w:adjustRightInd/>
        <w:spacing w:after="120"/>
        <w:rPr>
          <w:rFonts w:ascii="Calibri" w:hAnsi="Calibri" w:cs="Calibri"/>
          <w:sz w:val="22"/>
          <w:szCs w:val="22"/>
        </w:rPr>
      </w:pPr>
      <w:r w:rsidRPr="00F54C98">
        <w:rPr>
          <w:rFonts w:ascii="Calibri" w:hAnsi="Calibri" w:cs="Calibri"/>
          <w:sz w:val="22"/>
          <w:szCs w:val="22"/>
        </w:rPr>
        <w:t>Allowing owners or operators to report injection volumes in gallons or barrels, depending on what units are most appropriate to their operations (on Forms 7520-8 and 7520-11).</w:t>
      </w:r>
    </w:p>
    <w:p w:rsidRPr="00F54C98" w:rsidR="008F60FE" w:rsidP="008F60FE" w:rsidRDefault="008F60FE" w14:paraId="252080AF" w14:textId="77777777">
      <w:pPr>
        <w:pStyle w:val="CommentText"/>
        <w:numPr>
          <w:ilvl w:val="0"/>
          <w:numId w:val="7"/>
        </w:numPr>
        <w:autoSpaceDE/>
        <w:autoSpaceDN/>
        <w:adjustRightInd/>
        <w:spacing w:after="120"/>
        <w:rPr>
          <w:rFonts w:ascii="Calibri" w:hAnsi="Calibri" w:cs="Calibri"/>
          <w:sz w:val="22"/>
          <w:szCs w:val="22"/>
        </w:rPr>
      </w:pPr>
      <w:r w:rsidRPr="00F54C98">
        <w:rPr>
          <w:rFonts w:ascii="Calibri" w:hAnsi="Calibri" w:cs="Calibri"/>
          <w:sz w:val="22"/>
          <w:szCs w:val="22"/>
        </w:rPr>
        <w:t>Revising Form 7520-17 (Class V Pre-Closure and Post-Closure Reporting Form) to allow operators to use the same form to provide pre-closure notifications and post-closure updates, if needed.</w:t>
      </w:r>
    </w:p>
    <w:p w:rsidRPr="00F54C98" w:rsidR="008F60FE" w:rsidP="008F60FE" w:rsidRDefault="008F60FE" w14:paraId="6AF58121" w14:textId="77777777">
      <w:pPr>
        <w:pStyle w:val="CommentText"/>
        <w:numPr>
          <w:ilvl w:val="0"/>
          <w:numId w:val="7"/>
        </w:numPr>
        <w:autoSpaceDE/>
        <w:autoSpaceDN/>
        <w:adjustRightInd/>
        <w:spacing w:after="120"/>
        <w:rPr>
          <w:rFonts w:ascii="Calibri" w:hAnsi="Calibri" w:cs="Calibri"/>
          <w:sz w:val="22"/>
          <w:szCs w:val="22"/>
        </w:rPr>
      </w:pPr>
      <w:r w:rsidRPr="00F54C98">
        <w:rPr>
          <w:rFonts w:ascii="Calibri" w:hAnsi="Calibri" w:cs="Calibri"/>
          <w:sz w:val="22"/>
          <w:szCs w:val="22"/>
        </w:rPr>
        <w:t>Deleting the request for anticipated daily injection volume on the Completion Report (Form 7520-18), as this information is available elsewhere.</w:t>
      </w:r>
    </w:p>
    <w:p w:rsidRPr="00F54C98" w:rsidR="008F60FE" w:rsidP="008F60FE" w:rsidRDefault="008F60FE" w14:paraId="6767BABC" w14:textId="77777777">
      <w:pPr>
        <w:pStyle w:val="CommentText"/>
        <w:numPr>
          <w:ilvl w:val="0"/>
          <w:numId w:val="7"/>
        </w:numPr>
        <w:autoSpaceDE/>
        <w:autoSpaceDN/>
        <w:adjustRightInd/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Revising</w:t>
      </w:r>
      <w:r w:rsidRPr="00F54C9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the </w:t>
      </w:r>
      <w:r w:rsidRPr="00F54C98">
        <w:rPr>
          <w:rFonts w:ascii="Calibri" w:hAnsi="Calibri" w:cs="Calibri"/>
          <w:sz w:val="22"/>
          <w:szCs w:val="22"/>
        </w:rPr>
        <w:t>instructions on Form 7520-19 (Well Rework, Plugging &amp; Abandonment Plan, or Plugging &amp; Abandonment Affidavit) to clarify that a cost estimate; well schematics; and tabular descriptions of casing and tubing, plugs, and perforated intervals must be provided.</w:t>
      </w:r>
    </w:p>
    <w:p w:rsidRPr="00F54C98" w:rsidR="008F60FE" w:rsidP="008F60FE" w:rsidRDefault="008F60FE" w14:paraId="11739FEE" w14:textId="77777777">
      <w:pPr>
        <w:rPr>
          <w:rFonts w:ascii="Calibri" w:hAnsi="Calibri" w:cs="Calibri"/>
        </w:rPr>
      </w:pPr>
      <w:r w:rsidRPr="00F54C98">
        <w:rPr>
          <w:rFonts w:ascii="Calibri" w:hAnsi="Calibri" w:cs="Calibri"/>
          <w:bCs/>
        </w:rPr>
        <w:t>EPA estimates that these changes will save operators 240 hours annually.</w:t>
      </w:r>
      <w:r>
        <w:rPr>
          <w:rFonts w:ascii="Calibri" w:hAnsi="Calibri" w:cs="Calibri"/>
          <w:bCs/>
        </w:rPr>
        <w:t xml:space="preserve"> (More significant changes to the forms in 2018 reduced operator burden by over 10,000 hours.)</w:t>
      </w:r>
    </w:p>
    <w:p w:rsidR="00CF48CB" w:rsidP="008A15B9" w:rsidRDefault="00CF48CB" w14:paraId="1980B1CB" w14:textId="2554CB65">
      <w:pPr>
        <w:keepNext/>
        <w:keepLines/>
      </w:pPr>
    </w:p>
    <w:sectPr w:rsidR="00CF48CB" w:rsidSect="008A15B9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A110A5"/>
    <w:multiLevelType w:val="hybridMultilevel"/>
    <w:tmpl w:val="56324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734EA"/>
    <w:multiLevelType w:val="hybridMultilevel"/>
    <w:tmpl w:val="6CBE1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A82430"/>
    <w:multiLevelType w:val="hybridMultilevel"/>
    <w:tmpl w:val="F8BE5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AF126E"/>
    <w:multiLevelType w:val="hybridMultilevel"/>
    <w:tmpl w:val="94FE6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016B2"/>
    <w:multiLevelType w:val="hybridMultilevel"/>
    <w:tmpl w:val="9E8CF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62109"/>
    <w:multiLevelType w:val="hybridMultilevel"/>
    <w:tmpl w:val="C3925DC0"/>
    <w:lvl w:ilvl="0" w:tplc="09C072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8C4887"/>
    <w:multiLevelType w:val="hybridMultilevel"/>
    <w:tmpl w:val="6D527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5CA"/>
    <w:rsid w:val="0001799D"/>
    <w:rsid w:val="000248A4"/>
    <w:rsid w:val="00027B67"/>
    <w:rsid w:val="0008795E"/>
    <w:rsid w:val="000904A7"/>
    <w:rsid w:val="000A29F7"/>
    <w:rsid w:val="000C5854"/>
    <w:rsid w:val="001500AB"/>
    <w:rsid w:val="001571C5"/>
    <w:rsid w:val="002579A9"/>
    <w:rsid w:val="00270211"/>
    <w:rsid w:val="002D3E6B"/>
    <w:rsid w:val="004010EA"/>
    <w:rsid w:val="004525F7"/>
    <w:rsid w:val="00496FB6"/>
    <w:rsid w:val="004B49ED"/>
    <w:rsid w:val="004B72EF"/>
    <w:rsid w:val="0050148B"/>
    <w:rsid w:val="00544694"/>
    <w:rsid w:val="00580356"/>
    <w:rsid w:val="005B651C"/>
    <w:rsid w:val="005D0BFC"/>
    <w:rsid w:val="005F7DBB"/>
    <w:rsid w:val="006005B5"/>
    <w:rsid w:val="0061637D"/>
    <w:rsid w:val="006819F0"/>
    <w:rsid w:val="00687AD7"/>
    <w:rsid w:val="006A3A14"/>
    <w:rsid w:val="0071098C"/>
    <w:rsid w:val="00714CD8"/>
    <w:rsid w:val="007D52EA"/>
    <w:rsid w:val="008027BA"/>
    <w:rsid w:val="008038E0"/>
    <w:rsid w:val="00814BF7"/>
    <w:rsid w:val="00862A46"/>
    <w:rsid w:val="008A15B9"/>
    <w:rsid w:val="008D405C"/>
    <w:rsid w:val="008F60FE"/>
    <w:rsid w:val="009A44CB"/>
    <w:rsid w:val="009C21BC"/>
    <w:rsid w:val="00A035CA"/>
    <w:rsid w:val="00A33B26"/>
    <w:rsid w:val="00A342C8"/>
    <w:rsid w:val="00A51921"/>
    <w:rsid w:val="00C51B05"/>
    <w:rsid w:val="00C604DF"/>
    <w:rsid w:val="00CC2FD8"/>
    <w:rsid w:val="00CC78E3"/>
    <w:rsid w:val="00CD1CF3"/>
    <w:rsid w:val="00CE47BC"/>
    <w:rsid w:val="00CF48CB"/>
    <w:rsid w:val="00D81A75"/>
    <w:rsid w:val="00E20C51"/>
    <w:rsid w:val="00E51610"/>
    <w:rsid w:val="00E6682E"/>
    <w:rsid w:val="00E8548D"/>
    <w:rsid w:val="00ED6CCD"/>
    <w:rsid w:val="00F23E85"/>
    <w:rsid w:val="00F32C8C"/>
    <w:rsid w:val="00F52842"/>
    <w:rsid w:val="00F54C98"/>
    <w:rsid w:val="00F60B32"/>
    <w:rsid w:val="00F657FB"/>
    <w:rsid w:val="00F9379B"/>
    <w:rsid w:val="00FC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61609"/>
  <w15:chartTrackingRefBased/>
  <w15:docId w15:val="{EDD50EAD-27DB-4403-8E92-1C0B27FED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3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35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54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48D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rsid w:val="00F54C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54C9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0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FE7E474A08D04CA8B24304FCC615D4" ma:contentTypeVersion="4" ma:contentTypeDescription="Create a new document." ma:contentTypeScope="" ma:versionID="360de58ddaafa000cfbbc5f65b7d7e49">
  <xsd:schema xmlns:xsd="http://www.w3.org/2001/XMLSchema" xmlns:xs="http://www.w3.org/2001/XMLSchema" xmlns:p="http://schemas.microsoft.com/office/2006/metadata/properties" xmlns:ns2="f424f6fa-3ab0-40ac-95d2-ea224b358043" targetNamespace="http://schemas.microsoft.com/office/2006/metadata/properties" ma:root="true" ma:fieldsID="8dc2fa7ebf4b30fe44a087b22d1eac3f" ns2:_="">
    <xsd:import namespace="f424f6fa-3ab0-40ac-95d2-ea224b358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4f6fa-3ab0-40ac-95d2-ea224b358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718608-BCE1-4A71-A252-838569FAC3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D6C05A-BD2F-4ED0-8DED-2629F85E2A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24f6fa-3ab0-40ac-95d2-ea224b358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5BBB67-2BB8-4D71-B454-CDF7982FEB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Carey, Kyle</dc:creator>
  <cp:keywords/>
  <dc:description/>
  <cp:lastModifiedBy>Carey, Kyle</cp:lastModifiedBy>
  <cp:revision>13</cp:revision>
  <dcterms:created xsi:type="dcterms:W3CDTF">2021-11-02T17:17:00Z</dcterms:created>
  <dcterms:modified xsi:type="dcterms:W3CDTF">2021-11-04T20:48:00Z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0x0101008CFE7E474A08D04CA8B24304FCC615D4</vt:lpwstr>
  </property>
</Properties>
</file>