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21B59" w:rsidP="00621B59" w:rsidRDefault="00621B59" w14:paraId="7762A8C9" w14:textId="77777777">
      <w:pPr>
        <w:spacing w:after="0"/>
        <w:rPr>
          <w:b/>
          <w:sz w:val="28"/>
        </w:rPr>
      </w:pPr>
      <w:bookmarkStart w:name="_Hlk514856687" w:id="0"/>
      <w:bookmarkEnd w:id="0"/>
    </w:p>
    <w:p w:rsidR="002F387A" w:rsidP="002F387A" w:rsidRDefault="002F387A" w14:paraId="26AC5CB1" w14:textId="70ADBBD0">
      <w:pPr>
        <w:tabs>
          <w:tab w:val="left" w:pos="6819"/>
        </w:tabs>
        <w:spacing w:before="39" w:after="0" w:line="240" w:lineRule="auto"/>
        <w:ind w:left="1898"/>
        <w:rPr>
          <w:rFonts w:ascii="Calibri" w:hAnsi="Calibri"/>
          <w:sz w:val="20"/>
        </w:rPr>
      </w:pPr>
      <w:bookmarkStart w:name="_Hlk513803123" w:id="1"/>
      <w:r>
        <w:rPr>
          <w:noProof/>
        </w:rPr>
        <w:drawing>
          <wp:anchor distT="0" distB="0" distL="0" distR="0" simplePos="0" relativeHeight="251659264" behindDoc="0" locked="0" layoutInCell="1" allowOverlap="1" wp14:editId="103977DC" wp14:anchorId="6785B9E5">
            <wp:simplePos x="0" y="0"/>
            <wp:positionH relativeFrom="page">
              <wp:posOffset>762000</wp:posOffset>
            </wp:positionH>
            <wp:positionV relativeFrom="paragraph">
              <wp:posOffset>40532</wp:posOffset>
            </wp:positionV>
            <wp:extent cx="1050798" cy="41147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1050798" cy="411479"/>
                    </a:xfrm>
                    <a:prstGeom prst="rect">
                      <a:avLst/>
                    </a:prstGeom>
                  </pic:spPr>
                </pic:pic>
              </a:graphicData>
            </a:graphic>
          </wp:anchor>
        </w:drawing>
      </w:r>
      <w:r>
        <w:rPr>
          <w:rFonts w:ascii="Calibri" w:hAnsi="Calibri"/>
          <w:sz w:val="20"/>
        </w:rPr>
        <w:t>United</w:t>
      </w:r>
      <w:r>
        <w:rPr>
          <w:rFonts w:ascii="Calibri" w:hAnsi="Calibri"/>
          <w:spacing w:val="-2"/>
          <w:sz w:val="20"/>
        </w:rPr>
        <w:t xml:space="preserve"> </w:t>
      </w:r>
      <w:r>
        <w:rPr>
          <w:rFonts w:ascii="Calibri" w:hAnsi="Calibri"/>
          <w:sz w:val="20"/>
        </w:rPr>
        <w:t>States</w:t>
      </w:r>
      <w:r>
        <w:rPr>
          <w:rFonts w:ascii="Calibri" w:hAnsi="Calibri"/>
          <w:sz w:val="20"/>
        </w:rPr>
        <w:tab/>
        <w:t>EPA</w:t>
      </w:r>
      <w:r w:rsidRPr="00ED2C7B" w:rsidR="00ED2C7B">
        <w:t xml:space="preserve"> </w:t>
      </w:r>
      <w:r w:rsidRPr="00ED2C7B" w:rsidR="00ED2C7B">
        <w:rPr>
          <w:rFonts w:ascii="Calibri" w:hAnsi="Calibri"/>
          <w:sz w:val="20"/>
        </w:rPr>
        <w:t>745B18003</w:t>
      </w:r>
      <w:r>
        <w:rPr>
          <w:rFonts w:ascii="Calibri" w:hAnsi="Calibri"/>
          <w:sz w:val="20"/>
        </w:rPr>
        <w:t xml:space="preserve"> </w:t>
      </w:r>
      <w:r w:rsidR="006E1E94">
        <w:rPr>
          <w:rFonts w:ascii="Calibri" w:hAnsi="Calibri"/>
          <w:sz w:val="20"/>
        </w:rPr>
        <w:t>April 2021</w:t>
      </w:r>
    </w:p>
    <w:p w:rsidR="002F387A" w:rsidP="002F387A" w:rsidRDefault="002F387A" w14:paraId="3D6CAD7F" w14:textId="77777777">
      <w:pPr>
        <w:tabs>
          <w:tab w:val="left" w:pos="6819"/>
        </w:tabs>
        <w:spacing w:after="0" w:line="240" w:lineRule="auto"/>
        <w:ind w:left="1898"/>
        <w:rPr>
          <w:rFonts w:ascii="Calibri"/>
          <w:sz w:val="20"/>
        </w:rPr>
      </w:pPr>
      <w:r>
        <w:rPr>
          <w:rFonts w:ascii="Calibri"/>
          <w:sz w:val="20"/>
        </w:rPr>
        <w:t>Environmental</w:t>
      </w:r>
      <w:r>
        <w:rPr>
          <w:rFonts w:ascii="Calibri"/>
          <w:spacing w:val="-2"/>
          <w:sz w:val="20"/>
        </w:rPr>
        <w:t xml:space="preserve"> </w:t>
      </w:r>
      <w:r>
        <w:rPr>
          <w:rFonts w:ascii="Calibri"/>
          <w:sz w:val="20"/>
        </w:rPr>
        <w:t>Protection</w:t>
      </w:r>
      <w:r>
        <w:rPr>
          <w:rFonts w:ascii="Calibri"/>
          <w:spacing w:val="-3"/>
          <w:sz w:val="20"/>
        </w:rPr>
        <w:t xml:space="preserve"> </w:t>
      </w:r>
      <w:r>
        <w:rPr>
          <w:rFonts w:ascii="Calibri"/>
          <w:sz w:val="20"/>
        </w:rPr>
        <w:t>Agency</w:t>
      </w:r>
      <w:r>
        <w:rPr>
          <w:rFonts w:ascii="Calibri"/>
          <w:sz w:val="20"/>
        </w:rPr>
        <w:tab/>
        <w:t>Office of</w:t>
      </w:r>
      <w:r>
        <w:rPr>
          <w:rFonts w:ascii="Calibri"/>
          <w:spacing w:val="-3"/>
          <w:sz w:val="20"/>
        </w:rPr>
        <w:t xml:space="preserve"> </w:t>
      </w:r>
      <w:r>
        <w:rPr>
          <w:rFonts w:ascii="Calibri"/>
          <w:sz w:val="20"/>
        </w:rPr>
        <w:t>Chemical</w:t>
      </w:r>
    </w:p>
    <w:p w:rsidR="002F387A" w:rsidP="002F387A" w:rsidRDefault="002F387A" w14:paraId="0D48A7A6" w14:textId="77777777">
      <w:pPr>
        <w:spacing w:before="1" w:after="0" w:line="240" w:lineRule="auto"/>
        <w:ind w:right="809"/>
        <w:jc w:val="right"/>
        <w:rPr>
          <w:rFonts w:ascii="Calibri"/>
          <w:sz w:val="20"/>
        </w:rPr>
      </w:pPr>
      <w:r>
        <w:rPr>
          <w:rFonts w:ascii="Calibri"/>
          <w:sz w:val="20"/>
        </w:rPr>
        <w:t>Safety and Pollution Prevention</w:t>
      </w:r>
    </w:p>
    <w:p w:rsidR="002F387A" w:rsidP="002F387A" w:rsidRDefault="002F387A" w14:paraId="37543BDC" w14:textId="25C372DC">
      <w:pPr>
        <w:pStyle w:val="BodyText"/>
        <w:spacing w:line="20" w:lineRule="exact"/>
        <w:ind w:left="-1108"/>
        <w:rPr>
          <w:rFonts w:ascii="Calibri"/>
          <w:sz w:val="2"/>
        </w:rPr>
      </w:pPr>
    </w:p>
    <w:p w:rsidR="002F387A" w:rsidP="002F387A" w:rsidRDefault="00984073" w14:paraId="3589355F" w14:textId="16CDF4A1">
      <w:pPr>
        <w:pStyle w:val="BodyText"/>
        <w:rPr>
          <w:rFonts w:ascii="Calibri"/>
          <w:sz w:val="20"/>
        </w:rPr>
      </w:pPr>
      <w:r>
        <w:rPr>
          <w:rFonts w:ascii="Calibri"/>
          <w:noProof/>
          <w:sz w:val="2"/>
        </w:rPr>
        <mc:AlternateContent>
          <mc:Choice Requires="wpg">
            <w:drawing>
              <wp:inline distT="0" distB="0" distL="0" distR="0" wp14:anchorId="762E77A9" wp14:editId="6FB190EB">
                <wp:extent cx="5928360" cy="10160"/>
                <wp:effectExtent l="13970" t="1270" r="10795" b="762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8360" cy="10160"/>
                          <a:chOff x="0" y="0"/>
                          <a:chExt cx="9336" cy="16"/>
                        </a:xfrm>
                      </wpg:grpSpPr>
                      <wps:wsp>
                        <wps:cNvPr id="5" name="Line 3"/>
                        <wps:cNvCnPr>
                          <a:cxnSpLocks noChangeShapeType="1"/>
                        </wps:cNvCnPr>
                        <wps:spPr bwMode="auto">
                          <a:xfrm>
                            <a:off x="0" y="8"/>
                            <a:ext cx="9336" cy="0"/>
                          </a:xfrm>
                          <a:prstGeom prst="line">
                            <a:avLst/>
                          </a:prstGeom>
                          <a:noFill/>
                          <a:ln w="990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 style="width:466.8pt;height:.8pt;mso-position-horizontal-relative:char;mso-position-vertical-relative:line" coordsize="9336,16" o:spid="_x0000_s1026" w14:anchorId="10AADE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">
                <v:line id="Line 3" style="position:absolute;visibility:visible;mso-wrap-style:square" o:spid="_x0000_s1027" strokeweight=".78pt" o:connectortype="straight" from="0,8" to="93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"/>
                <w10:anchorlock/>
              </v:group>
            </w:pict>
          </mc:Fallback>
        </mc:AlternateContent>
      </w:r>
    </w:p>
    <w:p w:rsidR="002F387A" w:rsidP="002F387A" w:rsidRDefault="002F387A" w14:paraId="6BD15E2B" w14:textId="77777777">
      <w:pPr>
        <w:pStyle w:val="BodyText"/>
        <w:rPr>
          <w:rFonts w:ascii="Calibri"/>
          <w:sz w:val="20"/>
        </w:rPr>
      </w:pPr>
    </w:p>
    <w:p w:rsidR="002F387A" w:rsidP="002F387A" w:rsidRDefault="002F387A" w14:paraId="5A167D99" w14:textId="77777777">
      <w:pPr>
        <w:pStyle w:val="BodyText"/>
        <w:rPr>
          <w:rFonts w:ascii="Calibri"/>
          <w:sz w:val="20"/>
        </w:rPr>
      </w:pPr>
    </w:p>
    <w:p w:rsidR="002F387A" w:rsidP="002F387A" w:rsidRDefault="002F387A" w14:paraId="2BDD38AA" w14:textId="77777777">
      <w:pPr>
        <w:pStyle w:val="BodyText"/>
        <w:rPr>
          <w:rFonts w:ascii="Calibri"/>
          <w:sz w:val="20"/>
        </w:rPr>
      </w:pPr>
    </w:p>
    <w:p w:rsidR="002F387A" w:rsidP="002F387A" w:rsidRDefault="002F387A" w14:paraId="60D3A2AE" w14:textId="77777777">
      <w:pPr>
        <w:pStyle w:val="BodyText"/>
        <w:rPr>
          <w:rFonts w:ascii="Calibri"/>
          <w:sz w:val="20"/>
        </w:rPr>
      </w:pPr>
    </w:p>
    <w:p w:rsidR="002F387A" w:rsidP="002F387A" w:rsidRDefault="002F387A" w14:paraId="3214CDA5" w14:textId="77777777">
      <w:pPr>
        <w:pStyle w:val="BodyText"/>
        <w:rPr>
          <w:rFonts w:ascii="Calibri"/>
          <w:sz w:val="20"/>
        </w:rPr>
      </w:pPr>
    </w:p>
    <w:p w:rsidR="002F387A" w:rsidP="002F387A" w:rsidRDefault="002F387A" w14:paraId="63220403" w14:textId="77777777">
      <w:pPr>
        <w:pStyle w:val="BodyText"/>
        <w:rPr>
          <w:rFonts w:ascii="Calibri"/>
          <w:sz w:val="20"/>
        </w:rPr>
      </w:pPr>
    </w:p>
    <w:p w:rsidR="002F387A" w:rsidP="002F387A" w:rsidRDefault="002F387A" w14:paraId="2B00D576" w14:textId="77777777">
      <w:pPr>
        <w:pStyle w:val="BodyText"/>
        <w:rPr>
          <w:rFonts w:ascii="Calibri"/>
          <w:sz w:val="20"/>
        </w:rPr>
      </w:pPr>
    </w:p>
    <w:p w:rsidR="002F387A" w:rsidP="002F387A" w:rsidRDefault="002F387A" w14:paraId="5A09D8B2" w14:textId="77777777">
      <w:pPr>
        <w:pStyle w:val="BodyText"/>
        <w:rPr>
          <w:rFonts w:ascii="Calibri"/>
          <w:sz w:val="20"/>
        </w:rPr>
      </w:pPr>
    </w:p>
    <w:p w:rsidR="002F387A" w:rsidP="002F387A" w:rsidRDefault="002F387A" w14:paraId="46CB13C8" w14:textId="77777777">
      <w:pPr>
        <w:pStyle w:val="BodyText"/>
        <w:rPr>
          <w:rFonts w:ascii="Calibri"/>
          <w:sz w:val="20"/>
        </w:rPr>
      </w:pPr>
    </w:p>
    <w:p w:rsidR="002F387A" w:rsidP="002F387A" w:rsidRDefault="002F387A" w14:paraId="77C2C7CE" w14:textId="77777777">
      <w:pPr>
        <w:pStyle w:val="BodyText"/>
        <w:rPr>
          <w:rFonts w:ascii="Calibri"/>
          <w:sz w:val="20"/>
        </w:rPr>
      </w:pPr>
    </w:p>
    <w:p w:rsidR="002F387A" w:rsidP="002F387A" w:rsidRDefault="002F387A" w14:paraId="0678161C" w14:textId="77777777">
      <w:pPr>
        <w:pStyle w:val="BodyText"/>
        <w:rPr>
          <w:rFonts w:ascii="Calibri"/>
          <w:sz w:val="20"/>
        </w:rPr>
      </w:pPr>
    </w:p>
    <w:p w:rsidR="002F387A" w:rsidP="002F387A" w:rsidRDefault="002F387A" w14:paraId="47F4F5C8" w14:textId="77777777">
      <w:pPr>
        <w:pStyle w:val="BodyText"/>
        <w:spacing w:before="11"/>
        <w:rPr>
          <w:rFonts w:ascii="Calibri"/>
          <w:sz w:val="20"/>
        </w:rPr>
      </w:pPr>
    </w:p>
    <w:p w:rsidR="002F387A" w:rsidP="002F387A" w:rsidRDefault="002F387A" w14:paraId="1B85C9AF" w14:textId="77777777">
      <w:pPr>
        <w:jc w:val="center"/>
        <w:rPr>
          <w:b/>
          <w:sz w:val="48"/>
          <w:szCs w:val="48"/>
        </w:rPr>
      </w:pPr>
      <w:r w:rsidRPr="0078227A">
        <w:rPr>
          <w:b/>
          <w:sz w:val="48"/>
          <w:szCs w:val="48"/>
        </w:rPr>
        <w:t>Access to Toxic Substances Control Act Confidential Business Information:</w:t>
      </w:r>
    </w:p>
    <w:p w:rsidRPr="0078227A" w:rsidR="002F387A" w:rsidP="002F387A" w:rsidRDefault="002F387A" w14:paraId="7696F1BF" w14:textId="77777777">
      <w:pPr>
        <w:spacing w:after="0"/>
        <w:jc w:val="center"/>
        <w:rPr>
          <w:b/>
          <w:sz w:val="48"/>
          <w:szCs w:val="48"/>
        </w:rPr>
      </w:pPr>
    </w:p>
    <w:p w:rsidRPr="00E12AC1" w:rsidR="002F387A" w:rsidP="002F387A" w:rsidRDefault="002F387A" w14:paraId="274F8775" w14:textId="77777777">
      <w:pPr>
        <w:spacing w:after="0"/>
        <w:jc w:val="center"/>
        <w:rPr>
          <w:b/>
          <w:i/>
          <w:sz w:val="28"/>
        </w:rPr>
      </w:pPr>
      <w:r w:rsidRPr="0078227A">
        <w:rPr>
          <w:b/>
          <w:i/>
          <w:sz w:val="48"/>
          <w:szCs w:val="48"/>
        </w:rPr>
        <w:t>A</w:t>
      </w:r>
      <w:r w:rsidRPr="0078227A">
        <w:rPr>
          <w:b/>
          <w:color w:val="FF0000"/>
          <w:sz w:val="48"/>
          <w:szCs w:val="48"/>
        </w:rPr>
        <w:t xml:space="preserve"> </w:t>
      </w:r>
      <w:r w:rsidRPr="0078227A">
        <w:rPr>
          <w:b/>
          <w:i/>
          <w:sz w:val="48"/>
          <w:szCs w:val="48"/>
        </w:rPr>
        <w:t xml:space="preserve">guide for access to TSCA </w:t>
      </w:r>
      <w:r w:rsidRPr="002F387A">
        <w:rPr>
          <w:b/>
          <w:i/>
          <w:sz w:val="48"/>
          <w:szCs w:val="48"/>
        </w:rPr>
        <w:t>CBI in emergency situations</w:t>
      </w:r>
    </w:p>
    <w:p w:rsidRPr="0078227A" w:rsidR="002F387A" w:rsidP="002F387A" w:rsidRDefault="002F387A" w14:paraId="17C52EEA" w14:textId="2FE96189">
      <w:pPr>
        <w:jc w:val="center"/>
        <w:rPr>
          <w:b/>
          <w:i/>
          <w:sz w:val="48"/>
          <w:szCs w:val="48"/>
        </w:rPr>
      </w:pPr>
    </w:p>
    <w:p w:rsidR="002F387A" w:rsidP="002F387A" w:rsidRDefault="002F387A" w14:paraId="02A58AAC" w14:textId="77777777">
      <w:pPr>
        <w:pStyle w:val="BodyText"/>
        <w:rPr>
          <w:b/>
          <w:sz w:val="52"/>
        </w:rPr>
      </w:pPr>
    </w:p>
    <w:p w:rsidR="002F387A" w:rsidP="002F387A" w:rsidRDefault="002F387A" w14:paraId="23C59CC9" w14:textId="77777777">
      <w:pPr>
        <w:pStyle w:val="BodyText"/>
        <w:rPr>
          <w:b/>
          <w:sz w:val="52"/>
        </w:rPr>
      </w:pPr>
    </w:p>
    <w:p w:rsidR="002F387A" w:rsidP="002F387A" w:rsidRDefault="002F387A" w14:paraId="6F1C9C9E" w14:textId="77777777">
      <w:pPr>
        <w:pStyle w:val="BodyText"/>
        <w:rPr>
          <w:b/>
          <w:sz w:val="52"/>
        </w:rPr>
      </w:pPr>
    </w:p>
    <w:p w:rsidR="002F387A" w:rsidP="002F387A" w:rsidRDefault="002F387A" w14:paraId="37B142D3" w14:textId="77777777">
      <w:pPr>
        <w:pStyle w:val="BodyText"/>
        <w:spacing w:before="7"/>
        <w:rPr>
          <w:b/>
          <w:sz w:val="48"/>
        </w:rPr>
      </w:pPr>
    </w:p>
    <w:p w:rsidRPr="0078227A" w:rsidR="002F387A" w:rsidP="002F387A" w:rsidRDefault="006E1E94" w14:paraId="265D6202" w14:textId="20F7349C">
      <w:pPr>
        <w:ind w:left="1285" w:right="1176"/>
        <w:jc w:val="center"/>
        <w:rPr>
          <w:i/>
          <w:sz w:val="28"/>
        </w:rPr>
        <w:sectPr w:rsidRPr="0078227A" w:rsidR="002F387A" w:rsidSect="008B5C10">
          <w:pgSz w:w="12240" w:h="15840"/>
          <w:pgMar w:top="1400" w:right="940" w:bottom="280" w:left="1100" w:header="720" w:footer="720" w:gutter="0"/>
          <w:cols w:space="720"/>
        </w:sectPr>
      </w:pPr>
      <w:r>
        <w:rPr>
          <w:i/>
          <w:sz w:val="28"/>
        </w:rPr>
        <w:t>April</w:t>
      </w:r>
      <w:r w:rsidR="002F387A">
        <w:rPr>
          <w:i/>
          <w:sz w:val="28"/>
        </w:rPr>
        <w:t xml:space="preserve"> 20</w:t>
      </w:r>
      <w:r>
        <w:rPr>
          <w:i/>
          <w:sz w:val="28"/>
        </w:rPr>
        <w:t>21</w:t>
      </w:r>
    </w:p>
    <w:bookmarkEnd w:id="1"/>
    <w:p w:rsidR="006E1E94" w:rsidP="006E1E94" w:rsidRDefault="006E1E94" w14:paraId="5CB4BB8B" w14:textId="77777777">
      <w:pPr>
        <w:rPr>
          <w:b/>
        </w:rPr>
      </w:pPr>
      <w:r>
        <w:rPr>
          <w:b/>
        </w:rPr>
        <w:lastRenderedPageBreak/>
        <w:t>Disclaimer:</w:t>
      </w:r>
    </w:p>
    <w:p w:rsidR="006E1E94" w:rsidP="006E1E94" w:rsidRDefault="006E1E94" w14:paraId="1C8BAB6D" w14:textId="77777777">
      <w:pPr>
        <w:rPr>
          <w:sz w:val="24"/>
          <w:szCs w:val="24"/>
        </w:rPr>
      </w:pPr>
      <w:r>
        <w:rPr>
          <w:szCs w:val="24"/>
        </w:rPr>
        <w:t xml:space="preserve">This Guidance does not constitute rulemaking by the United States Environmental Protection </w:t>
      </w:r>
      <w:proofErr w:type="gramStart"/>
      <w:r>
        <w:rPr>
          <w:szCs w:val="24"/>
        </w:rPr>
        <w:t>Agency, and</w:t>
      </w:r>
      <w:proofErr w:type="gramEnd"/>
      <w:r>
        <w:rPr>
          <w:szCs w:val="24"/>
        </w:rPr>
        <w:t xml:space="preserve"> cannot be relied on to create a substantive or procedural right enforceable by any party in litigation with the United States.  Non-mandatory language such as “should” provides recommendations and does not impose any legally binding requirements.</w:t>
      </w:r>
    </w:p>
    <w:p w:rsidR="006E1E94" w:rsidP="006E1E94" w:rsidRDefault="006E1E94" w14:paraId="353C259A" w14:textId="77777777">
      <w:pPr>
        <w:rPr>
          <w:szCs w:val="24"/>
        </w:rPr>
      </w:pPr>
      <w:r>
        <w:rPr>
          <w:szCs w:val="24"/>
        </w:rPr>
        <w:t xml:space="preserve">The Toxic Substances Control Act statutory provisions and EPA regulations described in this document contain legally binding requirements for access to TSCA Confidential Business Information.  This document is not a regulation itself, nor does it change or substitute those provisions and regulations. While EPA has made every effort to ensure the accuracy of the discussion in this guidance, the obligations of EPA and the regulated community are determined by statutes, regulations, or other legally binding requirements, which supersede this guidance document. </w:t>
      </w:r>
    </w:p>
    <w:p w:rsidR="006E1E94" w:rsidP="006E1E94" w:rsidRDefault="006E1E94" w14:paraId="5F7B56D7" w14:textId="77777777">
      <w:pPr>
        <w:rPr>
          <w:rFonts w:cs="TimesNewRoman"/>
          <w:szCs w:val="24"/>
        </w:rPr>
      </w:pPr>
      <w:r>
        <w:rPr>
          <w:rFonts w:cs="TimesNewRoman"/>
          <w:szCs w:val="24"/>
        </w:rPr>
        <w:t xml:space="preserve">Interested persons are free to raise questions and objections about the substance of this guidance and the appropriateness of the application of this guidance to a particular situation.  EPA may make changes in this document at any time without prior public notice. </w:t>
      </w:r>
    </w:p>
    <w:p w:rsidR="006E1E94" w:rsidP="006E1E94" w:rsidRDefault="006E1E94" w14:paraId="19BF6467" w14:textId="77777777">
      <w:pPr>
        <w:spacing w:after="0"/>
        <w:rPr>
          <w:rFonts w:cstheme="minorHAnsi"/>
          <w:i/>
        </w:rPr>
      </w:pPr>
    </w:p>
    <w:p w:rsidR="006E1E94" w:rsidP="006E1E94" w:rsidRDefault="006E1E94" w14:paraId="5E7B8547" w14:textId="77777777">
      <w:r w:rsidRPr="005A60CE">
        <w:rPr>
          <w:b/>
        </w:rPr>
        <w:t>Paperwork Reduction Act Notice</w:t>
      </w:r>
      <w:r w:rsidRPr="004D3953">
        <w:t xml:space="preserve">: </w:t>
      </w:r>
    </w:p>
    <w:p w:rsidRPr="00DC4A8F" w:rsidR="006E1E94" w:rsidP="006E1E94" w:rsidRDefault="006E1E94" w14:paraId="43B4E808" w14:textId="77777777">
      <w:pPr>
        <w:rPr>
          <w:rFonts w:ascii="Arial" w:hAnsi="Arial" w:cs="Arial"/>
          <w:b/>
          <w:bCs/>
        </w:rPr>
      </w:pPr>
      <w:r w:rsidRPr="00DC4A8F">
        <w:t>This collection of information is approved by OMB under the Paperwork Reduction Act, 44 U.S.C. 3501 et seq. (OMB Control No. 2070-0209). Responses to this collection of information are mandatory for certain persons, as specified in TSCA Section 14(d). An agency may not conduct or sponsor, and a person is not required to respond to, a collection of information unless it displays a currently valid OMB control number. The public reporting and recordkeeping burden for this collection of information is estimated to be 14.8 hours per</w:t>
      </w:r>
      <w:r w:rsidRPr="00DC4A8F">
        <w:rPr>
          <w:color w:val="FF0000"/>
        </w:rPr>
        <w:t xml:space="preserve"> </w:t>
      </w:r>
      <w:r w:rsidRPr="00DC4A8F">
        <w:t>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6E1E94" w:rsidRDefault="006E1E94" w14:paraId="06674484" w14:textId="2FB80981">
      <w:pPr>
        <w:rPr>
          <w:b/>
          <w:sz w:val="26"/>
        </w:rPr>
      </w:pPr>
      <w:r>
        <w:rPr>
          <w:b/>
          <w:sz w:val="26"/>
        </w:rPr>
        <w:br w:type="page"/>
      </w:r>
    </w:p>
    <w:p w:rsidRPr="00E12AC1" w:rsidR="005D07C2" w:rsidP="005D07C2" w:rsidRDefault="005D07C2" w14:paraId="605DFF43" w14:textId="46AA17FE">
      <w:pPr>
        <w:rPr>
          <w:b/>
          <w:sz w:val="26"/>
        </w:rPr>
      </w:pPr>
      <w:r w:rsidRPr="00E12AC1">
        <w:rPr>
          <w:b/>
          <w:sz w:val="26"/>
        </w:rPr>
        <w:lastRenderedPageBreak/>
        <w:t>Preface:</w:t>
      </w:r>
    </w:p>
    <w:p w:rsidR="005D07C2" w:rsidP="005C1A36" w:rsidRDefault="005D07C2" w14:paraId="11169CFC" w14:textId="515E0368">
      <w:r w:rsidRPr="002B721E">
        <w:t>The Toxic Substances Control Act of 1976 (TSCA)</w:t>
      </w:r>
      <w:r>
        <w:t xml:space="preserve"> </w:t>
      </w:r>
      <w:r w:rsidRPr="002B721E">
        <w:t xml:space="preserve">was amended in June of 2016.  The amendments, known as the Frank R. Lautenberg Chemical Safety for the 21st Century Act, changed and expanded many parts of TSCA.  </w:t>
      </w:r>
      <w:r w:rsidRPr="00F22C93">
        <w:t xml:space="preserve">Among these changes, under TSCA </w:t>
      </w:r>
      <w:r w:rsidR="00997977">
        <w:t>section</w:t>
      </w:r>
      <w:r w:rsidRPr="00F22C93">
        <w:t xml:space="preserve"> 14(d)</w:t>
      </w:r>
      <w:r w:rsidR="003A516B">
        <w:t xml:space="preserve"> (15 U.S.C. 2613(d))</w:t>
      </w:r>
      <w:r w:rsidRPr="00F22C93">
        <w:t xml:space="preserve">, is an expansion of the categories of people who may now access TSCA </w:t>
      </w:r>
      <w:r>
        <w:t>c</w:t>
      </w:r>
      <w:r w:rsidRPr="00F22C93">
        <w:t xml:space="preserve">onfidential </w:t>
      </w:r>
      <w:r>
        <w:t>b</w:t>
      </w:r>
      <w:r w:rsidRPr="00F22C93">
        <w:t xml:space="preserve">usiness </w:t>
      </w:r>
      <w:r>
        <w:t>i</w:t>
      </w:r>
      <w:r w:rsidR="001C63AE">
        <w:t>nformation (CBI</w:t>
      </w:r>
      <w:r w:rsidR="00FA1E60">
        <w:t>)</w:t>
      </w:r>
      <w:r w:rsidRPr="00F22C93">
        <w:t xml:space="preserve">.  TSCA CBI is information submitted to EPA under TSCA, for which a business has made a claim of business confidentiality.  This information is </w:t>
      </w:r>
      <w:r>
        <w:t>protected from disclosure</w:t>
      </w:r>
      <w:r w:rsidRPr="00F22C93">
        <w:t xml:space="preserve"> until the business withdraws the</w:t>
      </w:r>
      <w:r>
        <w:t xml:space="preserve"> CBI</w:t>
      </w:r>
      <w:r w:rsidRPr="00F22C93">
        <w:t xml:space="preserve"> claim, until the </w:t>
      </w:r>
      <w:r>
        <w:t xml:space="preserve">CBI </w:t>
      </w:r>
      <w:r w:rsidRPr="00F22C93">
        <w:t xml:space="preserve">claim expires, or until EPA determines that the </w:t>
      </w:r>
      <w:r>
        <w:t xml:space="preserve">CBI </w:t>
      </w:r>
      <w:r w:rsidRPr="00F22C93">
        <w:t>claim is not entitled to confidential treatment</w:t>
      </w:r>
      <w:r w:rsidR="00A66CAF">
        <w:t>, or as authorized under TSCA and EPA regulations</w:t>
      </w:r>
      <w:r>
        <w:t xml:space="preserve">. </w:t>
      </w:r>
      <w:r w:rsidRPr="00F22C93">
        <w:t xml:space="preserve"> </w:t>
      </w:r>
      <w:r w:rsidR="00A66CAF">
        <w:t>U</w:t>
      </w:r>
      <w:r>
        <w:t xml:space="preserve">nder section 14(d)(6) </w:t>
      </w:r>
      <w:r w:rsidR="00932694">
        <w:t>(</w:t>
      </w:r>
      <w:r>
        <w:t>15 U.S.C.</w:t>
      </w:r>
      <w:r w:rsidR="003A516B">
        <w:t xml:space="preserve"> </w:t>
      </w:r>
      <w:r>
        <w:t>2613(d)(6)</w:t>
      </w:r>
      <w:r w:rsidR="00932694">
        <w:t>)</w:t>
      </w:r>
      <w:r w:rsidR="00A62A90">
        <w:t>,</w:t>
      </w:r>
      <w:r w:rsidRPr="00010A32">
        <w:t xml:space="preserve"> </w:t>
      </w:r>
      <w:r>
        <w:t xml:space="preserve">TSCA authorizes </w:t>
      </w:r>
      <w:r w:rsidRPr="00F22C93">
        <w:t>disclosure</w:t>
      </w:r>
      <w:r w:rsidR="00825F5A">
        <w:t xml:space="preserve"> of TSCA CBI</w:t>
      </w:r>
      <w:r w:rsidRPr="00F22C93">
        <w:t xml:space="preserve"> </w:t>
      </w:r>
      <w:r>
        <w:t>in the event of an emergency to certain persons</w:t>
      </w:r>
      <w:r w:rsidRPr="00F22C93">
        <w:t xml:space="preserve">.  </w:t>
      </w:r>
      <w:r w:rsidR="00A43AFF">
        <w:t>TSCA s</w:t>
      </w:r>
      <w:r w:rsidRPr="0081284A" w:rsidR="0081284A">
        <w:t>ection 14(c)(4)(B)</w:t>
      </w:r>
      <w:r w:rsidRPr="00A43AFF" w:rsidR="00A43AFF">
        <w:t xml:space="preserve"> </w:t>
      </w:r>
      <w:r w:rsidR="00932694">
        <w:t>(</w:t>
      </w:r>
      <w:r w:rsidR="00A43AFF">
        <w:t>15 U.S.C. 2613(c)(4)(B)</w:t>
      </w:r>
      <w:r w:rsidR="00932694">
        <w:t>)</w:t>
      </w:r>
      <w:r w:rsidR="00656D79">
        <w:t xml:space="preserve"> </w:t>
      </w:r>
      <w:r w:rsidRPr="0081284A" w:rsidR="0081284A">
        <w:t>requires that EPA develop guidance concerning the “content and form of the statements of need and agreements required” under section 14(d)(4), (5), and (6).</w:t>
      </w:r>
      <w:r w:rsidRPr="002C54B6" w:rsidR="0081284A">
        <w:rPr>
          <w:sz w:val="24"/>
          <w:szCs w:val="24"/>
        </w:rPr>
        <w:t xml:space="preserve">  </w:t>
      </w:r>
    </w:p>
    <w:p w:rsidR="005D07C2" w:rsidP="005C1A36" w:rsidRDefault="005D07C2" w14:paraId="2B913BC0" w14:textId="7AAAB9C4">
      <w:r w:rsidRPr="002B721E">
        <w:t>This document provides guidance</w:t>
      </w:r>
      <w:r>
        <w:t xml:space="preserve"> for access to TSCA CBI</w:t>
      </w:r>
      <w:r w:rsidR="00A66CAF">
        <w:t xml:space="preserve"> under section 14(d)(6)</w:t>
      </w:r>
      <w:r>
        <w:t xml:space="preserve"> in the event of an emergency to the following categories of request</w:t>
      </w:r>
      <w:r w:rsidR="00181F90">
        <w:t>e</w:t>
      </w:r>
      <w:r>
        <w:t>rs</w:t>
      </w:r>
      <w:r w:rsidR="00A66CAF">
        <w:t>,</w:t>
      </w:r>
      <w:r>
        <w:t xml:space="preserve"> if specific conditions are met:  </w:t>
      </w:r>
    </w:p>
    <w:p w:rsidR="005D07C2" w:rsidP="00FA1E60" w:rsidRDefault="005D07C2" w14:paraId="7DAE042C" w14:textId="77777777">
      <w:pPr>
        <w:pStyle w:val="ListParagraph"/>
        <w:numPr>
          <w:ilvl w:val="0"/>
          <w:numId w:val="2"/>
        </w:numPr>
      </w:pPr>
      <w:r>
        <w:t>T</w:t>
      </w:r>
      <w:r w:rsidRPr="002B721E">
        <w:t xml:space="preserve">reating or responding physician, nurse, agent of a poison control center, public health or environmental official of a State, political subdivision of a State, or tribal government, </w:t>
      </w:r>
      <w:r w:rsidRPr="00E12AC1">
        <w:rPr>
          <w:u w:val="single"/>
        </w:rPr>
        <w:t>or</w:t>
      </w:r>
      <w:r w:rsidRPr="002B721E">
        <w:t xml:space="preserve"> </w:t>
      </w:r>
    </w:p>
    <w:p w:rsidR="005D07C2" w:rsidP="00FA1E60" w:rsidRDefault="005D07C2" w14:paraId="17E2FA82" w14:textId="77777777">
      <w:pPr>
        <w:pStyle w:val="ListParagraph"/>
        <w:numPr>
          <w:ilvl w:val="0"/>
          <w:numId w:val="2"/>
        </w:numPr>
      </w:pPr>
      <w:r>
        <w:t>F</w:t>
      </w:r>
      <w:r w:rsidRPr="002B721E">
        <w:t>irst responder (including any individual duly authorized by a Federal agency, State, political subdivision of a State, or tribal government who is trained in urgent medical care or other emergency procedures, including a police officer, firefighter, or emergency medical technician)</w:t>
      </w:r>
      <w:r>
        <w:t>.</w:t>
      </w:r>
      <w:r w:rsidRPr="002B721E">
        <w:t xml:space="preserve"> </w:t>
      </w:r>
    </w:p>
    <w:p w:rsidR="005D07C2" w:rsidP="005D07C2" w:rsidRDefault="005D07C2" w14:paraId="79B0FDB4" w14:textId="77777777">
      <w:r>
        <w:t xml:space="preserve">This document </w:t>
      </w:r>
      <w:r w:rsidR="00A66CAF">
        <w:t>also discusses</w:t>
      </w:r>
      <w:r w:rsidR="00656D79">
        <w:t>:</w:t>
      </w:r>
      <w:r>
        <w:t xml:space="preserve"> </w:t>
      </w:r>
    </w:p>
    <w:p w:rsidR="00A66CAF" w:rsidP="0091012B" w:rsidRDefault="00A66CAF" w14:paraId="1601D03D" w14:textId="77777777">
      <w:pPr>
        <w:pStyle w:val="ListParagraph"/>
        <w:numPr>
          <w:ilvl w:val="0"/>
          <w:numId w:val="39"/>
        </w:numPr>
      </w:pPr>
      <w:r>
        <w:t xml:space="preserve">What constitutes an </w:t>
      </w:r>
      <w:proofErr w:type="gramStart"/>
      <w:r>
        <w:t>emergency</w:t>
      </w:r>
      <w:r w:rsidR="00A43AFF">
        <w:t>;</w:t>
      </w:r>
      <w:proofErr w:type="gramEnd"/>
    </w:p>
    <w:p w:rsidR="005D07C2" w:rsidP="0091012B" w:rsidRDefault="0067079E" w14:paraId="5E9E72B9" w14:textId="074960DC">
      <w:pPr>
        <w:pStyle w:val="ListParagraph"/>
        <w:numPr>
          <w:ilvl w:val="0"/>
          <w:numId w:val="39"/>
        </w:numPr>
      </w:pPr>
      <w:r>
        <w:t>E</w:t>
      </w:r>
      <w:r w:rsidR="005D07C2">
        <w:t>ligib</w:t>
      </w:r>
      <w:r>
        <w:t>ility</w:t>
      </w:r>
      <w:r w:rsidR="005D07C2">
        <w:t xml:space="preserve"> for access to TSCA CBI under section 14(d)(6</w:t>
      </w:r>
      <w:proofErr w:type="gramStart"/>
      <w:r w:rsidR="005D07C2">
        <w:t>);</w:t>
      </w:r>
      <w:proofErr w:type="gramEnd"/>
    </w:p>
    <w:p w:rsidR="005D07C2" w:rsidP="0091012B" w:rsidRDefault="005D07C2" w14:paraId="7FA416BE" w14:textId="77777777">
      <w:pPr>
        <w:pStyle w:val="ListParagraph"/>
        <w:numPr>
          <w:ilvl w:val="0"/>
          <w:numId w:val="39"/>
        </w:numPr>
      </w:pPr>
      <w:r>
        <w:t xml:space="preserve">How to request access to CBI during an </w:t>
      </w:r>
      <w:proofErr w:type="gramStart"/>
      <w:r>
        <w:t>emergency</w:t>
      </w:r>
      <w:r w:rsidR="0053242D">
        <w:t>;</w:t>
      </w:r>
      <w:proofErr w:type="gramEnd"/>
      <w:r>
        <w:t xml:space="preserve"> </w:t>
      </w:r>
    </w:p>
    <w:p w:rsidR="005D07C2" w:rsidP="0091012B" w:rsidRDefault="005D07C2" w14:paraId="55097AAC" w14:textId="77777777">
      <w:pPr>
        <w:pStyle w:val="ListParagraph"/>
        <w:numPr>
          <w:ilvl w:val="0"/>
          <w:numId w:val="39"/>
        </w:numPr>
      </w:pPr>
      <w:r>
        <w:t>What information is pertinent to a statement of need and confidentiality agreement, and how to submit these documents, if requested</w:t>
      </w:r>
      <w:r w:rsidR="00FA1E60">
        <w:t>.</w:t>
      </w:r>
      <w:r>
        <w:t xml:space="preserve"> </w:t>
      </w:r>
    </w:p>
    <w:p w:rsidR="004143DE" w:rsidP="005D07C2" w:rsidRDefault="005D07C2" w14:paraId="67B3F7DE" w14:textId="77777777">
      <w:pPr>
        <w:rPr>
          <w:b/>
        </w:rPr>
      </w:pPr>
      <w:r w:rsidRPr="00F22C93">
        <w:t xml:space="preserve">Guidance for health and environmental </w:t>
      </w:r>
      <w:r>
        <w:t>professio</w:t>
      </w:r>
      <w:r w:rsidRPr="00F22C93">
        <w:t xml:space="preserve">nals </w:t>
      </w:r>
      <w:r>
        <w:t xml:space="preserve">seeking access to TSCA CBI in non-emergency situations, and for state and tribal government access for purposes of administering a law, are covered in </w:t>
      </w:r>
      <w:r w:rsidRPr="00F22C93">
        <w:t>separate documents</w:t>
      </w:r>
      <w:r w:rsidR="004143DE">
        <w:rPr>
          <w:b/>
        </w:rPr>
        <w:t>:</w:t>
      </w:r>
    </w:p>
    <w:p w:rsidRPr="0091012B" w:rsidR="004143DE" w:rsidP="004143DE" w:rsidRDefault="004143DE" w14:paraId="7E38E240" w14:textId="77777777">
      <w:pPr>
        <w:spacing w:after="0"/>
        <w:rPr>
          <w:rFonts w:cstheme="minorHAnsi"/>
        </w:rPr>
      </w:pPr>
      <w:r w:rsidRPr="007F0E9F">
        <w:rPr>
          <w:rFonts w:cstheme="minorHAnsi"/>
        </w:rPr>
        <w:t xml:space="preserve">Access to Toxic Substances Control Act </w:t>
      </w:r>
      <w:r w:rsidRPr="0091012B">
        <w:rPr>
          <w:rFonts w:cstheme="minorHAnsi"/>
        </w:rPr>
        <w:t>Confidential Business Information:</w:t>
      </w:r>
    </w:p>
    <w:p w:rsidRPr="0091012B" w:rsidR="004143DE" w:rsidP="004143DE" w:rsidRDefault="004143DE" w14:paraId="674CB2F3" w14:textId="239D2164">
      <w:pPr>
        <w:rPr>
          <w:rFonts w:cstheme="minorHAnsi"/>
        </w:rPr>
      </w:pPr>
      <w:r w:rsidRPr="0091012B">
        <w:rPr>
          <w:rFonts w:cstheme="minorHAnsi"/>
          <w:i/>
        </w:rPr>
        <w:t>A guide for access to TSCA CBI for medical and environmental professionals in non-emergency situations</w:t>
      </w:r>
      <w:r w:rsidRPr="0091012B" w:rsidR="005D07C2">
        <w:rPr>
          <w:i/>
        </w:rPr>
        <w:t xml:space="preserve"> </w:t>
      </w:r>
      <w:r w:rsidR="00A62A90">
        <w:t xml:space="preserve">(Available at: </w:t>
      </w:r>
      <w:r w:rsidRPr="0091012B" w:rsidR="00855936">
        <w:rPr>
          <w:rFonts w:cstheme="minorHAnsi"/>
        </w:rPr>
        <w:t>https://www.epa.gov/tsca-cbi/requesting-access-cbi-under-tsca</w:t>
      </w:r>
      <w:r w:rsidR="00A62A90">
        <w:rPr>
          <w:rFonts w:cstheme="minorHAnsi"/>
        </w:rPr>
        <w:t>)</w:t>
      </w:r>
    </w:p>
    <w:p w:rsidRPr="0091012B" w:rsidR="004143DE" w:rsidP="004143DE" w:rsidRDefault="004143DE" w14:paraId="0479FE4E" w14:textId="77777777">
      <w:pPr>
        <w:spacing w:after="0"/>
        <w:rPr>
          <w:rFonts w:cstheme="minorHAnsi"/>
        </w:rPr>
      </w:pPr>
      <w:r w:rsidRPr="0091012B">
        <w:rPr>
          <w:rFonts w:cstheme="minorHAnsi"/>
        </w:rPr>
        <w:t>Access to Toxic Substances Control Act Confidential Business Information:</w:t>
      </w:r>
    </w:p>
    <w:p w:rsidR="00A62A90" w:rsidP="004143DE" w:rsidRDefault="004143DE" w14:paraId="15F4B361" w14:textId="3F1B87EA">
      <w:pPr>
        <w:spacing w:after="0"/>
        <w:rPr>
          <w:rFonts w:cstheme="minorHAnsi"/>
        </w:rPr>
      </w:pPr>
      <w:r w:rsidRPr="0091012B">
        <w:rPr>
          <w:rFonts w:cstheme="minorHAnsi"/>
          <w:i/>
        </w:rPr>
        <w:t xml:space="preserve">A guide for access to TSCA CBI for state, local, and tribal governments </w:t>
      </w:r>
    </w:p>
    <w:p w:rsidR="004143DE" w:rsidP="004143DE" w:rsidRDefault="00A62A90" w14:paraId="571DAAA3" w14:textId="11B392DE">
      <w:pPr>
        <w:spacing w:after="0"/>
        <w:rPr>
          <w:rFonts w:cstheme="minorHAnsi"/>
        </w:rPr>
      </w:pPr>
      <w:r>
        <w:rPr>
          <w:rFonts w:cstheme="minorHAnsi"/>
        </w:rPr>
        <w:t xml:space="preserve">(Available at: </w:t>
      </w:r>
      <w:r w:rsidRPr="0091012B" w:rsidR="00855936">
        <w:rPr>
          <w:rFonts w:cstheme="minorHAnsi"/>
        </w:rPr>
        <w:t>https://www.epa.gov/tsca-cbi/requesting-access-cbi-under-tsca</w:t>
      </w:r>
      <w:r>
        <w:rPr>
          <w:rFonts w:cstheme="minorHAnsi"/>
        </w:rPr>
        <w:t>)</w:t>
      </w:r>
    </w:p>
    <w:p w:rsidR="009501A3" w:rsidP="004143DE" w:rsidRDefault="009501A3" w14:paraId="06A1A369" w14:textId="38BE9567">
      <w:pPr>
        <w:spacing w:after="0"/>
        <w:rPr>
          <w:rFonts w:cstheme="minorHAnsi"/>
        </w:rPr>
      </w:pPr>
    </w:p>
    <w:p w:rsidR="009501A3" w:rsidP="009501A3" w:rsidRDefault="009501A3" w14:paraId="2101CD8B" w14:textId="77777777">
      <w:pPr>
        <w:rPr>
          <w:b/>
        </w:rPr>
      </w:pPr>
    </w:p>
    <w:p w:rsidRPr="009B72A2" w:rsidR="00C87B08" w:rsidP="00C87B08" w:rsidRDefault="00BE50B2" w14:paraId="11237EE5" w14:textId="77777777">
      <w:pPr>
        <w:rPr>
          <w:b/>
        </w:rPr>
      </w:pPr>
      <w:bookmarkStart w:name="QUIK" w:id="2"/>
      <w:bookmarkEnd w:id="2"/>
      <w:r w:rsidRPr="009B72A2">
        <w:rPr>
          <w:b/>
        </w:rPr>
        <w:lastRenderedPageBreak/>
        <w:t xml:space="preserve">Table of </w:t>
      </w:r>
      <w:r w:rsidRPr="009B72A2" w:rsidR="00C87B08">
        <w:rPr>
          <w:b/>
        </w:rPr>
        <w:t>Contents</w:t>
      </w:r>
    </w:p>
    <w:p w:rsidRPr="009B72A2" w:rsidR="00C87B08" w:rsidP="00C87B08" w:rsidRDefault="00C87B08" w14:paraId="19C7E292" w14:textId="77777777">
      <w:pPr>
        <w:pStyle w:val="ListParagraph"/>
        <w:ind w:left="1080"/>
      </w:pPr>
    </w:p>
    <w:p w:rsidR="003F1710" w:rsidP="009B72A2" w:rsidRDefault="003F1710" w14:paraId="244BCA8A" w14:textId="77777777">
      <w:pPr>
        <w:pStyle w:val="ListParagraph"/>
        <w:numPr>
          <w:ilvl w:val="0"/>
          <w:numId w:val="3"/>
        </w:numPr>
        <w:ind w:left="720"/>
        <w:rPr>
          <w:b/>
        </w:rPr>
      </w:pPr>
      <w:r w:rsidRPr="009B72A2">
        <w:rPr>
          <w:b/>
        </w:rPr>
        <w:t>Definitions</w:t>
      </w:r>
    </w:p>
    <w:p w:rsidRPr="009B72A2" w:rsidR="009B72A2" w:rsidP="009B72A2" w:rsidRDefault="009B72A2" w14:paraId="0AA5DF43" w14:textId="77777777">
      <w:pPr>
        <w:pStyle w:val="ListParagraph"/>
        <w:rPr>
          <w:b/>
        </w:rPr>
      </w:pPr>
    </w:p>
    <w:p w:rsidRPr="009B72A2" w:rsidR="009B72A2" w:rsidP="009B72A2" w:rsidRDefault="003F1710" w14:paraId="1872B9A0" w14:textId="77777777">
      <w:pPr>
        <w:pStyle w:val="ListParagraph"/>
        <w:numPr>
          <w:ilvl w:val="0"/>
          <w:numId w:val="3"/>
        </w:numPr>
        <w:ind w:left="720"/>
        <w:rPr>
          <w:b/>
        </w:rPr>
      </w:pPr>
      <w:r w:rsidRPr="009B72A2">
        <w:rPr>
          <w:b/>
        </w:rPr>
        <w:t>Eligibility for Accessing TSCA CBI in an Emergency</w:t>
      </w:r>
    </w:p>
    <w:p w:rsidRPr="009B72A2" w:rsidR="009B72A2" w:rsidP="009B72A2" w:rsidRDefault="009B72A2" w14:paraId="0447F004" w14:textId="77777777">
      <w:pPr>
        <w:pStyle w:val="ListParagraph"/>
        <w:rPr>
          <w:b/>
        </w:rPr>
      </w:pPr>
    </w:p>
    <w:p w:rsidRPr="009B72A2" w:rsidR="003F1710" w:rsidP="009B72A2" w:rsidRDefault="003F1710" w14:paraId="56CF8877" w14:textId="77777777">
      <w:pPr>
        <w:pStyle w:val="ListParagraph"/>
        <w:numPr>
          <w:ilvl w:val="0"/>
          <w:numId w:val="27"/>
        </w:numPr>
        <w:rPr>
          <w:b/>
          <w:u w:val="single"/>
        </w:rPr>
      </w:pPr>
      <w:r w:rsidRPr="009B72A2">
        <w:rPr>
          <w:i/>
        </w:rPr>
        <w:t xml:space="preserve">Who </w:t>
      </w:r>
      <w:r w:rsidR="00A43AFF">
        <w:rPr>
          <w:i/>
        </w:rPr>
        <w:t>m</w:t>
      </w:r>
      <w:r w:rsidRPr="009B72A2">
        <w:rPr>
          <w:i/>
        </w:rPr>
        <w:t xml:space="preserve">ay </w:t>
      </w:r>
      <w:r w:rsidR="00A43AFF">
        <w:rPr>
          <w:i/>
        </w:rPr>
        <w:t>r</w:t>
      </w:r>
      <w:r w:rsidRPr="009B72A2">
        <w:rPr>
          <w:i/>
        </w:rPr>
        <w:t xml:space="preserve">equest TSCA CBI in an </w:t>
      </w:r>
      <w:proofErr w:type="gramStart"/>
      <w:r w:rsidR="00A43AFF">
        <w:rPr>
          <w:i/>
        </w:rPr>
        <w:t>e</w:t>
      </w:r>
      <w:r w:rsidRPr="009B72A2">
        <w:rPr>
          <w:i/>
        </w:rPr>
        <w:t>mergency</w:t>
      </w:r>
      <w:proofErr w:type="gramEnd"/>
    </w:p>
    <w:p w:rsidRPr="009B72A2" w:rsidR="003F1710" w:rsidP="003F1710" w:rsidRDefault="003F1710" w14:paraId="72B33437" w14:textId="77777777">
      <w:pPr>
        <w:pStyle w:val="ListParagraph"/>
        <w:numPr>
          <w:ilvl w:val="0"/>
          <w:numId w:val="27"/>
        </w:numPr>
        <w:rPr>
          <w:i/>
        </w:rPr>
      </w:pPr>
      <w:r w:rsidRPr="009B72A2">
        <w:rPr>
          <w:i/>
        </w:rPr>
        <w:t>Emergency event</w:t>
      </w:r>
    </w:p>
    <w:p w:rsidRPr="009B72A2" w:rsidR="003F1710" w:rsidP="009B72A2" w:rsidRDefault="003F1710" w14:paraId="5FE70CE7" w14:textId="77777777">
      <w:pPr>
        <w:pStyle w:val="ListParagraph"/>
        <w:numPr>
          <w:ilvl w:val="1"/>
          <w:numId w:val="27"/>
        </w:numPr>
        <w:spacing w:after="0" w:line="240" w:lineRule="auto"/>
        <w:rPr>
          <w:rFonts w:cstheme="minorHAnsi"/>
        </w:rPr>
      </w:pPr>
      <w:r w:rsidRPr="009B72A2">
        <w:rPr>
          <w:rFonts w:cstheme="minorHAnsi"/>
          <w:i/>
        </w:rPr>
        <w:t>A medical, public health, or environmental emergency exists</w:t>
      </w:r>
    </w:p>
    <w:p w:rsidRPr="009B72A2" w:rsidR="003F1710" w:rsidP="009B72A2" w:rsidRDefault="003F1710" w14:paraId="3DE6DB8D" w14:textId="03C325B1">
      <w:pPr>
        <w:pStyle w:val="ListParagraph"/>
        <w:numPr>
          <w:ilvl w:val="1"/>
          <w:numId w:val="27"/>
        </w:numPr>
        <w:rPr>
          <w:b/>
          <w:u w:val="single"/>
        </w:rPr>
      </w:pPr>
      <w:r w:rsidRPr="009B72A2">
        <w:rPr>
          <w:rFonts w:cs="Times New Roman"/>
          <w:i/>
        </w:rPr>
        <w:t xml:space="preserve">The Information is </w:t>
      </w:r>
      <w:r w:rsidR="00A43AFF">
        <w:rPr>
          <w:rFonts w:cs="Times New Roman"/>
          <w:i/>
        </w:rPr>
        <w:t>n</w:t>
      </w:r>
      <w:r w:rsidRPr="009B72A2">
        <w:rPr>
          <w:rFonts w:cs="Times New Roman"/>
          <w:i/>
        </w:rPr>
        <w:t xml:space="preserve">ecessary for </w:t>
      </w:r>
      <w:r w:rsidR="00873A92">
        <w:rPr>
          <w:rFonts w:cs="Times New Roman"/>
          <w:i/>
        </w:rPr>
        <w:t xml:space="preserve">or will assist in </w:t>
      </w:r>
      <w:r w:rsidR="00A43AFF">
        <w:rPr>
          <w:rFonts w:cs="Times New Roman"/>
          <w:i/>
        </w:rPr>
        <w:t>e</w:t>
      </w:r>
      <w:r w:rsidRPr="009B72A2">
        <w:rPr>
          <w:rFonts w:cs="Times New Roman"/>
          <w:i/>
        </w:rPr>
        <w:t xml:space="preserve">mergency or </w:t>
      </w:r>
      <w:r w:rsidR="00A43AFF">
        <w:rPr>
          <w:rFonts w:cs="Times New Roman"/>
          <w:i/>
        </w:rPr>
        <w:t>f</w:t>
      </w:r>
      <w:r w:rsidRPr="009B72A2">
        <w:rPr>
          <w:rFonts w:cs="Times New Roman"/>
          <w:i/>
        </w:rPr>
        <w:t xml:space="preserve">irst-aid </w:t>
      </w:r>
      <w:r w:rsidR="00A43AFF">
        <w:rPr>
          <w:rFonts w:cs="Times New Roman"/>
          <w:i/>
        </w:rPr>
        <w:t>d</w:t>
      </w:r>
      <w:r w:rsidRPr="009B72A2">
        <w:rPr>
          <w:rFonts w:cs="Times New Roman"/>
          <w:i/>
        </w:rPr>
        <w:t>iagnosis or</w:t>
      </w:r>
      <w:r w:rsidR="00A43AFF">
        <w:rPr>
          <w:rFonts w:cs="Times New Roman"/>
          <w:i/>
        </w:rPr>
        <w:t xml:space="preserve"> t</w:t>
      </w:r>
      <w:r w:rsidRPr="009B72A2">
        <w:rPr>
          <w:rFonts w:cs="Times New Roman"/>
          <w:i/>
        </w:rPr>
        <w:t>reatment</w:t>
      </w:r>
    </w:p>
    <w:p w:rsidRPr="009B72A2" w:rsidR="003F1710" w:rsidP="009B72A2" w:rsidRDefault="003F1710" w14:paraId="5C817DB2" w14:textId="77777777">
      <w:pPr>
        <w:pStyle w:val="ListParagraph"/>
        <w:numPr>
          <w:ilvl w:val="1"/>
          <w:numId w:val="27"/>
        </w:numPr>
        <w:rPr>
          <w:b/>
          <w:u w:val="single"/>
        </w:rPr>
      </w:pPr>
      <w:r w:rsidRPr="009B72A2">
        <w:rPr>
          <w:rFonts w:cs="Times New Roman"/>
          <w:i/>
        </w:rPr>
        <w:t xml:space="preserve">Likely </w:t>
      </w:r>
      <w:r w:rsidR="00A43AFF">
        <w:rPr>
          <w:rFonts w:cs="Times New Roman"/>
          <w:i/>
        </w:rPr>
        <w:t>e</w:t>
      </w:r>
      <w:r w:rsidRPr="009B72A2">
        <w:rPr>
          <w:rFonts w:cs="Times New Roman"/>
          <w:i/>
        </w:rPr>
        <w:t xml:space="preserve">xposure or </w:t>
      </w:r>
      <w:r w:rsidR="00A43AFF">
        <w:rPr>
          <w:rFonts w:cs="Times New Roman"/>
          <w:i/>
        </w:rPr>
        <w:t>s</w:t>
      </w:r>
      <w:r w:rsidRPr="009B72A2">
        <w:rPr>
          <w:rFonts w:cs="Times New Roman"/>
          <w:i/>
        </w:rPr>
        <w:t xml:space="preserve">erious </w:t>
      </w:r>
      <w:r w:rsidR="00A43AFF">
        <w:rPr>
          <w:rFonts w:cs="Times New Roman"/>
          <w:i/>
        </w:rPr>
        <w:t>e</w:t>
      </w:r>
      <w:r w:rsidRPr="009B72A2">
        <w:rPr>
          <w:rFonts w:cs="Times New Roman"/>
          <w:i/>
        </w:rPr>
        <w:t xml:space="preserve">nvironmental </w:t>
      </w:r>
      <w:r w:rsidR="00A43AFF">
        <w:rPr>
          <w:rFonts w:cs="Times New Roman"/>
          <w:i/>
        </w:rPr>
        <w:t>r</w:t>
      </w:r>
      <w:r w:rsidRPr="009B72A2">
        <w:rPr>
          <w:rFonts w:cs="Times New Roman"/>
          <w:i/>
        </w:rPr>
        <w:t>elease</w:t>
      </w:r>
    </w:p>
    <w:p w:rsidRPr="009B72A2" w:rsidR="009B72A2" w:rsidP="009B72A2" w:rsidRDefault="009B72A2" w14:paraId="6EC00ED2" w14:textId="77777777">
      <w:pPr>
        <w:pStyle w:val="ListParagraph"/>
        <w:ind w:left="2160"/>
        <w:rPr>
          <w:b/>
          <w:u w:val="single"/>
        </w:rPr>
      </w:pPr>
    </w:p>
    <w:p w:rsidR="003F1710" w:rsidP="009B72A2" w:rsidRDefault="003F1710" w14:paraId="5905837A" w14:textId="77777777">
      <w:pPr>
        <w:pStyle w:val="ListParagraph"/>
        <w:numPr>
          <w:ilvl w:val="0"/>
          <w:numId w:val="3"/>
        </w:numPr>
        <w:spacing w:after="0" w:line="240" w:lineRule="auto"/>
        <w:ind w:left="720"/>
        <w:rPr>
          <w:rFonts w:cs="Times New Roman"/>
          <w:b/>
        </w:rPr>
      </w:pPr>
      <w:r w:rsidRPr="009B72A2">
        <w:rPr>
          <w:rFonts w:cs="Times New Roman"/>
          <w:b/>
        </w:rPr>
        <w:t>During the Emergency: Requesting CBI</w:t>
      </w:r>
    </w:p>
    <w:p w:rsidRPr="009B72A2" w:rsidR="009B72A2" w:rsidP="009B72A2" w:rsidRDefault="009B72A2" w14:paraId="4391BC75" w14:textId="77777777">
      <w:pPr>
        <w:pStyle w:val="ListParagraph"/>
        <w:spacing w:after="0" w:line="240" w:lineRule="auto"/>
        <w:rPr>
          <w:rFonts w:cs="Times New Roman"/>
          <w:b/>
        </w:rPr>
      </w:pPr>
    </w:p>
    <w:p w:rsidRPr="009B72A2" w:rsidR="003F1710" w:rsidP="009B72A2" w:rsidRDefault="003F1710" w14:paraId="48F7A5E0" w14:textId="77777777">
      <w:pPr>
        <w:pStyle w:val="ListParagraph"/>
        <w:numPr>
          <w:ilvl w:val="0"/>
          <w:numId w:val="28"/>
        </w:numPr>
        <w:spacing w:after="0" w:line="240" w:lineRule="auto"/>
        <w:ind w:left="1440"/>
        <w:rPr>
          <w:rFonts w:cs="Times New Roman"/>
          <w:b/>
        </w:rPr>
      </w:pPr>
      <w:r w:rsidRPr="009B72A2">
        <w:rPr>
          <w:i/>
        </w:rPr>
        <w:t>Where to request CBI in an emergency</w:t>
      </w:r>
    </w:p>
    <w:p w:rsidRPr="009B72A2" w:rsidR="009B72A2" w:rsidP="009B72A2" w:rsidRDefault="009B72A2" w14:paraId="5FA36641" w14:textId="77777777">
      <w:pPr>
        <w:pStyle w:val="ListParagraph"/>
        <w:numPr>
          <w:ilvl w:val="0"/>
          <w:numId w:val="28"/>
        </w:numPr>
        <w:spacing w:after="0" w:line="240" w:lineRule="auto"/>
        <w:ind w:left="1440"/>
        <w:rPr>
          <w:rFonts w:cs="Times New Roman"/>
          <w:b/>
        </w:rPr>
      </w:pPr>
      <w:r w:rsidRPr="009B72A2">
        <w:rPr>
          <w:i/>
        </w:rPr>
        <w:t xml:space="preserve">Verification of </w:t>
      </w:r>
      <w:r w:rsidR="00A43AFF">
        <w:rPr>
          <w:i/>
        </w:rPr>
        <w:t>e</w:t>
      </w:r>
      <w:r w:rsidRPr="009B72A2">
        <w:rPr>
          <w:i/>
        </w:rPr>
        <w:t>ligibility</w:t>
      </w:r>
    </w:p>
    <w:p w:rsidRPr="009B72A2" w:rsidR="009B72A2" w:rsidP="009B72A2" w:rsidRDefault="009B72A2" w14:paraId="1A96AA53" w14:textId="77777777">
      <w:pPr>
        <w:pStyle w:val="ListParagraph"/>
        <w:numPr>
          <w:ilvl w:val="0"/>
          <w:numId w:val="28"/>
        </w:numPr>
        <w:ind w:left="1440"/>
        <w:rPr>
          <w:i/>
        </w:rPr>
      </w:pPr>
      <w:r w:rsidRPr="009B72A2">
        <w:rPr>
          <w:i/>
        </w:rPr>
        <w:t>Describing the information sought</w:t>
      </w:r>
    </w:p>
    <w:p w:rsidR="009835B3" w:rsidP="009835B3" w:rsidRDefault="009B72A2" w14:paraId="2110FC69" w14:textId="77777777">
      <w:pPr>
        <w:pStyle w:val="ListParagraph"/>
        <w:numPr>
          <w:ilvl w:val="0"/>
          <w:numId w:val="28"/>
        </w:numPr>
        <w:ind w:left="1440"/>
        <w:rPr>
          <w:i/>
        </w:rPr>
      </w:pPr>
      <w:r w:rsidRPr="009B72A2">
        <w:rPr>
          <w:i/>
        </w:rPr>
        <w:t>Describing the emergency and circumstances; required affirmations</w:t>
      </w:r>
    </w:p>
    <w:p w:rsidRPr="009835B3" w:rsidR="009835B3" w:rsidP="009835B3" w:rsidRDefault="009835B3" w14:paraId="23AFFBD9" w14:textId="77777777">
      <w:pPr>
        <w:pStyle w:val="ListParagraph"/>
        <w:numPr>
          <w:ilvl w:val="0"/>
          <w:numId w:val="28"/>
        </w:numPr>
        <w:ind w:left="1440"/>
        <w:rPr>
          <w:i/>
        </w:rPr>
      </w:pPr>
      <w:r w:rsidRPr="009835B3">
        <w:rPr>
          <w:i/>
        </w:rPr>
        <w:t>Handling the information during and after the emergency</w:t>
      </w:r>
    </w:p>
    <w:p w:rsidRPr="009B72A2" w:rsidR="009B72A2" w:rsidP="009B72A2" w:rsidRDefault="009B72A2" w14:paraId="315D740C" w14:textId="77777777">
      <w:pPr>
        <w:rPr>
          <w:u w:val="single"/>
        </w:rPr>
      </w:pPr>
      <w:r w:rsidRPr="009B72A2">
        <w:rPr>
          <w:b/>
        </w:rPr>
        <w:t>IV</w:t>
      </w:r>
      <w:r w:rsidRPr="009B72A2">
        <w:t xml:space="preserve">.  </w:t>
      </w:r>
      <w:r w:rsidRPr="009B72A2">
        <w:tab/>
      </w:r>
      <w:r w:rsidRPr="009B72A2">
        <w:rPr>
          <w:b/>
        </w:rPr>
        <w:t xml:space="preserve">Additional Requirements </w:t>
      </w:r>
      <w:r w:rsidR="001430D9">
        <w:rPr>
          <w:b/>
        </w:rPr>
        <w:t>at</w:t>
      </w:r>
      <w:r w:rsidRPr="009B72A2">
        <w:rPr>
          <w:b/>
        </w:rPr>
        <w:t xml:space="preserve"> the Request of the Person Who Made the CBI Claim</w:t>
      </w:r>
    </w:p>
    <w:p w:rsidRPr="009B72A2" w:rsidR="009B72A2" w:rsidP="009B72A2" w:rsidRDefault="009B72A2" w14:paraId="6939BD62" w14:textId="77777777">
      <w:pPr>
        <w:pStyle w:val="ListParagraph"/>
        <w:numPr>
          <w:ilvl w:val="0"/>
          <w:numId w:val="29"/>
        </w:numPr>
        <w:spacing w:after="0" w:line="240" w:lineRule="auto"/>
        <w:ind w:left="1440"/>
        <w:rPr>
          <w:rFonts w:cs="Times New Roman"/>
          <w:b/>
        </w:rPr>
      </w:pPr>
      <w:r w:rsidRPr="009B72A2">
        <w:rPr>
          <w:i/>
        </w:rPr>
        <w:t>Written statement of need</w:t>
      </w:r>
    </w:p>
    <w:p w:rsidRPr="009B72A2" w:rsidR="009B72A2" w:rsidP="009B72A2" w:rsidRDefault="009B72A2" w14:paraId="67234E50" w14:textId="77777777">
      <w:pPr>
        <w:pStyle w:val="ListParagraph"/>
        <w:numPr>
          <w:ilvl w:val="0"/>
          <w:numId w:val="29"/>
        </w:numPr>
        <w:spacing w:after="0" w:line="240" w:lineRule="auto"/>
        <w:ind w:left="1440"/>
        <w:rPr>
          <w:rFonts w:cs="Times New Roman"/>
          <w:b/>
        </w:rPr>
      </w:pPr>
      <w:r w:rsidRPr="009B72A2">
        <w:rPr>
          <w:i/>
        </w:rPr>
        <w:t xml:space="preserve">Confidentiality </w:t>
      </w:r>
      <w:r w:rsidR="00A43AFF">
        <w:rPr>
          <w:i/>
        </w:rPr>
        <w:t>a</w:t>
      </w:r>
      <w:r w:rsidRPr="009B72A2">
        <w:rPr>
          <w:i/>
        </w:rPr>
        <w:t>greement</w:t>
      </w:r>
    </w:p>
    <w:p w:rsidRPr="00E72ACF" w:rsidR="003F1710" w:rsidP="009B72A2" w:rsidRDefault="003F1710" w14:paraId="50803A9D" w14:textId="77777777">
      <w:pPr>
        <w:pStyle w:val="ListParagraph"/>
        <w:rPr>
          <w:b/>
          <w:sz w:val="26"/>
        </w:rPr>
      </w:pPr>
    </w:p>
    <w:p w:rsidRPr="002B721E" w:rsidR="00C87B08" w:rsidP="00C87B08" w:rsidRDefault="00C87B08" w14:paraId="625573EC" w14:textId="77777777"/>
    <w:p w:rsidRPr="002B721E" w:rsidR="00C87B08" w:rsidP="00C87B08" w:rsidRDefault="00C87B08" w14:paraId="034D0B3E" w14:textId="77777777"/>
    <w:p w:rsidRPr="002B721E" w:rsidR="00C87B08" w:rsidP="00C87B08" w:rsidRDefault="00C87B08" w14:paraId="3DB4E938" w14:textId="77777777"/>
    <w:p w:rsidRPr="002B721E" w:rsidR="00C87B08" w:rsidP="00C87B08" w:rsidRDefault="00C87B08" w14:paraId="6063DCD1" w14:textId="77777777"/>
    <w:p w:rsidRPr="002B721E" w:rsidR="00C87B08" w:rsidP="00C87B08" w:rsidRDefault="00C87B08" w14:paraId="721B15BD" w14:textId="77777777"/>
    <w:p w:rsidRPr="002B721E" w:rsidR="00C87B08" w:rsidP="00C87B08" w:rsidRDefault="00C87B08" w14:paraId="141DEF5F" w14:textId="77777777"/>
    <w:p w:rsidR="007672C4" w:rsidP="00C87B08" w:rsidRDefault="007672C4" w14:paraId="5B74BECA" w14:textId="77777777"/>
    <w:p w:rsidR="00D22B5C" w:rsidP="00C87B08" w:rsidRDefault="00D22B5C" w14:paraId="24D244A5" w14:textId="77777777"/>
    <w:p w:rsidR="00D22B5C" w:rsidP="00C87B08" w:rsidRDefault="00D22B5C" w14:paraId="31A02730" w14:textId="77777777"/>
    <w:p w:rsidR="00D22B5C" w:rsidP="00C87B08" w:rsidRDefault="00D22B5C" w14:paraId="680C2D95" w14:textId="4BBD4534"/>
    <w:p w:rsidR="00644E91" w:rsidP="00C87B08" w:rsidRDefault="00644E91" w14:paraId="3714C038" w14:textId="77777777"/>
    <w:p w:rsidR="0091012B" w:rsidP="00C87B08" w:rsidRDefault="0091012B" w14:paraId="499D61B7" w14:textId="77777777"/>
    <w:p w:rsidRPr="00E72ACF" w:rsidR="003B52BA" w:rsidP="009B72A2" w:rsidRDefault="003B52BA" w14:paraId="7AC26B76" w14:textId="77777777">
      <w:pPr>
        <w:pStyle w:val="ListParagraph"/>
        <w:numPr>
          <w:ilvl w:val="0"/>
          <w:numId w:val="26"/>
        </w:numPr>
        <w:rPr>
          <w:b/>
          <w:sz w:val="26"/>
        </w:rPr>
      </w:pPr>
      <w:r w:rsidRPr="0091012B">
        <w:rPr>
          <w:b/>
        </w:rPr>
        <w:lastRenderedPageBreak/>
        <w:t>Definitions</w:t>
      </w:r>
    </w:p>
    <w:p w:rsidRPr="00E31F5B" w:rsidR="00CD744D" w:rsidP="00644E91" w:rsidRDefault="00CD744D" w14:paraId="0FA198DD" w14:textId="251595BD">
      <w:pPr>
        <w:spacing w:after="100" w:afterAutospacing="1"/>
      </w:pPr>
      <w:r>
        <w:t xml:space="preserve">Agent of a poison control </w:t>
      </w:r>
      <w:r w:rsidRPr="00E31F5B">
        <w:t xml:space="preserve">center: </w:t>
      </w:r>
      <w:r w:rsidRPr="00AE4A24">
        <w:t>person employed by a poison control center.</w:t>
      </w:r>
    </w:p>
    <w:p w:rsidRPr="00E31F5B" w:rsidR="00CD744D" w:rsidP="00644E91" w:rsidRDefault="00644E91" w14:paraId="457207AA" w14:textId="7D5FC176">
      <w:pPr>
        <w:spacing w:after="100" w:afterAutospacing="1"/>
      </w:pPr>
      <w:r>
        <w:t>Environment:</w:t>
      </w:r>
      <w:r w:rsidRPr="00E31F5B" w:rsidR="00CD744D">
        <w:t xml:space="preserve"> </w:t>
      </w:r>
      <w:r w:rsidR="00CD744D">
        <w:t>includes water, air, and land and the interrelationship which exists among and between water, air, and land and all living things.</w:t>
      </w:r>
    </w:p>
    <w:p w:rsidRPr="0091012B" w:rsidR="00CD744D" w:rsidP="00644E91" w:rsidRDefault="00CD744D" w14:paraId="155C990B" w14:textId="32CD5437">
      <w:pPr>
        <w:spacing w:after="100" w:afterAutospacing="1"/>
        <w:rPr>
          <w:rFonts w:cstheme="minorHAnsi"/>
        </w:rPr>
      </w:pPr>
      <w:r w:rsidRPr="00074F83">
        <w:rPr>
          <w:rFonts w:cstheme="minorHAnsi"/>
        </w:rPr>
        <w:t xml:space="preserve">Environmental </w:t>
      </w:r>
      <w:r w:rsidR="000D5E89">
        <w:rPr>
          <w:rFonts w:cstheme="minorHAnsi"/>
        </w:rPr>
        <w:t>e</w:t>
      </w:r>
      <w:r w:rsidRPr="00074F83">
        <w:rPr>
          <w:rFonts w:cstheme="minorHAnsi"/>
        </w:rPr>
        <w:t xml:space="preserve">mergency: includes the environmental impacts of industrial and/or technological incidents, and of natural disasters and complex emergencies, that require technical support </w:t>
      </w:r>
      <w:proofErr w:type="gramStart"/>
      <w:r w:rsidRPr="00074F83">
        <w:rPr>
          <w:rFonts w:cstheme="minorHAnsi"/>
        </w:rPr>
        <w:t>in order to</w:t>
      </w:r>
      <w:proofErr w:type="gramEnd"/>
      <w:r w:rsidRPr="00074F83">
        <w:rPr>
          <w:rFonts w:cstheme="minorHAnsi"/>
        </w:rPr>
        <w:t xml:space="preserve"> respond effectively to minimize negative environmental impacts, and </w:t>
      </w:r>
      <w:r w:rsidRPr="00074F83">
        <w:t>to recover quickly and sustainably.</w:t>
      </w:r>
    </w:p>
    <w:p w:rsidR="00CD744D" w:rsidP="00644E91" w:rsidRDefault="00CD744D" w14:paraId="1C67FEBC" w14:textId="2E540453">
      <w:pPr>
        <w:spacing w:after="100" w:afterAutospacing="1"/>
      </w:pPr>
      <w:r w:rsidRPr="00E31F5B">
        <w:t xml:space="preserve">First responder: </w:t>
      </w:r>
      <w:proofErr w:type="gramStart"/>
      <w:r w:rsidR="00261C01">
        <w:t>a</w:t>
      </w:r>
      <w:proofErr w:type="gramEnd"/>
      <w:r w:rsidR="00261C01">
        <w:t xml:space="preserve"> Federal, State, and local government or nongovernment emergency public safety, fire, law enforcement, emergency response, emergency medical, and related personnel. </w:t>
      </w:r>
      <w:r w:rsidR="00644E91">
        <w:t xml:space="preserve"> </w:t>
      </w:r>
      <w:r w:rsidR="00261C01">
        <w:t xml:space="preserve">This term includes (but is not limited to) </w:t>
      </w:r>
      <w:r w:rsidRPr="00E31F5B">
        <w:t>any individual duly authorized by a Federal agency, State, political subdivision of a State, or tribal government who is trained in urgent medical care or other emergency procedures, including a police officer, firefighter, or emergency medical technician</w:t>
      </w:r>
      <w:r>
        <w:t xml:space="preserve">.  </w:t>
      </w:r>
    </w:p>
    <w:p w:rsidRPr="00F21861" w:rsidR="00F21861" w:rsidP="00644E91" w:rsidRDefault="00F21861" w14:paraId="375CD8AE" w14:textId="3C263932">
      <w:pPr>
        <w:spacing w:after="100" w:afterAutospacing="1"/>
      </w:pPr>
      <w:r>
        <w:t>Local government</w:t>
      </w:r>
      <w:r w:rsidRPr="001619BE">
        <w:t xml:space="preserve">: </w:t>
      </w:r>
      <w:r>
        <w:t xml:space="preserve">(i.e., “political sub-division of a state”) </w:t>
      </w:r>
      <w:r w:rsidRPr="000B3F29">
        <w:t>a separate legal entity of a State which usually has specific governmental functions.  The term ordinarily includes a county, city, town, village, or school district, and, in many States, a sanitation, utility, reclamation, drainage, flood control, or similar district</w:t>
      </w:r>
      <w:r>
        <w:t xml:space="preserve">.  </w:t>
      </w:r>
    </w:p>
    <w:p w:rsidR="000D5E89" w:rsidP="00644E91" w:rsidRDefault="00CD744D" w14:paraId="3309A86A" w14:textId="0A248AAA">
      <w:pPr>
        <w:tabs>
          <w:tab w:val="left" w:pos="2430"/>
        </w:tabs>
        <w:spacing w:after="100" w:afterAutospacing="1" w:line="240" w:lineRule="auto"/>
        <w:rPr>
          <w:color w:val="333333"/>
        </w:rPr>
      </w:pPr>
      <w:bookmarkStart w:name="_Hlk516588800" w:id="3"/>
      <w:r w:rsidRPr="00AE76B0">
        <w:t xml:space="preserve">Medical </w:t>
      </w:r>
      <w:r w:rsidR="000D5E89">
        <w:t>e</w:t>
      </w:r>
      <w:r w:rsidRPr="00B969FA">
        <w:t>mergency:</w:t>
      </w:r>
      <w:r>
        <w:t xml:space="preserve"> </w:t>
      </w:r>
      <w:r w:rsidRPr="00B969FA">
        <w:t xml:space="preserve">any unforeseen condition which a </w:t>
      </w:r>
      <w:r w:rsidR="00261C01">
        <w:t xml:space="preserve">physician, nurse, or other </w:t>
      </w:r>
      <w:r w:rsidRPr="00B969FA">
        <w:t xml:space="preserve">professional </w:t>
      </w:r>
      <w:r w:rsidR="00226D72">
        <w:t xml:space="preserve">whose employment is </w:t>
      </w:r>
      <w:r w:rsidRPr="00F72ED3" w:rsidR="00226D72">
        <w:rPr>
          <w:rFonts w:cstheme="minorHAnsi"/>
          <w:noProof/>
        </w:rPr>
        <w:t>principally concerned with human health matters</w:t>
      </w:r>
      <w:r w:rsidRPr="00B969FA" w:rsidR="00226D72">
        <w:t xml:space="preserve"> </w:t>
      </w:r>
      <w:r w:rsidRPr="00B969FA">
        <w:t>would judge to require urgent and unscheduled medical attention</w:t>
      </w:r>
      <w:r>
        <w:t>.</w:t>
      </w:r>
      <w:r w:rsidRPr="00B969FA">
        <w:t xml:space="preserve"> </w:t>
      </w:r>
      <w:r>
        <w:t xml:space="preserve"> </w:t>
      </w:r>
      <w:r w:rsidRPr="00B969FA">
        <w:t xml:space="preserve">Such a condition is one which results in sudden and/or </w:t>
      </w:r>
      <w:r w:rsidR="00261C01">
        <w:t xml:space="preserve">potentially </w:t>
      </w:r>
      <w:r w:rsidRPr="00B969FA">
        <w:t>serious symptom(s</w:t>
      </w:r>
      <w:r w:rsidRPr="00074F83">
        <w:t>) constituting a threat to a person's physical or psychological well-being and which requires immediate medical attention to prevent possible deterioration, disability, or death.</w:t>
      </w:r>
      <w:r w:rsidRPr="00074F83">
        <w:rPr>
          <w:color w:val="333333"/>
        </w:rPr>
        <w:t xml:space="preserve"> </w:t>
      </w:r>
      <w:bookmarkEnd w:id="3"/>
    </w:p>
    <w:p w:rsidR="00CD744D" w:rsidP="00644E91" w:rsidRDefault="0070784C" w14:paraId="092F8395" w14:textId="5434BD24">
      <w:pPr>
        <w:spacing w:after="100" w:afterAutospacing="1"/>
      </w:pPr>
      <w:r w:rsidRPr="00451733">
        <w:t xml:space="preserve">Nurse: a nurse (e.g., a nurse practitioner, clinical nurse specialist, licensed practical nurse, certified-nurse midwife, registered nurse, or physician’s assistant) who </w:t>
      </w:r>
      <w:r w:rsidRPr="0091012B">
        <w:rPr>
          <w:color w:val="000000" w:themeColor="text1"/>
        </w:rPr>
        <w:t>is licensed or otherwise legally authorized to provide medical consultation or nursing care to an individual in the State where such services are performed.</w:t>
      </w:r>
    </w:p>
    <w:p w:rsidRPr="002B721E" w:rsidR="00CD744D" w:rsidP="00644E91" w:rsidRDefault="0070784C" w14:paraId="7ED7A8A4" w14:textId="03FA9CF6">
      <w:pPr>
        <w:spacing w:after="100" w:afterAutospacing="1"/>
      </w:pPr>
      <w:r w:rsidRPr="00451733">
        <w:t xml:space="preserve">Physician: a physician (e.g., a </w:t>
      </w:r>
      <w:proofErr w:type="gramStart"/>
      <w:r w:rsidRPr="00451733">
        <w:t>doctor of medicine</w:t>
      </w:r>
      <w:proofErr w:type="gramEnd"/>
      <w:r w:rsidRPr="00451733">
        <w:t xml:space="preserve"> or osteopathy)</w:t>
      </w:r>
      <w:r w:rsidRPr="0091012B">
        <w:rPr>
          <w:color w:val="000000" w:themeColor="text1"/>
        </w:rPr>
        <w:t xml:space="preserve"> who is licensed or otherwise legally authorized to practice medicine and furnish medical treatment to an individual in the State where such services are performed.</w:t>
      </w:r>
    </w:p>
    <w:p w:rsidRPr="00074F83" w:rsidR="00CD744D" w:rsidP="00644E91" w:rsidRDefault="00CD744D" w14:paraId="326DA0A7" w14:textId="3A24214F">
      <w:pPr>
        <w:tabs>
          <w:tab w:val="left" w:pos="2430"/>
        </w:tabs>
        <w:spacing w:after="100" w:afterAutospacing="1" w:line="240" w:lineRule="auto"/>
        <w:rPr>
          <w:rFonts w:cstheme="minorHAnsi"/>
          <w:b/>
        </w:rPr>
      </w:pPr>
      <w:r w:rsidRPr="00074F83">
        <w:rPr>
          <w:rFonts w:cstheme="minorHAnsi"/>
        </w:rPr>
        <w:t xml:space="preserve">Public </w:t>
      </w:r>
      <w:r w:rsidR="000D5E89">
        <w:rPr>
          <w:rFonts w:cstheme="minorHAnsi"/>
        </w:rPr>
        <w:t>h</w:t>
      </w:r>
      <w:r w:rsidRPr="00074F83">
        <w:rPr>
          <w:rFonts w:cstheme="minorHAnsi"/>
        </w:rPr>
        <w:t xml:space="preserve">ealth </w:t>
      </w:r>
      <w:r w:rsidR="000D5E89">
        <w:rPr>
          <w:rFonts w:cstheme="minorHAnsi"/>
        </w:rPr>
        <w:t>e</w:t>
      </w:r>
      <w:r w:rsidRPr="00074F83">
        <w:rPr>
          <w:rFonts w:cstheme="minorHAnsi"/>
        </w:rPr>
        <w:t xml:space="preserve">mergency:  </w:t>
      </w:r>
      <w:r w:rsidRPr="00074F83">
        <w:rPr>
          <w:rFonts w:cstheme="minorHAnsi"/>
          <w:iCs/>
          <w:color w:val="222222"/>
          <w:shd w:val="clear" w:color="auto" w:fill="FFFFFF"/>
        </w:rPr>
        <w:t xml:space="preserve">an emergency need for health care </w:t>
      </w:r>
      <w:r>
        <w:rPr>
          <w:rFonts w:cstheme="minorHAnsi"/>
          <w:iCs/>
          <w:color w:val="222222"/>
          <w:shd w:val="clear" w:color="auto" w:fill="FFFFFF"/>
        </w:rPr>
        <w:t>(</w:t>
      </w:r>
      <w:r w:rsidRPr="00074F83">
        <w:rPr>
          <w:rFonts w:cstheme="minorHAnsi"/>
          <w:iCs/>
          <w:color w:val="222222"/>
          <w:shd w:val="clear" w:color="auto" w:fill="FFFFFF"/>
        </w:rPr>
        <w:t>medical</w:t>
      </w:r>
      <w:r>
        <w:rPr>
          <w:rFonts w:cstheme="minorHAnsi"/>
          <w:iCs/>
          <w:color w:val="222222"/>
          <w:shd w:val="clear" w:color="auto" w:fill="FFFFFF"/>
        </w:rPr>
        <w:t>)</w:t>
      </w:r>
      <w:r w:rsidRPr="00074F83">
        <w:rPr>
          <w:rFonts w:cstheme="minorHAnsi"/>
          <w:iCs/>
          <w:color w:val="222222"/>
          <w:shd w:val="clear" w:color="auto" w:fill="FFFFFF"/>
        </w:rPr>
        <w:t xml:space="preserve"> services to respond to a disaster</w:t>
      </w:r>
      <w:r w:rsidR="00DF69B3">
        <w:rPr>
          <w:rFonts w:cstheme="minorHAnsi"/>
          <w:iCs/>
          <w:color w:val="222222"/>
          <w:shd w:val="clear" w:color="auto" w:fill="FFFFFF"/>
        </w:rPr>
        <w:t xml:space="preserve"> (including disasters that are related to a serious environmental release of a chemical, fire, or explosion)</w:t>
      </w:r>
      <w:r w:rsidRPr="00074F83">
        <w:rPr>
          <w:rFonts w:cstheme="minorHAnsi"/>
          <w:iCs/>
          <w:color w:val="222222"/>
          <w:shd w:val="clear" w:color="auto" w:fill="FFFFFF"/>
        </w:rPr>
        <w:t xml:space="preserve">, significant outbreak of an infectious disease, bioterrorist attack or other significant or catastrophic event. </w:t>
      </w:r>
      <w:r>
        <w:rPr>
          <w:rFonts w:cstheme="minorHAnsi"/>
          <w:iCs/>
          <w:color w:val="222222"/>
          <w:shd w:val="clear" w:color="auto" w:fill="FFFFFF"/>
        </w:rPr>
        <w:t xml:space="preserve"> </w:t>
      </w:r>
      <w:r w:rsidRPr="00074F83">
        <w:rPr>
          <w:rFonts w:cstheme="minorHAnsi"/>
          <w:iCs/>
          <w:color w:val="222222"/>
          <w:shd w:val="clear" w:color="auto" w:fill="FFFFFF"/>
        </w:rPr>
        <w:t xml:space="preserve">A public health emergency may include but is not limited to, </w:t>
      </w:r>
      <w:r>
        <w:rPr>
          <w:rFonts w:cstheme="minorHAnsi"/>
          <w:iCs/>
          <w:color w:val="222222"/>
          <w:shd w:val="clear" w:color="auto" w:fill="FFFFFF"/>
        </w:rPr>
        <w:t xml:space="preserve">a </w:t>
      </w:r>
      <w:r w:rsidRPr="00074F83">
        <w:rPr>
          <w:rFonts w:cstheme="minorHAnsi"/>
          <w:iCs/>
          <w:color w:val="222222"/>
          <w:shd w:val="clear" w:color="auto" w:fill="FFFFFF"/>
        </w:rPr>
        <w:t>public health emergenc</w:t>
      </w:r>
      <w:r>
        <w:rPr>
          <w:rFonts w:cstheme="minorHAnsi"/>
          <w:iCs/>
          <w:color w:val="222222"/>
          <w:shd w:val="clear" w:color="auto" w:fill="FFFFFF"/>
        </w:rPr>
        <w:t>y</w:t>
      </w:r>
      <w:r w:rsidRPr="00074F83">
        <w:rPr>
          <w:rFonts w:cstheme="minorHAnsi"/>
          <w:iCs/>
          <w:color w:val="222222"/>
          <w:shd w:val="clear" w:color="auto" w:fill="FFFFFF"/>
        </w:rPr>
        <w:t xml:space="preserve"> declared by the</w:t>
      </w:r>
      <w:r w:rsidRPr="00074F83">
        <w:rPr>
          <w:rStyle w:val="apple-converted-space"/>
          <w:rFonts w:cstheme="minorHAnsi"/>
          <w:iCs/>
          <w:color w:val="222222"/>
          <w:shd w:val="clear" w:color="auto" w:fill="FFFFFF"/>
        </w:rPr>
        <w:t> </w:t>
      </w:r>
      <w:r w:rsidRPr="00074F83">
        <w:rPr>
          <w:rFonts w:cstheme="minorHAnsi"/>
          <w:iCs/>
          <w:color w:val="222222"/>
          <w:shd w:val="clear" w:color="auto" w:fill="FFFFFF"/>
        </w:rPr>
        <w:t>Secretary of Health and Human Services under 42 U.S.C. 247d, or a declaration of a major disaster or emergency under the</w:t>
      </w:r>
      <w:r w:rsidRPr="00074F83">
        <w:rPr>
          <w:rStyle w:val="apple-converted-space"/>
          <w:rFonts w:cstheme="minorHAnsi"/>
          <w:iCs/>
          <w:color w:val="222222"/>
          <w:shd w:val="clear" w:color="auto" w:fill="FFFFFF"/>
        </w:rPr>
        <w:t> </w:t>
      </w:r>
      <w:r w:rsidRPr="00074F83">
        <w:rPr>
          <w:rFonts w:cstheme="minorHAnsi"/>
          <w:iCs/>
          <w:color w:val="222222"/>
          <w:shd w:val="clear" w:color="auto" w:fill="FFFFFF"/>
        </w:rPr>
        <w:t>Robert T. Stafford Disaster Relief and Emergency Assistance Act</w:t>
      </w:r>
      <w:r w:rsidRPr="00074F83">
        <w:rPr>
          <w:rStyle w:val="apple-converted-space"/>
          <w:rFonts w:cstheme="minorHAnsi"/>
          <w:iCs/>
          <w:color w:val="222222"/>
          <w:shd w:val="clear" w:color="auto" w:fill="FFFFFF"/>
        </w:rPr>
        <w:t> </w:t>
      </w:r>
      <w:r w:rsidRPr="00074F83">
        <w:rPr>
          <w:rFonts w:cstheme="minorHAnsi"/>
          <w:iCs/>
          <w:color w:val="222222"/>
          <w:shd w:val="clear" w:color="auto" w:fill="FFFFFF"/>
        </w:rPr>
        <w:t>(Stafford Act), 42 U.S.C. 5121-5206</w:t>
      </w:r>
      <w:r>
        <w:rPr>
          <w:rFonts w:cstheme="minorHAnsi"/>
          <w:iCs/>
          <w:color w:val="222222"/>
          <w:shd w:val="clear" w:color="auto" w:fill="FFFFFF"/>
        </w:rPr>
        <w:t>.</w:t>
      </w:r>
    </w:p>
    <w:p w:rsidRPr="001C1D90" w:rsidR="00CD744D" w:rsidP="00644E91" w:rsidRDefault="00CD744D" w14:paraId="7BFF67CB" w14:textId="14CFE6DF">
      <w:pPr>
        <w:spacing w:after="100" w:afterAutospacing="1"/>
        <w:rPr>
          <w:noProof/>
        </w:rPr>
      </w:pPr>
      <w:r w:rsidRPr="001C1D90">
        <w:t>Public health or environmental official</w:t>
      </w:r>
      <w:r w:rsidR="0091012B">
        <w:t xml:space="preserve"> </w:t>
      </w:r>
      <w:r w:rsidRPr="001C1D90" w:rsidR="00261C01">
        <w:t>of a State, political subdivision of a state, or tribal government</w:t>
      </w:r>
      <w:r w:rsidRPr="001C1D90">
        <w:t xml:space="preserve">: </w:t>
      </w:r>
      <w:r w:rsidRPr="001C1D90">
        <w:rPr>
          <w:noProof/>
        </w:rPr>
        <w:t xml:space="preserve">an employee of a State, political subdivision of a State, or tribal government whose job duties are </w:t>
      </w:r>
      <w:r w:rsidRPr="001C1D90">
        <w:rPr>
          <w:noProof/>
        </w:rPr>
        <w:lastRenderedPageBreak/>
        <w:t>principally concerned with protection of the environment, natural resources, wildlife, and/or human health.  For example, an employee of a state health department or department of environmental protection.</w:t>
      </w:r>
    </w:p>
    <w:p w:rsidRPr="001C1D90" w:rsidR="00442C47" w:rsidP="00644E91" w:rsidRDefault="00442C47" w14:paraId="3BAABABC" w14:textId="03295C71">
      <w:pPr>
        <w:spacing w:after="100" w:afterAutospacing="1"/>
      </w:pPr>
      <w:r w:rsidRPr="001C1D90">
        <w:t xml:space="preserve">Serious environmental release: </w:t>
      </w:r>
      <w:r w:rsidRPr="001C1D90">
        <w:rPr>
          <w:rFonts w:cs="Arial"/>
        </w:rPr>
        <w:t xml:space="preserve">any spilling, leaking, pumping, pouring, emitting, emptying, discharging, injecting, escaping, leaching, dumping, or disposing into the environment </w:t>
      </w:r>
      <w:r w:rsidRPr="001C1D90" w:rsidR="00AE390A">
        <w:t>requiring emergency response</w:t>
      </w:r>
      <w:r w:rsidRPr="001C1D90" w:rsidR="00097724">
        <w:t>.</w:t>
      </w:r>
    </w:p>
    <w:p w:rsidRPr="001C1D90" w:rsidR="003B52BA" w:rsidP="00644E91" w:rsidRDefault="003B52BA" w14:paraId="1725E9F4" w14:textId="77777777">
      <w:pPr>
        <w:spacing w:after="100" w:afterAutospacing="1"/>
      </w:pPr>
      <w:r w:rsidRPr="001C1D90">
        <w:t>State: any State of the United States, the District of Columbia, the Commonwealth of Puerto Rico, the Virgin Islands, Guam, the Canal Zone, American Samoa, the Northern Mariana Islands, or any other territory or possession of the United States.</w:t>
      </w:r>
    </w:p>
    <w:p w:rsidRPr="00644E91" w:rsidR="003A516B" w:rsidP="00644E91" w:rsidRDefault="00CD744D" w14:paraId="4E47E504" w14:textId="7E17ED1F">
      <w:pPr>
        <w:autoSpaceDE w:val="0"/>
        <w:autoSpaceDN w:val="0"/>
        <w:adjustRightInd w:val="0"/>
        <w:spacing w:after="100" w:afterAutospacing="1" w:line="240" w:lineRule="auto"/>
        <w:rPr>
          <w:rFonts w:cs="Times New Roman"/>
        </w:rPr>
      </w:pPr>
      <w:r w:rsidRPr="001C1D90">
        <w:t xml:space="preserve">Tribal government: </w:t>
      </w:r>
      <w:r w:rsidRPr="001C1D90">
        <w:rPr>
          <w:rFonts w:cs="Times New Roman"/>
        </w:rPr>
        <w:t>any Indian Tribe, band, nation, or community recognized by the</w:t>
      </w:r>
      <w:r w:rsidRPr="001C1D90" w:rsidR="00C76F01">
        <w:rPr>
          <w:rFonts w:cs="Times New Roman"/>
        </w:rPr>
        <w:t xml:space="preserve"> United States</w:t>
      </w:r>
      <w:r w:rsidRPr="001C1D90">
        <w:rPr>
          <w:rFonts w:cs="Times New Roman"/>
        </w:rPr>
        <w:t xml:space="preserve"> Secretary of the Interior and exercising substantial governmental duties and powers.</w:t>
      </w:r>
    </w:p>
    <w:p w:rsidRPr="001C1D90" w:rsidR="003B52BA" w:rsidP="00644E91" w:rsidRDefault="003B52BA" w14:paraId="3729AD6F" w14:textId="77777777">
      <w:pPr>
        <w:spacing w:after="100" w:afterAutospacing="1"/>
      </w:pPr>
      <w:r w:rsidRPr="001C1D90">
        <w:t xml:space="preserve">TSCA: </w:t>
      </w:r>
      <w:proofErr w:type="gramStart"/>
      <w:r w:rsidRPr="001C1D90">
        <w:t>the</w:t>
      </w:r>
      <w:proofErr w:type="gramEnd"/>
      <w:r w:rsidRPr="001C1D90">
        <w:t xml:space="preserve"> Toxic Substances Control Act, 15 </w:t>
      </w:r>
      <w:r w:rsidRPr="001C1D90" w:rsidR="00600D00">
        <w:t>U.S.C.</w:t>
      </w:r>
      <w:r w:rsidRPr="001C1D90">
        <w:t xml:space="preserve"> 2601, </w:t>
      </w:r>
      <w:r w:rsidRPr="00ED2C7B">
        <w:rPr>
          <w:i/>
        </w:rPr>
        <w:t>et seq</w:t>
      </w:r>
      <w:r w:rsidRPr="001C1D90">
        <w:t>.</w:t>
      </w:r>
    </w:p>
    <w:p w:rsidRPr="001C1D90" w:rsidR="003B52BA" w:rsidP="00644E91" w:rsidRDefault="00644E91" w14:paraId="54EF5324" w14:textId="03053464">
      <w:pPr>
        <w:autoSpaceDE w:val="0"/>
        <w:autoSpaceDN w:val="0"/>
        <w:adjustRightInd w:val="0"/>
        <w:spacing w:after="100" w:afterAutospacing="1" w:line="240" w:lineRule="auto"/>
      </w:pPr>
      <w:r>
        <w:t>TSCA confidential business i</w:t>
      </w:r>
      <w:r w:rsidRPr="001C1D90" w:rsidR="003B52BA">
        <w:t xml:space="preserve">nformation (TSCA CBI): information submitted to EPA under TSCA, for which a business has made a claim of business confidentiality that EPA has not denied, that has not otherwise expired, or that the business has not waived or withdrawn.   </w:t>
      </w:r>
    </w:p>
    <w:p w:rsidRPr="001C1D90" w:rsidR="003B52BA" w:rsidP="003B52BA" w:rsidRDefault="003B52BA" w14:paraId="7C55616B" w14:textId="77777777">
      <w:pPr>
        <w:autoSpaceDE w:val="0"/>
        <w:autoSpaceDN w:val="0"/>
        <w:adjustRightInd w:val="0"/>
        <w:spacing w:after="0" w:line="240" w:lineRule="auto"/>
      </w:pPr>
    </w:p>
    <w:p w:rsidRPr="00E72ACF" w:rsidR="003B52BA" w:rsidP="003B52BA" w:rsidRDefault="003B52BA" w14:paraId="728741CD" w14:textId="77777777">
      <w:pPr>
        <w:pStyle w:val="ListParagraph"/>
        <w:autoSpaceDE w:val="0"/>
        <w:autoSpaceDN w:val="0"/>
        <w:adjustRightInd w:val="0"/>
        <w:spacing w:after="0" w:line="240" w:lineRule="auto"/>
        <w:ind w:left="1080"/>
      </w:pPr>
    </w:p>
    <w:p w:rsidR="0053242D" w:rsidP="0053242D" w:rsidRDefault="0053242D" w14:paraId="49F44018" w14:textId="77777777">
      <w:pPr>
        <w:tabs>
          <w:tab w:val="left" w:pos="2430"/>
        </w:tabs>
        <w:spacing w:after="0" w:line="240" w:lineRule="auto"/>
      </w:pPr>
    </w:p>
    <w:p w:rsidR="0053242D" w:rsidP="003B52BA" w:rsidRDefault="0053242D" w14:paraId="3A4BC4D7" w14:textId="77777777">
      <w:pPr>
        <w:tabs>
          <w:tab w:val="left" w:pos="2430"/>
        </w:tabs>
        <w:spacing w:after="0" w:line="240" w:lineRule="auto"/>
      </w:pPr>
    </w:p>
    <w:p w:rsidRPr="00074F83" w:rsidR="003B52BA" w:rsidP="003B52BA" w:rsidRDefault="003B52BA" w14:paraId="07CB4A12" w14:textId="77777777">
      <w:pPr>
        <w:tabs>
          <w:tab w:val="left" w:pos="2430"/>
        </w:tabs>
        <w:spacing w:after="0" w:line="240" w:lineRule="auto"/>
        <w:rPr>
          <w:rFonts w:cstheme="minorHAnsi"/>
          <w:u w:val="single"/>
        </w:rPr>
      </w:pPr>
    </w:p>
    <w:p w:rsidRPr="00074F83" w:rsidR="00144007" w:rsidP="00144007" w:rsidRDefault="00144007" w14:paraId="1CE53F7A" w14:textId="77777777">
      <w:pPr>
        <w:tabs>
          <w:tab w:val="left" w:pos="2430"/>
        </w:tabs>
        <w:spacing w:after="0" w:line="240" w:lineRule="auto"/>
        <w:rPr>
          <w:rFonts w:cstheme="minorHAnsi"/>
        </w:rPr>
      </w:pPr>
    </w:p>
    <w:p w:rsidRPr="002B721E" w:rsidR="00C87B08" w:rsidP="00C87B08" w:rsidRDefault="00C87B08" w14:paraId="21C0E1DF" w14:textId="77777777"/>
    <w:p w:rsidRPr="002B721E" w:rsidR="00C87B08" w:rsidP="00C87B08" w:rsidRDefault="00C87B08" w14:paraId="7FA5E47A" w14:textId="77777777"/>
    <w:p w:rsidR="00C87B08" w:rsidP="00C87B08" w:rsidRDefault="00C87B08" w14:paraId="1A3B0C91" w14:textId="77777777"/>
    <w:p w:rsidR="003B52BA" w:rsidP="00C87B08" w:rsidRDefault="003B52BA" w14:paraId="665DCE0C" w14:textId="17B2AC46"/>
    <w:p w:rsidR="0091012B" w:rsidP="00C87B08" w:rsidRDefault="0091012B" w14:paraId="3C87B9CB" w14:textId="15C4452B"/>
    <w:p w:rsidR="0091012B" w:rsidP="00C87B08" w:rsidRDefault="0091012B" w14:paraId="259E3BA5" w14:textId="1CB1ABFD"/>
    <w:p w:rsidR="0091012B" w:rsidP="00C87B08" w:rsidRDefault="0091012B" w14:paraId="671FC586" w14:textId="632E0B9E"/>
    <w:p w:rsidR="0091012B" w:rsidP="00C87B08" w:rsidRDefault="0091012B" w14:paraId="7880A661" w14:textId="1B80DA34"/>
    <w:p w:rsidR="0091012B" w:rsidP="00C87B08" w:rsidRDefault="0091012B" w14:paraId="393FC6FF" w14:textId="42392893"/>
    <w:p w:rsidR="003B52BA" w:rsidP="00C87B08" w:rsidRDefault="003B52BA" w14:paraId="701D92CF" w14:textId="1EDD2C4C"/>
    <w:p w:rsidR="00644E91" w:rsidP="00C87B08" w:rsidRDefault="00644E91" w14:paraId="25F91F86" w14:textId="77777777"/>
    <w:p w:rsidR="003B52BA" w:rsidP="00C87B08" w:rsidRDefault="003B52BA" w14:paraId="3995F0E8" w14:textId="77777777"/>
    <w:p w:rsidRPr="004334DA" w:rsidR="003B52BA" w:rsidP="009B72A2" w:rsidRDefault="003B52BA" w14:paraId="5F53DF95" w14:textId="77777777">
      <w:pPr>
        <w:pStyle w:val="ListParagraph"/>
        <w:numPr>
          <w:ilvl w:val="0"/>
          <w:numId w:val="26"/>
        </w:numPr>
        <w:ind w:left="720"/>
        <w:rPr>
          <w:b/>
          <w:sz w:val="26"/>
          <w:szCs w:val="26"/>
        </w:rPr>
      </w:pPr>
      <w:r>
        <w:rPr>
          <w:b/>
        </w:rPr>
        <w:lastRenderedPageBreak/>
        <w:t>Eligibility for Accessing TSCA CBI in an Emergency</w:t>
      </w:r>
    </w:p>
    <w:p w:rsidR="008C370E" w:rsidP="003B52BA" w:rsidRDefault="008C370E" w14:paraId="2FB53A1C" w14:textId="77777777">
      <w:pPr>
        <w:rPr>
          <w:u w:val="single"/>
        </w:rPr>
      </w:pPr>
      <w:r>
        <w:rPr>
          <w:i/>
          <w:u w:val="single"/>
        </w:rPr>
        <w:t>Summary</w:t>
      </w:r>
    </w:p>
    <w:p w:rsidR="003B52BA" w:rsidP="003B52BA" w:rsidRDefault="00C42245" w14:paraId="56831BFD" w14:textId="1AA06448">
      <w:r>
        <w:rPr>
          <w:rFonts w:cstheme="minorHAnsi"/>
        </w:rPr>
        <w:t xml:space="preserve">According to TSCA section 14(d)(6), </w:t>
      </w:r>
      <w:r>
        <w:t>y</w:t>
      </w:r>
      <w:r w:rsidR="003B52BA">
        <w:t>ou must meet the following requirements to access TSCA CBI in the event of an emergency:</w:t>
      </w:r>
    </w:p>
    <w:p w:rsidR="0026516C" w:rsidP="0026516C" w:rsidRDefault="003B52BA" w14:paraId="7ED58E40" w14:textId="77777777">
      <w:r w:rsidRPr="00913EFA">
        <w:rPr>
          <w:b/>
        </w:rPr>
        <w:t xml:space="preserve">Who:  </w:t>
      </w:r>
      <w:r>
        <w:t>You must be one of the following:</w:t>
      </w:r>
    </w:p>
    <w:p w:rsidRPr="0026516C" w:rsidR="0026516C" w:rsidP="006F1411" w:rsidRDefault="003B52BA" w14:paraId="61BF292E" w14:textId="77777777">
      <w:pPr>
        <w:pStyle w:val="ListParagraph"/>
        <w:numPr>
          <w:ilvl w:val="0"/>
          <w:numId w:val="13"/>
        </w:numPr>
        <w:rPr>
          <w:b/>
        </w:rPr>
      </w:pPr>
      <w:r>
        <w:t xml:space="preserve">A </w:t>
      </w:r>
      <w:r w:rsidR="001C63AE">
        <w:t xml:space="preserve">treating or </w:t>
      </w:r>
      <w:r>
        <w:t>responding physician, nurse, agent of a poison control center, public health or environmental official of a State, political subdivision</w:t>
      </w:r>
      <w:r w:rsidR="001C63AE">
        <w:t xml:space="preserve"> of a state,</w:t>
      </w:r>
      <w:r>
        <w:t xml:space="preserve"> or tribal government.</w:t>
      </w:r>
    </w:p>
    <w:p w:rsidRPr="0026516C" w:rsidR="003B52BA" w:rsidP="0026516C" w:rsidRDefault="0026516C" w14:paraId="7D9BB455" w14:textId="77777777">
      <w:pPr>
        <w:ind w:left="360"/>
        <w:rPr>
          <w:b/>
        </w:rPr>
      </w:pPr>
      <w:r>
        <w:t>OR</w:t>
      </w:r>
    </w:p>
    <w:p w:rsidR="003B52BA" w:rsidP="006F1411" w:rsidRDefault="003B52BA" w14:paraId="59620CED" w14:textId="150465A9">
      <w:pPr>
        <w:pStyle w:val="ListParagraph"/>
        <w:numPr>
          <w:ilvl w:val="0"/>
          <w:numId w:val="12"/>
        </w:numPr>
      </w:pPr>
      <w:r>
        <w:t>A first responder.</w:t>
      </w:r>
    </w:p>
    <w:p w:rsidR="00A34B17" w:rsidP="00AE4A24" w:rsidRDefault="003B52BA" w14:paraId="2196B73E" w14:textId="0F16422D">
      <w:r w:rsidRPr="00913EFA">
        <w:rPr>
          <w:b/>
        </w:rPr>
        <w:t>Emergency</w:t>
      </w:r>
      <w:r>
        <w:t xml:space="preserve">: </w:t>
      </w:r>
      <w:r w:rsidR="00692C18">
        <w:t>T</w:t>
      </w:r>
      <w:r>
        <w:t>he disclosure must be in the event of an emergency</w:t>
      </w:r>
      <w:r w:rsidR="00A34B17">
        <w:t>.</w:t>
      </w:r>
    </w:p>
    <w:p w:rsidRPr="002B721E" w:rsidR="003B52BA" w:rsidP="00644E91" w:rsidRDefault="003B52BA" w14:paraId="649BD63F" w14:textId="5276CA2E">
      <w:r w:rsidRPr="00913EFA">
        <w:rPr>
          <w:b/>
        </w:rPr>
        <w:t>Justification</w:t>
      </w:r>
      <w:r>
        <w:t xml:space="preserve">: </w:t>
      </w:r>
      <w:r w:rsidR="00692C18">
        <w:t>Y</w:t>
      </w:r>
      <w:r>
        <w:t>ou</w:t>
      </w:r>
      <w:r w:rsidRPr="002B721E" w:rsidR="00185D81">
        <w:t xml:space="preserve"> must have a reasonable basis to suspect that: </w:t>
      </w:r>
    </w:p>
    <w:p w:rsidRPr="002B721E" w:rsidR="003B52BA" w:rsidP="006F1411" w:rsidRDefault="000D5E89" w14:paraId="497715FD" w14:textId="59D74815">
      <w:pPr>
        <w:pStyle w:val="ListParagraph"/>
        <w:numPr>
          <w:ilvl w:val="1"/>
          <w:numId w:val="6"/>
        </w:numPr>
      </w:pPr>
      <w:r>
        <w:t>A</w:t>
      </w:r>
      <w:r w:rsidRPr="002B721E" w:rsidR="00185D81">
        <w:t xml:space="preserve"> medical, public health, or environmental emergency </w:t>
      </w:r>
      <w:proofErr w:type="gramStart"/>
      <w:r w:rsidRPr="002B721E" w:rsidR="00185D81">
        <w:t>exists;</w:t>
      </w:r>
      <w:proofErr w:type="gramEnd"/>
    </w:p>
    <w:p w:rsidRPr="002B721E" w:rsidR="00A34B17" w:rsidP="006F1411" w:rsidRDefault="000D5E89" w14:paraId="78936259" w14:textId="32F5266C">
      <w:pPr>
        <w:pStyle w:val="ListParagraph"/>
        <w:numPr>
          <w:ilvl w:val="1"/>
          <w:numId w:val="6"/>
        </w:numPr>
      </w:pPr>
      <w:r>
        <w:t>T</w:t>
      </w:r>
      <w:r w:rsidRPr="002B721E" w:rsidR="00185D81">
        <w:t>he information is necessary for, or will assist in, emergency or first-aid diagnosis or treatment; or</w:t>
      </w:r>
    </w:p>
    <w:p w:rsidR="005B7541" w:rsidP="006F1411" w:rsidRDefault="000D5E89" w14:paraId="4930EF8F" w14:textId="01CFBA15">
      <w:pPr>
        <w:pStyle w:val="ListParagraph"/>
        <w:numPr>
          <w:ilvl w:val="1"/>
          <w:numId w:val="6"/>
        </w:numPr>
      </w:pPr>
      <w:r>
        <w:t>O</w:t>
      </w:r>
      <w:r w:rsidRPr="002B721E" w:rsidR="00185D81">
        <w:t xml:space="preserve">ne or more individuals being diagnosed or treated have likely been exposed to the chemical substance or mixture concerned, </w:t>
      </w:r>
      <w:r w:rsidRPr="00A34B17" w:rsidR="00185D81">
        <w:rPr>
          <w:b/>
        </w:rPr>
        <w:t>or</w:t>
      </w:r>
      <w:r w:rsidRPr="002B721E" w:rsidR="00185D81">
        <w:t xml:space="preserve"> a serious environmental release of or exposure to the chemical substance or mixture concerned has occurred.</w:t>
      </w:r>
    </w:p>
    <w:p w:rsidR="00F038FA" w:rsidP="00F038FA" w:rsidRDefault="00F038FA" w14:paraId="75632B45" w14:textId="77777777">
      <w:pPr>
        <w:pStyle w:val="ListParagraph"/>
      </w:pPr>
    </w:p>
    <w:p w:rsidRPr="001C63AE" w:rsidR="0026516C" w:rsidP="006F1411" w:rsidRDefault="00913EFA" w14:paraId="787FEC9A" w14:textId="77777777">
      <w:pPr>
        <w:pStyle w:val="ListParagraph"/>
        <w:numPr>
          <w:ilvl w:val="0"/>
          <w:numId w:val="14"/>
        </w:numPr>
        <w:rPr>
          <w:b/>
          <w:sz w:val="23"/>
          <w:szCs w:val="23"/>
          <w:u w:val="single"/>
        </w:rPr>
      </w:pPr>
      <w:r w:rsidRPr="0026516C">
        <w:rPr>
          <w:i/>
          <w:sz w:val="23"/>
          <w:szCs w:val="23"/>
        </w:rPr>
        <w:t xml:space="preserve">Who </w:t>
      </w:r>
      <w:r w:rsidR="00656D79">
        <w:rPr>
          <w:i/>
          <w:sz w:val="23"/>
          <w:szCs w:val="23"/>
        </w:rPr>
        <w:t>m</w:t>
      </w:r>
      <w:r w:rsidRPr="0026516C">
        <w:rPr>
          <w:i/>
          <w:sz w:val="23"/>
          <w:szCs w:val="23"/>
        </w:rPr>
        <w:t xml:space="preserve">ay </w:t>
      </w:r>
      <w:r w:rsidR="00656D79">
        <w:rPr>
          <w:i/>
          <w:sz w:val="23"/>
          <w:szCs w:val="23"/>
        </w:rPr>
        <w:t>r</w:t>
      </w:r>
      <w:r w:rsidRPr="0026516C">
        <w:rPr>
          <w:i/>
          <w:sz w:val="23"/>
          <w:szCs w:val="23"/>
        </w:rPr>
        <w:t xml:space="preserve">equest TSCA CBI in an </w:t>
      </w:r>
      <w:proofErr w:type="gramStart"/>
      <w:r w:rsidR="00656D79">
        <w:rPr>
          <w:i/>
          <w:sz w:val="23"/>
          <w:szCs w:val="23"/>
        </w:rPr>
        <w:t>e</w:t>
      </w:r>
      <w:r w:rsidRPr="0026516C">
        <w:rPr>
          <w:i/>
          <w:sz w:val="23"/>
          <w:szCs w:val="23"/>
        </w:rPr>
        <w:t>mergency</w:t>
      </w:r>
      <w:proofErr w:type="gramEnd"/>
    </w:p>
    <w:p w:rsidR="0026516C" w:rsidP="001C63AE" w:rsidRDefault="00913EFA" w14:paraId="5EA4B792" w14:textId="288F44A4">
      <w:r>
        <w:t xml:space="preserve">Section 14(d)(6) </w:t>
      </w:r>
      <w:r w:rsidR="008C370E">
        <w:t>authorizes disclosure of TSCA CBI</w:t>
      </w:r>
      <w:r>
        <w:t xml:space="preserve"> to </w:t>
      </w:r>
      <w:r w:rsidRPr="002B721E">
        <w:t>a treating or responding physician, nurse, agent of a poison control center, public health or environmental official of a State, political subdivision of a State, or tribal government, or first responder</w:t>
      </w:r>
      <w:r>
        <w:t xml:space="preserve">. </w:t>
      </w:r>
    </w:p>
    <w:p w:rsidR="00913EFA" w:rsidP="001C63AE" w:rsidRDefault="00913EFA" w14:paraId="70233DF8" w14:textId="77777777">
      <w:r>
        <w:t xml:space="preserve">Federal employees seeking to gain access to TSCA CBI </w:t>
      </w:r>
      <w:r w:rsidR="00B044CC">
        <w:t xml:space="preserve">for official duties </w:t>
      </w:r>
      <w:r>
        <w:t>should note that TSCA section 14(d)(1) provides for CBI access for federal employees more generally, and may wish to look into whether their agency already has made arrangements with EPA for access to TSCA CBI in accordance with EPA regulations at 40 C</w:t>
      </w:r>
      <w:r w:rsidR="003A516B">
        <w:t>.</w:t>
      </w:r>
      <w:r>
        <w:t>F</w:t>
      </w:r>
      <w:r w:rsidR="003A516B">
        <w:t>.</w:t>
      </w:r>
      <w:r>
        <w:t>R</w:t>
      </w:r>
      <w:r w:rsidR="003A516B">
        <w:t>.</w:t>
      </w:r>
      <w:r>
        <w:t xml:space="preserve"> 2.306(h).</w:t>
      </w:r>
    </w:p>
    <w:p w:rsidR="00913EFA" w:rsidP="0026516C" w:rsidRDefault="00913EFA" w14:paraId="130D3C72" w14:textId="77777777">
      <w:pPr>
        <w:pStyle w:val="ListParagraph"/>
        <w:spacing w:after="0" w:line="240" w:lineRule="auto"/>
        <w:ind w:left="1440"/>
      </w:pPr>
    </w:p>
    <w:p w:rsidRPr="0026516C" w:rsidR="005B7541" w:rsidP="006F1411" w:rsidRDefault="00913EFA" w14:paraId="7DD4A3DF" w14:textId="77777777">
      <w:pPr>
        <w:pStyle w:val="ListParagraph"/>
        <w:numPr>
          <w:ilvl w:val="0"/>
          <w:numId w:val="14"/>
        </w:numPr>
        <w:rPr>
          <w:i/>
        </w:rPr>
      </w:pPr>
      <w:r w:rsidRPr="0026516C">
        <w:rPr>
          <w:i/>
        </w:rPr>
        <w:t>Emergency event</w:t>
      </w:r>
    </w:p>
    <w:p w:rsidR="005B7541" w:rsidP="00906919" w:rsidRDefault="005B7541" w14:paraId="619FA6A2" w14:textId="6A0536C3">
      <w:r>
        <w:t>In addition to the fact that the request must take place in the context of an emergency event, the request</w:t>
      </w:r>
      <w:r w:rsidR="00181F90">
        <w:t>e</w:t>
      </w:r>
      <w:r>
        <w:t xml:space="preserve">r must have a reasonable basis to suspect </w:t>
      </w:r>
      <w:r w:rsidR="00906919">
        <w:t>that</w:t>
      </w:r>
      <w:r w:rsidR="0085274B">
        <w:t xml:space="preserve"> at least</w:t>
      </w:r>
      <w:r w:rsidR="00906919">
        <w:t xml:space="preserve"> one of three conditions exist:</w:t>
      </w:r>
    </w:p>
    <w:p w:rsidR="00906919" w:rsidP="00F038FA" w:rsidRDefault="005B7541" w14:paraId="44C8822C" w14:textId="77777777">
      <w:pPr>
        <w:pStyle w:val="ListParagraph"/>
        <w:spacing w:after="0" w:line="240" w:lineRule="auto"/>
        <w:rPr>
          <w:rFonts w:cstheme="minorHAnsi"/>
        </w:rPr>
      </w:pPr>
      <w:r>
        <w:rPr>
          <w:rFonts w:cstheme="minorHAnsi"/>
        </w:rPr>
        <w:t xml:space="preserve">1.  </w:t>
      </w:r>
      <w:r w:rsidRPr="003B3741">
        <w:rPr>
          <w:rFonts w:cstheme="minorHAnsi"/>
          <w:i/>
        </w:rPr>
        <w:t>A medical, public health, or environmental emergency</w:t>
      </w:r>
      <w:r w:rsidRPr="003B3741" w:rsidR="00906919">
        <w:rPr>
          <w:rFonts w:cstheme="minorHAnsi"/>
          <w:i/>
        </w:rPr>
        <w:t xml:space="preserve"> exists</w:t>
      </w:r>
    </w:p>
    <w:p w:rsidRPr="002B721E" w:rsidR="001109DA" w:rsidP="00F038FA" w:rsidRDefault="001109DA" w14:paraId="5B36AC59" w14:textId="77777777">
      <w:pPr>
        <w:pStyle w:val="ListParagraph"/>
        <w:spacing w:after="0" w:line="240" w:lineRule="auto"/>
        <w:rPr>
          <w:rFonts w:cs="Times New Roman"/>
          <w:b/>
        </w:rPr>
      </w:pPr>
    </w:p>
    <w:p w:rsidRPr="002B721E" w:rsidR="001109DA" w:rsidP="001109DA" w:rsidRDefault="001109DA" w14:paraId="5B7EAE6B" w14:textId="146BA64C">
      <w:pPr>
        <w:spacing w:after="0" w:line="240" w:lineRule="auto"/>
        <w:rPr>
          <w:rFonts w:cstheme="minorHAnsi"/>
        </w:rPr>
      </w:pPr>
      <w:r w:rsidRPr="002B721E">
        <w:rPr>
          <w:rFonts w:cstheme="minorHAnsi"/>
        </w:rPr>
        <w:t xml:space="preserve">TSCA </w:t>
      </w:r>
      <w:r w:rsidR="000818AB">
        <w:rPr>
          <w:rFonts w:cstheme="minorHAnsi"/>
        </w:rPr>
        <w:t>s</w:t>
      </w:r>
      <w:r w:rsidRPr="002B721E">
        <w:rPr>
          <w:rFonts w:cstheme="minorHAnsi"/>
        </w:rPr>
        <w:t>ection 14(d)(</w:t>
      </w:r>
      <w:r w:rsidR="00D22B5C">
        <w:rPr>
          <w:rFonts w:cstheme="minorHAnsi"/>
        </w:rPr>
        <w:t>6</w:t>
      </w:r>
      <w:r w:rsidRPr="002B721E">
        <w:rPr>
          <w:rFonts w:cstheme="minorHAnsi"/>
        </w:rPr>
        <w:t xml:space="preserve">) </w:t>
      </w:r>
      <w:r w:rsidR="001924A6">
        <w:rPr>
          <w:rFonts w:cstheme="minorHAnsi"/>
        </w:rPr>
        <w:t>authorizes disclosure of TSCA</w:t>
      </w:r>
      <w:r w:rsidRPr="002B721E">
        <w:rPr>
          <w:rFonts w:cstheme="minorHAnsi"/>
        </w:rPr>
        <w:t xml:space="preserve"> CBI in cases of a “medical, public health, or environmental emergency.” </w:t>
      </w:r>
      <w:r w:rsidR="00644E91">
        <w:rPr>
          <w:rFonts w:cstheme="minorHAnsi"/>
        </w:rPr>
        <w:t xml:space="preserve"> </w:t>
      </w:r>
      <w:r w:rsidR="00D22B5C">
        <w:rPr>
          <w:rFonts w:cstheme="minorHAnsi"/>
        </w:rPr>
        <w:t xml:space="preserve">For guidance, </w:t>
      </w:r>
      <w:r w:rsidR="00181F90">
        <w:rPr>
          <w:rFonts w:cstheme="minorHAnsi"/>
        </w:rPr>
        <w:t>requester</w:t>
      </w:r>
      <w:r w:rsidR="001E0EF1">
        <w:rPr>
          <w:rFonts w:cstheme="minorHAnsi"/>
        </w:rPr>
        <w:t>s</w:t>
      </w:r>
      <w:r w:rsidRPr="002B721E">
        <w:rPr>
          <w:rFonts w:cstheme="minorHAnsi"/>
        </w:rPr>
        <w:t xml:space="preserve"> should </w:t>
      </w:r>
      <w:r w:rsidR="0055405C">
        <w:rPr>
          <w:rFonts w:cstheme="minorHAnsi"/>
        </w:rPr>
        <w:t>review</w:t>
      </w:r>
      <w:r w:rsidR="00D22B5C">
        <w:rPr>
          <w:rFonts w:cstheme="minorHAnsi"/>
        </w:rPr>
        <w:t xml:space="preserve"> th</w:t>
      </w:r>
      <w:r w:rsidR="0055405C">
        <w:rPr>
          <w:rFonts w:cstheme="minorHAnsi"/>
        </w:rPr>
        <w:t xml:space="preserve">e definitions for medical, public health, and environmental emergency included in the Definitions in </w:t>
      </w:r>
      <w:r w:rsidRPr="00ED2C7B" w:rsidR="0055405C">
        <w:rPr>
          <w:rFonts w:cstheme="minorHAnsi"/>
          <w:b/>
        </w:rPr>
        <w:t xml:space="preserve">Section </w:t>
      </w:r>
      <w:proofErr w:type="gramStart"/>
      <w:r w:rsidRPr="00ED2C7B" w:rsidR="0055405C">
        <w:rPr>
          <w:rFonts w:cstheme="minorHAnsi"/>
          <w:b/>
        </w:rPr>
        <w:t>I</w:t>
      </w:r>
      <w:r w:rsidR="00312250">
        <w:rPr>
          <w:rFonts w:cstheme="minorHAnsi"/>
        </w:rPr>
        <w:t>, and</w:t>
      </w:r>
      <w:proofErr w:type="gramEnd"/>
      <w:r w:rsidR="00312250">
        <w:rPr>
          <w:rFonts w:cstheme="minorHAnsi"/>
        </w:rPr>
        <w:t xml:space="preserve"> be able to describe how the circumstances of their request meet these definitions of emergencies.</w:t>
      </w:r>
    </w:p>
    <w:p w:rsidR="00C943C8" w:rsidP="002B721E" w:rsidRDefault="00C943C8" w14:paraId="25F621C7" w14:textId="77777777">
      <w:pPr>
        <w:tabs>
          <w:tab w:val="left" w:pos="2430"/>
        </w:tabs>
        <w:spacing w:after="0" w:line="240" w:lineRule="auto"/>
        <w:rPr>
          <w:rFonts w:cs="Times New Roman"/>
          <w:u w:val="single"/>
        </w:rPr>
      </w:pPr>
    </w:p>
    <w:p w:rsidR="00181F90" w:rsidP="00EE3972" w:rsidRDefault="00894834" w14:paraId="6E7AA023" w14:textId="6A541F20">
      <w:r>
        <w:lastRenderedPageBreak/>
        <w:t>At the time that the request is made, EPA will ask the requester to</w:t>
      </w:r>
      <w:r w:rsidR="00181F90">
        <w:t>:</w:t>
      </w:r>
      <w:r>
        <w:t xml:space="preserve"> </w:t>
      </w:r>
    </w:p>
    <w:p w:rsidR="00894834" w:rsidP="00600D00" w:rsidRDefault="000D5E89" w14:paraId="715E5E8A" w14:textId="6725194C">
      <w:pPr>
        <w:pStyle w:val="ListParagraph"/>
        <w:numPr>
          <w:ilvl w:val="0"/>
          <w:numId w:val="34"/>
        </w:numPr>
        <w:rPr>
          <w:rFonts w:cstheme="minorHAnsi"/>
        </w:rPr>
      </w:pPr>
      <w:r>
        <w:t>A</w:t>
      </w:r>
      <w:r w:rsidR="00894834">
        <w:t>ffirm that i</w:t>
      </w:r>
      <w:r w:rsidRPr="00181F90" w:rsidR="00894834">
        <w:rPr>
          <w:rFonts w:cstheme="minorHAnsi"/>
        </w:rPr>
        <w:t xml:space="preserve">n the requester’s official capacity as [insert position], the requester has a reasonable </w:t>
      </w:r>
      <w:r w:rsidRPr="00181F90" w:rsidR="00A45DA4">
        <w:rPr>
          <w:rFonts w:cstheme="minorHAnsi"/>
        </w:rPr>
        <w:t xml:space="preserve">basis to suspect that a medical, public health, </w:t>
      </w:r>
      <w:r w:rsidRPr="00181F90" w:rsidR="00894834">
        <w:rPr>
          <w:rFonts w:cstheme="minorHAnsi"/>
        </w:rPr>
        <w:t>or environmental emergency exists</w:t>
      </w:r>
      <w:r w:rsidR="00A83155">
        <w:rPr>
          <w:rFonts w:cstheme="minorHAnsi"/>
        </w:rPr>
        <w:t>; and</w:t>
      </w:r>
      <w:r w:rsidRPr="00181F90" w:rsidR="00894834">
        <w:rPr>
          <w:rFonts w:cstheme="minorHAnsi"/>
        </w:rPr>
        <w:t xml:space="preserve"> </w:t>
      </w:r>
    </w:p>
    <w:p w:rsidRPr="00181F90" w:rsidR="00906919" w:rsidP="00600D00" w:rsidRDefault="000D5E89" w14:paraId="4C5DCFD7" w14:textId="154870F2">
      <w:pPr>
        <w:pStyle w:val="ListParagraph"/>
        <w:numPr>
          <w:ilvl w:val="0"/>
          <w:numId w:val="34"/>
        </w:numPr>
        <w:rPr>
          <w:rFonts w:cs="Times New Roman"/>
          <w:b/>
        </w:rPr>
      </w:pPr>
      <w:r>
        <w:rPr>
          <w:rFonts w:cstheme="minorHAnsi"/>
        </w:rPr>
        <w:t>C</w:t>
      </w:r>
      <w:r w:rsidRPr="00181F90" w:rsidR="00894834">
        <w:rPr>
          <w:rFonts w:cstheme="minorHAnsi"/>
        </w:rPr>
        <w:t xml:space="preserve">onfirm </w:t>
      </w:r>
      <w:r w:rsidRPr="00181F90" w:rsidR="008C370E">
        <w:rPr>
          <w:rFonts w:cstheme="minorHAnsi"/>
        </w:rPr>
        <w:t>their</w:t>
      </w:r>
      <w:r w:rsidRPr="00181F90" w:rsidR="00A45DA4">
        <w:rPr>
          <w:rFonts w:cstheme="minorHAnsi"/>
        </w:rPr>
        <w:t xml:space="preserve"> understanding </w:t>
      </w:r>
      <w:r w:rsidRPr="00181F90" w:rsidR="00894834">
        <w:rPr>
          <w:rFonts w:cstheme="minorHAnsi"/>
        </w:rPr>
        <w:t xml:space="preserve">that the CBI released may be used only for the emergency purpose for which it is requested, and that the information will not be disclosed to any </w:t>
      </w:r>
      <w:r w:rsidRPr="00181F90" w:rsidR="00A45DA4">
        <w:rPr>
          <w:rFonts w:cstheme="minorHAnsi"/>
        </w:rPr>
        <w:t>person not entitled to receive it</w:t>
      </w:r>
      <w:r w:rsidRPr="00181F90" w:rsidR="00894834">
        <w:rPr>
          <w:rFonts w:cstheme="minorHAnsi"/>
        </w:rPr>
        <w:t xml:space="preserve">. </w:t>
      </w:r>
    </w:p>
    <w:p w:rsidR="00894834" w:rsidP="002B721E" w:rsidRDefault="0083229A" w14:paraId="45FB40C0" w14:textId="5CFC1837">
      <w:pPr>
        <w:tabs>
          <w:tab w:val="left" w:pos="2430"/>
        </w:tabs>
        <w:spacing w:after="0" w:line="240" w:lineRule="auto"/>
      </w:pPr>
      <w:r>
        <w:t xml:space="preserve">This affirmation/confirmation will help EPA to determine that the requirements to disclose TSCA CBI under section 14(d)(6) are met.  </w:t>
      </w:r>
      <w:r w:rsidR="00894834">
        <w:t xml:space="preserve">As described in </w:t>
      </w:r>
      <w:r w:rsidR="00D00FF8">
        <w:rPr>
          <w:b/>
        </w:rPr>
        <w:t>Section IV</w:t>
      </w:r>
      <w:r w:rsidR="00894834">
        <w:rPr>
          <w:b/>
        </w:rPr>
        <w:t xml:space="preserve"> </w:t>
      </w:r>
      <w:r w:rsidR="00894834">
        <w:t xml:space="preserve">of this </w:t>
      </w:r>
      <w:r w:rsidR="00997977">
        <w:t>document</w:t>
      </w:r>
      <w:r w:rsidR="00894834">
        <w:t>, requester</w:t>
      </w:r>
      <w:r w:rsidR="007E0FA9">
        <w:t>s</w:t>
      </w:r>
      <w:r w:rsidR="00894834">
        <w:t xml:space="preserve"> may also be required </w:t>
      </w:r>
      <w:r w:rsidR="00821432">
        <w:t>to provide</w:t>
      </w:r>
      <w:r w:rsidR="00894834">
        <w:t xml:space="preserve"> a written statement of need,</w:t>
      </w:r>
      <w:r w:rsidR="00821432">
        <w:t xml:space="preserve"> and to sign a written confidentiality agreement,</w:t>
      </w:r>
      <w:r w:rsidRPr="007E2F63" w:rsidR="00894834">
        <w:t xml:space="preserve"> </w:t>
      </w:r>
      <w:r w:rsidR="00894834">
        <w:t xml:space="preserve">if the business </w:t>
      </w:r>
      <w:r w:rsidR="00E2638D">
        <w:t xml:space="preserve">that </w:t>
      </w:r>
      <w:r w:rsidR="00894834">
        <w:t>made the CBI claim asks for such statement</w:t>
      </w:r>
      <w:r>
        <w:t xml:space="preserve"> (such statement and agreement need </w:t>
      </w:r>
      <w:r w:rsidRPr="00965418">
        <w:rPr>
          <w:u w:val="single"/>
        </w:rPr>
        <w:t>not</w:t>
      </w:r>
      <w:r>
        <w:t xml:space="preserve"> be submitted prior to disclosure of the information; see </w:t>
      </w:r>
      <w:r w:rsidRPr="00965418">
        <w:rPr>
          <w:b/>
        </w:rPr>
        <w:t>Section IV</w:t>
      </w:r>
      <w:r>
        <w:t>, below for additional discussion of these requirements)</w:t>
      </w:r>
      <w:r w:rsidR="00894834">
        <w:t>.</w:t>
      </w:r>
    </w:p>
    <w:p w:rsidR="008321EE" w:rsidP="002B721E" w:rsidRDefault="008321EE" w14:paraId="52EFD0D4" w14:textId="77777777">
      <w:pPr>
        <w:tabs>
          <w:tab w:val="left" w:pos="2430"/>
        </w:tabs>
        <w:spacing w:after="0" w:line="240" w:lineRule="auto"/>
      </w:pPr>
    </w:p>
    <w:p w:rsidRPr="0053242D" w:rsidR="008321EE" w:rsidP="008321EE" w:rsidRDefault="008321EE" w14:paraId="552B2F01" w14:textId="35A67977">
      <w:pPr>
        <w:rPr>
          <w:rFonts w:ascii="Calibri" w:hAnsi="Calibri" w:cs="Calibri"/>
        </w:rPr>
      </w:pPr>
      <w:r w:rsidRPr="008321EE">
        <w:rPr>
          <w:rFonts w:ascii="Calibri" w:hAnsi="Calibri" w:cs="Calibri"/>
          <w:b/>
        </w:rPr>
        <w:t>Note</w:t>
      </w:r>
      <w:r>
        <w:rPr>
          <w:rFonts w:ascii="Calibri" w:hAnsi="Calibri" w:cs="Calibri"/>
        </w:rPr>
        <w:t xml:space="preserve">:  </w:t>
      </w:r>
      <w:r w:rsidRPr="00181F90" w:rsidR="00AB3801">
        <w:rPr>
          <w:rFonts w:ascii="Calibri" w:hAnsi="Calibri" w:cs="Calibri"/>
          <w:b/>
        </w:rPr>
        <w:t>E</w:t>
      </w:r>
      <w:r w:rsidRPr="00181F90">
        <w:rPr>
          <w:rFonts w:cstheme="minorHAnsi"/>
          <w:b/>
        </w:rPr>
        <w:t>ach</w:t>
      </w:r>
      <w:r w:rsidRPr="00600D00">
        <w:rPr>
          <w:b/>
        </w:rPr>
        <w:t xml:space="preserve"> request for TSCA CBI in </w:t>
      </w:r>
      <w:proofErr w:type="gramStart"/>
      <w:r w:rsidRPr="00600D00">
        <w:rPr>
          <w:b/>
        </w:rPr>
        <w:t>an emergency situation</w:t>
      </w:r>
      <w:proofErr w:type="gramEnd"/>
      <w:r w:rsidRPr="00600D00">
        <w:rPr>
          <w:b/>
        </w:rPr>
        <w:t xml:space="preserve"> should include an explanation or background to explain how the information requested relates to the emergency.</w:t>
      </w:r>
      <w:r w:rsidRPr="009835B3">
        <w:rPr>
          <w:rFonts w:cstheme="minorHAnsi"/>
        </w:rPr>
        <w:t xml:space="preserve">  </w:t>
      </w:r>
      <w:r w:rsidR="007C0012">
        <w:rPr>
          <w:rFonts w:cstheme="minorHAnsi"/>
        </w:rPr>
        <w:t>Again, t</w:t>
      </w:r>
      <w:r w:rsidR="0083229A">
        <w:rPr>
          <w:rFonts w:cstheme="minorHAnsi"/>
        </w:rPr>
        <w:t xml:space="preserve">his explanation will help EPA to confirm that the </w:t>
      </w:r>
      <w:r w:rsidR="0083229A">
        <w:t xml:space="preserve">requirements to disclose TSCA CBI under section 14(d)(6) are met. </w:t>
      </w:r>
      <w:r w:rsidR="007C0012">
        <w:t xml:space="preserve"> </w:t>
      </w:r>
      <w:r w:rsidR="00181F90">
        <w:rPr>
          <w:rFonts w:cstheme="minorHAnsi"/>
        </w:rPr>
        <w:t>Requester</w:t>
      </w:r>
      <w:r w:rsidRPr="009835B3">
        <w:rPr>
          <w:rFonts w:cstheme="minorHAnsi"/>
        </w:rPr>
        <w:t>s should note that the person(s) that made the CBI claim will be given notice of the disclosure</w:t>
      </w:r>
      <w:r w:rsidR="0083229A">
        <w:rPr>
          <w:rFonts w:cstheme="minorHAnsi"/>
        </w:rPr>
        <w:t xml:space="preserve"> (</w:t>
      </w:r>
      <w:r w:rsidRPr="00965418" w:rsidR="0083229A">
        <w:rPr>
          <w:rFonts w:cstheme="minorHAnsi"/>
          <w:i/>
        </w:rPr>
        <w:t>after</w:t>
      </w:r>
      <w:r w:rsidR="0083229A">
        <w:rPr>
          <w:rFonts w:cstheme="minorHAnsi"/>
        </w:rPr>
        <w:t xml:space="preserve"> the information is released)</w:t>
      </w:r>
      <w:r w:rsidRPr="009835B3">
        <w:rPr>
          <w:rFonts w:cstheme="minorHAnsi"/>
        </w:rPr>
        <w:t xml:space="preserve">, and that on request by that person, the </w:t>
      </w:r>
      <w:r w:rsidR="00181F90">
        <w:rPr>
          <w:rFonts w:cstheme="minorHAnsi"/>
        </w:rPr>
        <w:t>requester</w:t>
      </w:r>
      <w:r w:rsidRPr="009835B3">
        <w:rPr>
          <w:rFonts w:cstheme="minorHAnsi"/>
        </w:rPr>
        <w:t xml:space="preserve"> may be required to </w:t>
      </w:r>
      <w:r w:rsidRPr="009835B3" w:rsidR="00C60FD5">
        <w:rPr>
          <w:rFonts w:cstheme="minorHAnsi"/>
        </w:rPr>
        <w:t>provide</w:t>
      </w:r>
      <w:r w:rsidRPr="009835B3">
        <w:rPr>
          <w:rFonts w:cstheme="minorHAnsi"/>
        </w:rPr>
        <w:t xml:space="preserve"> the reason for the request in a written statement of need to be submitted to EPA, and also may be required to sign a written confidentiality agreement.  Finally, </w:t>
      </w:r>
      <w:r w:rsidR="00181F90">
        <w:rPr>
          <w:rFonts w:cstheme="minorHAnsi"/>
        </w:rPr>
        <w:t>requester</w:t>
      </w:r>
      <w:r w:rsidRPr="009835B3">
        <w:rPr>
          <w:rFonts w:cstheme="minorHAnsi"/>
        </w:rPr>
        <w:t>s should note that section 14(h) of TSCA prohibits further disclosure of TSCA CBI to any other person not entitled to receive it (e.g., persons that have not been granted access pursuant to the provisions of section 14(d)), with a limited exception for medical professionals</w:t>
      </w:r>
      <w:r w:rsidR="00584CA2">
        <w:rPr>
          <w:rFonts w:cstheme="minorHAnsi"/>
        </w:rPr>
        <w:t xml:space="preserve"> (</w:t>
      </w:r>
      <w:r w:rsidR="00AF43F2">
        <w:rPr>
          <w:rFonts w:cstheme="minorHAnsi"/>
        </w:rPr>
        <w:t xml:space="preserve">who may, pursuant to TSCA section 14(h)(1)(C), disclose the information to their patient or to persons authorized to make medical </w:t>
      </w:r>
      <w:r w:rsidR="002B2E03">
        <w:rPr>
          <w:rFonts w:cstheme="minorHAnsi"/>
        </w:rPr>
        <w:t xml:space="preserve">or health care </w:t>
      </w:r>
      <w:r w:rsidR="00AF43F2">
        <w:rPr>
          <w:rFonts w:cstheme="minorHAnsi"/>
        </w:rPr>
        <w:t>decisions on behalf of the patient</w:t>
      </w:r>
      <w:r w:rsidR="00584CA2">
        <w:rPr>
          <w:rFonts w:cstheme="minorHAnsi"/>
        </w:rPr>
        <w:t>)</w:t>
      </w:r>
      <w:r>
        <w:rPr>
          <w:rFonts w:cstheme="minorHAnsi"/>
        </w:rPr>
        <w:t xml:space="preserve">.  </w:t>
      </w:r>
      <w:r w:rsidR="00790A55">
        <w:rPr>
          <w:rFonts w:cstheme="minorHAnsi"/>
        </w:rPr>
        <w:t>If a</w:t>
      </w:r>
      <w:r>
        <w:rPr>
          <w:rFonts w:cstheme="minorHAnsi"/>
        </w:rPr>
        <w:t xml:space="preserve"> request does not include sufficient</w:t>
      </w:r>
      <w:r w:rsidR="00FD7803">
        <w:rPr>
          <w:rFonts w:cstheme="minorHAnsi"/>
        </w:rPr>
        <w:t xml:space="preserve"> information </w:t>
      </w:r>
      <w:r w:rsidR="00790A55">
        <w:rPr>
          <w:rFonts w:cstheme="minorHAnsi"/>
        </w:rPr>
        <w:t>for EPA to conclude that the requirements for disclosure under section 14(d)(6) are met</w:t>
      </w:r>
      <w:r>
        <w:rPr>
          <w:rFonts w:cstheme="minorHAnsi"/>
        </w:rPr>
        <w:t xml:space="preserve">, EPA </w:t>
      </w:r>
      <w:r w:rsidR="00790A55">
        <w:rPr>
          <w:rFonts w:cstheme="minorHAnsi"/>
        </w:rPr>
        <w:t>cannot disclose the requested information.  In these circumstances, EPA may</w:t>
      </w:r>
      <w:r>
        <w:rPr>
          <w:rFonts w:cstheme="minorHAnsi"/>
        </w:rPr>
        <w:t xml:space="preserve"> ask the </w:t>
      </w:r>
      <w:r w:rsidR="00181F90">
        <w:rPr>
          <w:rFonts w:cstheme="minorHAnsi"/>
        </w:rPr>
        <w:t>requester</w:t>
      </w:r>
      <w:r>
        <w:rPr>
          <w:rFonts w:cstheme="minorHAnsi"/>
        </w:rPr>
        <w:t xml:space="preserve"> to provide additional information.  </w:t>
      </w:r>
    </w:p>
    <w:p w:rsidR="00894834" w:rsidP="002B721E" w:rsidRDefault="00894834" w14:paraId="74B718F8" w14:textId="77777777">
      <w:pPr>
        <w:tabs>
          <w:tab w:val="left" w:pos="2430"/>
        </w:tabs>
        <w:spacing w:after="0" w:line="240" w:lineRule="auto"/>
        <w:rPr>
          <w:rFonts w:cs="Times New Roman"/>
          <w:b/>
        </w:rPr>
      </w:pPr>
    </w:p>
    <w:p w:rsidRPr="003B3741" w:rsidR="001E0EF1" w:rsidP="0026516C" w:rsidRDefault="00906919" w14:paraId="2F45D99B" w14:textId="2A77C14D">
      <w:pPr>
        <w:spacing w:after="0" w:line="240" w:lineRule="auto"/>
        <w:ind w:firstLine="720"/>
        <w:rPr>
          <w:rFonts w:cs="Times New Roman"/>
        </w:rPr>
      </w:pPr>
      <w:r w:rsidRPr="003B3741">
        <w:rPr>
          <w:rFonts w:cs="Times New Roman"/>
        </w:rPr>
        <w:t xml:space="preserve">2. </w:t>
      </w:r>
      <w:r w:rsidRPr="003B3741">
        <w:rPr>
          <w:rFonts w:cs="Times New Roman"/>
          <w:i/>
        </w:rPr>
        <w:t xml:space="preserve">The </w:t>
      </w:r>
      <w:r w:rsidR="00181F90">
        <w:rPr>
          <w:rFonts w:cs="Times New Roman"/>
          <w:i/>
        </w:rPr>
        <w:t>i</w:t>
      </w:r>
      <w:r w:rsidRPr="003B3741">
        <w:rPr>
          <w:rFonts w:cs="Times New Roman"/>
          <w:i/>
        </w:rPr>
        <w:t xml:space="preserve">nformation is </w:t>
      </w:r>
      <w:r w:rsidR="00181F90">
        <w:rPr>
          <w:rFonts w:cs="Times New Roman"/>
          <w:i/>
        </w:rPr>
        <w:t>n</w:t>
      </w:r>
      <w:r w:rsidRPr="003B3741">
        <w:rPr>
          <w:rFonts w:cs="Times New Roman"/>
          <w:i/>
        </w:rPr>
        <w:t xml:space="preserve">ecessary for </w:t>
      </w:r>
      <w:r w:rsidR="00424FE2">
        <w:rPr>
          <w:rFonts w:cs="Times New Roman"/>
          <w:i/>
        </w:rPr>
        <w:t xml:space="preserve">or will assist in </w:t>
      </w:r>
      <w:r w:rsidR="00181F90">
        <w:rPr>
          <w:rFonts w:cs="Times New Roman"/>
          <w:i/>
        </w:rPr>
        <w:t>e</w:t>
      </w:r>
      <w:r w:rsidRPr="003B3741" w:rsidR="001109DA">
        <w:rPr>
          <w:rFonts w:cs="Times New Roman"/>
          <w:i/>
        </w:rPr>
        <w:t xml:space="preserve">mergency or </w:t>
      </w:r>
      <w:r w:rsidR="00181F90">
        <w:rPr>
          <w:rFonts w:cs="Times New Roman"/>
          <w:i/>
        </w:rPr>
        <w:t>f</w:t>
      </w:r>
      <w:r w:rsidRPr="003B3741" w:rsidR="001109DA">
        <w:rPr>
          <w:rFonts w:cs="Times New Roman"/>
          <w:i/>
        </w:rPr>
        <w:t xml:space="preserve">irst-aid </w:t>
      </w:r>
      <w:r w:rsidR="00181F90">
        <w:rPr>
          <w:rFonts w:cs="Times New Roman"/>
          <w:i/>
        </w:rPr>
        <w:t>d</w:t>
      </w:r>
      <w:r w:rsidRPr="003B3741" w:rsidR="001109DA">
        <w:rPr>
          <w:rFonts w:cs="Times New Roman"/>
          <w:i/>
        </w:rPr>
        <w:t xml:space="preserve">iagnosis or </w:t>
      </w:r>
      <w:r w:rsidR="00181F90">
        <w:rPr>
          <w:rFonts w:cs="Times New Roman"/>
          <w:i/>
        </w:rPr>
        <w:t>t</w:t>
      </w:r>
      <w:r w:rsidRPr="003B3741" w:rsidR="001109DA">
        <w:rPr>
          <w:rFonts w:cs="Times New Roman"/>
          <w:i/>
        </w:rPr>
        <w:t>reatment</w:t>
      </w:r>
      <w:r w:rsidRPr="003B3741" w:rsidR="00E8419F">
        <w:rPr>
          <w:rFonts w:cs="Times New Roman"/>
        </w:rPr>
        <w:t xml:space="preserve"> </w:t>
      </w:r>
    </w:p>
    <w:p w:rsidRPr="00F038FA" w:rsidR="001109DA" w:rsidP="001109DA" w:rsidRDefault="001109DA" w14:paraId="25B9DE5C" w14:textId="77777777">
      <w:pPr>
        <w:spacing w:after="0" w:line="240" w:lineRule="auto"/>
      </w:pPr>
    </w:p>
    <w:p w:rsidR="00821432" w:rsidP="00EE3972" w:rsidRDefault="005B7541" w14:paraId="66943B19" w14:textId="03668B1C">
      <w:pPr>
        <w:spacing w:after="0" w:line="240" w:lineRule="auto"/>
      </w:pPr>
      <w:r w:rsidRPr="002B721E">
        <w:rPr>
          <w:rFonts w:cstheme="minorHAnsi"/>
        </w:rPr>
        <w:t xml:space="preserve">TSCA </w:t>
      </w:r>
      <w:r w:rsidR="00997977">
        <w:rPr>
          <w:rFonts w:cstheme="minorHAnsi"/>
        </w:rPr>
        <w:t>section</w:t>
      </w:r>
      <w:r w:rsidRPr="002B721E">
        <w:rPr>
          <w:rFonts w:cstheme="minorHAnsi"/>
        </w:rPr>
        <w:t xml:space="preserve"> 14(d)(</w:t>
      </w:r>
      <w:r>
        <w:rPr>
          <w:rFonts w:cstheme="minorHAnsi"/>
        </w:rPr>
        <w:t>6</w:t>
      </w:r>
      <w:r w:rsidRPr="002B721E">
        <w:rPr>
          <w:rFonts w:cstheme="minorHAnsi"/>
        </w:rPr>
        <w:t xml:space="preserve">) </w:t>
      </w:r>
      <w:r>
        <w:rPr>
          <w:rFonts w:cstheme="minorHAnsi"/>
        </w:rPr>
        <w:t xml:space="preserve">also </w:t>
      </w:r>
      <w:r w:rsidR="001924A6">
        <w:rPr>
          <w:rFonts w:cstheme="minorHAnsi"/>
        </w:rPr>
        <w:t>authorizes disclosure of TSCA CBI if the</w:t>
      </w:r>
      <w:r>
        <w:rPr>
          <w:rFonts w:cstheme="minorHAnsi"/>
        </w:rPr>
        <w:t xml:space="preserve"> </w:t>
      </w:r>
      <w:r w:rsidR="00181F90">
        <w:t>requester</w:t>
      </w:r>
      <w:r w:rsidRPr="002B721E" w:rsidR="001109DA">
        <w:t xml:space="preserve"> </w:t>
      </w:r>
      <w:r>
        <w:t>has</w:t>
      </w:r>
      <w:r w:rsidRPr="002B721E" w:rsidR="001109DA">
        <w:t xml:space="preserve"> a reasonable basis to suspect that</w:t>
      </w:r>
      <w:r w:rsidR="00E8419F">
        <w:t xml:space="preserve"> </w:t>
      </w:r>
      <w:r w:rsidRPr="002B721E" w:rsidR="001109DA">
        <w:t>the information is necessary for, or will assist in, emergency or first-aid diagnosis or treatment</w:t>
      </w:r>
      <w:r w:rsidRPr="002B721E" w:rsidR="00E8419F">
        <w:t xml:space="preserve">. </w:t>
      </w:r>
    </w:p>
    <w:p w:rsidR="00991D0F" w:rsidP="00821432" w:rsidRDefault="00991D0F" w14:paraId="5FAC1974" w14:textId="77777777">
      <w:pPr>
        <w:spacing w:after="0" w:line="240" w:lineRule="auto"/>
        <w:rPr>
          <w:rFonts w:cstheme="minorHAnsi"/>
        </w:rPr>
      </w:pPr>
    </w:p>
    <w:p w:rsidR="00821432" w:rsidP="00821432" w:rsidRDefault="00821432" w14:paraId="68595C24" w14:textId="0FF35C7C">
      <w:pPr>
        <w:spacing w:after="0" w:line="240" w:lineRule="auto"/>
        <w:rPr>
          <w:rFonts w:cstheme="minorHAnsi"/>
        </w:rPr>
      </w:pPr>
      <w:r>
        <w:rPr>
          <w:rFonts w:cstheme="minorHAnsi"/>
        </w:rPr>
        <w:t xml:space="preserve">For guidance, </w:t>
      </w:r>
      <w:r w:rsidR="00181F90">
        <w:rPr>
          <w:rFonts w:cstheme="minorHAnsi"/>
        </w:rPr>
        <w:t>requester</w:t>
      </w:r>
      <w:r>
        <w:rPr>
          <w:rFonts w:cstheme="minorHAnsi"/>
        </w:rPr>
        <w:t>s</w:t>
      </w:r>
      <w:r w:rsidRPr="002B721E">
        <w:rPr>
          <w:rFonts w:cstheme="minorHAnsi"/>
        </w:rPr>
        <w:t xml:space="preserve"> should </w:t>
      </w:r>
      <w:r>
        <w:rPr>
          <w:rFonts w:cstheme="minorHAnsi"/>
        </w:rPr>
        <w:t xml:space="preserve">be able to describe </w:t>
      </w:r>
      <w:r w:rsidR="007C0012">
        <w:rPr>
          <w:rFonts w:cstheme="minorHAnsi"/>
        </w:rPr>
        <w:t xml:space="preserve">(if requested) </w:t>
      </w:r>
      <w:r w:rsidR="00675DE6">
        <w:rPr>
          <w:rFonts w:cstheme="minorHAnsi"/>
        </w:rPr>
        <w:t>how the circumstances of their request meet the following criteria</w:t>
      </w:r>
      <w:r>
        <w:rPr>
          <w:rFonts w:cstheme="minorHAnsi"/>
        </w:rPr>
        <w:t>:</w:t>
      </w:r>
    </w:p>
    <w:p w:rsidR="00821432" w:rsidP="00821432" w:rsidRDefault="00821432" w14:paraId="4730CB96" w14:textId="77777777">
      <w:pPr>
        <w:spacing w:after="0" w:line="240" w:lineRule="auto"/>
        <w:rPr>
          <w:rFonts w:cstheme="minorHAnsi"/>
        </w:rPr>
      </w:pPr>
    </w:p>
    <w:p w:rsidR="00821432" w:rsidP="006F1411" w:rsidRDefault="00821432" w14:paraId="35FF12A8" w14:textId="45F40BD7">
      <w:pPr>
        <w:pStyle w:val="ListParagraph"/>
        <w:numPr>
          <w:ilvl w:val="0"/>
          <w:numId w:val="7"/>
        </w:numPr>
        <w:spacing w:after="0" w:line="240" w:lineRule="auto"/>
        <w:rPr>
          <w:rFonts w:cstheme="minorHAnsi"/>
        </w:rPr>
      </w:pPr>
      <w:r>
        <w:rPr>
          <w:rFonts w:cstheme="minorHAnsi"/>
        </w:rPr>
        <w:t>There is a</w:t>
      </w:r>
      <w:r w:rsidR="00790A55">
        <w:rPr>
          <w:rFonts w:cstheme="minorHAnsi"/>
        </w:rPr>
        <w:t xml:space="preserve"> </w:t>
      </w:r>
      <w:r>
        <w:rPr>
          <w:rFonts w:cstheme="minorHAnsi"/>
        </w:rPr>
        <w:t>patient or patient</w:t>
      </w:r>
      <w:r w:rsidR="00675DE6">
        <w:rPr>
          <w:rFonts w:cstheme="minorHAnsi"/>
        </w:rPr>
        <w:t>s</w:t>
      </w:r>
      <w:r>
        <w:rPr>
          <w:rFonts w:cstheme="minorHAnsi"/>
        </w:rPr>
        <w:t xml:space="preserve"> in need of diagnosis or </w:t>
      </w:r>
      <w:proofErr w:type="gramStart"/>
      <w:r>
        <w:rPr>
          <w:rFonts w:cstheme="minorHAnsi"/>
        </w:rPr>
        <w:t>treatment;</w:t>
      </w:r>
      <w:proofErr w:type="gramEnd"/>
    </w:p>
    <w:p w:rsidRPr="00991D0F" w:rsidR="00991D0F" w:rsidP="006F1411" w:rsidRDefault="00821432" w14:paraId="157B96B8" w14:textId="77777777">
      <w:pPr>
        <w:pStyle w:val="ListParagraph"/>
        <w:numPr>
          <w:ilvl w:val="0"/>
          <w:numId w:val="7"/>
        </w:numPr>
        <w:spacing w:after="0" w:line="240" w:lineRule="auto"/>
        <w:rPr>
          <w:rFonts w:cstheme="minorHAnsi"/>
        </w:rPr>
      </w:pPr>
      <w:r>
        <w:rPr>
          <w:rFonts w:cstheme="minorHAnsi"/>
        </w:rPr>
        <w:t xml:space="preserve">The </w:t>
      </w:r>
      <w:r w:rsidR="00675DE6">
        <w:rPr>
          <w:rFonts w:cstheme="minorHAnsi"/>
        </w:rPr>
        <w:t>patient(s) was or may have been exposed to</w:t>
      </w:r>
      <w:r>
        <w:rPr>
          <w:rFonts w:cstheme="minorHAnsi"/>
        </w:rPr>
        <w:t xml:space="preserve"> </w:t>
      </w:r>
      <w:r w:rsidR="0053242D">
        <w:rPr>
          <w:rFonts w:cstheme="minorHAnsi"/>
        </w:rPr>
        <w:t xml:space="preserve">a </w:t>
      </w:r>
      <w:r>
        <w:rPr>
          <w:rFonts w:cstheme="minorHAnsi"/>
        </w:rPr>
        <w:t>chemical substance(s) or mixture(s</w:t>
      </w:r>
      <w:proofErr w:type="gramStart"/>
      <w:r>
        <w:rPr>
          <w:rFonts w:cstheme="minorHAnsi"/>
        </w:rPr>
        <w:t>);</w:t>
      </w:r>
      <w:proofErr w:type="gramEnd"/>
    </w:p>
    <w:p w:rsidR="00821432" w:rsidP="006F1411" w:rsidRDefault="00821432" w14:paraId="4151C299" w14:textId="6708FABB">
      <w:pPr>
        <w:pStyle w:val="ListParagraph"/>
        <w:numPr>
          <w:ilvl w:val="0"/>
          <w:numId w:val="7"/>
        </w:numPr>
        <w:spacing w:after="0" w:line="240" w:lineRule="auto"/>
        <w:rPr>
          <w:rFonts w:cstheme="minorHAnsi"/>
        </w:rPr>
      </w:pPr>
      <w:r>
        <w:rPr>
          <w:rFonts w:cstheme="minorHAnsi"/>
        </w:rPr>
        <w:t xml:space="preserve">The requester </w:t>
      </w:r>
      <w:r w:rsidR="00675DE6">
        <w:rPr>
          <w:rFonts w:cstheme="minorHAnsi"/>
        </w:rPr>
        <w:t>is providing emergency or first aid diagnosis or treatment to the patient(s</w:t>
      </w:r>
      <w:proofErr w:type="gramStart"/>
      <w:r w:rsidR="00675DE6">
        <w:rPr>
          <w:rFonts w:cstheme="minorHAnsi"/>
        </w:rPr>
        <w:t>)</w:t>
      </w:r>
      <w:r w:rsidR="00AD5EDD">
        <w:rPr>
          <w:rFonts w:cstheme="minorHAnsi"/>
        </w:rPr>
        <w:t>;</w:t>
      </w:r>
      <w:proofErr w:type="gramEnd"/>
    </w:p>
    <w:p w:rsidR="00991D0F" w:rsidP="006F1411" w:rsidRDefault="00991D0F" w14:paraId="78A3326F" w14:textId="0DAA2A53">
      <w:pPr>
        <w:pStyle w:val="ListParagraph"/>
        <w:numPr>
          <w:ilvl w:val="0"/>
          <w:numId w:val="7"/>
        </w:numPr>
        <w:spacing w:after="0" w:line="240" w:lineRule="auto"/>
        <w:rPr>
          <w:rFonts w:cstheme="minorHAnsi"/>
        </w:rPr>
      </w:pPr>
      <w:r>
        <w:rPr>
          <w:rFonts w:cstheme="minorHAnsi"/>
        </w:rPr>
        <w:t>The information is necessary for, or will assist with</w:t>
      </w:r>
      <w:r w:rsidR="0067531F">
        <w:rPr>
          <w:rFonts w:cstheme="minorHAnsi"/>
        </w:rPr>
        <w:t>,</w:t>
      </w:r>
      <w:r>
        <w:rPr>
          <w:rFonts w:cstheme="minorHAnsi"/>
        </w:rPr>
        <w:t xml:space="preserve"> such emergency diagnosis or treatment.</w:t>
      </w:r>
    </w:p>
    <w:p w:rsidR="007C0012" w:rsidP="00965418" w:rsidRDefault="007C0012" w14:paraId="54265B10" w14:textId="77777777">
      <w:pPr>
        <w:pStyle w:val="ListParagraph"/>
        <w:spacing w:after="0" w:line="240" w:lineRule="auto"/>
        <w:rPr>
          <w:rFonts w:cstheme="minorHAnsi"/>
        </w:rPr>
      </w:pPr>
    </w:p>
    <w:p w:rsidR="00181F90" w:rsidP="00675DE6" w:rsidRDefault="00821432" w14:paraId="59E0ECB0" w14:textId="0760FB03">
      <w:r>
        <w:t>At the time that the request is made, EPA will ask the requester to</w:t>
      </w:r>
      <w:r w:rsidR="00181F90">
        <w:t>:</w:t>
      </w:r>
    </w:p>
    <w:p w:rsidRPr="00181F90" w:rsidR="00181F90" w:rsidP="00600D00" w:rsidRDefault="00A14602" w14:paraId="24E4F9E6" w14:textId="0A64B7BE">
      <w:pPr>
        <w:pStyle w:val="ListParagraph"/>
        <w:numPr>
          <w:ilvl w:val="0"/>
          <w:numId w:val="35"/>
        </w:numPr>
        <w:rPr>
          <w:rFonts w:cstheme="minorHAnsi"/>
        </w:rPr>
      </w:pPr>
      <w:r>
        <w:lastRenderedPageBreak/>
        <w:t>A</w:t>
      </w:r>
      <w:r w:rsidR="00821432">
        <w:t>ffirm that i</w:t>
      </w:r>
      <w:r w:rsidRPr="00181F90" w:rsidR="00821432">
        <w:rPr>
          <w:rFonts w:cstheme="minorHAnsi"/>
        </w:rPr>
        <w:t xml:space="preserve">n the requester’s official capacity as [insert position], the requester has a reasonable basis </w:t>
      </w:r>
      <w:r w:rsidRPr="00181F90" w:rsidR="00675DE6">
        <w:rPr>
          <w:rFonts w:cstheme="minorHAnsi"/>
        </w:rPr>
        <w:t>to suspect</w:t>
      </w:r>
      <w:r w:rsidRPr="002B721E" w:rsidR="00675DE6">
        <w:t xml:space="preserve"> that</w:t>
      </w:r>
      <w:r w:rsidR="00675DE6">
        <w:t xml:space="preserve"> </w:t>
      </w:r>
      <w:r w:rsidRPr="002B721E" w:rsidR="00675DE6">
        <w:t>the information is necessary for, or will assist in, emergency or first-aid diagnosis or treatment</w:t>
      </w:r>
      <w:r w:rsidR="00A83155">
        <w:rPr>
          <w:rFonts w:cstheme="minorHAnsi"/>
        </w:rPr>
        <w:t>; and</w:t>
      </w:r>
      <w:r w:rsidRPr="00181F90" w:rsidR="00821432">
        <w:rPr>
          <w:rFonts w:cstheme="minorHAnsi"/>
        </w:rPr>
        <w:t xml:space="preserve"> </w:t>
      </w:r>
    </w:p>
    <w:p w:rsidRPr="00181F90" w:rsidR="00821432" w:rsidP="00600D00" w:rsidRDefault="00A14602" w14:paraId="7F53BDD9" w14:textId="26B472DA">
      <w:pPr>
        <w:pStyle w:val="ListParagraph"/>
        <w:numPr>
          <w:ilvl w:val="0"/>
          <w:numId w:val="35"/>
        </w:numPr>
        <w:rPr>
          <w:rFonts w:cs="Times New Roman"/>
          <w:b/>
        </w:rPr>
      </w:pPr>
      <w:r>
        <w:rPr>
          <w:rFonts w:cstheme="minorHAnsi"/>
        </w:rPr>
        <w:t>C</w:t>
      </w:r>
      <w:r w:rsidRPr="00181F90" w:rsidR="00821432">
        <w:rPr>
          <w:rFonts w:cstheme="minorHAnsi"/>
        </w:rPr>
        <w:t xml:space="preserve">onfirm his/her understanding that that the CBI released may be used only for the emergency purpose for which it is requested, and that the information will not be disclosed to any person not entitled to receive it. </w:t>
      </w:r>
    </w:p>
    <w:p w:rsidR="00821432" w:rsidP="00821432" w:rsidRDefault="007C0012" w14:paraId="4AA7311B" w14:textId="4103A1F2">
      <w:pPr>
        <w:tabs>
          <w:tab w:val="left" w:pos="2430"/>
        </w:tabs>
        <w:spacing w:after="0" w:line="240" w:lineRule="auto"/>
        <w:rPr>
          <w:rFonts w:cs="Times New Roman"/>
          <w:b/>
        </w:rPr>
      </w:pPr>
      <w:r>
        <w:t xml:space="preserve">These descriptions and confirmations will help EPA to determine that the requirements to disclose TSCA CBI under section 14(d)(6) are met.  </w:t>
      </w:r>
      <w:r w:rsidR="00821432">
        <w:t xml:space="preserve">As described in </w:t>
      </w:r>
      <w:r w:rsidR="00D00FF8">
        <w:rPr>
          <w:b/>
        </w:rPr>
        <w:t>Section IV</w:t>
      </w:r>
      <w:r w:rsidR="00821432">
        <w:rPr>
          <w:b/>
        </w:rPr>
        <w:t xml:space="preserve"> </w:t>
      </w:r>
      <w:r w:rsidR="00821432">
        <w:t xml:space="preserve">of this </w:t>
      </w:r>
      <w:r w:rsidR="00997977">
        <w:t>document</w:t>
      </w:r>
      <w:r w:rsidR="00821432">
        <w:t>, requester</w:t>
      </w:r>
      <w:r w:rsidR="00CA0DEF">
        <w:t>s</w:t>
      </w:r>
      <w:r w:rsidR="00821432">
        <w:t xml:space="preserve"> may also be required to provide a written statement of need, and to sign a written confidentiality agreement,</w:t>
      </w:r>
      <w:r w:rsidRPr="007E2F63" w:rsidR="00821432">
        <w:t xml:space="preserve"> </w:t>
      </w:r>
      <w:r w:rsidR="00821432">
        <w:t xml:space="preserve">if the business </w:t>
      </w:r>
      <w:r w:rsidR="0067531F">
        <w:t>that</w:t>
      </w:r>
      <w:r w:rsidR="00821432">
        <w:t xml:space="preserve"> made the CBI claim asks for such statement</w:t>
      </w:r>
      <w:r>
        <w:t xml:space="preserve"> </w:t>
      </w:r>
      <w:r>
        <w:rPr>
          <w:rFonts w:cstheme="minorHAnsi"/>
        </w:rPr>
        <w:t>(</w:t>
      </w:r>
      <w:r w:rsidRPr="00A406C3">
        <w:rPr>
          <w:rFonts w:cstheme="minorHAnsi"/>
          <w:i/>
        </w:rPr>
        <w:t>after</w:t>
      </w:r>
      <w:r>
        <w:rPr>
          <w:rFonts w:cstheme="minorHAnsi"/>
        </w:rPr>
        <w:t xml:space="preserve"> the information is released)</w:t>
      </w:r>
      <w:r w:rsidR="00821432">
        <w:t>.</w:t>
      </w:r>
    </w:p>
    <w:p w:rsidR="00C943C8" w:rsidP="00906919" w:rsidRDefault="00C943C8" w14:paraId="0B13BBA4" w14:textId="77777777">
      <w:pPr>
        <w:spacing w:after="0" w:line="240" w:lineRule="auto"/>
        <w:rPr>
          <w:rFonts w:cs="Times New Roman"/>
          <w:u w:val="single"/>
        </w:rPr>
      </w:pPr>
    </w:p>
    <w:p w:rsidR="00F038FA" w:rsidP="00906919" w:rsidRDefault="00F038FA" w14:paraId="0F124C76" w14:textId="77777777">
      <w:pPr>
        <w:spacing w:after="0" w:line="240" w:lineRule="auto"/>
        <w:rPr>
          <w:rFonts w:cs="Times New Roman"/>
          <w:u w:val="single"/>
        </w:rPr>
      </w:pPr>
    </w:p>
    <w:p w:rsidRPr="003B3741" w:rsidR="005B7541" w:rsidP="00F038FA" w:rsidRDefault="00906919" w14:paraId="4C0C0217" w14:textId="77777777">
      <w:pPr>
        <w:spacing w:after="0" w:line="240" w:lineRule="auto"/>
        <w:ind w:firstLine="720"/>
        <w:rPr>
          <w:rFonts w:cs="Times New Roman"/>
        </w:rPr>
      </w:pPr>
      <w:r w:rsidRPr="003B3741">
        <w:rPr>
          <w:rFonts w:cs="Times New Roman"/>
        </w:rPr>
        <w:t xml:space="preserve">3. </w:t>
      </w:r>
      <w:r w:rsidRPr="003B3741" w:rsidR="005B7541">
        <w:rPr>
          <w:rFonts w:cs="Times New Roman"/>
          <w:i/>
        </w:rPr>
        <w:t xml:space="preserve">Likely </w:t>
      </w:r>
      <w:r w:rsidR="00181F90">
        <w:rPr>
          <w:rFonts w:cs="Times New Roman"/>
          <w:i/>
        </w:rPr>
        <w:t>e</w:t>
      </w:r>
      <w:r w:rsidRPr="003B3741" w:rsidR="005B7541">
        <w:rPr>
          <w:rFonts w:cs="Times New Roman"/>
          <w:i/>
        </w:rPr>
        <w:t xml:space="preserve">xposure or </w:t>
      </w:r>
      <w:r w:rsidR="00181F90">
        <w:rPr>
          <w:rFonts w:cs="Times New Roman"/>
          <w:i/>
        </w:rPr>
        <w:t>s</w:t>
      </w:r>
      <w:r w:rsidRPr="003B3741" w:rsidR="005B7541">
        <w:rPr>
          <w:rFonts w:cs="Times New Roman"/>
          <w:i/>
        </w:rPr>
        <w:t xml:space="preserve">erious </w:t>
      </w:r>
      <w:r w:rsidR="00181F90">
        <w:rPr>
          <w:rFonts w:cs="Times New Roman"/>
          <w:i/>
        </w:rPr>
        <w:t>e</w:t>
      </w:r>
      <w:r w:rsidRPr="003B3741" w:rsidR="005B7541">
        <w:rPr>
          <w:rFonts w:cs="Times New Roman"/>
          <w:i/>
        </w:rPr>
        <w:t xml:space="preserve">nvironmental </w:t>
      </w:r>
      <w:r w:rsidR="00181F90">
        <w:rPr>
          <w:rFonts w:cs="Times New Roman"/>
          <w:i/>
        </w:rPr>
        <w:t>r</w:t>
      </w:r>
      <w:r w:rsidRPr="003B3741" w:rsidR="005B7541">
        <w:rPr>
          <w:rFonts w:cs="Times New Roman"/>
          <w:i/>
        </w:rPr>
        <w:t>elease</w:t>
      </w:r>
    </w:p>
    <w:p w:rsidR="005B7541" w:rsidP="00906919" w:rsidRDefault="005B7541" w14:paraId="03B9012E" w14:textId="77777777">
      <w:pPr>
        <w:spacing w:after="0" w:line="240" w:lineRule="auto"/>
        <w:rPr>
          <w:rFonts w:cstheme="minorHAnsi"/>
        </w:rPr>
      </w:pPr>
    </w:p>
    <w:p w:rsidR="005B7541" w:rsidP="00906919" w:rsidRDefault="005B7541" w14:paraId="6B6EE680" w14:textId="31421F35">
      <w:pPr>
        <w:spacing w:after="0" w:line="240" w:lineRule="auto"/>
      </w:pPr>
      <w:r w:rsidRPr="005B7541">
        <w:rPr>
          <w:rFonts w:cstheme="minorHAnsi"/>
        </w:rPr>
        <w:t xml:space="preserve">TSCA </w:t>
      </w:r>
      <w:r w:rsidR="00997977">
        <w:rPr>
          <w:rFonts w:cstheme="minorHAnsi"/>
        </w:rPr>
        <w:t>section</w:t>
      </w:r>
      <w:r w:rsidRPr="005B7541">
        <w:rPr>
          <w:rFonts w:cstheme="minorHAnsi"/>
        </w:rPr>
        <w:t xml:space="preserve"> 14(d)(6</w:t>
      </w:r>
      <w:r>
        <w:rPr>
          <w:rFonts w:cstheme="minorHAnsi"/>
        </w:rPr>
        <w:t>)</w:t>
      </w:r>
      <w:r w:rsidRPr="005B7541">
        <w:rPr>
          <w:rFonts w:cstheme="minorHAnsi"/>
        </w:rPr>
        <w:t xml:space="preserve"> </w:t>
      </w:r>
      <w:r w:rsidR="006031C7">
        <w:rPr>
          <w:rFonts w:cstheme="minorHAnsi"/>
        </w:rPr>
        <w:t xml:space="preserve">also </w:t>
      </w:r>
      <w:r w:rsidR="00626B74">
        <w:rPr>
          <w:rFonts w:cstheme="minorHAnsi"/>
        </w:rPr>
        <w:t>authorizes disclosure of TSCA CBI if the</w:t>
      </w:r>
      <w:r w:rsidRPr="005B7541">
        <w:rPr>
          <w:rFonts w:cstheme="minorHAnsi"/>
        </w:rPr>
        <w:t xml:space="preserve"> </w:t>
      </w:r>
      <w:r w:rsidR="00181F90">
        <w:rPr>
          <w:rFonts w:cstheme="minorHAnsi"/>
        </w:rPr>
        <w:t>requester</w:t>
      </w:r>
      <w:r w:rsidRPr="005B7541" w:rsidR="006031C7">
        <w:rPr>
          <w:rFonts w:cstheme="minorHAnsi"/>
        </w:rPr>
        <w:t xml:space="preserve"> </w:t>
      </w:r>
      <w:r>
        <w:t>has</w:t>
      </w:r>
      <w:r w:rsidRPr="002B721E">
        <w:t xml:space="preserve"> a reasonable basis to suspect that one or more individuals being diagnosed or treated have </w:t>
      </w:r>
      <w:r w:rsidRPr="005B7541">
        <w:rPr>
          <w:b/>
        </w:rPr>
        <w:t>likely</w:t>
      </w:r>
      <w:r w:rsidRPr="002B721E">
        <w:t xml:space="preserve"> been exposed to the chemical substance or mixture concerned, </w:t>
      </w:r>
      <w:r w:rsidRPr="005B7541">
        <w:rPr>
          <w:i/>
        </w:rPr>
        <w:t>or</w:t>
      </w:r>
      <w:r w:rsidRPr="002B721E">
        <w:t xml:space="preserve"> a </w:t>
      </w:r>
      <w:r w:rsidRPr="005B7541">
        <w:rPr>
          <w:b/>
        </w:rPr>
        <w:t>serious</w:t>
      </w:r>
      <w:r w:rsidRPr="002B721E">
        <w:t xml:space="preserve"> environmental release of or exposure to the chemical substance or mixture concerned has occurred. </w:t>
      </w:r>
    </w:p>
    <w:p w:rsidR="00C943C8" w:rsidP="00F038FA" w:rsidRDefault="00C943C8" w14:paraId="188D9D76" w14:textId="77777777">
      <w:pPr>
        <w:spacing w:after="0" w:line="240" w:lineRule="auto"/>
        <w:rPr>
          <w:rFonts w:cs="Times New Roman"/>
          <w:u w:val="single"/>
        </w:rPr>
      </w:pPr>
    </w:p>
    <w:p w:rsidR="006031C7" w:rsidP="006031C7" w:rsidRDefault="006031C7" w14:paraId="0BDE6D25" w14:textId="37CB6FE3">
      <w:pPr>
        <w:spacing w:after="0" w:line="240" w:lineRule="auto"/>
        <w:rPr>
          <w:rFonts w:cstheme="minorHAnsi"/>
        </w:rPr>
      </w:pPr>
      <w:r>
        <w:rPr>
          <w:rFonts w:cstheme="minorHAnsi"/>
        </w:rPr>
        <w:t xml:space="preserve">For guidance, </w:t>
      </w:r>
      <w:r w:rsidR="00181F90">
        <w:rPr>
          <w:rFonts w:cstheme="minorHAnsi"/>
        </w:rPr>
        <w:t>requester</w:t>
      </w:r>
      <w:r>
        <w:rPr>
          <w:rFonts w:cstheme="minorHAnsi"/>
        </w:rPr>
        <w:t>s</w:t>
      </w:r>
      <w:r w:rsidRPr="002B721E">
        <w:rPr>
          <w:rFonts w:cstheme="minorHAnsi"/>
        </w:rPr>
        <w:t xml:space="preserve"> should </w:t>
      </w:r>
      <w:r>
        <w:rPr>
          <w:rFonts w:cstheme="minorHAnsi"/>
        </w:rPr>
        <w:t xml:space="preserve">be able to describe </w:t>
      </w:r>
      <w:r w:rsidR="007C0012">
        <w:rPr>
          <w:rFonts w:cstheme="minorHAnsi"/>
        </w:rPr>
        <w:t xml:space="preserve">(if requested) </w:t>
      </w:r>
      <w:r>
        <w:rPr>
          <w:rFonts w:cstheme="minorHAnsi"/>
        </w:rPr>
        <w:t>how the circumstances of their request meet the following criteria:</w:t>
      </w:r>
    </w:p>
    <w:p w:rsidR="006031C7" w:rsidP="006031C7" w:rsidRDefault="006031C7" w14:paraId="6F0DDD89" w14:textId="77777777">
      <w:pPr>
        <w:spacing w:after="0" w:line="240" w:lineRule="auto"/>
        <w:rPr>
          <w:rFonts w:cstheme="minorHAnsi"/>
        </w:rPr>
      </w:pPr>
    </w:p>
    <w:p w:rsidRPr="00144849" w:rsidR="006031C7" w:rsidP="006F1411" w:rsidRDefault="006031C7" w14:paraId="01F8BA59" w14:textId="3E770016">
      <w:pPr>
        <w:pStyle w:val="ListParagraph"/>
        <w:numPr>
          <w:ilvl w:val="0"/>
          <w:numId w:val="7"/>
        </w:numPr>
        <w:spacing w:after="0" w:line="240" w:lineRule="auto"/>
        <w:rPr>
          <w:rFonts w:cstheme="minorHAnsi"/>
        </w:rPr>
      </w:pPr>
      <w:r>
        <w:rPr>
          <w:rFonts w:cstheme="minorHAnsi"/>
        </w:rPr>
        <w:t xml:space="preserve">There is </w:t>
      </w:r>
      <w:r w:rsidR="007C0012">
        <w:rPr>
          <w:rFonts w:cstheme="minorHAnsi"/>
        </w:rPr>
        <w:t>a</w:t>
      </w:r>
      <w:r>
        <w:rPr>
          <w:rFonts w:cstheme="minorHAnsi"/>
        </w:rPr>
        <w:t xml:space="preserve"> patient or patients in</w:t>
      </w:r>
      <w:r w:rsidR="00144849">
        <w:rPr>
          <w:rFonts w:cstheme="minorHAnsi"/>
        </w:rPr>
        <w:t xml:space="preserve"> need of diagnosis or treatment and t</w:t>
      </w:r>
      <w:r w:rsidRPr="00144849">
        <w:rPr>
          <w:rFonts w:cstheme="minorHAnsi"/>
        </w:rPr>
        <w:t xml:space="preserve">he </w:t>
      </w:r>
      <w:r w:rsidR="00144849">
        <w:rPr>
          <w:rFonts w:cstheme="minorHAnsi"/>
        </w:rPr>
        <w:t>patient</w:t>
      </w:r>
      <w:r w:rsidRPr="00144849">
        <w:rPr>
          <w:rFonts w:cstheme="minorHAnsi"/>
        </w:rPr>
        <w:t xml:space="preserve"> was </w:t>
      </w:r>
      <w:r w:rsidRPr="00144849" w:rsidR="00144849">
        <w:rPr>
          <w:rFonts w:cstheme="minorHAnsi"/>
        </w:rPr>
        <w:t>likely</w:t>
      </w:r>
      <w:r w:rsidRPr="00144849">
        <w:rPr>
          <w:rFonts w:cstheme="minorHAnsi"/>
        </w:rPr>
        <w:t xml:space="preserve"> exposed to</w:t>
      </w:r>
      <w:r w:rsidRPr="00144849" w:rsidR="00144849">
        <w:rPr>
          <w:rFonts w:cstheme="minorHAnsi"/>
        </w:rPr>
        <w:t xml:space="preserve"> the</w:t>
      </w:r>
      <w:r w:rsidRPr="00144849">
        <w:rPr>
          <w:rFonts w:cstheme="minorHAnsi"/>
        </w:rPr>
        <w:t xml:space="preserve"> specific chemical substance(s) or mixture(s)</w:t>
      </w:r>
      <w:r w:rsidRPr="00144849" w:rsidR="00144849">
        <w:rPr>
          <w:rFonts w:cstheme="minorHAnsi"/>
        </w:rPr>
        <w:t xml:space="preserve"> that is the subject of the </w:t>
      </w:r>
      <w:proofErr w:type="gramStart"/>
      <w:r w:rsidRPr="00144849" w:rsidR="00144849">
        <w:rPr>
          <w:rFonts w:cstheme="minorHAnsi"/>
        </w:rPr>
        <w:t>request</w:t>
      </w:r>
      <w:r w:rsidRPr="00144849">
        <w:rPr>
          <w:rFonts w:cstheme="minorHAnsi"/>
        </w:rPr>
        <w:t>;</w:t>
      </w:r>
      <w:proofErr w:type="gramEnd"/>
      <w:r w:rsidRPr="00144849" w:rsidR="00144849">
        <w:rPr>
          <w:rFonts w:cstheme="minorHAnsi"/>
        </w:rPr>
        <w:t xml:space="preserve"> OR</w:t>
      </w:r>
    </w:p>
    <w:p w:rsidR="006031C7" w:rsidP="006F1411" w:rsidRDefault="00144849" w14:paraId="3E119943" w14:textId="77777777">
      <w:pPr>
        <w:pStyle w:val="ListParagraph"/>
        <w:numPr>
          <w:ilvl w:val="0"/>
          <w:numId w:val="7"/>
        </w:numPr>
        <w:spacing w:after="0" w:line="240" w:lineRule="auto"/>
        <w:rPr>
          <w:rFonts w:cstheme="minorHAnsi"/>
        </w:rPr>
      </w:pPr>
      <w:r>
        <w:rPr>
          <w:rFonts w:cstheme="minorHAnsi"/>
        </w:rPr>
        <w:t>A serious environmental release of or exposure to the specific chemical substance(s) or mixture(s) that is the subject of the request has occurred</w:t>
      </w:r>
      <w:r w:rsidR="006031C7">
        <w:rPr>
          <w:rFonts w:cstheme="minorHAnsi"/>
        </w:rPr>
        <w:t>.</w:t>
      </w:r>
    </w:p>
    <w:p w:rsidR="006031C7" w:rsidP="006031C7" w:rsidRDefault="006031C7" w14:paraId="44316A45" w14:textId="77777777"/>
    <w:p w:rsidR="00181F90" w:rsidP="006031C7" w:rsidRDefault="006031C7" w14:paraId="36C6BC1F" w14:textId="4910D613">
      <w:r>
        <w:t>At the time that the request is made, EPA will ask the requester to</w:t>
      </w:r>
      <w:r w:rsidR="00181F90">
        <w:t>:</w:t>
      </w:r>
      <w:r>
        <w:t xml:space="preserve"> </w:t>
      </w:r>
    </w:p>
    <w:p w:rsidRPr="00600D00" w:rsidR="00A83155" w:rsidP="00600D00" w:rsidRDefault="00A14602" w14:paraId="012BD00D" w14:textId="65E2D219">
      <w:pPr>
        <w:pStyle w:val="ListParagraph"/>
        <w:numPr>
          <w:ilvl w:val="0"/>
          <w:numId w:val="36"/>
        </w:numPr>
        <w:rPr>
          <w:rFonts w:cstheme="minorHAnsi"/>
        </w:rPr>
      </w:pPr>
      <w:r>
        <w:t>A</w:t>
      </w:r>
      <w:r w:rsidR="006031C7">
        <w:t>ffirm that i</w:t>
      </w:r>
      <w:r w:rsidRPr="00181F90" w:rsidR="006031C7">
        <w:rPr>
          <w:rFonts w:cstheme="minorHAnsi"/>
        </w:rPr>
        <w:t>n the requester’s official capacity a</w:t>
      </w:r>
      <w:r w:rsidRPr="00A83155" w:rsidR="006031C7">
        <w:rPr>
          <w:rFonts w:cstheme="minorHAnsi"/>
        </w:rPr>
        <w:t>s [insert position], the requester has a reasonable basis to suspect</w:t>
      </w:r>
      <w:r w:rsidRPr="002B721E" w:rsidR="006031C7">
        <w:t xml:space="preserve"> that</w:t>
      </w:r>
      <w:r w:rsidR="006031C7">
        <w:t xml:space="preserve"> </w:t>
      </w:r>
      <w:r w:rsidRPr="002B721E" w:rsidR="00144849">
        <w:t>one or more individuals being diagnose</w:t>
      </w:r>
      <w:r w:rsidRPr="00144849" w:rsidR="00144849">
        <w:t xml:space="preserve">d or treated have likely been exposed to the chemical substance or mixture concerned, </w:t>
      </w:r>
      <w:r w:rsidRPr="00181F90" w:rsidR="00144849">
        <w:rPr>
          <w:i/>
        </w:rPr>
        <w:t>or</w:t>
      </w:r>
      <w:r w:rsidRPr="00144849" w:rsidR="00144849">
        <w:t xml:space="preserve"> a serious environmental release of or exposure to the chemical substance or mixture concerned has occurred</w:t>
      </w:r>
      <w:r w:rsidR="00A83155">
        <w:rPr>
          <w:rFonts w:cstheme="minorHAnsi"/>
        </w:rPr>
        <w:t>; and</w:t>
      </w:r>
    </w:p>
    <w:p w:rsidRPr="00A83155" w:rsidR="006031C7" w:rsidP="00600D00" w:rsidRDefault="00A14602" w14:paraId="08D92D96" w14:textId="4A1B0143">
      <w:pPr>
        <w:pStyle w:val="ListParagraph"/>
        <w:numPr>
          <w:ilvl w:val="0"/>
          <w:numId w:val="36"/>
        </w:numPr>
        <w:rPr>
          <w:rFonts w:cs="Times New Roman"/>
          <w:b/>
        </w:rPr>
      </w:pPr>
      <w:r>
        <w:rPr>
          <w:rFonts w:cstheme="minorHAnsi"/>
        </w:rPr>
        <w:t>C</w:t>
      </w:r>
      <w:r w:rsidRPr="00A83155" w:rsidR="006031C7">
        <w:rPr>
          <w:rFonts w:cstheme="minorHAnsi"/>
        </w:rPr>
        <w:t xml:space="preserve">onfirm his/her understanding that that the CBI released may be used only for the emergency purpose for which it is requested, and that the information will not be disclosed to any person not entitled to receive it. </w:t>
      </w:r>
    </w:p>
    <w:p w:rsidR="00906919" w:rsidP="006031C7" w:rsidRDefault="007C0012" w14:paraId="0EB68313" w14:textId="5339934C">
      <w:pPr>
        <w:spacing w:after="0" w:line="240" w:lineRule="auto"/>
      </w:pPr>
      <w:r>
        <w:t xml:space="preserve">These descriptions and confirmations will help EPA to determine that the requirements to disclose TSCA CBI under section 14(d)(6) are met.  </w:t>
      </w:r>
      <w:r w:rsidR="006031C7">
        <w:t xml:space="preserve">As described in </w:t>
      </w:r>
      <w:r w:rsidR="00D00FF8">
        <w:rPr>
          <w:b/>
        </w:rPr>
        <w:t>Section IV</w:t>
      </w:r>
      <w:r w:rsidR="006031C7">
        <w:rPr>
          <w:b/>
        </w:rPr>
        <w:t xml:space="preserve"> </w:t>
      </w:r>
      <w:r w:rsidR="006031C7">
        <w:t xml:space="preserve">of this </w:t>
      </w:r>
      <w:r w:rsidR="00997977">
        <w:t>document</w:t>
      </w:r>
      <w:r w:rsidR="006031C7">
        <w:t>, requester</w:t>
      </w:r>
      <w:r w:rsidR="00376605">
        <w:t>s</w:t>
      </w:r>
      <w:r w:rsidR="006031C7">
        <w:t xml:space="preserve"> may also be required to provide a written statement of need, and to sign a written confidentiality agreement,</w:t>
      </w:r>
      <w:r w:rsidRPr="007E2F63" w:rsidR="006031C7">
        <w:t xml:space="preserve"> </w:t>
      </w:r>
      <w:r w:rsidR="006031C7">
        <w:t>if the business who made the CBI claim asks for such statement</w:t>
      </w:r>
      <w:r>
        <w:t xml:space="preserve"> </w:t>
      </w:r>
      <w:r>
        <w:rPr>
          <w:rFonts w:cstheme="minorHAnsi"/>
        </w:rPr>
        <w:t>(</w:t>
      </w:r>
      <w:r w:rsidRPr="00A406C3">
        <w:rPr>
          <w:rFonts w:cstheme="minorHAnsi"/>
          <w:i/>
        </w:rPr>
        <w:t>after</w:t>
      </w:r>
      <w:r>
        <w:rPr>
          <w:rFonts w:cstheme="minorHAnsi"/>
        </w:rPr>
        <w:t xml:space="preserve"> the information is released)</w:t>
      </w:r>
      <w:r w:rsidR="00ED19E6">
        <w:t>.</w:t>
      </w:r>
    </w:p>
    <w:p w:rsidR="00ED19E6" w:rsidP="006031C7" w:rsidRDefault="00ED19E6" w14:paraId="5A679A37" w14:textId="52094AFC">
      <w:pPr>
        <w:spacing w:after="0" w:line="240" w:lineRule="auto"/>
      </w:pPr>
    </w:p>
    <w:p w:rsidR="00AD5EDD" w:rsidP="006031C7" w:rsidRDefault="00AD5EDD" w14:paraId="498E97AA" w14:textId="201CBA27">
      <w:pPr>
        <w:spacing w:after="0" w:line="240" w:lineRule="auto"/>
      </w:pPr>
    </w:p>
    <w:p w:rsidR="00AD5EDD" w:rsidP="006031C7" w:rsidRDefault="00AD5EDD" w14:paraId="091E201F" w14:textId="2BAADD80">
      <w:pPr>
        <w:spacing w:after="0" w:line="240" w:lineRule="auto"/>
      </w:pPr>
    </w:p>
    <w:p w:rsidR="00AD5EDD" w:rsidP="006031C7" w:rsidRDefault="00AD5EDD" w14:paraId="55005336" w14:textId="16014055">
      <w:pPr>
        <w:spacing w:after="0" w:line="240" w:lineRule="auto"/>
      </w:pPr>
    </w:p>
    <w:p w:rsidR="00AD5EDD" w:rsidP="006031C7" w:rsidRDefault="00AD5EDD" w14:paraId="490DBFA4" w14:textId="77777777">
      <w:pPr>
        <w:spacing w:after="0" w:line="240" w:lineRule="auto"/>
      </w:pPr>
    </w:p>
    <w:p w:rsidRPr="0026516C" w:rsidR="00F038FA" w:rsidP="0026516C" w:rsidRDefault="0026516C" w14:paraId="4B3D576D" w14:textId="77777777">
      <w:pPr>
        <w:spacing w:after="0" w:line="240" w:lineRule="auto"/>
        <w:rPr>
          <w:rFonts w:cs="Times New Roman"/>
          <w:b/>
        </w:rPr>
      </w:pPr>
      <w:r>
        <w:rPr>
          <w:rFonts w:cs="Times New Roman"/>
          <w:b/>
        </w:rPr>
        <w:lastRenderedPageBreak/>
        <w:t>III.</w:t>
      </w:r>
      <w:r>
        <w:rPr>
          <w:rFonts w:cs="Times New Roman"/>
          <w:b/>
        </w:rPr>
        <w:tab/>
      </w:r>
      <w:r w:rsidRPr="0026516C" w:rsidR="001109DA">
        <w:rPr>
          <w:rFonts w:cs="Times New Roman"/>
          <w:b/>
        </w:rPr>
        <w:t>During the Emergen</w:t>
      </w:r>
      <w:r w:rsidRPr="0026516C">
        <w:rPr>
          <w:rFonts w:cs="Times New Roman"/>
          <w:b/>
        </w:rPr>
        <w:t>cy: Requesting CBI</w:t>
      </w:r>
    </w:p>
    <w:p w:rsidRPr="0026516C" w:rsidR="0026516C" w:rsidP="0026516C" w:rsidRDefault="0026516C" w14:paraId="0B4FD21F" w14:textId="77777777">
      <w:pPr>
        <w:pStyle w:val="ListParagraph"/>
        <w:spacing w:after="0" w:line="240" w:lineRule="auto"/>
        <w:ind w:left="1080"/>
        <w:rPr>
          <w:rFonts w:cs="Times New Roman"/>
          <w:b/>
        </w:rPr>
      </w:pPr>
    </w:p>
    <w:p w:rsidRPr="00774867" w:rsidR="003B3741" w:rsidP="006F1411" w:rsidRDefault="00774867" w14:paraId="103C9F12" w14:textId="77777777">
      <w:pPr>
        <w:pStyle w:val="ListParagraph"/>
        <w:numPr>
          <w:ilvl w:val="0"/>
          <w:numId w:val="9"/>
        </w:numPr>
        <w:rPr>
          <w:u w:val="single"/>
        </w:rPr>
      </w:pPr>
      <w:r w:rsidRPr="00774867">
        <w:rPr>
          <w:i/>
        </w:rPr>
        <w:t>Where</w:t>
      </w:r>
      <w:r w:rsidR="0026516C">
        <w:rPr>
          <w:i/>
        </w:rPr>
        <w:t xml:space="preserve"> to request CBI in an emergency</w:t>
      </w:r>
    </w:p>
    <w:p w:rsidRPr="00774867" w:rsidR="00774867" w:rsidP="00600D00" w:rsidRDefault="00774867" w14:paraId="00AF24AC" w14:textId="6B9BF498">
      <w:pPr>
        <w:spacing w:after="0"/>
      </w:pPr>
      <w:r w:rsidRPr="00774867">
        <w:t xml:space="preserve">Emergency requests for CBI access should be directed to EPA Headquarters, via email, fax, phone call, or messenger, using the contact information listed below.  </w:t>
      </w:r>
      <w:r w:rsidR="005D5563">
        <w:t xml:space="preserve">Telephonic or other requests made orally will be memorialized in writing by EPA.  </w:t>
      </w:r>
      <w:r w:rsidRPr="00774867">
        <w:t>Capacity for making electronic requests is being developed</w:t>
      </w:r>
      <w:r w:rsidR="00A95FFA">
        <w:t xml:space="preserve"> </w:t>
      </w:r>
      <w:r w:rsidRPr="00774867">
        <w:t>and will be made available in the future.</w:t>
      </w:r>
    </w:p>
    <w:p w:rsidR="001C77C6" w:rsidP="001C77C6" w:rsidRDefault="001C77C6" w14:paraId="5A1E97A0" w14:textId="77777777">
      <w:pPr>
        <w:spacing w:after="0"/>
        <w:rPr>
          <w:b/>
          <w:highlight w:val="yellow"/>
        </w:rPr>
      </w:pPr>
    </w:p>
    <w:p w:rsidRPr="00904DEA" w:rsidR="001C77C6" w:rsidP="001C77C6" w:rsidRDefault="001C77C6" w14:paraId="62ABB75B" w14:textId="77777777">
      <w:pPr>
        <w:spacing w:after="0"/>
      </w:pPr>
      <w:r w:rsidRPr="00904DEA">
        <w:t>Requests may be directed to:</w:t>
      </w:r>
    </w:p>
    <w:p w:rsidRPr="00904DEA" w:rsidR="001C77C6" w:rsidP="001C77C6" w:rsidRDefault="001C77C6" w14:paraId="70A60861" w14:textId="77777777">
      <w:pPr>
        <w:spacing w:after="0"/>
      </w:pPr>
    </w:p>
    <w:p w:rsidRPr="00904DEA" w:rsidR="001C77C6" w:rsidP="001C77C6" w:rsidRDefault="001C77C6" w14:paraId="2C9C67C7" w14:textId="77777777">
      <w:pPr>
        <w:spacing w:after="0"/>
        <w:rPr>
          <w:b/>
        </w:rPr>
      </w:pPr>
      <w:r w:rsidRPr="00904DEA">
        <w:rPr>
          <w:b/>
        </w:rPr>
        <w:t>TSCA Hotline</w:t>
      </w:r>
    </w:p>
    <w:p w:rsidRPr="00904DEA" w:rsidR="001C77C6" w:rsidP="001C77C6" w:rsidRDefault="001C77C6" w14:paraId="0745FE8F" w14:textId="77777777">
      <w:pPr>
        <w:spacing w:after="0"/>
        <w:rPr>
          <w:b/>
        </w:rPr>
      </w:pPr>
      <w:r w:rsidRPr="00904DEA">
        <w:rPr>
          <w:rStyle w:val="Strong"/>
          <w:b w:val="0"/>
        </w:rPr>
        <w:t>Phone:</w:t>
      </w:r>
      <w:r w:rsidRPr="00904DEA">
        <w:rPr>
          <w:b/>
        </w:rPr>
        <w:t xml:space="preserve"> </w:t>
      </w:r>
      <w:r w:rsidRPr="00904DEA" w:rsidR="00904DEA">
        <w:tab/>
      </w:r>
      <w:r w:rsidRPr="00904DEA">
        <w:t>202-554-1404</w:t>
      </w:r>
      <w:r w:rsidRPr="00904DEA">
        <w:rPr>
          <w:b/>
        </w:rPr>
        <w:br/>
      </w:r>
      <w:r w:rsidRPr="00904DEA">
        <w:rPr>
          <w:rStyle w:val="Strong"/>
          <w:b w:val="0"/>
        </w:rPr>
        <w:t>Fax:</w:t>
      </w:r>
      <w:r w:rsidRPr="00904DEA">
        <w:rPr>
          <w:b/>
        </w:rPr>
        <w:t xml:space="preserve"> </w:t>
      </w:r>
      <w:r w:rsidRPr="00904DEA" w:rsidR="00904DEA">
        <w:rPr>
          <w:b/>
        </w:rPr>
        <w:tab/>
      </w:r>
      <w:r w:rsidRPr="00904DEA">
        <w:t>202-554-5603</w:t>
      </w:r>
      <w:r w:rsidRPr="00904DEA">
        <w:rPr>
          <w:b/>
        </w:rPr>
        <w:br/>
      </w:r>
      <w:r w:rsidRPr="00904DEA">
        <w:rPr>
          <w:rStyle w:val="Strong"/>
          <w:b w:val="0"/>
        </w:rPr>
        <w:t>E-mail:</w:t>
      </w:r>
      <w:r w:rsidRPr="00904DEA">
        <w:rPr>
          <w:b/>
        </w:rPr>
        <w:t xml:space="preserve"> </w:t>
      </w:r>
      <w:r w:rsidRPr="00904DEA" w:rsidR="00904DEA">
        <w:rPr>
          <w:b/>
        </w:rPr>
        <w:tab/>
      </w:r>
      <w:r w:rsidRPr="00904DEA">
        <w:t>tsca-hotline@epa.gov</w:t>
      </w:r>
    </w:p>
    <w:p w:rsidRPr="00904DEA" w:rsidR="001C77C6" w:rsidP="001C77C6" w:rsidRDefault="001C77C6" w14:paraId="23436F72" w14:textId="77777777">
      <w:pPr>
        <w:spacing w:after="0"/>
      </w:pPr>
    </w:p>
    <w:p w:rsidR="00904DEA" w:rsidP="001C77C6" w:rsidRDefault="00904DEA" w14:paraId="6D17246E" w14:textId="77777777">
      <w:pPr>
        <w:spacing w:after="0"/>
        <w:rPr>
          <w:b/>
        </w:rPr>
      </w:pPr>
      <w:r>
        <w:rPr>
          <w:b/>
        </w:rPr>
        <w:t>EPA Headquarters</w:t>
      </w:r>
    </w:p>
    <w:p w:rsidRPr="00904DEA" w:rsidR="001C77C6" w:rsidP="001C77C6" w:rsidRDefault="0083634E" w14:paraId="2BDD7CC2" w14:textId="77777777">
      <w:pPr>
        <w:spacing w:after="0"/>
      </w:pPr>
      <w:r>
        <w:t xml:space="preserve">Director, </w:t>
      </w:r>
      <w:r w:rsidRPr="00904DEA" w:rsidR="001C77C6">
        <w:t>Information Management Division</w:t>
      </w:r>
    </w:p>
    <w:p w:rsidRPr="00904DEA" w:rsidR="001C77C6" w:rsidP="001C77C6" w:rsidRDefault="001C77C6" w14:paraId="6B07EE6C" w14:textId="77777777">
      <w:pPr>
        <w:spacing w:after="0" w:line="240" w:lineRule="auto"/>
      </w:pPr>
      <w:r w:rsidRPr="00904DEA">
        <w:t>Office of Pollution Prevention and Toxics</w:t>
      </w:r>
    </w:p>
    <w:p w:rsidRPr="00904DEA" w:rsidR="001C77C6" w:rsidP="001C77C6" w:rsidRDefault="001C77C6" w14:paraId="2A529E2C" w14:textId="77777777">
      <w:pPr>
        <w:spacing w:after="0" w:line="240" w:lineRule="auto"/>
      </w:pPr>
      <w:r w:rsidRPr="00904DEA">
        <w:t>Office of Chemical Safety and Pollution Prevention</w:t>
      </w:r>
    </w:p>
    <w:p w:rsidRPr="00904DEA" w:rsidR="001C77C6" w:rsidP="001C77C6" w:rsidRDefault="001C77C6" w14:paraId="3E8AB80E" w14:textId="77777777">
      <w:pPr>
        <w:spacing w:after="0" w:line="240" w:lineRule="auto"/>
        <w:rPr>
          <w:rFonts w:cs="Segoe UI"/>
        </w:rPr>
      </w:pPr>
      <w:r w:rsidRPr="00904DEA">
        <w:rPr>
          <w:rFonts w:cs="Segoe UI"/>
        </w:rPr>
        <w:t xml:space="preserve">William Jefferson Clinton Building East, Rm. </w:t>
      </w:r>
      <w:r w:rsidRPr="00904DEA">
        <w:t>6120C</w:t>
      </w:r>
      <w:r w:rsidRPr="00904DEA">
        <w:rPr>
          <w:rFonts w:cs="Segoe UI"/>
        </w:rPr>
        <w:t xml:space="preserve"> </w:t>
      </w:r>
      <w:r w:rsidRPr="00904DEA">
        <w:rPr>
          <w:rFonts w:cs="Segoe UI"/>
        </w:rPr>
        <w:br/>
        <w:t xml:space="preserve">1200 Pennsylvania Avenue, N. W. </w:t>
      </w:r>
      <w:r w:rsidRPr="00904DEA">
        <w:rPr>
          <w:rFonts w:cs="Segoe UI"/>
        </w:rPr>
        <w:br/>
      </w:r>
      <w:r w:rsidRPr="00904DEA">
        <w:rPr>
          <w:rFonts w:cs="Segoe UI"/>
          <w:bCs/>
          <w:iCs/>
          <w:color w:val="000000"/>
        </w:rPr>
        <w:t>Mail Code:</w:t>
      </w:r>
      <w:r w:rsidRPr="00904DEA">
        <w:rPr>
          <w:rFonts w:cs="Segoe UI"/>
        </w:rPr>
        <w:t xml:space="preserve"> 7407M </w:t>
      </w:r>
      <w:r w:rsidRPr="00904DEA">
        <w:rPr>
          <w:rFonts w:cs="Segoe UI"/>
        </w:rPr>
        <w:br/>
        <w:t>Washington, DC 20460</w:t>
      </w:r>
    </w:p>
    <w:p w:rsidRPr="00904DEA" w:rsidR="001C77C6" w:rsidP="001C77C6" w:rsidRDefault="001C77C6" w14:paraId="6AC3C228" w14:textId="77777777">
      <w:pPr>
        <w:spacing w:after="0"/>
      </w:pPr>
      <w:r w:rsidRPr="00904DEA">
        <w:t xml:space="preserve">Phone: </w:t>
      </w:r>
      <w:r w:rsidRPr="00904DEA">
        <w:tab/>
        <w:t>202-564-0970</w:t>
      </w:r>
    </w:p>
    <w:p w:rsidR="001C77C6" w:rsidP="001C77C6" w:rsidRDefault="001C77C6" w14:paraId="72FC66E6" w14:textId="057F75B9">
      <w:pPr>
        <w:spacing w:after="0"/>
      </w:pPr>
      <w:r w:rsidRPr="00904DEA">
        <w:t>Fax:</w:t>
      </w:r>
      <w:r w:rsidRPr="00904DEA">
        <w:tab/>
        <w:t>202-564-7470</w:t>
      </w:r>
    </w:p>
    <w:p w:rsidR="006917FE" w:rsidP="001C77C6" w:rsidRDefault="006917FE" w14:paraId="05D3E991" w14:textId="7B509B0A">
      <w:pPr>
        <w:spacing w:after="0"/>
      </w:pPr>
    </w:p>
    <w:p w:rsidRPr="0053242D" w:rsidR="00774867" w:rsidP="00600D00" w:rsidRDefault="00904DEA" w14:paraId="3DFFB281" w14:textId="77777777">
      <w:pPr>
        <w:spacing w:after="0"/>
        <w:rPr>
          <w:b/>
        </w:rPr>
      </w:pPr>
      <w:r>
        <w:rPr>
          <w:b/>
        </w:rPr>
        <w:t>EPA</w:t>
      </w:r>
      <w:r w:rsidRPr="00600D00" w:rsidR="00774867">
        <w:rPr>
          <w:b/>
        </w:rPr>
        <w:t xml:space="preserve"> emergency </w:t>
      </w:r>
      <w:r>
        <w:rPr>
          <w:b/>
        </w:rPr>
        <w:t xml:space="preserve">TSCA CBI </w:t>
      </w:r>
      <w:r w:rsidRPr="00600D00" w:rsidR="00774867">
        <w:rPr>
          <w:b/>
        </w:rPr>
        <w:t>access contacts</w:t>
      </w:r>
    </w:p>
    <w:p w:rsidR="00984073" w:rsidP="00984073" w:rsidRDefault="00984073" w14:paraId="6492BFE9" w14:textId="0350D7B6">
      <w:pPr>
        <w:spacing w:after="0"/>
      </w:pPr>
      <w:r w:rsidRPr="00B8518E">
        <w:rPr>
          <w:i/>
        </w:rPr>
        <w:t>During business hours</w:t>
      </w:r>
      <w:r>
        <w:t>, emergency request</w:t>
      </w:r>
      <w:r w:rsidR="00606C5E">
        <w:t>e</w:t>
      </w:r>
      <w:r>
        <w:t>rs should use one of the contacts from t</w:t>
      </w:r>
      <w:r w:rsidR="00904DEA">
        <w:t>he c</w:t>
      </w:r>
      <w:r w:rsidRPr="00904DEA" w:rsidR="001C77C6">
        <w:t xml:space="preserve">urrent list of staff contacts available on EPA’s website, at </w:t>
      </w:r>
      <w:r w:rsidRPr="00FB147B" w:rsidR="00855936">
        <w:rPr>
          <w:rFonts w:cstheme="minorHAnsi"/>
        </w:rPr>
        <w:t>https://www.epa.gov/tsca-cbi/requesting-access-cbi-under-tsca</w:t>
      </w:r>
      <w:r w:rsidRPr="00904DEA" w:rsidR="00904DEA">
        <w:t>.</w:t>
      </w:r>
      <w:r>
        <w:t xml:space="preserve"> </w:t>
      </w:r>
    </w:p>
    <w:p w:rsidR="007E3739" w:rsidP="001C77C6" w:rsidRDefault="007E3739" w14:paraId="4FD0FEDF" w14:textId="59EA49CC">
      <w:pPr>
        <w:spacing w:after="0"/>
      </w:pPr>
    </w:p>
    <w:p w:rsidR="007E3739" w:rsidP="001C77C6" w:rsidRDefault="007E3739" w14:paraId="256905FE" w14:textId="4F28AAD8">
      <w:pPr>
        <w:spacing w:after="0"/>
      </w:pPr>
      <w:r w:rsidRPr="007E3739">
        <w:rPr>
          <w:i/>
        </w:rPr>
        <w:t>After business hours and on weekends</w:t>
      </w:r>
      <w:r>
        <w:t>, emergency request</w:t>
      </w:r>
      <w:r w:rsidR="00606C5E">
        <w:t>e</w:t>
      </w:r>
      <w:r>
        <w:t xml:space="preserve">rs may contact the EPA Emergency Operations Center (EOC) for assistance. </w:t>
      </w:r>
      <w:r w:rsidR="00984073">
        <w:t xml:space="preserve"> </w:t>
      </w:r>
      <w:r>
        <w:rPr>
          <w:lang w:val="en"/>
        </w:rPr>
        <w:t>EPA’s EOC can be reached at: 202-564-3850.</w:t>
      </w:r>
    </w:p>
    <w:p w:rsidRPr="00904DEA" w:rsidR="00600D00" w:rsidP="001C77C6" w:rsidRDefault="00600D00" w14:paraId="00FE4A5E" w14:textId="77777777">
      <w:pPr>
        <w:spacing w:after="0"/>
      </w:pPr>
    </w:p>
    <w:p w:rsidRPr="00774867" w:rsidR="0091012B" w:rsidP="00774867" w:rsidRDefault="009865FB" w14:paraId="5670A51E" w14:textId="5A2DC0D3">
      <w:r>
        <w:t>If the request for disclosure is granted, EPA will provide instructions for accessing the data.  In some circumstances, it might be most efficient for EPA to simply provide the information orally, over the phone, and in other circumstances, the information may be provided in writing, and/or via electronic access.</w:t>
      </w:r>
      <w:r w:rsidR="006917FE">
        <w:t xml:space="preserve">  EPA and the request</w:t>
      </w:r>
      <w:r w:rsidR="00606C5E">
        <w:t>e</w:t>
      </w:r>
      <w:r w:rsidR="006917FE">
        <w:t>r will determine which means are appropriate to the situation on a case-by-case basis.</w:t>
      </w:r>
    </w:p>
    <w:p w:rsidRPr="0026516C" w:rsidR="00774867" w:rsidP="0026516C" w:rsidRDefault="00774867" w14:paraId="24F4EDD9" w14:textId="77777777">
      <w:pPr>
        <w:ind w:firstLine="360"/>
        <w:rPr>
          <w:i/>
        </w:rPr>
      </w:pPr>
      <w:r w:rsidRPr="0026516C">
        <w:rPr>
          <w:i/>
        </w:rPr>
        <w:t>B.  Verification of Eligibility</w:t>
      </w:r>
    </w:p>
    <w:p w:rsidR="00774867" w:rsidP="00774867" w:rsidRDefault="00774867" w14:paraId="63556097" w14:textId="5D794B1A">
      <w:pPr>
        <w:ind w:firstLine="360"/>
      </w:pPr>
      <w:r>
        <w:t xml:space="preserve">When the CBI is requested, </w:t>
      </w:r>
      <w:r w:rsidR="00C42245">
        <w:t>EPA</w:t>
      </w:r>
      <w:r>
        <w:t xml:space="preserve"> must verify that the</w:t>
      </w:r>
      <w:r w:rsidR="00C42245">
        <w:t xml:space="preserve"> request</w:t>
      </w:r>
      <w:r w:rsidR="00606C5E">
        <w:t>e</w:t>
      </w:r>
      <w:r w:rsidR="00C42245">
        <w:t>r</w:t>
      </w:r>
      <w:r>
        <w:t xml:space="preserve"> fall</w:t>
      </w:r>
      <w:r w:rsidR="00C42245">
        <w:t>s</w:t>
      </w:r>
      <w:r>
        <w:t xml:space="preserve"> within one of the above-mentioned categories of requesters eligible for access to CBI under section 14(d)(6).  To do this, requesters </w:t>
      </w:r>
      <w:r w:rsidR="000E1B74">
        <w:t>should</w:t>
      </w:r>
      <w:r>
        <w:t xml:space="preserve"> provide</w:t>
      </w:r>
      <w:r w:rsidR="005D5563">
        <w:t xml:space="preserve"> the following information</w:t>
      </w:r>
      <w:r>
        <w:t>:</w:t>
      </w:r>
    </w:p>
    <w:p w:rsidR="00774867" w:rsidP="0091012B" w:rsidRDefault="00774867" w14:paraId="5D677AFD" w14:textId="67D5E61F">
      <w:pPr>
        <w:pStyle w:val="ListParagraph"/>
        <w:numPr>
          <w:ilvl w:val="0"/>
          <w:numId w:val="38"/>
        </w:numPr>
      </w:pPr>
      <w:r>
        <w:lastRenderedPageBreak/>
        <w:t>The requester’s first and last name</w:t>
      </w:r>
    </w:p>
    <w:p w:rsidR="00774867" w:rsidP="0091012B" w:rsidRDefault="00774867" w14:paraId="65E61898" w14:textId="1E2D4DF6">
      <w:pPr>
        <w:pStyle w:val="ListParagraph"/>
        <w:numPr>
          <w:ilvl w:val="0"/>
          <w:numId w:val="38"/>
        </w:numPr>
      </w:pPr>
      <w:r>
        <w:t xml:space="preserve">The requester’s position </w:t>
      </w:r>
    </w:p>
    <w:p w:rsidR="00774867" w:rsidP="0091012B" w:rsidRDefault="00774867" w14:paraId="474A7382" w14:textId="40E4547E">
      <w:pPr>
        <w:pStyle w:val="ListParagraph"/>
        <w:numPr>
          <w:ilvl w:val="0"/>
          <w:numId w:val="38"/>
        </w:numPr>
      </w:pPr>
      <w:r>
        <w:t>The requester’s employer and/or affiliation</w:t>
      </w:r>
    </w:p>
    <w:p w:rsidR="00774867" w:rsidP="0091012B" w:rsidRDefault="00774867" w14:paraId="7F3D900D" w14:textId="1D806970">
      <w:pPr>
        <w:pStyle w:val="ListParagraph"/>
        <w:numPr>
          <w:ilvl w:val="0"/>
          <w:numId w:val="38"/>
        </w:numPr>
      </w:pPr>
      <w:r>
        <w:t>The requester’s contact information (email address, phone number and/or mailing address)</w:t>
      </w:r>
    </w:p>
    <w:p w:rsidR="00A16186" w:rsidP="00587C23" w:rsidRDefault="00774867" w14:paraId="77CC4877" w14:textId="505D3B93">
      <w:r>
        <w:t xml:space="preserve">EPA reserves the right to request further information at the time of the request for the TSCA CBI, or after the TSCA CBI has been released. </w:t>
      </w:r>
      <w:r w:rsidR="00AD5EDD">
        <w:t xml:space="preserve"> </w:t>
      </w:r>
      <w:r>
        <w:t>Any false statements or misrepresentations made to EPA at the time of the request may result in liability under 18 U.S.C. 1001</w:t>
      </w:r>
      <w:r w:rsidR="00626B74">
        <w:t>.</w:t>
      </w:r>
    </w:p>
    <w:p w:rsidRPr="0026516C" w:rsidR="00A16186" w:rsidP="00D00FF8" w:rsidRDefault="00EA5797" w14:paraId="73050646" w14:textId="77777777">
      <w:pPr>
        <w:ind w:left="360"/>
        <w:rPr>
          <w:i/>
        </w:rPr>
      </w:pPr>
      <w:r w:rsidRPr="0026516C">
        <w:rPr>
          <w:i/>
        </w:rPr>
        <w:t xml:space="preserve">C.  </w:t>
      </w:r>
      <w:r w:rsidRPr="0026516C" w:rsidR="00A16186">
        <w:rPr>
          <w:i/>
        </w:rPr>
        <w:t>Describing the information sought</w:t>
      </w:r>
    </w:p>
    <w:p w:rsidR="00BA535F" w:rsidP="00A16186" w:rsidRDefault="00181F90" w14:paraId="22CE8DD0" w14:textId="2134AB4A">
      <w:r>
        <w:t>Requester</w:t>
      </w:r>
      <w:r w:rsidR="00A16186">
        <w:t>s will also need to provide a brief description of the i</w:t>
      </w:r>
      <w:r w:rsidRPr="006E7613" w:rsidR="00A16186">
        <w:t>nformation requested</w:t>
      </w:r>
      <w:r w:rsidR="00A16186">
        <w:t>.  For example, one might request</w:t>
      </w:r>
      <w:r w:rsidRPr="006E7613" w:rsidR="00A16186">
        <w:t xml:space="preserve"> </w:t>
      </w:r>
      <w:r w:rsidR="00A16186">
        <w:t>a list of all substances reported to be produced at a particular facility</w:t>
      </w:r>
      <w:r w:rsidRPr="006E7613" w:rsidR="00A16186">
        <w:t xml:space="preserve">, </w:t>
      </w:r>
      <w:r w:rsidR="00A16186">
        <w:t xml:space="preserve">or </w:t>
      </w:r>
      <w:r w:rsidRPr="006E7613" w:rsidR="00A16186">
        <w:t>health and safety data for a particular sub</w:t>
      </w:r>
      <w:r w:rsidR="00A16186">
        <w:t xml:space="preserve">stance or class of substances. </w:t>
      </w:r>
      <w:r w:rsidR="00AD5EDD">
        <w:t xml:space="preserve"> </w:t>
      </w:r>
      <w:r w:rsidR="00A16186">
        <w:t>EPA may ask the requester for additional information or further clarification, if necessary.</w:t>
      </w:r>
    </w:p>
    <w:p w:rsidRPr="0026516C" w:rsidR="00A16186" w:rsidP="00D00FF8" w:rsidRDefault="00EA5797" w14:paraId="69232B11" w14:textId="77777777">
      <w:pPr>
        <w:ind w:left="360"/>
        <w:rPr>
          <w:i/>
        </w:rPr>
      </w:pPr>
      <w:r w:rsidRPr="0026516C">
        <w:rPr>
          <w:i/>
        </w:rPr>
        <w:t xml:space="preserve">D.  </w:t>
      </w:r>
      <w:r w:rsidRPr="0026516C" w:rsidR="00A16186">
        <w:rPr>
          <w:i/>
        </w:rPr>
        <w:t>Describing the emergency and circumstances; required affirmations</w:t>
      </w:r>
    </w:p>
    <w:p w:rsidR="009835B3" w:rsidP="00537AA7" w:rsidRDefault="00537AA7" w14:paraId="05382876" w14:textId="5D017FF5">
      <w:r>
        <w:t xml:space="preserve">As described in </w:t>
      </w:r>
      <w:r w:rsidRPr="00ED2C7B">
        <w:rPr>
          <w:b/>
        </w:rPr>
        <w:t>Section II</w:t>
      </w:r>
      <w:r>
        <w:t>, the CBI disclosure must be in the event of an emergency</w:t>
      </w:r>
      <w:r w:rsidR="0067285D">
        <w:t xml:space="preserve"> for which access to TSCA CBI is </w:t>
      </w:r>
      <w:r w:rsidR="00BE1D87">
        <w:t>necessary</w:t>
      </w:r>
      <w:r>
        <w:t xml:space="preserve">.  The </w:t>
      </w:r>
      <w:r w:rsidR="00181F90">
        <w:t>requester</w:t>
      </w:r>
      <w:r>
        <w:t xml:space="preserve"> should describe the </w:t>
      </w:r>
      <w:proofErr w:type="gramStart"/>
      <w:r>
        <w:t>emergency situation</w:t>
      </w:r>
      <w:proofErr w:type="gramEnd"/>
      <w:r>
        <w:t xml:space="preserve">, and how the information requested relates to that situation.  </w:t>
      </w:r>
      <w:r w:rsidR="006917FE">
        <w:t>These descriptions will help EPA to determine that the request</w:t>
      </w:r>
      <w:r w:rsidR="00606C5E">
        <w:t>e</w:t>
      </w:r>
      <w:r w:rsidR="006917FE">
        <w:t xml:space="preserve">r meets the criteria for disclosure in section 14(d)(6).  </w:t>
      </w:r>
      <w:r>
        <w:t xml:space="preserve">Further, as noted in </w:t>
      </w:r>
      <w:r w:rsidRPr="00ED2C7B">
        <w:rPr>
          <w:b/>
        </w:rPr>
        <w:t>Section II.B</w:t>
      </w:r>
      <w:r>
        <w:t xml:space="preserve">, the </w:t>
      </w:r>
      <w:r w:rsidR="00181F90">
        <w:t>requester</w:t>
      </w:r>
      <w:r>
        <w:t xml:space="preserve"> must have a reasonable basis to suspect that </w:t>
      </w:r>
      <w:r w:rsidR="0085274B">
        <w:t xml:space="preserve">at least </w:t>
      </w:r>
      <w:r>
        <w:t xml:space="preserve">one of three circumstances apply, so must affirm such suspicion and circumstance, as well as his/her understanding of the limited use and further disclosure permitted for such CBI. </w:t>
      </w:r>
    </w:p>
    <w:p w:rsidRPr="009835B3" w:rsidR="00507CF5" w:rsidP="009835B3" w:rsidRDefault="009835B3" w14:paraId="5674DEF4" w14:textId="77777777">
      <w:pPr>
        <w:tabs>
          <w:tab w:val="left" w:pos="360"/>
        </w:tabs>
        <w:rPr>
          <w:i/>
        </w:rPr>
      </w:pPr>
      <w:r>
        <w:tab/>
      </w:r>
      <w:r w:rsidRPr="009835B3" w:rsidR="00507CF5">
        <w:rPr>
          <w:i/>
        </w:rPr>
        <w:t xml:space="preserve">E. </w:t>
      </w:r>
      <w:r w:rsidRPr="009835B3">
        <w:rPr>
          <w:i/>
        </w:rPr>
        <w:t xml:space="preserve"> Handling the </w:t>
      </w:r>
      <w:r w:rsidRPr="009835B3" w:rsidR="00507CF5">
        <w:rPr>
          <w:i/>
        </w:rPr>
        <w:t>information during and after the emergency</w:t>
      </w:r>
    </w:p>
    <w:p w:rsidR="00794E6B" w:rsidP="00794E6B" w:rsidRDefault="00794E6B" w14:paraId="45FD97F7" w14:textId="68A529B6">
      <w:r>
        <w:t xml:space="preserve">The requester should be especially aware that the CBI is only to be disclosed to those who are authorized to receive it.  Persons that willfully disclose such CBI to unauthorized persons are </w:t>
      </w:r>
      <w:r w:rsidRPr="00146D5A">
        <w:t>liable for a possible fine and/or imprisonment for up to one</w:t>
      </w:r>
      <w:r>
        <w:t xml:space="preserve"> year,</w:t>
      </w:r>
      <w:r w:rsidRPr="00146D5A">
        <w:t xml:space="preserve"> under section 14(h) of TSCA</w:t>
      </w:r>
      <w:r>
        <w:t xml:space="preserve"> (</w:t>
      </w:r>
      <w:r w:rsidRPr="00991FB5">
        <w:rPr>
          <w:rFonts w:cstheme="minorHAnsi"/>
        </w:rPr>
        <w:t xml:space="preserve">except that medical professionals may disclose the information to their patient or to persons authorized to make medical </w:t>
      </w:r>
      <w:r>
        <w:rPr>
          <w:rFonts w:cstheme="minorHAnsi"/>
        </w:rPr>
        <w:t xml:space="preserve">or health care </w:t>
      </w:r>
      <w:r w:rsidRPr="00991FB5">
        <w:rPr>
          <w:rFonts w:cstheme="minorHAnsi"/>
        </w:rPr>
        <w:t xml:space="preserve">decisions on behalf of the patient, as set out in </w:t>
      </w:r>
      <w:r>
        <w:rPr>
          <w:rFonts w:cstheme="minorHAnsi"/>
        </w:rPr>
        <w:t>s</w:t>
      </w:r>
      <w:r w:rsidRPr="00991FB5">
        <w:rPr>
          <w:rFonts w:cstheme="minorHAnsi"/>
        </w:rPr>
        <w:t>ection 14(h)(1)(C)</w:t>
      </w:r>
      <w:r>
        <w:t>).</w:t>
      </w:r>
      <w:r w:rsidRPr="00146D5A">
        <w:t xml:space="preserve"> </w:t>
      </w:r>
      <w:r>
        <w:t xml:space="preserve"> </w:t>
      </w:r>
    </w:p>
    <w:p w:rsidR="00794E6B" w:rsidP="00794E6B" w:rsidRDefault="00794E6B" w14:paraId="2CBBC216" w14:textId="4490B07B">
      <w:pPr>
        <w:rPr>
          <w:rFonts w:cstheme="minorHAnsi"/>
        </w:rPr>
      </w:pPr>
      <w:r>
        <w:t xml:space="preserve">In cases where the CBI information has been provided in written or electronic form, the requester should ensure that the information is secured and stored in such a manner as to prevent disclosure to unauthorized persons. </w:t>
      </w:r>
      <w:r w:rsidR="00AD5EDD">
        <w:t xml:space="preserve"> </w:t>
      </w:r>
      <w:r>
        <w:t xml:space="preserve">For example, requesters should consider the following practices: </w:t>
      </w:r>
    </w:p>
    <w:p w:rsidRPr="008759BE" w:rsidR="00794E6B" w:rsidP="00794E6B" w:rsidRDefault="00794E6B" w14:paraId="3A119A4A" w14:textId="062F87E6">
      <w:pPr>
        <w:pStyle w:val="ListParagraph"/>
        <w:numPr>
          <w:ilvl w:val="0"/>
          <w:numId w:val="37"/>
        </w:numPr>
        <w:rPr>
          <w:strike/>
        </w:rPr>
      </w:pPr>
      <w:r>
        <w:rPr>
          <w:rFonts w:cstheme="minorHAnsi"/>
        </w:rPr>
        <w:t xml:space="preserve">Store </w:t>
      </w:r>
      <w:r w:rsidRPr="009C165B">
        <w:rPr>
          <w:rFonts w:cstheme="minorHAnsi"/>
        </w:rPr>
        <w:t xml:space="preserve">physical documents </w:t>
      </w:r>
      <w:r w:rsidRPr="002F24CF">
        <w:t xml:space="preserve">and portable electronic media in a locked cabinet when not in </w:t>
      </w:r>
      <w:proofErr w:type="gramStart"/>
      <w:r w:rsidRPr="002F24CF">
        <w:t>use</w:t>
      </w:r>
      <w:r>
        <w:t>;</w:t>
      </w:r>
      <w:proofErr w:type="gramEnd"/>
    </w:p>
    <w:p w:rsidRPr="008759BE" w:rsidR="00794E6B" w:rsidP="00794E6B" w:rsidRDefault="00794E6B" w14:paraId="5058C99F" w14:textId="3499D7AF">
      <w:pPr>
        <w:pStyle w:val="ListParagraph"/>
        <w:numPr>
          <w:ilvl w:val="0"/>
          <w:numId w:val="37"/>
        </w:numPr>
        <w:rPr>
          <w:strike/>
        </w:rPr>
      </w:pPr>
      <w:r>
        <w:t xml:space="preserve">Avoid duplicating </w:t>
      </w:r>
      <w:r w:rsidRPr="002F24CF">
        <w:t xml:space="preserve">TSCA CBI </w:t>
      </w:r>
      <w:r w:rsidRPr="009C165B">
        <w:rPr>
          <w:rFonts w:cstheme="minorHAnsi"/>
        </w:rPr>
        <w:t xml:space="preserve">more than is necessary for the purpose of meeting the health or environmental need specified in the </w:t>
      </w:r>
      <w:proofErr w:type="gramStart"/>
      <w:r w:rsidRPr="009C165B">
        <w:rPr>
          <w:rFonts w:cstheme="minorHAnsi"/>
        </w:rPr>
        <w:t>request</w:t>
      </w:r>
      <w:r>
        <w:rPr>
          <w:rFonts w:cstheme="minorHAnsi"/>
        </w:rPr>
        <w:t>;</w:t>
      </w:r>
      <w:proofErr w:type="gramEnd"/>
    </w:p>
    <w:p w:rsidRPr="008759BE" w:rsidR="00794E6B" w:rsidP="00794E6B" w:rsidRDefault="00794E6B" w14:paraId="793BB033" w14:textId="7DE3A3BF">
      <w:pPr>
        <w:pStyle w:val="ListParagraph"/>
        <w:numPr>
          <w:ilvl w:val="0"/>
          <w:numId w:val="37"/>
        </w:numPr>
        <w:rPr>
          <w:strike/>
        </w:rPr>
      </w:pPr>
      <w:r>
        <w:t>Consistent with applicable legal requirements, destroy written or electronic copies once the need for the information subsides (by, for example, shredding, burning, or degaussing</w:t>
      </w:r>
      <w:proofErr w:type="gramStart"/>
      <w:r>
        <w:t>);</w:t>
      </w:r>
      <w:proofErr w:type="gramEnd"/>
    </w:p>
    <w:p w:rsidRPr="008759BE" w:rsidR="00794E6B" w:rsidP="00794E6B" w:rsidRDefault="00794E6B" w14:paraId="01E393C2" w14:textId="028B560A">
      <w:pPr>
        <w:pStyle w:val="ListParagraph"/>
        <w:numPr>
          <w:ilvl w:val="0"/>
          <w:numId w:val="37"/>
        </w:numPr>
        <w:rPr>
          <w:strike/>
        </w:rPr>
      </w:pPr>
      <w:r>
        <w:t>Report to EPA the loss of documents or possible disclosure to unauthorized persons.</w:t>
      </w:r>
    </w:p>
    <w:p w:rsidR="009B72A2" w:rsidP="0026516C" w:rsidRDefault="00794E6B" w14:paraId="1E7CA497" w14:textId="3035F1DC">
      <w:r>
        <w:t xml:space="preserve">Medical professionals who disclose CBI to their patient or to persons authorized to make medical or health care decisions on behalf of their patient should also consider documenting the fact and circumstances of this disclosure.  At the time of disclosure (when feasible), medical professionals making </w:t>
      </w:r>
      <w:r>
        <w:lastRenderedPageBreak/>
        <w:t xml:space="preserve">such disclosure should communicate the fact that the information has been claimed as confidential by a business to their patient or other </w:t>
      </w:r>
      <w:r>
        <w:rPr>
          <w:rFonts w:cstheme="minorHAnsi"/>
        </w:rPr>
        <w:t>person</w:t>
      </w:r>
      <w:r w:rsidRPr="00991FB5">
        <w:rPr>
          <w:rFonts w:cstheme="minorHAnsi"/>
        </w:rPr>
        <w:t xml:space="preserve"> authorized to make medical </w:t>
      </w:r>
      <w:r>
        <w:rPr>
          <w:rFonts w:cstheme="minorHAnsi"/>
        </w:rPr>
        <w:t xml:space="preserve">or health care </w:t>
      </w:r>
      <w:r w:rsidRPr="00991FB5">
        <w:rPr>
          <w:rFonts w:cstheme="minorHAnsi"/>
        </w:rPr>
        <w:t>decisions on behalf of the patient</w:t>
      </w:r>
      <w:r>
        <w:t>.</w:t>
      </w:r>
    </w:p>
    <w:p w:rsidRPr="0026516C" w:rsidR="00AD5EDD" w:rsidP="0026516C" w:rsidRDefault="00AD5EDD" w14:paraId="208C56AC" w14:textId="77777777">
      <w:pPr>
        <w:rPr>
          <w:u w:val="single"/>
        </w:rPr>
      </w:pPr>
    </w:p>
    <w:p w:rsidRPr="00DF27A6" w:rsidR="002B721E" w:rsidP="009865FB" w:rsidRDefault="00D00FF8" w14:paraId="2EC2F080" w14:textId="77777777">
      <w:pPr>
        <w:rPr>
          <w:u w:val="single"/>
        </w:rPr>
      </w:pPr>
      <w:r w:rsidRPr="0026516C">
        <w:rPr>
          <w:b/>
        </w:rPr>
        <w:t>I</w:t>
      </w:r>
      <w:r w:rsidRPr="0026516C" w:rsidR="00A16186">
        <w:rPr>
          <w:b/>
        </w:rPr>
        <w:t>V</w:t>
      </w:r>
      <w:r w:rsidR="00A16186">
        <w:t>.</w:t>
      </w:r>
      <w:r w:rsidRPr="002B721E" w:rsidR="002B721E">
        <w:t xml:space="preserve">  </w:t>
      </w:r>
      <w:r w:rsidRPr="00BF6EE1" w:rsidR="009865FB">
        <w:rPr>
          <w:b/>
        </w:rPr>
        <w:t xml:space="preserve">Additional Requirements </w:t>
      </w:r>
      <w:r w:rsidRPr="00BF6EE1" w:rsidR="00982857">
        <w:rPr>
          <w:b/>
        </w:rPr>
        <w:t xml:space="preserve">at </w:t>
      </w:r>
      <w:r w:rsidRPr="00BF6EE1" w:rsidR="009865FB">
        <w:rPr>
          <w:b/>
        </w:rPr>
        <w:t xml:space="preserve">the Request of the </w:t>
      </w:r>
      <w:r w:rsidRPr="00BF6EE1" w:rsidR="00312250">
        <w:rPr>
          <w:b/>
        </w:rPr>
        <w:t>P</w:t>
      </w:r>
      <w:r w:rsidRPr="00BF6EE1" w:rsidR="009865FB">
        <w:rPr>
          <w:b/>
        </w:rPr>
        <w:t xml:space="preserve">erson </w:t>
      </w:r>
      <w:r w:rsidRPr="00BF6EE1" w:rsidR="00312250">
        <w:rPr>
          <w:b/>
        </w:rPr>
        <w:t>W</w:t>
      </w:r>
      <w:r w:rsidRPr="00BF6EE1" w:rsidR="009865FB">
        <w:rPr>
          <w:b/>
        </w:rPr>
        <w:t xml:space="preserve">ho </w:t>
      </w:r>
      <w:r w:rsidRPr="00BF6EE1" w:rsidR="00312250">
        <w:rPr>
          <w:b/>
        </w:rPr>
        <w:t>Made the CBI Claim</w:t>
      </w:r>
    </w:p>
    <w:p w:rsidR="00411777" w:rsidP="00363E5D" w:rsidRDefault="00537AA7" w14:paraId="07912875" w14:textId="725D7AE2">
      <w:pPr>
        <w:rPr>
          <w:rFonts w:ascii="Calibri" w:hAnsi="Calibri" w:cs="Calibri"/>
          <w:color w:val="000000"/>
        </w:rPr>
      </w:pPr>
      <w:r>
        <w:t>When</w:t>
      </w:r>
      <w:r w:rsidRPr="002B721E" w:rsidR="00312C01">
        <w:t xml:space="preserve"> EPA provides </w:t>
      </w:r>
      <w:r w:rsidR="00376605">
        <w:t>a</w:t>
      </w:r>
      <w:r w:rsidRPr="002B721E" w:rsidR="00312C01">
        <w:t xml:space="preserve"> </w:t>
      </w:r>
      <w:r w:rsidR="00181F90">
        <w:t>requester</w:t>
      </w:r>
      <w:r w:rsidRPr="002B721E" w:rsidR="00C943C8">
        <w:t xml:space="preserve"> </w:t>
      </w:r>
      <w:r w:rsidRPr="002B721E" w:rsidR="00312C01">
        <w:t>with</w:t>
      </w:r>
      <w:r>
        <w:t xml:space="preserve"> </w:t>
      </w:r>
      <w:r w:rsidRPr="002B721E" w:rsidR="00312C01">
        <w:t>CBI, EPA is required to take further action, which may also extend</w:t>
      </w:r>
      <w:r w:rsidR="009B1460">
        <w:t xml:space="preserve"> to the </w:t>
      </w:r>
      <w:r w:rsidR="00312250">
        <w:t>person</w:t>
      </w:r>
      <w:r w:rsidR="009B1460">
        <w:t xml:space="preserve"> who mad</w:t>
      </w:r>
      <w:r w:rsidRPr="002B721E" w:rsidR="00312C01">
        <w:t xml:space="preserve">e the request for CBI.   </w:t>
      </w:r>
      <w:r w:rsidRPr="002B721E" w:rsidR="00411777">
        <w:t>Section 14(g)(2)(C)</w:t>
      </w:r>
      <w:r w:rsidR="00411777">
        <w:t xml:space="preserve"> requires EPA, a</w:t>
      </w:r>
      <w:r w:rsidRPr="002B721E" w:rsidR="00695231">
        <w:t>s soon</w:t>
      </w:r>
      <w:r w:rsidRPr="002B721E" w:rsidR="00185D81">
        <w:t xml:space="preserve"> “as practicable</w:t>
      </w:r>
      <w:r w:rsidR="00321C19">
        <w:t xml:space="preserve"> after disclosure of the information</w:t>
      </w:r>
      <w:r w:rsidRPr="002B721E" w:rsidR="00185D81">
        <w:t xml:space="preserve">,” </w:t>
      </w:r>
      <w:r w:rsidRPr="002B721E" w:rsidR="00363E5D">
        <w:t xml:space="preserve">to notify the person who made the CBI claim of the disclosure.  If that person so requests, </w:t>
      </w:r>
      <w:r w:rsidR="00997977">
        <w:t>section</w:t>
      </w:r>
      <w:r w:rsidRPr="002B721E" w:rsidR="00997977">
        <w:t xml:space="preserve"> 14(d)(6)(B)(</w:t>
      </w:r>
      <w:proofErr w:type="spellStart"/>
      <w:r w:rsidRPr="002B721E" w:rsidR="00997977">
        <w:t>i</w:t>
      </w:r>
      <w:proofErr w:type="spellEnd"/>
      <w:r w:rsidRPr="002B721E" w:rsidR="00997977">
        <w:t>)</w:t>
      </w:r>
      <w:r w:rsidR="00997977">
        <w:t xml:space="preserve"> requires that</w:t>
      </w:r>
      <w:r w:rsidR="00B76E5B">
        <w:t xml:space="preserve"> </w:t>
      </w:r>
      <w:r w:rsidRPr="002B721E" w:rsidR="00363E5D">
        <w:t xml:space="preserve">the </w:t>
      </w:r>
      <w:r w:rsidR="00181F90">
        <w:t>requester</w:t>
      </w:r>
      <w:r w:rsidRPr="002B721E" w:rsidR="00363E5D">
        <w:t xml:space="preserve"> provide to EPA a written statement of need and sign a confidentiality agreement, “as soon as practicable, </w:t>
      </w:r>
      <w:r w:rsidRPr="002B721E" w:rsidR="00185D81">
        <w:t>but not necessarily befo</w:t>
      </w:r>
      <w:r w:rsidRPr="002B721E" w:rsidR="00363E5D">
        <w:t>re the information is disclosed</w:t>
      </w:r>
      <w:r w:rsidRPr="002B721E" w:rsidR="00185D81">
        <w:t>.</w:t>
      </w:r>
      <w:r w:rsidRPr="002B721E" w:rsidR="00363E5D">
        <w:t xml:space="preserve">”  According to </w:t>
      </w:r>
      <w:r w:rsidR="00997977">
        <w:t>section</w:t>
      </w:r>
      <w:r w:rsidRPr="002B721E" w:rsidR="00363E5D">
        <w:t xml:space="preserve"> 14(d)(6), the written statement of need and confidentiality agreement shall be as described under </w:t>
      </w:r>
      <w:r w:rsidR="00997977">
        <w:t>section</w:t>
      </w:r>
      <w:r w:rsidRPr="002B721E" w:rsidR="00363E5D">
        <w:t xml:space="preserve"> 14(d)(5)</w:t>
      </w:r>
      <w:r w:rsidR="009B1460">
        <w:t xml:space="preserve"> (nonemergency situations)</w:t>
      </w:r>
      <w:r w:rsidR="00411777">
        <w:t xml:space="preserve">, including the requirement under </w:t>
      </w:r>
      <w:r w:rsidR="00997977">
        <w:t>section</w:t>
      </w:r>
      <w:r w:rsidR="00411777">
        <w:t xml:space="preserve"> 14(d)(5)(A) that </w:t>
      </w:r>
      <w:r w:rsidR="00411777">
        <w:rPr>
          <w:rFonts w:ascii="Calibri" w:hAnsi="Calibri" w:cs="Calibri"/>
        </w:rPr>
        <w:t xml:space="preserve">all </w:t>
      </w:r>
      <w:r w:rsidR="00411777">
        <w:rPr>
          <w:rFonts w:ascii="Calibri" w:hAnsi="Calibri" w:cs="Calibri"/>
          <w:color w:val="000000"/>
        </w:rPr>
        <w:t xml:space="preserve">statements of need and confidentiality agreements must </w:t>
      </w:r>
      <w:r w:rsidR="00997977">
        <w:rPr>
          <w:rFonts w:ascii="Calibri" w:hAnsi="Calibri" w:cs="Calibri"/>
          <w:color w:val="000000"/>
        </w:rPr>
        <w:t xml:space="preserve">be consistent with this </w:t>
      </w:r>
      <w:r w:rsidR="00AD5EDD">
        <w:rPr>
          <w:rFonts w:ascii="Calibri" w:hAnsi="Calibri" w:cs="Calibri"/>
          <w:color w:val="000000"/>
        </w:rPr>
        <w:t xml:space="preserve">guidance </w:t>
      </w:r>
      <w:r w:rsidR="00997977">
        <w:rPr>
          <w:rFonts w:ascii="Calibri" w:hAnsi="Calibri" w:cs="Calibri"/>
          <w:color w:val="000000"/>
        </w:rPr>
        <w:t>document</w:t>
      </w:r>
      <w:r w:rsidR="00411777">
        <w:rPr>
          <w:rFonts w:ascii="Calibri" w:hAnsi="Calibri" w:cs="Calibri"/>
          <w:color w:val="000000"/>
        </w:rPr>
        <w:t xml:space="preserve">.  </w:t>
      </w:r>
    </w:p>
    <w:p w:rsidR="00363E5D" w:rsidP="00363E5D" w:rsidRDefault="005D5563" w14:paraId="66C9CEB1" w14:textId="60A5C53F">
      <w:r>
        <w:t>In the event of such a request from the person t</w:t>
      </w:r>
      <w:r w:rsidR="006F5DF1">
        <w:t xml:space="preserve">hat made the CBI claim, EPA will notify the </w:t>
      </w:r>
      <w:r w:rsidR="00181F90">
        <w:t>requester</w:t>
      </w:r>
      <w:r w:rsidR="006F5DF1">
        <w:t xml:space="preserve"> and provide instructions for providing the statement of need and confidentiality agreement to EPA.  Further guidance on the statement of need and confidentiality agreement follows.</w:t>
      </w:r>
    </w:p>
    <w:p w:rsidRPr="003F180D" w:rsidR="003B6F9D" w:rsidP="0026516C" w:rsidRDefault="0026516C" w14:paraId="3889E250" w14:textId="77777777">
      <w:pPr>
        <w:rPr>
          <w:i/>
        </w:rPr>
      </w:pPr>
      <w:r>
        <w:rPr>
          <w:i/>
        </w:rPr>
        <w:t xml:space="preserve">     </w:t>
      </w:r>
      <w:r w:rsidR="00A16186">
        <w:rPr>
          <w:i/>
        </w:rPr>
        <w:t xml:space="preserve">A. </w:t>
      </w:r>
      <w:r w:rsidRPr="003F180D" w:rsidR="003B6F9D">
        <w:rPr>
          <w:i/>
        </w:rPr>
        <w:t>Written statement of need</w:t>
      </w:r>
    </w:p>
    <w:p w:rsidRPr="002B721E" w:rsidR="003B6F9D" w:rsidP="003B6F9D" w:rsidRDefault="003B3741" w14:paraId="1CBBF480" w14:textId="77777777">
      <w:r>
        <w:t>T</w:t>
      </w:r>
      <w:r w:rsidRPr="002B721E" w:rsidR="003B6F9D">
        <w:t xml:space="preserve">he statement of need should be </w:t>
      </w:r>
      <w:r>
        <w:t xml:space="preserve">one </w:t>
      </w:r>
      <w:r w:rsidR="0085274B">
        <w:t xml:space="preserve">or more </w:t>
      </w:r>
      <w:r>
        <w:t>of the following, as applicable:</w:t>
      </w:r>
      <w:r w:rsidRPr="002B721E" w:rsidR="003B6F9D">
        <w:t xml:space="preserve"> </w:t>
      </w:r>
    </w:p>
    <w:p w:rsidR="00C943C8" w:rsidP="003B6F9D" w:rsidRDefault="00C943C8" w14:paraId="719F9961" w14:textId="77777777">
      <w:pPr>
        <w:ind w:left="720"/>
      </w:pPr>
      <w:r>
        <w:t>At the time the information was</w:t>
      </w:r>
      <w:r w:rsidR="003B3741">
        <w:t>/is</w:t>
      </w:r>
      <w:r>
        <w:t xml:space="preserve"> requested, an emergency event was</w:t>
      </w:r>
      <w:r w:rsidR="003B3741">
        <w:t>/is</w:t>
      </w:r>
      <w:r>
        <w:t xml:space="preserve"> underway, and </w:t>
      </w:r>
      <w:r w:rsidRPr="002B721E" w:rsidR="003B6F9D">
        <w:t>I ha</w:t>
      </w:r>
      <w:r>
        <w:t>d</w:t>
      </w:r>
      <w:r w:rsidR="003B3741">
        <w:t>/have</w:t>
      </w:r>
      <w:r w:rsidRPr="002B721E" w:rsidR="003B6F9D">
        <w:t xml:space="preserve"> a reasonable basis to suspect that </w:t>
      </w:r>
      <w:r>
        <w:t>a medical, public health, or environmental emergency existed</w:t>
      </w:r>
      <w:r w:rsidR="003B3741">
        <w:t>/exists.</w:t>
      </w:r>
    </w:p>
    <w:p w:rsidR="003B3741" w:rsidP="003B6F9D" w:rsidRDefault="00C943C8" w14:paraId="12CC1800" w14:textId="77777777">
      <w:pPr>
        <w:ind w:left="720"/>
      </w:pPr>
      <w:r>
        <w:t>At the time the information was</w:t>
      </w:r>
      <w:r w:rsidR="003B3741">
        <w:t>/is</w:t>
      </w:r>
      <w:r>
        <w:t xml:space="preserve"> requested, an emergency event was</w:t>
      </w:r>
      <w:r w:rsidR="003B3741">
        <w:t>/is</w:t>
      </w:r>
      <w:r>
        <w:t xml:space="preserve"> underway,</w:t>
      </w:r>
      <w:r w:rsidR="003B3741">
        <w:t xml:space="preserve"> and</w:t>
      </w:r>
      <w:r>
        <w:t xml:space="preserve"> I had</w:t>
      </w:r>
      <w:r w:rsidR="003B3741">
        <w:t>/have</w:t>
      </w:r>
      <w:r>
        <w:t xml:space="preserve"> a reasonable basis to suspect that </w:t>
      </w:r>
      <w:r w:rsidRPr="002B721E" w:rsidR="003B6F9D">
        <w:t xml:space="preserve">the requested information </w:t>
      </w:r>
      <w:r>
        <w:t>was</w:t>
      </w:r>
      <w:r w:rsidR="003B3741">
        <w:t>/is</w:t>
      </w:r>
      <w:r>
        <w:t xml:space="preserve"> </w:t>
      </w:r>
      <w:r w:rsidRPr="002B721E" w:rsidR="003B6F9D">
        <w:t>necessary for, or w</w:t>
      </w:r>
      <w:r>
        <w:t>ould</w:t>
      </w:r>
      <w:r w:rsidR="003B3741">
        <w:t>/will</w:t>
      </w:r>
      <w:r w:rsidRPr="002B721E" w:rsidR="003B6F9D">
        <w:t xml:space="preserve"> assist in the </w:t>
      </w:r>
      <w:r w:rsidR="003B3741">
        <w:t>emergency or first</w:t>
      </w:r>
      <w:r w:rsidR="00982857">
        <w:t>-</w:t>
      </w:r>
      <w:r w:rsidR="003B3741">
        <w:t xml:space="preserve">aid </w:t>
      </w:r>
      <w:r w:rsidRPr="002B721E" w:rsidR="003B6F9D">
        <w:t>diagnosis or treatment</w:t>
      </w:r>
      <w:r w:rsidR="003B3741">
        <w:t>.</w:t>
      </w:r>
      <w:r w:rsidRPr="002B721E" w:rsidR="003B6F9D">
        <w:t xml:space="preserve"> </w:t>
      </w:r>
    </w:p>
    <w:p w:rsidR="003B3741" w:rsidP="003B6F9D" w:rsidRDefault="003B3741" w14:paraId="3AC171EC" w14:textId="77777777">
      <w:pPr>
        <w:ind w:left="720"/>
      </w:pPr>
      <w:r>
        <w:t>At the time the information was/is requested, an emergency event was/is underway, and I had/have a reasonable basis to suspect that one or more individuals being diagnosed or treated had/has likely been exposed to the chemical substance or mixture concerned, or a serious environmental release of or exposure to the chemical substance or mixture concerned had/has occurred.</w:t>
      </w:r>
    </w:p>
    <w:p w:rsidR="0091012B" w:rsidP="005D5563" w:rsidRDefault="00EA5797" w14:paraId="739F898D" w14:textId="26A2ED16">
      <w:r>
        <w:t xml:space="preserve">In addition, the emergency </w:t>
      </w:r>
      <w:r w:rsidR="000E1B74">
        <w:t>request</w:t>
      </w:r>
      <w:r w:rsidR="00606C5E">
        <w:t>e</w:t>
      </w:r>
      <w:r w:rsidR="000E1B74">
        <w:t>r should</w:t>
      </w:r>
      <w:r>
        <w:t xml:space="preserve"> attach or refer to </w:t>
      </w:r>
      <w:r w:rsidR="002B2E03">
        <w:t>any information</w:t>
      </w:r>
      <w:r>
        <w:t xml:space="preserve"> that s/he previously provided to EPA</w:t>
      </w:r>
      <w:r w:rsidR="002B2E03">
        <w:t xml:space="preserve"> concerning eligibility or describing the </w:t>
      </w:r>
      <w:proofErr w:type="gramStart"/>
      <w:r w:rsidR="002B2E03">
        <w:t>emergency situation</w:t>
      </w:r>
      <w:proofErr w:type="gramEnd"/>
      <w:r w:rsidR="002B2E03">
        <w:t xml:space="preserve"> </w:t>
      </w:r>
      <w:r>
        <w:t xml:space="preserve">(as set out in </w:t>
      </w:r>
      <w:r w:rsidRPr="00BC2831">
        <w:rPr>
          <w:b/>
        </w:rPr>
        <w:t>Section III.B-D</w:t>
      </w:r>
      <w:r w:rsidR="00997977">
        <w:t xml:space="preserve"> of this document</w:t>
      </w:r>
      <w:r>
        <w:t xml:space="preserve">). </w:t>
      </w:r>
    </w:p>
    <w:p w:rsidRPr="005D5563" w:rsidR="003B6F9D" w:rsidP="0026516C" w:rsidRDefault="0026516C" w14:paraId="61B89442" w14:textId="77777777">
      <w:pPr>
        <w:rPr>
          <w:i/>
        </w:rPr>
      </w:pPr>
      <w:r>
        <w:rPr>
          <w:i/>
        </w:rPr>
        <w:t xml:space="preserve">     </w:t>
      </w:r>
      <w:r w:rsidR="00EA5797">
        <w:rPr>
          <w:i/>
        </w:rPr>
        <w:t xml:space="preserve">B.  </w:t>
      </w:r>
      <w:r w:rsidRPr="005D5563" w:rsidR="003B6F9D">
        <w:rPr>
          <w:i/>
        </w:rPr>
        <w:t>Confidentiality agreement</w:t>
      </w:r>
    </w:p>
    <w:p w:rsidR="003B6F9D" w:rsidP="003B6F9D" w:rsidRDefault="008F34C5" w14:paraId="011C966D" w14:textId="77777777">
      <w:r>
        <w:t>The confidentiality agreement is as follows</w:t>
      </w:r>
      <w:r w:rsidRPr="002B721E" w:rsidR="003B6F9D">
        <w:t>:</w:t>
      </w:r>
    </w:p>
    <w:p w:rsidRPr="002B721E" w:rsidR="00BF7E15" w:rsidP="009835B3" w:rsidRDefault="00BF7E15" w14:paraId="40C37D09" w14:textId="77777777">
      <w:pPr>
        <w:ind w:left="720"/>
      </w:pPr>
      <w:r>
        <w:lastRenderedPageBreak/>
        <w:t xml:space="preserve">The undersigned hereby agrees to the following terms and conditions associated with this request for access to and use of confidential business information pursuant to </w:t>
      </w:r>
      <w:r w:rsidR="00997977">
        <w:t>s</w:t>
      </w:r>
      <w:r>
        <w:t>ection 14(d)(6) of TSCA:</w:t>
      </w:r>
    </w:p>
    <w:p w:rsidRPr="00146D5A" w:rsidR="003B6F9D" w:rsidP="003F1710" w:rsidRDefault="003B6F9D" w14:paraId="26A086E8" w14:textId="64E6B790">
      <w:pPr>
        <w:ind w:left="1440"/>
      </w:pPr>
      <w:r w:rsidRPr="00146D5A">
        <w:t xml:space="preserve">I </w:t>
      </w:r>
      <w:r w:rsidR="003B3741">
        <w:t xml:space="preserve">have or </w:t>
      </w:r>
      <w:r w:rsidR="00BC2831">
        <w:t>will have access to certain confidential business i</w:t>
      </w:r>
      <w:r w:rsidRPr="00146D5A">
        <w:t>nformation submitted under the Toxic Substances Control Act (TSCA</w:t>
      </w:r>
      <w:r w:rsidR="00BF7E15">
        <w:t>)</w:t>
      </w:r>
      <w:r w:rsidR="00C87F06">
        <w:t>,</w:t>
      </w:r>
      <w:r w:rsidR="00BF7E15">
        <w:t xml:space="preserve"> </w:t>
      </w:r>
      <w:r w:rsidRPr="00146D5A">
        <w:t xml:space="preserve">15 </w:t>
      </w:r>
      <w:r w:rsidR="00600D00">
        <w:t>U.S.C.</w:t>
      </w:r>
      <w:r w:rsidRPr="00146D5A">
        <w:t xml:space="preserve"> 2601 </w:t>
      </w:r>
      <w:r w:rsidRPr="00ED2C7B">
        <w:rPr>
          <w:i/>
        </w:rPr>
        <w:t>et seq</w:t>
      </w:r>
      <w:r w:rsidRPr="00146D5A">
        <w:t xml:space="preserve">. </w:t>
      </w:r>
      <w:r w:rsidR="00BF7E15">
        <w:t xml:space="preserve"> </w:t>
      </w:r>
      <w:r w:rsidRPr="00146D5A">
        <w:t xml:space="preserve">This access has been granted in accordance with </w:t>
      </w:r>
      <w:r w:rsidR="00C87F06">
        <w:t xml:space="preserve">TSCA </w:t>
      </w:r>
      <w:r w:rsidR="00997977">
        <w:t>Section</w:t>
      </w:r>
      <w:r w:rsidRPr="00146D5A">
        <w:t xml:space="preserve"> 14(d)(6), for the purposes established in th</w:t>
      </w:r>
      <w:r w:rsidR="00BF7E15">
        <w:t>at</w:t>
      </w:r>
      <w:r w:rsidRPr="00146D5A">
        <w:t xml:space="preserve"> section, and in the statement of need pertaining to this disclosure of TSCA CBI to me.</w:t>
      </w:r>
    </w:p>
    <w:p w:rsidR="003B6F9D" w:rsidP="003F1710" w:rsidRDefault="00BF7E15" w14:paraId="77643FE7" w14:textId="77777777">
      <w:pPr>
        <w:ind w:left="1440"/>
      </w:pPr>
      <w:r>
        <w:t>The</w:t>
      </w:r>
      <w:r w:rsidRPr="00146D5A" w:rsidR="003B6F9D">
        <w:t xml:space="preserve"> TSCA CBI may be used only for the purposes stated in my statement of need, except as otherwise authorized by the terms of this agreement or by the person who has a CBI claim under TSCA Section 14 with respect to this information. </w:t>
      </w:r>
    </w:p>
    <w:p w:rsidR="00A83155" w:rsidP="00A83155" w:rsidRDefault="00A83155" w14:paraId="5BF48803" w14:textId="31963696">
      <w:pPr>
        <w:ind w:left="1440"/>
        <w:rPr>
          <w:rFonts w:cstheme="minorHAnsi"/>
        </w:rPr>
      </w:pPr>
      <w:r>
        <w:rPr>
          <w:rFonts w:cstheme="minorHAnsi"/>
        </w:rPr>
        <w:t xml:space="preserve">I understand that under TSCA </w:t>
      </w:r>
      <w:r w:rsidR="00997977">
        <w:rPr>
          <w:rFonts w:cstheme="minorHAnsi"/>
        </w:rPr>
        <w:t>section</w:t>
      </w:r>
      <w:r>
        <w:rPr>
          <w:rFonts w:cstheme="minorHAnsi"/>
        </w:rPr>
        <w:t xml:space="preserve"> 14(h), 15 </w:t>
      </w:r>
      <w:r w:rsidR="00600D00">
        <w:rPr>
          <w:rFonts w:cstheme="minorHAnsi"/>
        </w:rPr>
        <w:t>U.S.C.</w:t>
      </w:r>
      <w:r>
        <w:rPr>
          <w:rFonts w:cstheme="minorHAnsi"/>
        </w:rPr>
        <w:t xml:space="preserve"> 2</w:t>
      </w:r>
      <w:r w:rsidR="00932694">
        <w:rPr>
          <w:rFonts w:cstheme="minorHAnsi"/>
        </w:rPr>
        <w:t>6</w:t>
      </w:r>
      <w:r>
        <w:rPr>
          <w:rFonts w:cstheme="minorHAnsi"/>
        </w:rPr>
        <w:t xml:space="preserve">13(h), I am liable for a possible fine and/or imprisonment for up to one year if I willfully disclose TSCA CBI to any person not authorized to receive it.  I further understand that disclosure of CBI is limited by TSCA </w:t>
      </w:r>
      <w:r w:rsidR="00997977">
        <w:rPr>
          <w:rFonts w:cstheme="minorHAnsi"/>
        </w:rPr>
        <w:t>section</w:t>
      </w:r>
      <w:r>
        <w:rPr>
          <w:rFonts w:cstheme="minorHAnsi"/>
        </w:rPr>
        <w:t xml:space="preserve"> 14, and by this agreement, except that medical professionals may disclose the information to their patient or to persons authorized to make medical</w:t>
      </w:r>
      <w:r w:rsidR="002B2E03">
        <w:rPr>
          <w:rFonts w:cstheme="minorHAnsi"/>
        </w:rPr>
        <w:t xml:space="preserve"> or health care</w:t>
      </w:r>
      <w:r>
        <w:rPr>
          <w:rFonts w:cstheme="minorHAnsi"/>
        </w:rPr>
        <w:t xml:space="preserve"> decisions on behalf of the patient, as set out in </w:t>
      </w:r>
      <w:r w:rsidR="00997977">
        <w:rPr>
          <w:rFonts w:cstheme="minorHAnsi"/>
        </w:rPr>
        <w:t>section</w:t>
      </w:r>
      <w:r>
        <w:rPr>
          <w:rFonts w:cstheme="minorHAnsi"/>
        </w:rPr>
        <w:t xml:space="preserve"> 14(h)(1)(C).</w:t>
      </w:r>
      <w:r w:rsidR="0061142C">
        <w:rPr>
          <w:rFonts w:cstheme="minorHAnsi"/>
        </w:rPr>
        <w:t xml:space="preserve">  </w:t>
      </w:r>
    </w:p>
    <w:p w:rsidR="0081356B" w:rsidP="0081356B" w:rsidRDefault="0081356B" w14:paraId="4F12C81C" w14:textId="779C795D">
      <w:pPr>
        <w:ind w:left="1440"/>
        <w:rPr>
          <w:color w:val="FF0000"/>
        </w:rPr>
      </w:pPr>
      <w:r w:rsidRPr="00ED19E6">
        <w:t>I understand that I have an obligation to protect any TSCA CBI provided to me from further disclosure by taking appropriate precautions against loss, theft, or unauthorized disclosure.  For example, physical documents</w:t>
      </w:r>
      <w:r w:rsidRPr="00ED19E6" w:rsidR="00EE4654">
        <w:t xml:space="preserve"> and portable electronic media</w:t>
      </w:r>
      <w:r w:rsidRPr="00ED19E6">
        <w:t xml:space="preserve"> should be stored in a locked cabinet when not in use, and </w:t>
      </w:r>
      <w:r w:rsidRPr="00ED19E6" w:rsidR="00EE4654">
        <w:t xml:space="preserve">TSCA CBI </w:t>
      </w:r>
      <w:r w:rsidRPr="00ED19E6">
        <w:t xml:space="preserve">should not be duplicated more than is necessary for the emergency purpose for which </w:t>
      </w:r>
      <w:r w:rsidRPr="00ED19E6" w:rsidR="00E459A5">
        <w:t>it was</w:t>
      </w:r>
      <w:r w:rsidRPr="00ED19E6">
        <w:t xml:space="preserve"> requested.</w:t>
      </w:r>
    </w:p>
    <w:p w:rsidRPr="0085274B" w:rsidR="000B0A55" w:rsidP="001E39ED" w:rsidRDefault="006F5DF1" w14:paraId="251435C1" w14:textId="2A7E377C">
      <w:pPr>
        <w:ind w:left="720"/>
      </w:pPr>
      <w:r w:rsidRPr="00146D5A">
        <w:t>I certify that the statements I have made in this agreement and all attachments thereto are</w:t>
      </w:r>
      <w:r w:rsidR="002B2E03">
        <w:t>, to the best of my knowledge,</w:t>
      </w:r>
      <w:r w:rsidRPr="00146D5A">
        <w:t xml:space="preserve"> true, accurate, and complete.</w:t>
      </w:r>
      <w:r w:rsidR="003F1710">
        <w:t xml:space="preserve"> </w:t>
      </w:r>
      <w:r w:rsidRPr="00146D5A">
        <w:t xml:space="preserve"> I acknowledge that any knowingly false or misleading statement may be punishable by fine or imprisonment or both under </w:t>
      </w:r>
      <w:r>
        <w:t xml:space="preserve">18 </w:t>
      </w:r>
      <w:r w:rsidR="00600D00">
        <w:t>U.S.C.</w:t>
      </w:r>
      <w:r>
        <w:t xml:space="preserve"> 1001</w:t>
      </w:r>
      <w:r w:rsidRPr="00146D5A">
        <w:t>.</w:t>
      </w:r>
    </w:p>
    <w:sectPr w:rsidRPr="0085274B" w:rsidR="000B0A55" w:rsidSect="008D2D45">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033BC0" w14:textId="77777777" w:rsidR="00560D2B" w:rsidRDefault="00560D2B" w:rsidP="00856856">
      <w:pPr>
        <w:spacing w:after="0" w:line="240" w:lineRule="auto"/>
      </w:pPr>
      <w:r>
        <w:separator/>
      </w:r>
    </w:p>
  </w:endnote>
  <w:endnote w:type="continuationSeparator" w:id="0">
    <w:p w14:paraId="0649BFAB" w14:textId="77777777" w:rsidR="00560D2B" w:rsidRDefault="00560D2B" w:rsidP="00856856">
      <w:pPr>
        <w:spacing w:after="0" w:line="240" w:lineRule="auto"/>
      </w:pPr>
      <w:r>
        <w:continuationSeparator/>
      </w:r>
    </w:p>
  </w:endnote>
  <w:endnote w:type="continuationNotice" w:id="1">
    <w:p w14:paraId="08E798CE" w14:textId="77777777" w:rsidR="00560D2B" w:rsidRDefault="00560D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CDG L+ Serifa BT">
    <w:altName w:val="Cambria"/>
    <w:panose1 w:val="00000000000000000000"/>
    <w:charset w:val="00"/>
    <w:family w:val="roman"/>
    <w:notTrueType/>
    <w:pitch w:val="default"/>
    <w:sig w:usb0="00000003" w:usb1="00000000" w:usb2="00000000" w:usb3="00000000" w:csb0="00000001" w:csb1="00000000"/>
  </w:font>
  <w:font w:name="TimesNewRoman">
    <w:altName w:val="MS Minch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8260626"/>
      <w:docPartObj>
        <w:docPartGallery w:val="Page Numbers (Bottom of Page)"/>
        <w:docPartUnique/>
      </w:docPartObj>
    </w:sdtPr>
    <w:sdtEndPr>
      <w:rPr>
        <w:noProof/>
      </w:rPr>
    </w:sdtEndPr>
    <w:sdtContent>
      <w:p w14:paraId="24C80E86" w14:textId="06AF50D2" w:rsidR="008B5C10" w:rsidRDefault="008B5C10">
        <w:pPr>
          <w:pStyle w:val="Footer"/>
          <w:jc w:val="center"/>
        </w:pPr>
        <w:r>
          <w:fldChar w:fldCharType="begin"/>
        </w:r>
        <w:r>
          <w:instrText xml:space="preserve"> PAGE   \* MERGEFORMAT </w:instrText>
        </w:r>
        <w:r>
          <w:fldChar w:fldCharType="separate"/>
        </w:r>
        <w:r w:rsidR="005528C9">
          <w:rPr>
            <w:noProof/>
          </w:rPr>
          <w:t>2</w:t>
        </w:r>
        <w:r>
          <w:rPr>
            <w:noProof/>
          </w:rPr>
          <w:fldChar w:fldCharType="end"/>
        </w:r>
      </w:p>
    </w:sdtContent>
  </w:sdt>
  <w:p w14:paraId="29E1E234" w14:textId="77777777" w:rsidR="008B5C10" w:rsidRDefault="008B5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D5FF7D" w14:textId="77777777" w:rsidR="00560D2B" w:rsidRDefault="00560D2B" w:rsidP="00856856">
      <w:pPr>
        <w:spacing w:after="0" w:line="240" w:lineRule="auto"/>
      </w:pPr>
      <w:r>
        <w:separator/>
      </w:r>
    </w:p>
  </w:footnote>
  <w:footnote w:type="continuationSeparator" w:id="0">
    <w:p w14:paraId="389ED6C3" w14:textId="77777777" w:rsidR="00560D2B" w:rsidRDefault="00560D2B" w:rsidP="00856856">
      <w:pPr>
        <w:spacing w:after="0" w:line="240" w:lineRule="auto"/>
      </w:pPr>
      <w:r>
        <w:continuationSeparator/>
      </w:r>
    </w:p>
  </w:footnote>
  <w:footnote w:type="continuationNotice" w:id="1">
    <w:p w14:paraId="1AA176F4" w14:textId="77777777" w:rsidR="00560D2B" w:rsidRDefault="00560D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CFBA1" w14:textId="111B0DDF" w:rsidR="008B5C10" w:rsidRPr="005C06D5" w:rsidRDefault="008B5C10" w:rsidP="005C06D5">
    <w:pPr>
      <w:pStyle w:val="Header"/>
      <w:jc w:val="center"/>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D06F6"/>
    <w:multiLevelType w:val="multilevel"/>
    <w:tmpl w:val="680E76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1BD5DC0"/>
    <w:multiLevelType w:val="hybridMultilevel"/>
    <w:tmpl w:val="C356506E"/>
    <w:lvl w:ilvl="0" w:tplc="0E1455D4">
      <w:start w:val="1"/>
      <w:numFmt w:val="upperLetter"/>
      <w:lvlText w:val="%1."/>
      <w:lvlJc w:val="left"/>
      <w:pPr>
        <w:ind w:left="1800" w:hanging="360"/>
      </w:pPr>
      <w:rPr>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4C07B71"/>
    <w:multiLevelType w:val="hybridMultilevel"/>
    <w:tmpl w:val="399ECEB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432F4"/>
    <w:multiLevelType w:val="hybridMultilevel"/>
    <w:tmpl w:val="72582F4C"/>
    <w:lvl w:ilvl="0" w:tplc="7FFEA338">
      <w:start w:val="1"/>
      <w:numFmt w:val="upperLetter"/>
      <w:lvlText w:val="%1."/>
      <w:lvlJc w:val="left"/>
      <w:pPr>
        <w:ind w:left="1440" w:hanging="360"/>
      </w:pPr>
      <w:rPr>
        <w:b w:val="0"/>
        <w:i w:val="0"/>
      </w:rPr>
    </w:lvl>
    <w:lvl w:ilvl="1" w:tplc="F1B0985A">
      <w:start w:val="1"/>
      <w:numFmt w:val="decimal"/>
      <w:lvlText w:val="%2."/>
      <w:lvlJc w:val="left"/>
      <w:pPr>
        <w:ind w:left="2160" w:hanging="360"/>
      </w:pPr>
      <w:rPr>
        <w:b w:val="0"/>
        <w:i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FF5271"/>
    <w:multiLevelType w:val="hybridMultilevel"/>
    <w:tmpl w:val="2376EE7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0104C4"/>
    <w:multiLevelType w:val="hybridMultilevel"/>
    <w:tmpl w:val="10085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009D8"/>
    <w:multiLevelType w:val="hybridMultilevel"/>
    <w:tmpl w:val="AEE4D5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F24B20"/>
    <w:multiLevelType w:val="hybridMultilevel"/>
    <w:tmpl w:val="BA6C5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0E4FF9"/>
    <w:multiLevelType w:val="hybridMultilevel"/>
    <w:tmpl w:val="87A8D998"/>
    <w:lvl w:ilvl="0" w:tplc="1E22754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3C25F0"/>
    <w:multiLevelType w:val="hybridMultilevel"/>
    <w:tmpl w:val="8FDA05C8"/>
    <w:lvl w:ilvl="0" w:tplc="EEA83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E37A23"/>
    <w:multiLevelType w:val="hybridMultilevel"/>
    <w:tmpl w:val="44BA1F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EC7B93"/>
    <w:multiLevelType w:val="hybridMultilevel"/>
    <w:tmpl w:val="1B784B8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C33403"/>
    <w:multiLevelType w:val="hybridMultilevel"/>
    <w:tmpl w:val="4E266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924A88"/>
    <w:multiLevelType w:val="hybridMultilevel"/>
    <w:tmpl w:val="E404F09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0E347D"/>
    <w:multiLevelType w:val="hybridMultilevel"/>
    <w:tmpl w:val="D228D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CC1C89"/>
    <w:multiLevelType w:val="hybridMultilevel"/>
    <w:tmpl w:val="C6541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D9F072A"/>
    <w:multiLevelType w:val="hybridMultilevel"/>
    <w:tmpl w:val="3DA66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D366B8"/>
    <w:multiLevelType w:val="hybridMultilevel"/>
    <w:tmpl w:val="AEC2E6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576680"/>
    <w:multiLevelType w:val="hybridMultilevel"/>
    <w:tmpl w:val="FDA066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71222A"/>
    <w:multiLevelType w:val="hybridMultilevel"/>
    <w:tmpl w:val="5852CCAC"/>
    <w:lvl w:ilvl="0" w:tplc="F0B29F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C94FEA"/>
    <w:multiLevelType w:val="hybridMultilevel"/>
    <w:tmpl w:val="E6641064"/>
    <w:lvl w:ilvl="0" w:tplc="365CD43E">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32463C"/>
    <w:multiLevelType w:val="hybridMultilevel"/>
    <w:tmpl w:val="EB1E7854"/>
    <w:lvl w:ilvl="0" w:tplc="A86828C0">
      <w:start w:val="1"/>
      <w:numFmt w:val="upperLetter"/>
      <w:lvlText w:val="%1."/>
      <w:lvlJc w:val="left"/>
      <w:pPr>
        <w:ind w:left="720" w:hanging="360"/>
      </w:pPr>
      <w:rPr>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6319A9"/>
    <w:multiLevelType w:val="hybridMultilevel"/>
    <w:tmpl w:val="E2F8C4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F2D6D97"/>
    <w:multiLevelType w:val="hybridMultilevel"/>
    <w:tmpl w:val="13A2AE7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B1324C"/>
    <w:multiLevelType w:val="hybridMultilevel"/>
    <w:tmpl w:val="8C76FDA8"/>
    <w:lvl w:ilvl="0" w:tplc="9AA8CD2C">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6D58D3"/>
    <w:multiLevelType w:val="hybridMultilevel"/>
    <w:tmpl w:val="B7D4EC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15:restartNumberingAfterBreak="0">
    <w:nsid w:val="7B7C0BA2"/>
    <w:multiLevelType w:val="hybridMultilevel"/>
    <w:tmpl w:val="39F034FC"/>
    <w:lvl w:ilvl="0" w:tplc="2AEADCAA">
      <w:start w:val="1"/>
      <w:numFmt w:val="upperRoman"/>
      <w:lvlText w:val="%1."/>
      <w:lvlJc w:val="left"/>
      <w:pPr>
        <w:ind w:left="1080" w:hanging="72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ED5341"/>
    <w:multiLevelType w:val="hybridMultilevel"/>
    <w:tmpl w:val="4756405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7DA03BC6"/>
    <w:multiLevelType w:val="hybridMultilevel"/>
    <w:tmpl w:val="B42C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2"/>
  </w:num>
  <w:num w:numId="3">
    <w:abstractNumId w:val="8"/>
  </w:num>
  <w:num w:numId="4">
    <w:abstractNumId w:val="10"/>
  </w:num>
  <w:num w:numId="5">
    <w:abstractNumId w:val="20"/>
  </w:num>
  <w:num w:numId="6">
    <w:abstractNumId w:val="23"/>
  </w:num>
  <w:num w:numId="7">
    <w:abstractNumId w:val="14"/>
  </w:num>
  <w:num w:numId="8">
    <w:abstractNumId w:val="19"/>
  </w:num>
  <w:num w:numId="9">
    <w:abstractNumId w:val="2"/>
  </w:num>
  <w:num w:numId="10">
    <w:abstractNumId w:val="17"/>
  </w:num>
  <w:num w:numId="11">
    <w:abstractNumId w:val="11"/>
  </w:num>
  <w:num w:numId="12">
    <w:abstractNumId w:val="28"/>
  </w:num>
  <w:num w:numId="13">
    <w:abstractNumId w:val="7"/>
  </w:num>
  <w:num w:numId="14">
    <w:abstractNumId w:val="21"/>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3"/>
  </w:num>
  <w:num w:numId="28">
    <w:abstractNumId w:val="1"/>
  </w:num>
  <w:num w:numId="29">
    <w:abstractNumId w:val="24"/>
  </w:num>
  <w:num w:numId="30">
    <w:abstractNumId w:val="18"/>
  </w:num>
  <w:num w:numId="31">
    <w:abstractNumId w:val="13"/>
  </w:num>
  <w:num w:numId="32">
    <w:abstractNumId w:val="15"/>
  </w:num>
  <w:num w:numId="33">
    <w:abstractNumId w:val="27"/>
  </w:num>
  <w:num w:numId="34">
    <w:abstractNumId w:val="12"/>
  </w:num>
  <w:num w:numId="35">
    <w:abstractNumId w:val="25"/>
  </w:num>
  <w:num w:numId="36">
    <w:abstractNumId w:val="16"/>
  </w:num>
  <w:num w:numId="37">
    <w:abstractNumId w:val="5"/>
  </w:num>
  <w:num w:numId="38">
    <w:abstractNumId w:val="6"/>
  </w:num>
  <w:num w:numId="39">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DateAndTime/>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7F71"/>
    <w:rsid w:val="00017BD8"/>
    <w:rsid w:val="00022D42"/>
    <w:rsid w:val="00024EDA"/>
    <w:rsid w:val="000270B9"/>
    <w:rsid w:val="000307D0"/>
    <w:rsid w:val="00035905"/>
    <w:rsid w:val="00036CDE"/>
    <w:rsid w:val="00037E3E"/>
    <w:rsid w:val="00041C00"/>
    <w:rsid w:val="000426AD"/>
    <w:rsid w:val="00044B72"/>
    <w:rsid w:val="00054235"/>
    <w:rsid w:val="000613F7"/>
    <w:rsid w:val="00074F83"/>
    <w:rsid w:val="000818AB"/>
    <w:rsid w:val="00084F48"/>
    <w:rsid w:val="0008743C"/>
    <w:rsid w:val="000923D4"/>
    <w:rsid w:val="000925B3"/>
    <w:rsid w:val="00097724"/>
    <w:rsid w:val="000B0A55"/>
    <w:rsid w:val="000B5B8B"/>
    <w:rsid w:val="000C4018"/>
    <w:rsid w:val="000C7DCE"/>
    <w:rsid w:val="000D4574"/>
    <w:rsid w:val="000D47F4"/>
    <w:rsid w:val="000D5E89"/>
    <w:rsid w:val="000E1B74"/>
    <w:rsid w:val="000E2AD0"/>
    <w:rsid w:val="000E7B57"/>
    <w:rsid w:val="001109DA"/>
    <w:rsid w:val="001148DE"/>
    <w:rsid w:val="00120BC1"/>
    <w:rsid w:val="00136E05"/>
    <w:rsid w:val="001430D9"/>
    <w:rsid w:val="00144007"/>
    <w:rsid w:val="00144849"/>
    <w:rsid w:val="00144C53"/>
    <w:rsid w:val="001569A1"/>
    <w:rsid w:val="0016155A"/>
    <w:rsid w:val="00161F05"/>
    <w:rsid w:val="001733E4"/>
    <w:rsid w:val="00181F90"/>
    <w:rsid w:val="00183057"/>
    <w:rsid w:val="001848C9"/>
    <w:rsid w:val="00184FF7"/>
    <w:rsid w:val="00185D81"/>
    <w:rsid w:val="001924A6"/>
    <w:rsid w:val="00196051"/>
    <w:rsid w:val="001A5EE7"/>
    <w:rsid w:val="001A6760"/>
    <w:rsid w:val="001A7E2F"/>
    <w:rsid w:val="001B047D"/>
    <w:rsid w:val="001B2DA7"/>
    <w:rsid w:val="001B4F12"/>
    <w:rsid w:val="001C0938"/>
    <w:rsid w:val="001C1D90"/>
    <w:rsid w:val="001C2F45"/>
    <w:rsid w:val="001C63AE"/>
    <w:rsid w:val="001C77C6"/>
    <w:rsid w:val="001E0784"/>
    <w:rsid w:val="001E0EF1"/>
    <w:rsid w:val="001E36C8"/>
    <w:rsid w:val="001E39ED"/>
    <w:rsid w:val="001F0E0F"/>
    <w:rsid w:val="001F1D88"/>
    <w:rsid w:val="001F233A"/>
    <w:rsid w:val="0020166E"/>
    <w:rsid w:val="00204EAC"/>
    <w:rsid w:val="0020639C"/>
    <w:rsid w:val="00226D72"/>
    <w:rsid w:val="002416C3"/>
    <w:rsid w:val="00247B3C"/>
    <w:rsid w:val="00254205"/>
    <w:rsid w:val="00260A97"/>
    <w:rsid w:val="00261C01"/>
    <w:rsid w:val="00264C35"/>
    <w:rsid w:val="0026516C"/>
    <w:rsid w:val="00282580"/>
    <w:rsid w:val="0028693D"/>
    <w:rsid w:val="0029695B"/>
    <w:rsid w:val="002972F1"/>
    <w:rsid w:val="002B2E03"/>
    <w:rsid w:val="002B3E1C"/>
    <w:rsid w:val="002B4107"/>
    <w:rsid w:val="002B721E"/>
    <w:rsid w:val="002C5346"/>
    <w:rsid w:val="002E4EFB"/>
    <w:rsid w:val="002F31CF"/>
    <w:rsid w:val="002F387A"/>
    <w:rsid w:val="002F4869"/>
    <w:rsid w:val="00303BEF"/>
    <w:rsid w:val="00303C3B"/>
    <w:rsid w:val="00312250"/>
    <w:rsid w:val="00312C01"/>
    <w:rsid w:val="003154DD"/>
    <w:rsid w:val="00321C19"/>
    <w:rsid w:val="00325EF9"/>
    <w:rsid w:val="00326427"/>
    <w:rsid w:val="00332223"/>
    <w:rsid w:val="0033327B"/>
    <w:rsid w:val="00340E19"/>
    <w:rsid w:val="00341680"/>
    <w:rsid w:val="003458EA"/>
    <w:rsid w:val="00361D77"/>
    <w:rsid w:val="00363E5D"/>
    <w:rsid w:val="00367170"/>
    <w:rsid w:val="00372692"/>
    <w:rsid w:val="0037327E"/>
    <w:rsid w:val="00376442"/>
    <w:rsid w:val="00376605"/>
    <w:rsid w:val="00382155"/>
    <w:rsid w:val="003876EF"/>
    <w:rsid w:val="003A13FD"/>
    <w:rsid w:val="003A44E3"/>
    <w:rsid w:val="003A516B"/>
    <w:rsid w:val="003B2A52"/>
    <w:rsid w:val="003B2ED1"/>
    <w:rsid w:val="003B3741"/>
    <w:rsid w:val="003B3EFD"/>
    <w:rsid w:val="003B52BA"/>
    <w:rsid w:val="003B6F9D"/>
    <w:rsid w:val="003C2CAC"/>
    <w:rsid w:val="003C6D12"/>
    <w:rsid w:val="003D12FC"/>
    <w:rsid w:val="003D1A49"/>
    <w:rsid w:val="003D7687"/>
    <w:rsid w:val="003E46BF"/>
    <w:rsid w:val="003F04DB"/>
    <w:rsid w:val="003F1710"/>
    <w:rsid w:val="003F180D"/>
    <w:rsid w:val="003F438F"/>
    <w:rsid w:val="00406409"/>
    <w:rsid w:val="00407CB7"/>
    <w:rsid w:val="00411777"/>
    <w:rsid w:val="004143DE"/>
    <w:rsid w:val="004165DF"/>
    <w:rsid w:val="004173E0"/>
    <w:rsid w:val="00424FE2"/>
    <w:rsid w:val="0043419D"/>
    <w:rsid w:val="0043478E"/>
    <w:rsid w:val="00437331"/>
    <w:rsid w:val="0043759F"/>
    <w:rsid w:val="0044242B"/>
    <w:rsid w:val="00442C47"/>
    <w:rsid w:val="00446923"/>
    <w:rsid w:val="0046393E"/>
    <w:rsid w:val="00492B52"/>
    <w:rsid w:val="004A0111"/>
    <w:rsid w:val="004A3129"/>
    <w:rsid w:val="004A5D97"/>
    <w:rsid w:val="004B21C3"/>
    <w:rsid w:val="004B4322"/>
    <w:rsid w:val="004C0C0D"/>
    <w:rsid w:val="004C0E3B"/>
    <w:rsid w:val="004C19FC"/>
    <w:rsid w:val="004C36E4"/>
    <w:rsid w:val="004C458C"/>
    <w:rsid w:val="004D1994"/>
    <w:rsid w:val="004D2911"/>
    <w:rsid w:val="004D316F"/>
    <w:rsid w:val="004E1CC6"/>
    <w:rsid w:val="004E385D"/>
    <w:rsid w:val="004F2D4C"/>
    <w:rsid w:val="004F517B"/>
    <w:rsid w:val="004F7F43"/>
    <w:rsid w:val="00507CF5"/>
    <w:rsid w:val="00510630"/>
    <w:rsid w:val="00526859"/>
    <w:rsid w:val="005316A7"/>
    <w:rsid w:val="00531E56"/>
    <w:rsid w:val="0053242D"/>
    <w:rsid w:val="005340DF"/>
    <w:rsid w:val="00537AA7"/>
    <w:rsid w:val="00537DBE"/>
    <w:rsid w:val="005422B4"/>
    <w:rsid w:val="00543780"/>
    <w:rsid w:val="005528C9"/>
    <w:rsid w:val="0055405C"/>
    <w:rsid w:val="005608D7"/>
    <w:rsid w:val="00560D2B"/>
    <w:rsid w:val="00562F1B"/>
    <w:rsid w:val="005710AB"/>
    <w:rsid w:val="00583113"/>
    <w:rsid w:val="00584CA2"/>
    <w:rsid w:val="00587C23"/>
    <w:rsid w:val="0059268C"/>
    <w:rsid w:val="005935AD"/>
    <w:rsid w:val="00594DD1"/>
    <w:rsid w:val="00595D82"/>
    <w:rsid w:val="00596D6D"/>
    <w:rsid w:val="005A11FE"/>
    <w:rsid w:val="005A1B4D"/>
    <w:rsid w:val="005A3461"/>
    <w:rsid w:val="005B3300"/>
    <w:rsid w:val="005B5F7A"/>
    <w:rsid w:val="005B7541"/>
    <w:rsid w:val="005C06D5"/>
    <w:rsid w:val="005C1A36"/>
    <w:rsid w:val="005C2E35"/>
    <w:rsid w:val="005C3856"/>
    <w:rsid w:val="005D07C2"/>
    <w:rsid w:val="005D2976"/>
    <w:rsid w:val="005D5563"/>
    <w:rsid w:val="005D5DAE"/>
    <w:rsid w:val="005D6426"/>
    <w:rsid w:val="005E1826"/>
    <w:rsid w:val="005E5289"/>
    <w:rsid w:val="005E5980"/>
    <w:rsid w:val="005E5E78"/>
    <w:rsid w:val="005F0B21"/>
    <w:rsid w:val="005F0F55"/>
    <w:rsid w:val="005F6D4A"/>
    <w:rsid w:val="00600D00"/>
    <w:rsid w:val="006031C7"/>
    <w:rsid w:val="00606C5E"/>
    <w:rsid w:val="00606CB4"/>
    <w:rsid w:val="0061142C"/>
    <w:rsid w:val="00617456"/>
    <w:rsid w:val="00621B59"/>
    <w:rsid w:val="006260CF"/>
    <w:rsid w:val="00626B74"/>
    <w:rsid w:val="0063129B"/>
    <w:rsid w:val="0063197B"/>
    <w:rsid w:val="006364CD"/>
    <w:rsid w:val="00640CC0"/>
    <w:rsid w:val="006425F3"/>
    <w:rsid w:val="00644E91"/>
    <w:rsid w:val="00646DC4"/>
    <w:rsid w:val="006511CD"/>
    <w:rsid w:val="00656983"/>
    <w:rsid w:val="00656D79"/>
    <w:rsid w:val="00657D50"/>
    <w:rsid w:val="00661B15"/>
    <w:rsid w:val="00662120"/>
    <w:rsid w:val="00662C9B"/>
    <w:rsid w:val="0067079E"/>
    <w:rsid w:val="0067285D"/>
    <w:rsid w:val="0067531F"/>
    <w:rsid w:val="00675DE6"/>
    <w:rsid w:val="006903F6"/>
    <w:rsid w:val="006917FE"/>
    <w:rsid w:val="00692C18"/>
    <w:rsid w:val="00695231"/>
    <w:rsid w:val="006A3E6E"/>
    <w:rsid w:val="006B06BD"/>
    <w:rsid w:val="006B13E5"/>
    <w:rsid w:val="006B2042"/>
    <w:rsid w:val="006D0313"/>
    <w:rsid w:val="006D285A"/>
    <w:rsid w:val="006D6923"/>
    <w:rsid w:val="006D71D0"/>
    <w:rsid w:val="006E1E94"/>
    <w:rsid w:val="006F1411"/>
    <w:rsid w:val="006F40E1"/>
    <w:rsid w:val="006F5DF1"/>
    <w:rsid w:val="00705856"/>
    <w:rsid w:val="0070784C"/>
    <w:rsid w:val="00710EBD"/>
    <w:rsid w:val="00726356"/>
    <w:rsid w:val="007314E6"/>
    <w:rsid w:val="00735231"/>
    <w:rsid w:val="00735DC6"/>
    <w:rsid w:val="00747428"/>
    <w:rsid w:val="00752484"/>
    <w:rsid w:val="0076581B"/>
    <w:rsid w:val="007672C4"/>
    <w:rsid w:val="007718D7"/>
    <w:rsid w:val="00774867"/>
    <w:rsid w:val="00774D44"/>
    <w:rsid w:val="007773B2"/>
    <w:rsid w:val="00783AF1"/>
    <w:rsid w:val="00784943"/>
    <w:rsid w:val="00786C2F"/>
    <w:rsid w:val="00790A55"/>
    <w:rsid w:val="0079299E"/>
    <w:rsid w:val="00794E6B"/>
    <w:rsid w:val="00795ECE"/>
    <w:rsid w:val="007A109F"/>
    <w:rsid w:val="007A5416"/>
    <w:rsid w:val="007A67C4"/>
    <w:rsid w:val="007B1B9A"/>
    <w:rsid w:val="007B5230"/>
    <w:rsid w:val="007B621C"/>
    <w:rsid w:val="007C0012"/>
    <w:rsid w:val="007C51DE"/>
    <w:rsid w:val="007C6D90"/>
    <w:rsid w:val="007D4104"/>
    <w:rsid w:val="007D6CA5"/>
    <w:rsid w:val="007D7E80"/>
    <w:rsid w:val="007E0FA9"/>
    <w:rsid w:val="007E1CD7"/>
    <w:rsid w:val="007E3739"/>
    <w:rsid w:val="007F0E9F"/>
    <w:rsid w:val="007F2EDA"/>
    <w:rsid w:val="008053BA"/>
    <w:rsid w:val="0081284A"/>
    <w:rsid w:val="00813265"/>
    <w:rsid w:val="0081356B"/>
    <w:rsid w:val="00821432"/>
    <w:rsid w:val="00822A1B"/>
    <w:rsid w:val="00823299"/>
    <w:rsid w:val="00825F5A"/>
    <w:rsid w:val="00830AD5"/>
    <w:rsid w:val="008321EE"/>
    <w:rsid w:val="0083229A"/>
    <w:rsid w:val="0083349F"/>
    <w:rsid w:val="0083506D"/>
    <w:rsid w:val="0083634E"/>
    <w:rsid w:val="0085274B"/>
    <w:rsid w:val="00855936"/>
    <w:rsid w:val="00856856"/>
    <w:rsid w:val="008638E7"/>
    <w:rsid w:val="00873A92"/>
    <w:rsid w:val="00893D27"/>
    <w:rsid w:val="00894834"/>
    <w:rsid w:val="008B5C10"/>
    <w:rsid w:val="008B7ECD"/>
    <w:rsid w:val="008C15DD"/>
    <w:rsid w:val="008C2249"/>
    <w:rsid w:val="008C370E"/>
    <w:rsid w:val="008C5A43"/>
    <w:rsid w:val="008D0F23"/>
    <w:rsid w:val="008D2D45"/>
    <w:rsid w:val="008D4AE2"/>
    <w:rsid w:val="008D5D3F"/>
    <w:rsid w:val="008E0A12"/>
    <w:rsid w:val="008E13F8"/>
    <w:rsid w:val="008E273E"/>
    <w:rsid w:val="008E6F47"/>
    <w:rsid w:val="008F1A61"/>
    <w:rsid w:val="008F34C5"/>
    <w:rsid w:val="00903A87"/>
    <w:rsid w:val="00904DEA"/>
    <w:rsid w:val="00906919"/>
    <w:rsid w:val="0091012B"/>
    <w:rsid w:val="00913084"/>
    <w:rsid w:val="00913EFA"/>
    <w:rsid w:val="0091667F"/>
    <w:rsid w:val="00916828"/>
    <w:rsid w:val="00917079"/>
    <w:rsid w:val="00932694"/>
    <w:rsid w:val="009464B2"/>
    <w:rsid w:val="009501A3"/>
    <w:rsid w:val="00961C43"/>
    <w:rsid w:val="00965418"/>
    <w:rsid w:val="0097018C"/>
    <w:rsid w:val="00971BD4"/>
    <w:rsid w:val="00975238"/>
    <w:rsid w:val="00982857"/>
    <w:rsid w:val="009835B3"/>
    <w:rsid w:val="00984073"/>
    <w:rsid w:val="00985148"/>
    <w:rsid w:val="009865FB"/>
    <w:rsid w:val="0099033C"/>
    <w:rsid w:val="00991D0F"/>
    <w:rsid w:val="00994FF0"/>
    <w:rsid w:val="00997977"/>
    <w:rsid w:val="009B1460"/>
    <w:rsid w:val="009B3056"/>
    <w:rsid w:val="009B3A4C"/>
    <w:rsid w:val="009B3E2C"/>
    <w:rsid w:val="009B58CC"/>
    <w:rsid w:val="009B72A2"/>
    <w:rsid w:val="009E61C5"/>
    <w:rsid w:val="009F0B2B"/>
    <w:rsid w:val="00A02E61"/>
    <w:rsid w:val="00A03E2C"/>
    <w:rsid w:val="00A078BF"/>
    <w:rsid w:val="00A11CC1"/>
    <w:rsid w:val="00A14602"/>
    <w:rsid w:val="00A14B47"/>
    <w:rsid w:val="00A15A99"/>
    <w:rsid w:val="00A16147"/>
    <w:rsid w:val="00A16186"/>
    <w:rsid w:val="00A17FD4"/>
    <w:rsid w:val="00A20BD4"/>
    <w:rsid w:val="00A257FC"/>
    <w:rsid w:val="00A268EA"/>
    <w:rsid w:val="00A27CBD"/>
    <w:rsid w:val="00A34516"/>
    <w:rsid w:val="00A34B17"/>
    <w:rsid w:val="00A367C8"/>
    <w:rsid w:val="00A40B3E"/>
    <w:rsid w:val="00A43AFF"/>
    <w:rsid w:val="00A45DA4"/>
    <w:rsid w:val="00A46071"/>
    <w:rsid w:val="00A53A60"/>
    <w:rsid w:val="00A60A19"/>
    <w:rsid w:val="00A61982"/>
    <w:rsid w:val="00A62A90"/>
    <w:rsid w:val="00A64E5E"/>
    <w:rsid w:val="00A66CAF"/>
    <w:rsid w:val="00A70114"/>
    <w:rsid w:val="00A83155"/>
    <w:rsid w:val="00A87F71"/>
    <w:rsid w:val="00A90373"/>
    <w:rsid w:val="00A924A4"/>
    <w:rsid w:val="00A95FFA"/>
    <w:rsid w:val="00AA2CAA"/>
    <w:rsid w:val="00AA2F94"/>
    <w:rsid w:val="00AA4A5D"/>
    <w:rsid w:val="00AA65F3"/>
    <w:rsid w:val="00AA76DD"/>
    <w:rsid w:val="00AB26C4"/>
    <w:rsid w:val="00AB3801"/>
    <w:rsid w:val="00AC40ED"/>
    <w:rsid w:val="00AC7675"/>
    <w:rsid w:val="00AD2DCB"/>
    <w:rsid w:val="00AD5C16"/>
    <w:rsid w:val="00AD5EDD"/>
    <w:rsid w:val="00AD689D"/>
    <w:rsid w:val="00AE1466"/>
    <w:rsid w:val="00AE390A"/>
    <w:rsid w:val="00AE4A24"/>
    <w:rsid w:val="00AE4EE4"/>
    <w:rsid w:val="00AE5320"/>
    <w:rsid w:val="00AE796E"/>
    <w:rsid w:val="00AF43F2"/>
    <w:rsid w:val="00B044CC"/>
    <w:rsid w:val="00B15E3D"/>
    <w:rsid w:val="00B256F3"/>
    <w:rsid w:val="00B375CA"/>
    <w:rsid w:val="00B51A0E"/>
    <w:rsid w:val="00B51BB3"/>
    <w:rsid w:val="00B7389B"/>
    <w:rsid w:val="00B75E65"/>
    <w:rsid w:val="00B76E5B"/>
    <w:rsid w:val="00B77038"/>
    <w:rsid w:val="00B83563"/>
    <w:rsid w:val="00B8518E"/>
    <w:rsid w:val="00B92FC8"/>
    <w:rsid w:val="00BA23EE"/>
    <w:rsid w:val="00BA33D6"/>
    <w:rsid w:val="00BA535F"/>
    <w:rsid w:val="00BB09A6"/>
    <w:rsid w:val="00BB284A"/>
    <w:rsid w:val="00BB4EE1"/>
    <w:rsid w:val="00BC2831"/>
    <w:rsid w:val="00BD31B9"/>
    <w:rsid w:val="00BD3B11"/>
    <w:rsid w:val="00BD539A"/>
    <w:rsid w:val="00BD58AF"/>
    <w:rsid w:val="00BE1891"/>
    <w:rsid w:val="00BE1D87"/>
    <w:rsid w:val="00BE4F5E"/>
    <w:rsid w:val="00BE50B2"/>
    <w:rsid w:val="00BE6405"/>
    <w:rsid w:val="00BF0931"/>
    <w:rsid w:val="00BF1199"/>
    <w:rsid w:val="00BF22A3"/>
    <w:rsid w:val="00BF622D"/>
    <w:rsid w:val="00BF6EE1"/>
    <w:rsid w:val="00BF6F5B"/>
    <w:rsid w:val="00BF7E15"/>
    <w:rsid w:val="00C01CC9"/>
    <w:rsid w:val="00C130FB"/>
    <w:rsid w:val="00C22DA2"/>
    <w:rsid w:val="00C31779"/>
    <w:rsid w:val="00C32048"/>
    <w:rsid w:val="00C35670"/>
    <w:rsid w:val="00C35BEC"/>
    <w:rsid w:val="00C37FCD"/>
    <w:rsid w:val="00C40A93"/>
    <w:rsid w:val="00C42182"/>
    <w:rsid w:val="00C42245"/>
    <w:rsid w:val="00C60FD5"/>
    <w:rsid w:val="00C61433"/>
    <w:rsid w:val="00C64C8E"/>
    <w:rsid w:val="00C66F55"/>
    <w:rsid w:val="00C671F0"/>
    <w:rsid w:val="00C70C9A"/>
    <w:rsid w:val="00C71181"/>
    <w:rsid w:val="00C76F01"/>
    <w:rsid w:val="00C777A1"/>
    <w:rsid w:val="00C87B08"/>
    <w:rsid w:val="00C87F06"/>
    <w:rsid w:val="00C91820"/>
    <w:rsid w:val="00C91E7B"/>
    <w:rsid w:val="00C943C8"/>
    <w:rsid w:val="00CA0DEF"/>
    <w:rsid w:val="00CA19E1"/>
    <w:rsid w:val="00CA1D0A"/>
    <w:rsid w:val="00CB3B7E"/>
    <w:rsid w:val="00CC2284"/>
    <w:rsid w:val="00CD2D3B"/>
    <w:rsid w:val="00CD744D"/>
    <w:rsid w:val="00CD7E3B"/>
    <w:rsid w:val="00CE33CE"/>
    <w:rsid w:val="00CE4FA8"/>
    <w:rsid w:val="00CE5E7C"/>
    <w:rsid w:val="00D00FF8"/>
    <w:rsid w:val="00D04086"/>
    <w:rsid w:val="00D22B5C"/>
    <w:rsid w:val="00D26DF3"/>
    <w:rsid w:val="00D34F59"/>
    <w:rsid w:val="00D35C47"/>
    <w:rsid w:val="00D35D66"/>
    <w:rsid w:val="00D41558"/>
    <w:rsid w:val="00D5754C"/>
    <w:rsid w:val="00D616B6"/>
    <w:rsid w:val="00D65B8A"/>
    <w:rsid w:val="00D67612"/>
    <w:rsid w:val="00D67BC1"/>
    <w:rsid w:val="00D83A16"/>
    <w:rsid w:val="00D96AA5"/>
    <w:rsid w:val="00DC1856"/>
    <w:rsid w:val="00DC48CC"/>
    <w:rsid w:val="00DD0CCE"/>
    <w:rsid w:val="00DF27A6"/>
    <w:rsid w:val="00DF69B3"/>
    <w:rsid w:val="00E0080E"/>
    <w:rsid w:val="00E01DB6"/>
    <w:rsid w:val="00E13288"/>
    <w:rsid w:val="00E170AE"/>
    <w:rsid w:val="00E23304"/>
    <w:rsid w:val="00E24765"/>
    <w:rsid w:val="00E24C24"/>
    <w:rsid w:val="00E2638D"/>
    <w:rsid w:val="00E31F5B"/>
    <w:rsid w:val="00E459A5"/>
    <w:rsid w:val="00E522F7"/>
    <w:rsid w:val="00E636BF"/>
    <w:rsid w:val="00E63909"/>
    <w:rsid w:val="00E70852"/>
    <w:rsid w:val="00E73E4B"/>
    <w:rsid w:val="00E772AB"/>
    <w:rsid w:val="00E8419F"/>
    <w:rsid w:val="00E84382"/>
    <w:rsid w:val="00E8576A"/>
    <w:rsid w:val="00E94987"/>
    <w:rsid w:val="00EA5797"/>
    <w:rsid w:val="00EA5D12"/>
    <w:rsid w:val="00EB0ADD"/>
    <w:rsid w:val="00ED19E6"/>
    <w:rsid w:val="00ED2C7B"/>
    <w:rsid w:val="00EE3972"/>
    <w:rsid w:val="00EE4654"/>
    <w:rsid w:val="00EF2A4B"/>
    <w:rsid w:val="00EF5BCD"/>
    <w:rsid w:val="00EF6CF4"/>
    <w:rsid w:val="00F0166D"/>
    <w:rsid w:val="00F038FA"/>
    <w:rsid w:val="00F1396D"/>
    <w:rsid w:val="00F15889"/>
    <w:rsid w:val="00F16F7D"/>
    <w:rsid w:val="00F2060F"/>
    <w:rsid w:val="00F21861"/>
    <w:rsid w:val="00F246A4"/>
    <w:rsid w:val="00F246D6"/>
    <w:rsid w:val="00F30899"/>
    <w:rsid w:val="00F40C53"/>
    <w:rsid w:val="00F431E2"/>
    <w:rsid w:val="00F6591B"/>
    <w:rsid w:val="00F670F0"/>
    <w:rsid w:val="00F67AEF"/>
    <w:rsid w:val="00F71E85"/>
    <w:rsid w:val="00F97D24"/>
    <w:rsid w:val="00FA1E60"/>
    <w:rsid w:val="00FA3CEC"/>
    <w:rsid w:val="00FA4F69"/>
    <w:rsid w:val="00FC01DB"/>
    <w:rsid w:val="00FC58ED"/>
    <w:rsid w:val="00FD1A7E"/>
    <w:rsid w:val="00FD7803"/>
    <w:rsid w:val="00FE501A"/>
    <w:rsid w:val="00FF552D"/>
    <w:rsid w:val="00FF6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8AC27F"/>
  <w15:docId w15:val="{1C61C131-4212-4977-A677-E49E9D89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D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89B"/>
    <w:pPr>
      <w:ind w:left="720"/>
      <w:contextualSpacing/>
    </w:pPr>
  </w:style>
  <w:style w:type="paragraph" w:styleId="FootnoteText">
    <w:name w:val="footnote text"/>
    <w:basedOn w:val="Normal"/>
    <w:link w:val="FootnoteTextChar"/>
    <w:uiPriority w:val="99"/>
    <w:unhideWhenUsed/>
    <w:rsid w:val="007672C4"/>
    <w:pPr>
      <w:spacing w:after="0" w:line="240" w:lineRule="auto"/>
    </w:pPr>
    <w:rPr>
      <w:sz w:val="20"/>
      <w:szCs w:val="20"/>
    </w:rPr>
  </w:style>
  <w:style w:type="character" w:customStyle="1" w:styleId="FootnoteTextChar">
    <w:name w:val="Footnote Text Char"/>
    <w:basedOn w:val="DefaultParagraphFont"/>
    <w:link w:val="FootnoteText"/>
    <w:uiPriority w:val="99"/>
    <w:rsid w:val="007672C4"/>
    <w:rPr>
      <w:sz w:val="20"/>
      <w:szCs w:val="20"/>
    </w:rPr>
  </w:style>
  <w:style w:type="character" w:styleId="CommentReference">
    <w:name w:val="annotation reference"/>
    <w:basedOn w:val="DefaultParagraphFont"/>
    <w:uiPriority w:val="99"/>
    <w:semiHidden/>
    <w:unhideWhenUsed/>
    <w:rsid w:val="00407CB7"/>
    <w:rPr>
      <w:sz w:val="16"/>
      <w:szCs w:val="16"/>
    </w:rPr>
  </w:style>
  <w:style w:type="paragraph" w:styleId="CommentText">
    <w:name w:val="annotation text"/>
    <w:basedOn w:val="Normal"/>
    <w:link w:val="CommentTextChar"/>
    <w:uiPriority w:val="99"/>
    <w:unhideWhenUsed/>
    <w:rsid w:val="00407CB7"/>
    <w:pPr>
      <w:spacing w:line="240" w:lineRule="auto"/>
    </w:pPr>
    <w:rPr>
      <w:sz w:val="20"/>
      <w:szCs w:val="20"/>
    </w:rPr>
  </w:style>
  <w:style w:type="character" w:customStyle="1" w:styleId="CommentTextChar">
    <w:name w:val="Comment Text Char"/>
    <w:basedOn w:val="DefaultParagraphFont"/>
    <w:link w:val="CommentText"/>
    <w:uiPriority w:val="99"/>
    <w:rsid w:val="00407CB7"/>
    <w:rPr>
      <w:sz w:val="20"/>
      <w:szCs w:val="20"/>
    </w:rPr>
  </w:style>
  <w:style w:type="paragraph" w:styleId="CommentSubject">
    <w:name w:val="annotation subject"/>
    <w:basedOn w:val="CommentText"/>
    <w:next w:val="CommentText"/>
    <w:link w:val="CommentSubjectChar"/>
    <w:uiPriority w:val="99"/>
    <w:semiHidden/>
    <w:unhideWhenUsed/>
    <w:rsid w:val="00407CB7"/>
    <w:rPr>
      <w:b/>
      <w:bCs/>
    </w:rPr>
  </w:style>
  <w:style w:type="character" w:customStyle="1" w:styleId="CommentSubjectChar">
    <w:name w:val="Comment Subject Char"/>
    <w:basedOn w:val="CommentTextChar"/>
    <w:link w:val="CommentSubject"/>
    <w:uiPriority w:val="99"/>
    <w:semiHidden/>
    <w:rsid w:val="00407CB7"/>
    <w:rPr>
      <w:b/>
      <w:bCs/>
      <w:sz w:val="20"/>
      <w:szCs w:val="20"/>
    </w:rPr>
  </w:style>
  <w:style w:type="paragraph" w:styleId="BalloonText">
    <w:name w:val="Balloon Text"/>
    <w:basedOn w:val="Normal"/>
    <w:link w:val="BalloonTextChar"/>
    <w:uiPriority w:val="99"/>
    <w:semiHidden/>
    <w:unhideWhenUsed/>
    <w:rsid w:val="00407C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CB7"/>
    <w:rPr>
      <w:rFonts w:ascii="Segoe UI" w:hAnsi="Segoe UI" w:cs="Segoe UI"/>
      <w:sz w:val="18"/>
      <w:szCs w:val="18"/>
    </w:rPr>
  </w:style>
  <w:style w:type="paragraph" w:styleId="Header">
    <w:name w:val="header"/>
    <w:basedOn w:val="Normal"/>
    <w:link w:val="HeaderChar"/>
    <w:uiPriority w:val="99"/>
    <w:unhideWhenUsed/>
    <w:rsid w:val="00856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856"/>
  </w:style>
  <w:style w:type="paragraph" w:styleId="Footer">
    <w:name w:val="footer"/>
    <w:basedOn w:val="Normal"/>
    <w:link w:val="FooterChar"/>
    <w:uiPriority w:val="99"/>
    <w:unhideWhenUsed/>
    <w:rsid w:val="00856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856"/>
  </w:style>
  <w:style w:type="paragraph" w:styleId="Revision">
    <w:name w:val="Revision"/>
    <w:hidden/>
    <w:uiPriority w:val="99"/>
    <w:semiHidden/>
    <w:rsid w:val="00EF6CF4"/>
    <w:pPr>
      <w:spacing w:after="0" w:line="240" w:lineRule="auto"/>
    </w:pPr>
  </w:style>
  <w:style w:type="character" w:styleId="FootnoteReference">
    <w:name w:val="footnote reference"/>
    <w:basedOn w:val="DefaultParagraphFont"/>
    <w:uiPriority w:val="99"/>
    <w:semiHidden/>
    <w:unhideWhenUsed/>
    <w:rsid w:val="006903F6"/>
    <w:rPr>
      <w:vertAlign w:val="superscript"/>
    </w:rPr>
  </w:style>
  <w:style w:type="character" w:styleId="Hyperlink">
    <w:name w:val="Hyperlink"/>
    <w:basedOn w:val="DefaultParagraphFont"/>
    <w:uiPriority w:val="99"/>
    <w:unhideWhenUsed/>
    <w:rsid w:val="006903F6"/>
    <w:rPr>
      <w:color w:val="0563C1" w:themeColor="hyperlink"/>
      <w:u w:val="single"/>
    </w:rPr>
  </w:style>
  <w:style w:type="character" w:customStyle="1" w:styleId="apple-converted-space">
    <w:name w:val="apple-converted-space"/>
    <w:basedOn w:val="DefaultParagraphFont"/>
    <w:rsid w:val="00144007"/>
  </w:style>
  <w:style w:type="character" w:customStyle="1" w:styleId="num2">
    <w:name w:val="num2"/>
    <w:basedOn w:val="DefaultParagraphFont"/>
    <w:rsid w:val="000925B3"/>
    <w:rPr>
      <w:b/>
      <w:bCs/>
    </w:rPr>
  </w:style>
  <w:style w:type="character" w:customStyle="1" w:styleId="chapeau">
    <w:name w:val="chapeau"/>
    <w:basedOn w:val="DefaultParagraphFont"/>
    <w:rsid w:val="000925B3"/>
  </w:style>
  <w:style w:type="paragraph" w:customStyle="1" w:styleId="Default">
    <w:name w:val="Default"/>
    <w:rsid w:val="0085274B"/>
    <w:pPr>
      <w:autoSpaceDE w:val="0"/>
      <w:autoSpaceDN w:val="0"/>
      <w:adjustRightInd w:val="0"/>
      <w:spacing w:after="0" w:line="240" w:lineRule="auto"/>
    </w:pPr>
    <w:rPr>
      <w:rFonts w:ascii="FUCDG L+ Serifa BT" w:hAnsi="FUCDG L+ Serifa BT" w:cs="FUCDG L+ Serifa BT"/>
      <w:color w:val="000000"/>
      <w:sz w:val="24"/>
      <w:szCs w:val="24"/>
    </w:rPr>
  </w:style>
  <w:style w:type="character" w:styleId="Strong">
    <w:name w:val="Strong"/>
    <w:basedOn w:val="DefaultParagraphFont"/>
    <w:uiPriority w:val="22"/>
    <w:qFormat/>
    <w:rsid w:val="00CD744D"/>
    <w:rPr>
      <w:b/>
      <w:bCs/>
    </w:rPr>
  </w:style>
  <w:style w:type="paragraph" w:styleId="BodyText">
    <w:name w:val="Body Text"/>
    <w:basedOn w:val="Normal"/>
    <w:link w:val="BodyTextChar"/>
    <w:uiPriority w:val="1"/>
    <w:qFormat/>
    <w:rsid w:val="002F387A"/>
    <w:pPr>
      <w:widowControl w:val="0"/>
      <w:spacing w:after="0" w:line="240" w:lineRule="auto"/>
      <w:ind w:left="20"/>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2F387A"/>
    <w:rPr>
      <w:rFonts w:ascii="Times New Roman" w:eastAsia="Times New Roman" w:hAnsi="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961046">
      <w:bodyDiv w:val="1"/>
      <w:marLeft w:val="0"/>
      <w:marRight w:val="0"/>
      <w:marTop w:val="0"/>
      <w:marBottom w:val="0"/>
      <w:divBdr>
        <w:top w:val="none" w:sz="0" w:space="0" w:color="auto"/>
        <w:left w:val="none" w:sz="0" w:space="0" w:color="auto"/>
        <w:bottom w:val="none" w:sz="0" w:space="0" w:color="auto"/>
        <w:right w:val="none" w:sz="0" w:space="0" w:color="auto"/>
      </w:divBdr>
    </w:div>
    <w:div w:id="130024229">
      <w:bodyDiv w:val="1"/>
      <w:marLeft w:val="0"/>
      <w:marRight w:val="0"/>
      <w:marTop w:val="0"/>
      <w:marBottom w:val="0"/>
      <w:divBdr>
        <w:top w:val="none" w:sz="0" w:space="0" w:color="auto"/>
        <w:left w:val="none" w:sz="0" w:space="0" w:color="auto"/>
        <w:bottom w:val="none" w:sz="0" w:space="0" w:color="auto"/>
        <w:right w:val="none" w:sz="0" w:space="0" w:color="auto"/>
      </w:divBdr>
    </w:div>
    <w:div w:id="257837559">
      <w:bodyDiv w:val="1"/>
      <w:marLeft w:val="0"/>
      <w:marRight w:val="0"/>
      <w:marTop w:val="0"/>
      <w:marBottom w:val="0"/>
      <w:divBdr>
        <w:top w:val="none" w:sz="0" w:space="0" w:color="auto"/>
        <w:left w:val="none" w:sz="0" w:space="0" w:color="auto"/>
        <w:bottom w:val="none" w:sz="0" w:space="0" w:color="auto"/>
        <w:right w:val="none" w:sz="0" w:space="0" w:color="auto"/>
      </w:divBdr>
    </w:div>
    <w:div w:id="485391374">
      <w:bodyDiv w:val="1"/>
      <w:marLeft w:val="0"/>
      <w:marRight w:val="0"/>
      <w:marTop w:val="0"/>
      <w:marBottom w:val="0"/>
      <w:divBdr>
        <w:top w:val="none" w:sz="0" w:space="0" w:color="auto"/>
        <w:left w:val="none" w:sz="0" w:space="0" w:color="auto"/>
        <w:bottom w:val="none" w:sz="0" w:space="0" w:color="auto"/>
        <w:right w:val="none" w:sz="0" w:space="0" w:color="auto"/>
      </w:divBdr>
      <w:divsChild>
        <w:div w:id="703946679">
          <w:marLeft w:val="0"/>
          <w:marRight w:val="0"/>
          <w:marTop w:val="0"/>
          <w:marBottom w:val="0"/>
          <w:divBdr>
            <w:top w:val="none" w:sz="0" w:space="0" w:color="auto"/>
            <w:left w:val="none" w:sz="0" w:space="0" w:color="auto"/>
            <w:bottom w:val="none" w:sz="0" w:space="0" w:color="auto"/>
            <w:right w:val="none" w:sz="0" w:space="0" w:color="auto"/>
          </w:divBdr>
          <w:divsChild>
            <w:div w:id="1645425969">
              <w:marLeft w:val="0"/>
              <w:marRight w:val="0"/>
              <w:marTop w:val="0"/>
              <w:marBottom w:val="0"/>
              <w:divBdr>
                <w:top w:val="none" w:sz="0" w:space="0" w:color="auto"/>
                <w:left w:val="none" w:sz="0" w:space="0" w:color="auto"/>
                <w:bottom w:val="none" w:sz="0" w:space="0" w:color="auto"/>
                <w:right w:val="none" w:sz="0" w:space="0" w:color="auto"/>
              </w:divBdr>
              <w:divsChild>
                <w:div w:id="754128880">
                  <w:marLeft w:val="0"/>
                  <w:marRight w:val="0"/>
                  <w:marTop w:val="0"/>
                  <w:marBottom w:val="600"/>
                  <w:divBdr>
                    <w:top w:val="none" w:sz="0" w:space="0" w:color="auto"/>
                    <w:left w:val="none" w:sz="0" w:space="0" w:color="auto"/>
                    <w:bottom w:val="none" w:sz="0" w:space="0" w:color="auto"/>
                    <w:right w:val="none" w:sz="0" w:space="0" w:color="auto"/>
                  </w:divBdr>
                  <w:divsChild>
                    <w:div w:id="1053932">
                      <w:marLeft w:val="0"/>
                      <w:marRight w:val="0"/>
                      <w:marTop w:val="0"/>
                      <w:marBottom w:val="0"/>
                      <w:divBdr>
                        <w:top w:val="none" w:sz="0" w:space="0" w:color="auto"/>
                        <w:left w:val="none" w:sz="0" w:space="0" w:color="auto"/>
                        <w:bottom w:val="none" w:sz="0" w:space="0" w:color="auto"/>
                        <w:right w:val="none" w:sz="0" w:space="0" w:color="auto"/>
                      </w:divBdr>
                      <w:divsChild>
                        <w:div w:id="687683391">
                          <w:marLeft w:val="0"/>
                          <w:marRight w:val="0"/>
                          <w:marTop w:val="0"/>
                          <w:marBottom w:val="300"/>
                          <w:divBdr>
                            <w:top w:val="none" w:sz="0" w:space="0" w:color="auto"/>
                            <w:left w:val="none" w:sz="0" w:space="0" w:color="auto"/>
                            <w:bottom w:val="none" w:sz="0" w:space="0" w:color="auto"/>
                            <w:right w:val="none" w:sz="0" w:space="0" w:color="auto"/>
                          </w:divBdr>
                          <w:divsChild>
                            <w:div w:id="1394426962">
                              <w:marLeft w:val="0"/>
                              <w:marRight w:val="0"/>
                              <w:marTop w:val="0"/>
                              <w:marBottom w:val="0"/>
                              <w:divBdr>
                                <w:top w:val="none" w:sz="0" w:space="0" w:color="auto"/>
                                <w:left w:val="none" w:sz="0" w:space="0" w:color="auto"/>
                                <w:bottom w:val="none" w:sz="0" w:space="0" w:color="auto"/>
                                <w:right w:val="none" w:sz="0" w:space="0" w:color="auto"/>
                              </w:divBdr>
                              <w:divsChild>
                                <w:div w:id="12258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573112">
      <w:bodyDiv w:val="1"/>
      <w:marLeft w:val="0"/>
      <w:marRight w:val="0"/>
      <w:marTop w:val="0"/>
      <w:marBottom w:val="0"/>
      <w:divBdr>
        <w:top w:val="none" w:sz="0" w:space="0" w:color="auto"/>
        <w:left w:val="none" w:sz="0" w:space="0" w:color="auto"/>
        <w:bottom w:val="none" w:sz="0" w:space="0" w:color="auto"/>
        <w:right w:val="none" w:sz="0" w:space="0" w:color="auto"/>
      </w:divBdr>
    </w:div>
    <w:div w:id="1215003048">
      <w:bodyDiv w:val="1"/>
      <w:marLeft w:val="0"/>
      <w:marRight w:val="0"/>
      <w:marTop w:val="0"/>
      <w:marBottom w:val="0"/>
      <w:divBdr>
        <w:top w:val="none" w:sz="0" w:space="0" w:color="auto"/>
        <w:left w:val="none" w:sz="0" w:space="0" w:color="auto"/>
        <w:bottom w:val="none" w:sz="0" w:space="0" w:color="auto"/>
        <w:right w:val="none" w:sz="0" w:space="0" w:color="auto"/>
      </w:divBdr>
    </w:div>
    <w:div w:id="1545947334">
      <w:bodyDiv w:val="1"/>
      <w:marLeft w:val="0"/>
      <w:marRight w:val="0"/>
      <w:marTop w:val="0"/>
      <w:marBottom w:val="0"/>
      <w:divBdr>
        <w:top w:val="none" w:sz="0" w:space="0" w:color="auto"/>
        <w:left w:val="none" w:sz="0" w:space="0" w:color="auto"/>
        <w:bottom w:val="none" w:sz="0" w:space="0" w:color="auto"/>
        <w:right w:val="none" w:sz="0" w:space="0" w:color="auto"/>
      </w:divBdr>
    </w:div>
    <w:div w:id="1724139879">
      <w:bodyDiv w:val="1"/>
      <w:marLeft w:val="0"/>
      <w:marRight w:val="0"/>
      <w:marTop w:val="0"/>
      <w:marBottom w:val="0"/>
      <w:divBdr>
        <w:top w:val="none" w:sz="0" w:space="0" w:color="auto"/>
        <w:left w:val="none" w:sz="0" w:space="0" w:color="auto"/>
        <w:bottom w:val="none" w:sz="0" w:space="0" w:color="auto"/>
        <w:right w:val="none" w:sz="0" w:space="0" w:color="auto"/>
      </w:divBdr>
    </w:div>
    <w:div w:id="1968924424">
      <w:bodyDiv w:val="1"/>
      <w:marLeft w:val="0"/>
      <w:marRight w:val="0"/>
      <w:marTop w:val="0"/>
      <w:marBottom w:val="0"/>
      <w:divBdr>
        <w:top w:val="none" w:sz="0" w:space="0" w:color="auto"/>
        <w:left w:val="none" w:sz="0" w:space="0" w:color="auto"/>
        <w:bottom w:val="none" w:sz="0" w:space="0" w:color="auto"/>
        <w:right w:val="none" w:sz="0" w:space="0" w:color="auto"/>
      </w:divBdr>
    </w:div>
    <w:div w:id="2028212987">
      <w:bodyDiv w:val="1"/>
      <w:marLeft w:val="0"/>
      <w:marRight w:val="0"/>
      <w:marTop w:val="0"/>
      <w:marBottom w:val="0"/>
      <w:divBdr>
        <w:top w:val="none" w:sz="0" w:space="0" w:color="auto"/>
        <w:left w:val="none" w:sz="0" w:space="0" w:color="auto"/>
        <w:bottom w:val="none" w:sz="0" w:space="0" w:color="auto"/>
        <w:right w:val="none" w:sz="0" w:space="0" w:color="auto"/>
      </w:divBdr>
      <w:divsChild>
        <w:div w:id="1654337876">
          <w:marLeft w:val="0"/>
          <w:marRight w:val="0"/>
          <w:marTop w:val="0"/>
          <w:marBottom w:val="0"/>
          <w:divBdr>
            <w:top w:val="none" w:sz="0" w:space="0" w:color="auto"/>
            <w:left w:val="none" w:sz="0" w:space="0" w:color="auto"/>
            <w:bottom w:val="none" w:sz="0" w:space="0" w:color="auto"/>
            <w:right w:val="none" w:sz="0" w:space="0" w:color="auto"/>
          </w:divBdr>
          <w:divsChild>
            <w:div w:id="1447626892">
              <w:marLeft w:val="0"/>
              <w:marRight w:val="0"/>
              <w:marTop w:val="0"/>
              <w:marBottom w:val="0"/>
              <w:divBdr>
                <w:top w:val="none" w:sz="0" w:space="0" w:color="auto"/>
                <w:left w:val="none" w:sz="0" w:space="0" w:color="auto"/>
                <w:bottom w:val="none" w:sz="0" w:space="0" w:color="auto"/>
                <w:right w:val="none" w:sz="0" w:space="0" w:color="auto"/>
              </w:divBdr>
              <w:divsChild>
                <w:div w:id="1167405465">
                  <w:marLeft w:val="0"/>
                  <w:marRight w:val="0"/>
                  <w:marTop w:val="0"/>
                  <w:marBottom w:val="0"/>
                  <w:divBdr>
                    <w:top w:val="none" w:sz="0" w:space="0" w:color="auto"/>
                    <w:left w:val="none" w:sz="0" w:space="0" w:color="auto"/>
                    <w:bottom w:val="none" w:sz="0" w:space="0" w:color="auto"/>
                    <w:right w:val="none" w:sz="0" w:space="0" w:color="auto"/>
                  </w:divBdr>
                  <w:divsChild>
                    <w:div w:id="1847592231">
                      <w:marLeft w:val="0"/>
                      <w:marRight w:val="0"/>
                      <w:marTop w:val="0"/>
                      <w:marBottom w:val="0"/>
                      <w:divBdr>
                        <w:top w:val="none" w:sz="0" w:space="0" w:color="auto"/>
                        <w:left w:val="none" w:sz="0" w:space="0" w:color="auto"/>
                        <w:bottom w:val="none" w:sz="0" w:space="0" w:color="auto"/>
                        <w:right w:val="none" w:sz="0" w:space="0" w:color="auto"/>
                      </w:divBdr>
                      <w:divsChild>
                        <w:div w:id="1787699602">
                          <w:marLeft w:val="0"/>
                          <w:marRight w:val="0"/>
                          <w:marTop w:val="0"/>
                          <w:marBottom w:val="0"/>
                          <w:divBdr>
                            <w:top w:val="none" w:sz="0" w:space="0" w:color="auto"/>
                            <w:left w:val="none" w:sz="0" w:space="0" w:color="auto"/>
                            <w:bottom w:val="none" w:sz="0" w:space="0" w:color="auto"/>
                            <w:right w:val="none" w:sz="0" w:space="0" w:color="auto"/>
                          </w:divBdr>
                          <w:divsChild>
                            <w:div w:id="103886971">
                              <w:marLeft w:val="0"/>
                              <w:marRight w:val="0"/>
                              <w:marTop w:val="0"/>
                              <w:marBottom w:val="0"/>
                              <w:divBdr>
                                <w:top w:val="none" w:sz="0" w:space="0" w:color="auto"/>
                                <w:left w:val="none" w:sz="0" w:space="0" w:color="auto"/>
                                <w:bottom w:val="none" w:sz="0" w:space="0" w:color="auto"/>
                                <w:right w:val="none" w:sz="0" w:space="0" w:color="auto"/>
                              </w:divBdr>
                              <w:divsChild>
                                <w:div w:id="1861122353">
                                  <w:marLeft w:val="0"/>
                                  <w:marRight w:val="0"/>
                                  <w:marTop w:val="0"/>
                                  <w:marBottom w:val="0"/>
                                  <w:divBdr>
                                    <w:top w:val="none" w:sz="0" w:space="0" w:color="auto"/>
                                    <w:left w:val="none" w:sz="0" w:space="0" w:color="auto"/>
                                    <w:bottom w:val="none" w:sz="0" w:space="0" w:color="auto"/>
                                    <w:right w:val="none" w:sz="0" w:space="0" w:color="auto"/>
                                  </w:divBdr>
                                  <w:divsChild>
                                    <w:div w:id="1340425814">
                                      <w:marLeft w:val="0"/>
                                      <w:marRight w:val="0"/>
                                      <w:marTop w:val="0"/>
                                      <w:marBottom w:val="0"/>
                                      <w:divBdr>
                                        <w:top w:val="none" w:sz="0" w:space="0" w:color="auto"/>
                                        <w:left w:val="none" w:sz="0" w:space="0" w:color="auto"/>
                                        <w:bottom w:val="none" w:sz="0" w:space="0" w:color="auto"/>
                                        <w:right w:val="none" w:sz="0" w:space="0" w:color="auto"/>
                                      </w:divBdr>
                                      <w:divsChild>
                                        <w:div w:id="1591621124">
                                          <w:marLeft w:val="0"/>
                                          <w:marRight w:val="0"/>
                                          <w:marTop w:val="0"/>
                                          <w:marBottom w:val="0"/>
                                          <w:divBdr>
                                            <w:top w:val="none" w:sz="0" w:space="0" w:color="auto"/>
                                            <w:left w:val="none" w:sz="0" w:space="0" w:color="auto"/>
                                            <w:bottom w:val="none" w:sz="0" w:space="0" w:color="auto"/>
                                            <w:right w:val="none" w:sz="0" w:space="0" w:color="auto"/>
                                          </w:divBdr>
                                          <w:divsChild>
                                            <w:div w:id="734085053">
                                              <w:marLeft w:val="0"/>
                                              <w:marRight w:val="0"/>
                                              <w:marTop w:val="0"/>
                                              <w:marBottom w:val="0"/>
                                              <w:divBdr>
                                                <w:top w:val="none" w:sz="0" w:space="0" w:color="auto"/>
                                                <w:left w:val="none" w:sz="0" w:space="0" w:color="auto"/>
                                                <w:bottom w:val="none" w:sz="0" w:space="0" w:color="auto"/>
                                                <w:right w:val="none" w:sz="0" w:space="0" w:color="auto"/>
                                              </w:divBdr>
                                              <w:divsChild>
                                                <w:div w:id="934553354">
                                                  <w:marLeft w:val="0"/>
                                                  <w:marRight w:val="0"/>
                                                  <w:marTop w:val="0"/>
                                                  <w:marBottom w:val="0"/>
                                                  <w:divBdr>
                                                    <w:top w:val="none" w:sz="0" w:space="0" w:color="auto"/>
                                                    <w:left w:val="none" w:sz="0" w:space="0" w:color="auto"/>
                                                    <w:bottom w:val="none" w:sz="0" w:space="0" w:color="auto"/>
                                                    <w:right w:val="none" w:sz="0" w:space="0" w:color="auto"/>
                                                  </w:divBdr>
                                                  <w:divsChild>
                                                    <w:div w:id="573979880">
                                                      <w:marLeft w:val="0"/>
                                                      <w:marRight w:val="0"/>
                                                      <w:marTop w:val="240"/>
                                                      <w:marBottom w:val="60"/>
                                                      <w:divBdr>
                                                        <w:top w:val="none" w:sz="0" w:space="0" w:color="auto"/>
                                                        <w:left w:val="none" w:sz="0" w:space="0" w:color="auto"/>
                                                        <w:bottom w:val="none" w:sz="0" w:space="0" w:color="auto"/>
                                                        <w:right w:val="none" w:sz="0" w:space="0" w:color="auto"/>
                                                      </w:divBdr>
                                                      <w:divsChild>
                                                        <w:div w:id="1247307904">
                                                          <w:marLeft w:val="240"/>
                                                          <w:marRight w:val="0"/>
                                                          <w:marTop w:val="60"/>
                                                          <w:marBottom w:val="60"/>
                                                          <w:divBdr>
                                                            <w:top w:val="none" w:sz="0" w:space="0" w:color="auto"/>
                                                            <w:left w:val="none" w:sz="0" w:space="0" w:color="auto"/>
                                                            <w:bottom w:val="none" w:sz="0" w:space="0" w:color="auto"/>
                                                            <w:right w:val="none" w:sz="0" w:space="0" w:color="auto"/>
                                                          </w:divBdr>
                                                          <w:divsChild>
                                                            <w:div w:id="405878596">
                                                              <w:marLeft w:val="240"/>
                                                              <w:marRight w:val="0"/>
                                                              <w:marTop w:val="60"/>
                                                              <w:marBottom w:val="60"/>
                                                              <w:divBdr>
                                                                <w:top w:val="none" w:sz="0" w:space="0" w:color="auto"/>
                                                                <w:left w:val="none" w:sz="0" w:space="0" w:color="auto"/>
                                                                <w:bottom w:val="none" w:sz="0" w:space="0" w:color="auto"/>
                                                                <w:right w:val="none" w:sz="0" w:space="0" w:color="auto"/>
                                                              </w:divBdr>
                                                              <w:divsChild>
                                                                <w:div w:id="11736163">
                                                                  <w:marLeft w:val="240"/>
                                                                  <w:marRight w:val="0"/>
                                                                  <w:marTop w:val="60"/>
                                                                  <w:marBottom w:val="60"/>
                                                                  <w:divBdr>
                                                                    <w:top w:val="none" w:sz="0" w:space="0" w:color="auto"/>
                                                                    <w:left w:val="none" w:sz="0" w:space="0" w:color="auto"/>
                                                                    <w:bottom w:val="none" w:sz="0" w:space="0" w:color="auto"/>
                                                                    <w:right w:val="none" w:sz="0" w:space="0" w:color="auto"/>
                                                                  </w:divBdr>
                                                                  <w:divsChild>
                                                                    <w:div w:id="405688724">
                                                                      <w:marLeft w:val="240"/>
                                                                      <w:marRight w:val="0"/>
                                                                      <w:marTop w:val="60"/>
                                                                      <w:marBottom w:val="60"/>
                                                                      <w:divBdr>
                                                                        <w:top w:val="none" w:sz="0" w:space="0" w:color="auto"/>
                                                                        <w:left w:val="none" w:sz="0" w:space="0" w:color="auto"/>
                                                                        <w:bottom w:val="none" w:sz="0" w:space="0" w:color="auto"/>
                                                                        <w:right w:val="none" w:sz="0" w:space="0" w:color="auto"/>
                                                                      </w:divBdr>
                                                                      <w:divsChild>
                                                                        <w:div w:id="2067288981">
                                                                          <w:marLeft w:val="0"/>
                                                                          <w:marRight w:val="0"/>
                                                                          <w:marTop w:val="0"/>
                                                                          <w:marBottom w:val="0"/>
                                                                          <w:divBdr>
                                                                            <w:top w:val="none" w:sz="0" w:space="0" w:color="auto"/>
                                                                            <w:left w:val="none" w:sz="0" w:space="0" w:color="auto"/>
                                                                            <w:bottom w:val="none" w:sz="0" w:space="0" w:color="auto"/>
                                                                            <w:right w:val="none" w:sz="0" w:space="0" w:color="auto"/>
                                                                          </w:divBdr>
                                                                        </w:div>
                                                                      </w:divsChild>
                                                                    </w:div>
                                                                    <w:div w:id="506335026">
                                                                      <w:marLeft w:val="240"/>
                                                                      <w:marRight w:val="0"/>
                                                                      <w:marTop w:val="60"/>
                                                                      <w:marBottom w:val="60"/>
                                                                      <w:divBdr>
                                                                        <w:top w:val="none" w:sz="0" w:space="0" w:color="auto"/>
                                                                        <w:left w:val="none" w:sz="0" w:space="0" w:color="auto"/>
                                                                        <w:bottom w:val="none" w:sz="0" w:space="0" w:color="auto"/>
                                                                        <w:right w:val="none" w:sz="0" w:space="0" w:color="auto"/>
                                                                      </w:divBdr>
                                                                      <w:divsChild>
                                                                        <w:div w:id="10584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1" ma:contentTypeDescription="Create a new document." ma:contentTypeScope="" ma:versionID="59e2b11041a8f69cb54f82c80f4c255f">
  <xsd:schema xmlns:xsd="http://www.w3.org/2001/XMLSchema" xmlns:xs="http://www.w3.org/2001/XMLSchema" xmlns:p="http://schemas.microsoft.com/office/2006/metadata/properties" xmlns:ns2="http://schemas.microsoft.com/sharepoint.v3" xmlns:ns3="4ffa91fb-a0ff-4ac5-b2db-65c790d184a4" xmlns:ns4="118f882f-1e32-4cf2-ad69-9de43d57f4c6" xmlns:ns5="a5d1ca4e-0a3f-4119-b619-e20b93ebd1aa" targetNamespace="http://schemas.microsoft.com/office/2006/metadata/properties" ma:root="true" ma:fieldsID="a02cef7f9d2310416e5efbefa9ae00b8" ns2:_="" ns3:_="" ns4:_="" ns5:_="">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FRN_x0020_List_x0020_Item_x0020_ID xmlns="118f882f-1e32-4cf2-ad69-9de43d57f4c6">3547</FRN_x0020_List_x0020_Item_x0020_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13D10D-E110-4E3C-B553-F560E114F4D3}">
  <ds:schemaRefs>
    <ds:schemaRef ds:uri="Microsoft.SharePoint.Taxonomy.ContentTypeSync"/>
  </ds:schemaRefs>
</ds:datastoreItem>
</file>

<file path=customXml/itemProps2.xml><?xml version="1.0" encoding="utf-8"?>
<ds:datastoreItem xmlns:ds="http://schemas.openxmlformats.org/officeDocument/2006/customXml" ds:itemID="{B7215421-DFDF-46BF-A12B-E1FBA0C53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95E5C9-D86F-401F-A651-D0230E731E3C}">
  <ds:schemaRefs>
    <ds:schemaRef ds:uri="118f882f-1e32-4cf2-ad69-9de43d57f4c6"/>
    <ds:schemaRef ds:uri="4ffa91fb-a0ff-4ac5-b2db-65c790d184a4"/>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microsoft.com/sharepoint.v3"/>
    <ds:schemaRef ds:uri="http://www.w3.org/XML/1998/namespace"/>
    <ds:schemaRef ds:uri="http://schemas.openxmlformats.org/package/2006/metadata/core-properties"/>
    <ds:schemaRef ds:uri="a5d1ca4e-0a3f-4119-b619-e20b93ebd1aa"/>
    <ds:schemaRef ds:uri="http://purl.org/dc/dcmitype/"/>
    <ds:schemaRef ds:uri="http://purl.org/dc/elements/1.1/"/>
  </ds:schemaRefs>
</ds:datastoreItem>
</file>

<file path=customXml/itemProps4.xml><?xml version="1.0" encoding="utf-8"?>
<ds:datastoreItem xmlns:ds="http://schemas.openxmlformats.org/officeDocument/2006/customXml" ds:itemID="{B294CBCC-A307-4080-964D-FA3263D5B33C}">
  <ds:schemaRefs>
    <ds:schemaRef ds:uri="http://schemas.openxmlformats.org/officeDocument/2006/bibliography"/>
  </ds:schemaRefs>
</ds:datastoreItem>
</file>

<file path=customXml/itemProps5.xml><?xml version="1.0" encoding="utf-8"?>
<ds:datastoreItem xmlns:ds="http://schemas.openxmlformats.org/officeDocument/2006/customXml" ds:itemID="{E09B2473-78FD-4154-B43D-C1EC2A1FA0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4288</Words>
  <Characters>24442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Barkas, Jessica</dc:creator>
  <cp:keywords/>
  <dc:description/>
  <cp:lastModifiedBy>Johnson, Amaris</cp:lastModifiedBy>
  <cp:revision>2</cp:revision>
  <dcterms:created xsi:type="dcterms:W3CDTF">2022-01-03T23:03:00Z</dcterms:created>
  <dcterms:modified xsi:type="dcterms:W3CDTF">2022-01-03T23:03:00Z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ies>
</file>