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76E9" w:rsidP="001C4327" w:rsidRDefault="00091615" w14:paraId="300D7AE2" w14:textId="77777777">
      <w:r>
        <w:pict w14:anchorId="3155F10B">
          <v:rect id="_x0000_i1025" style="width:730.5pt;height:1.5pt" o:hr="t" o:hrstd="t" o:hralign="center" fillcolor="gray" stroked="f"/>
        </w:pict>
      </w:r>
    </w:p>
    <w:p w:rsidRPr="00EA37E6" w:rsidR="000576E9" w:rsidP="001C4327" w:rsidRDefault="000576E9" w14:paraId="103009F2" w14:textId="77777777">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14:paraId="1DFA343A" w14:textId="77777777">
      <w:pPr>
        <w:jc w:val="center"/>
        <w:rPr>
          <w:rFonts w:ascii="Arial Narrow" w:hAnsi="Arial Narrow"/>
          <w:sz w:val="16"/>
          <w:szCs w:val="16"/>
        </w:rPr>
      </w:pPr>
      <w:r w:rsidRPr="00EA37E6">
        <w:rPr>
          <w:b/>
          <w:bCs/>
          <w:sz w:val="32"/>
          <w:szCs w:val="32"/>
        </w:rPr>
        <w:t> </w:t>
      </w:r>
    </w:p>
    <w:p w:rsidRPr="001C4327" w:rsidR="000576E9" w:rsidP="00A54952" w:rsidRDefault="000513D6" w14:paraId="22B24819" w14:textId="15C06F7E">
      <w:pPr>
        <w:keepNext/>
        <w:ind w:left="540" w:hanging="540"/>
        <w:outlineLvl w:val="0"/>
        <w:rPr>
          <w:b/>
          <w:bCs/>
          <w:kern w:val="36"/>
        </w:rPr>
      </w:pPr>
      <w:r w:rsidRPr="000513D6">
        <w:rPr>
          <w:b/>
          <w:bCs/>
          <w:kern w:val="36"/>
        </w:rPr>
        <w:t>A</w:t>
      </w:r>
      <w:r w:rsidR="00B043E4">
        <w:rPr>
          <w:b/>
          <w:bCs/>
          <w:kern w:val="36"/>
        </w:rPr>
        <w:t xml:space="preserve">. </w:t>
      </w:r>
      <w:r w:rsidRPr="001C4327" w:rsidR="000576E9">
        <w:rPr>
          <w:b/>
          <w:bCs/>
          <w:kern w:val="36"/>
        </w:rPr>
        <w:t>Justification</w:t>
      </w:r>
    </w:p>
    <w:p w:rsidRPr="001C4327" w:rsidR="000513D6" w:rsidP="00A54952" w:rsidRDefault="000513D6" w14:paraId="2C84B54F" w14:textId="77777777">
      <w:pPr>
        <w:keepNext/>
        <w:ind w:left="540" w:hanging="540"/>
        <w:outlineLvl w:val="0"/>
        <w:rPr>
          <w:b/>
          <w:bCs/>
          <w:kern w:val="36"/>
        </w:rPr>
      </w:pPr>
    </w:p>
    <w:p w:rsidRPr="001C4327" w:rsidR="000576E9" w:rsidP="00A54952" w:rsidRDefault="000576E9" w14:paraId="7A2C6373" w14:textId="1E559E4D">
      <w:pPr>
        <w:keepNext/>
        <w:outlineLvl w:val="0"/>
        <w:rPr>
          <w:b/>
          <w:bCs/>
          <w:kern w:val="36"/>
        </w:rPr>
      </w:pPr>
      <w:r w:rsidRPr="001C4327">
        <w:rPr>
          <w:b/>
          <w:bCs/>
          <w:kern w:val="36"/>
        </w:rPr>
        <w:t>A1</w:t>
      </w:r>
      <w:r w:rsidR="00B043E4">
        <w:rPr>
          <w:b/>
          <w:bCs/>
          <w:kern w:val="36"/>
        </w:rPr>
        <w:t xml:space="preserve">. </w:t>
      </w:r>
      <w:r w:rsidRPr="001C4327">
        <w:rPr>
          <w:b/>
          <w:bCs/>
          <w:kern w:val="36"/>
        </w:rPr>
        <w:t>Need for Information Collection</w:t>
      </w:r>
    </w:p>
    <w:p w:rsidR="00395ED5" w:rsidP="00A54952" w:rsidRDefault="00395ED5" w14:paraId="13F0251F" w14:textId="77777777">
      <w:pPr>
        <w:ind w:firstLine="720"/>
        <w:rPr>
          <w:bCs/>
          <w:kern w:val="36"/>
        </w:rPr>
      </w:pPr>
    </w:p>
    <w:p w:rsidRPr="001B1A4B" w:rsidR="00783B2E" w:rsidP="00783B2E" w:rsidRDefault="000513D6" w14:paraId="7ECCD0ED" w14:textId="69F3EC48">
      <w:pPr>
        <w:ind w:firstLine="720"/>
        <w:rPr>
          <w:rFonts w:ascii="Arial Narrow" w:hAnsi="Arial Narrow"/>
        </w:rPr>
      </w:pPr>
      <w:r w:rsidRPr="001C4327">
        <w:rPr>
          <w:bCs/>
          <w:kern w:val="36"/>
        </w:rPr>
        <w:t xml:space="preserve">The Corporation for National and Community Service </w:t>
      </w:r>
      <w:r w:rsidR="00B043E4">
        <w:rPr>
          <w:bCs/>
          <w:kern w:val="36"/>
        </w:rPr>
        <w:t xml:space="preserve">doing business as AmeriCorps </w:t>
      </w:r>
      <w:r w:rsidR="00441161">
        <w:rPr>
          <w:bCs/>
          <w:kern w:val="36"/>
        </w:rPr>
        <w:t>(</w:t>
      </w:r>
      <w:r w:rsidR="00B043E4">
        <w:rPr>
          <w:bCs/>
          <w:kern w:val="36"/>
        </w:rPr>
        <w:t>AmeriCorps</w:t>
      </w:r>
      <w:r w:rsidRPr="001C4327" w:rsidR="00F52800">
        <w:rPr>
          <w:bCs/>
          <w:kern w:val="36"/>
        </w:rPr>
        <w:t xml:space="preserve">) </w:t>
      </w:r>
      <w:r w:rsidRPr="001C4327">
        <w:rPr>
          <w:bCs/>
          <w:kern w:val="36"/>
        </w:rPr>
        <w:t>awards grants to states, institutions of higher education, non-profit organizations, Indian tribes, and U.S. Territories to operate AmeriCorps</w:t>
      </w:r>
      <w:r w:rsidR="00783B2E">
        <w:rPr>
          <w:bCs/>
          <w:kern w:val="36"/>
        </w:rPr>
        <w:t xml:space="preserve"> State</w:t>
      </w:r>
      <w:r w:rsidR="00441161">
        <w:rPr>
          <w:bCs/>
          <w:kern w:val="36"/>
        </w:rPr>
        <w:t xml:space="preserve"> and </w:t>
      </w:r>
      <w:r w:rsidR="00783B2E">
        <w:rPr>
          <w:bCs/>
          <w:kern w:val="36"/>
        </w:rPr>
        <w:t xml:space="preserve">National, AmeriCorps NCCC, </w:t>
      </w:r>
      <w:r w:rsidR="007918B7">
        <w:rPr>
          <w:bCs/>
          <w:kern w:val="36"/>
        </w:rPr>
        <w:t xml:space="preserve">AmeriCorps VISTA, </w:t>
      </w:r>
      <w:r w:rsidR="00441161">
        <w:rPr>
          <w:bCs/>
          <w:kern w:val="36"/>
        </w:rPr>
        <w:t>and AmeriCorps</w:t>
      </w:r>
      <w:r w:rsidR="007918B7">
        <w:rPr>
          <w:bCs/>
          <w:kern w:val="36"/>
        </w:rPr>
        <w:t xml:space="preserve"> </w:t>
      </w:r>
      <w:r w:rsidR="00783B2E">
        <w:rPr>
          <w:bCs/>
          <w:kern w:val="36"/>
        </w:rPr>
        <w:t xml:space="preserve">Senior </w:t>
      </w:r>
      <w:r w:rsidRPr="001C4327">
        <w:rPr>
          <w:bCs/>
          <w:kern w:val="36"/>
        </w:rPr>
        <w:t>programs</w:t>
      </w:r>
      <w:r w:rsidR="00B043E4">
        <w:rPr>
          <w:bCs/>
          <w:kern w:val="36"/>
        </w:rPr>
        <w:t xml:space="preserve">. </w:t>
      </w:r>
      <w:r w:rsidR="00907CC4">
        <w:rPr>
          <w:bCs/>
          <w:kern w:val="36"/>
        </w:rPr>
        <w:t>The purpose of this information collection</w:t>
      </w:r>
      <w:r w:rsidR="009231B5">
        <w:rPr>
          <w:bCs/>
          <w:kern w:val="36"/>
        </w:rPr>
        <w:t xml:space="preserve"> </w:t>
      </w:r>
      <w:r w:rsidR="009231B5">
        <w:t>to</w:t>
      </w:r>
      <w:r w:rsidRPr="005C4A46" w:rsidR="009231B5">
        <w:t xml:space="preserve"> collect information from AmeriCorps</w:t>
      </w:r>
      <w:r w:rsidR="009231B5">
        <w:t xml:space="preserve"> applicants and</w:t>
      </w:r>
      <w:r w:rsidRPr="005C4A46" w:rsidR="009231B5">
        <w:t xml:space="preserve"> </w:t>
      </w:r>
      <w:r w:rsidR="009231B5">
        <w:t>m</w:t>
      </w:r>
      <w:r w:rsidRPr="005C4A46" w:rsidR="009231B5">
        <w:t xml:space="preserve">embers </w:t>
      </w:r>
      <w:r w:rsidR="009231B5">
        <w:t>enrolling in and</w:t>
      </w:r>
      <w:r w:rsidRPr="005C4A46" w:rsidR="009231B5">
        <w:t xml:space="preserve"> e</w:t>
      </w:r>
      <w:r w:rsidR="009231B5">
        <w:t>xiting from</w:t>
      </w:r>
      <w:r w:rsidRPr="005C4A46" w:rsidR="009231B5">
        <w:t xml:space="preserve"> their term of service</w:t>
      </w:r>
      <w:r w:rsidR="009231B5">
        <w:t>.</w:t>
      </w:r>
      <w:r w:rsidR="00B043E4">
        <w:t xml:space="preserve"> </w:t>
      </w:r>
    </w:p>
    <w:p w:rsidRPr="00BE0835" w:rsidR="00A54952" w:rsidP="00A54952" w:rsidRDefault="00A54952" w14:paraId="12781CEB"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14:paraId="24FA30ED" w14:textId="018F21C0">
      <w:pPr>
        <w:rPr>
          <w:b/>
          <w:bCs/>
        </w:rPr>
      </w:pPr>
      <w:r w:rsidRPr="001C4327">
        <w:rPr>
          <w:b/>
          <w:bCs/>
        </w:rPr>
        <w:t>A2</w:t>
      </w:r>
      <w:r w:rsidR="00B043E4">
        <w:rPr>
          <w:b/>
          <w:bCs/>
        </w:rPr>
        <w:t xml:space="preserve">. </w:t>
      </w:r>
      <w:r w:rsidRPr="001C4327">
        <w:rPr>
          <w:b/>
          <w:bCs/>
        </w:rPr>
        <w:t>Indicate how, by whom, and for what purpose the information is to be used.</w:t>
      </w:r>
    </w:p>
    <w:p w:rsidR="00395ED5" w:rsidP="001C4327" w:rsidRDefault="00395ED5" w14:paraId="2D33A780" w14:textId="7777777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9E7260" w:rsidP="009E7260" w:rsidRDefault="009E7260" w14:paraId="081B99BA" w14:textId="6D1612B9">
      <w:pPr>
        <w:ind w:firstLine="720"/>
      </w:pPr>
      <w:r>
        <w:rPr>
          <w:bCs/>
          <w:kern w:val="36"/>
        </w:rPr>
        <w:t xml:space="preserve">These forms allow AmeriCorps to collect information about members who apply, </w:t>
      </w:r>
      <w:r w:rsidR="003045DF">
        <w:rPr>
          <w:bCs/>
          <w:kern w:val="36"/>
        </w:rPr>
        <w:t>enroll,</w:t>
      </w:r>
      <w:r>
        <w:rPr>
          <w:bCs/>
          <w:kern w:val="36"/>
        </w:rPr>
        <w:t xml:space="preserve"> and exit from AmeriCorps programs and provides information to staff about who is enrolling and collects information about their post service plans. </w:t>
      </w:r>
    </w:p>
    <w:p w:rsidRPr="001C4327" w:rsidR="000576E9" w:rsidP="000576E9" w:rsidRDefault="000576E9" w14:paraId="6D813C66" w14:textId="77777777">
      <w:pPr>
        <w:rPr>
          <w:rFonts w:ascii="Arial Narrow" w:hAnsi="Arial Narrow"/>
        </w:rPr>
      </w:pPr>
      <w:r w:rsidRPr="001C4327">
        <w:t> </w:t>
      </w:r>
    </w:p>
    <w:p w:rsidRPr="001C4327" w:rsidR="000576E9" w:rsidP="000576E9" w:rsidRDefault="000576E9" w14:paraId="11F70946" w14:textId="65304E27">
      <w:pPr>
        <w:rPr>
          <w:rFonts w:ascii="Arial Narrow" w:hAnsi="Arial Narrow"/>
        </w:rPr>
      </w:pPr>
      <w:r w:rsidRPr="001C4327">
        <w:t> </w:t>
      </w:r>
      <w:r w:rsidRPr="001C4327">
        <w:rPr>
          <w:b/>
          <w:bCs/>
        </w:rPr>
        <w:t>A3</w:t>
      </w:r>
      <w:r w:rsidR="00B043E4">
        <w:rPr>
          <w:b/>
          <w:bCs/>
        </w:rPr>
        <w:t xml:space="preserve">. </w:t>
      </w:r>
      <w:r w:rsidRPr="001C4327">
        <w:rPr>
          <w:b/>
          <w:bCs/>
        </w:rPr>
        <w:t>Minimize Burden: Use of Improved Technology to Reduce Burden</w:t>
      </w:r>
    </w:p>
    <w:p w:rsidR="00395ED5" w:rsidP="000576E9" w:rsidRDefault="00395ED5" w14:paraId="4D2B6B6A" w14:textId="77777777"/>
    <w:p w:rsidRPr="001C4327" w:rsidR="000576E9" w:rsidP="007918B7" w:rsidRDefault="00B043E4" w14:paraId="15C4A910" w14:textId="32837026">
      <w:pPr>
        <w:ind w:firstLine="720"/>
      </w:pPr>
      <w:r>
        <w:t>AmeriCorps</w:t>
      </w:r>
      <w:r w:rsidRPr="001C4327" w:rsidR="009A0CC2">
        <w:t xml:space="preserve"> </w:t>
      </w:r>
      <w:r w:rsidR="001C4327">
        <w:t>will be eliciti</w:t>
      </w:r>
      <w:r w:rsidR="00A54952">
        <w:t xml:space="preserve">ng and accepting </w:t>
      </w:r>
      <w:r w:rsidR="000D0B1C">
        <w:t xml:space="preserve">applicants’ </w:t>
      </w:r>
      <w:r w:rsidR="00783B2E">
        <w:t xml:space="preserve">response to these </w:t>
      </w:r>
      <w:r w:rsidR="00382088">
        <w:t>questions</w:t>
      </w:r>
      <w:r w:rsidR="00A54952">
        <w:t xml:space="preserve"> </w:t>
      </w:r>
      <w:r w:rsidR="00146FFD">
        <w:t xml:space="preserve">electronically via eGrants the AmeriCorps’ secure online grants management system. </w:t>
      </w:r>
      <w:r w:rsidRPr="001C4327" w:rsidR="00146FFD">
        <w:t xml:space="preserve">If applicants are unable to </w:t>
      </w:r>
      <w:r w:rsidR="00146FFD">
        <w:t>apply or report</w:t>
      </w:r>
      <w:r w:rsidRPr="001C4327" w:rsidR="00146FFD">
        <w:t xml:space="preserve"> on-line</w:t>
      </w:r>
      <w:smartTag w:uri="urn:schemas-microsoft-com:office:smarttags" w:element="PersonName">
        <w:r w:rsidR="00146FFD" w:rsidRPr="001C4327">
          <w:t>,</w:t>
        </w:r>
      </w:smartTag>
      <w:r w:rsidRPr="001C4327" w:rsidR="00146FFD">
        <w:t xml:space="preserve"> they can use </w:t>
      </w:r>
      <w:r w:rsidR="00146FFD">
        <w:t>the hard copy forms</w:t>
      </w:r>
      <w:r w:rsidRPr="001C4327" w:rsidR="00146FFD">
        <w:t xml:space="preserve"> and </w:t>
      </w:r>
      <w:r w:rsidR="00146FFD">
        <w:t>to complete their application, enrollment or exit form.</w:t>
      </w:r>
    </w:p>
    <w:p w:rsidRPr="001C4327" w:rsidR="009A0CC2" w:rsidP="000576E9" w:rsidRDefault="009A0CC2" w14:paraId="34967F57" w14:textId="77777777"/>
    <w:p w:rsidRPr="001C4327" w:rsidR="000576E9" w:rsidP="000576E9" w:rsidRDefault="000576E9" w14:paraId="0C9FECBF" w14:textId="6F0110D6">
      <w:pPr>
        <w:rPr>
          <w:b/>
          <w:bCs/>
        </w:rPr>
      </w:pPr>
      <w:r w:rsidRPr="001C4327">
        <w:rPr>
          <w:b/>
          <w:bCs/>
        </w:rPr>
        <w:t>A4</w:t>
      </w:r>
      <w:r w:rsidR="00B043E4">
        <w:rPr>
          <w:b/>
          <w:bCs/>
        </w:rPr>
        <w:t xml:space="preserve">. </w:t>
      </w:r>
      <w:r w:rsidRPr="001C4327">
        <w:rPr>
          <w:b/>
          <w:bCs/>
        </w:rPr>
        <w:t>Non-Duplication</w:t>
      </w:r>
    </w:p>
    <w:p w:rsidR="003E34C0" w:rsidP="00395ED5" w:rsidRDefault="003E34C0" w14:paraId="6E4A2171" w14:textId="77777777">
      <w:pPr>
        <w:ind w:firstLine="720"/>
        <w:rPr>
          <w:bCs/>
        </w:rPr>
      </w:pPr>
    </w:p>
    <w:p w:rsidRPr="001C4327" w:rsidR="009A0CC2" w:rsidP="00395ED5" w:rsidRDefault="009A0CC2" w14:paraId="2CF1E5E3" w14:textId="085D7976">
      <w:pPr>
        <w:ind w:firstLine="720"/>
        <w:rPr>
          <w:rFonts w:ascii="Arial Narrow" w:hAnsi="Arial Narrow"/>
        </w:rPr>
      </w:pPr>
      <w:r w:rsidRPr="001C4327">
        <w:rPr>
          <w:bCs/>
        </w:rPr>
        <w:t xml:space="preserve">There are no other sources of information by which </w:t>
      </w:r>
      <w:r w:rsidR="00B043E4">
        <w:rPr>
          <w:bCs/>
        </w:rPr>
        <w:t>AmeriCorps</w:t>
      </w:r>
      <w:r w:rsidRPr="001C4327">
        <w:rPr>
          <w:bCs/>
        </w:rPr>
        <w:t xml:space="preserve"> can meet the purposes described in A2 (above)</w:t>
      </w:r>
      <w:r w:rsidR="00B043E4">
        <w:rPr>
          <w:bCs/>
        </w:rPr>
        <w:t xml:space="preserve">. </w:t>
      </w:r>
    </w:p>
    <w:p w:rsidRPr="001C4327" w:rsidR="000576E9" w:rsidP="000576E9" w:rsidRDefault="000576E9" w14:paraId="570CF66D" w14:textId="77777777">
      <w:pPr>
        <w:rPr>
          <w:rFonts w:ascii="Arial Narrow" w:hAnsi="Arial Narrow"/>
        </w:rPr>
      </w:pPr>
      <w:r w:rsidRPr="001C4327">
        <w:t> </w:t>
      </w:r>
    </w:p>
    <w:p w:rsidRPr="001C4327" w:rsidR="000576E9" w:rsidP="000576E9" w:rsidRDefault="000576E9" w14:paraId="27569FF2" w14:textId="54B02263">
      <w:pPr>
        <w:rPr>
          <w:b/>
          <w:bCs/>
        </w:rPr>
      </w:pPr>
      <w:r w:rsidRPr="001C4327">
        <w:rPr>
          <w:b/>
          <w:bCs/>
        </w:rPr>
        <w:t>A5</w:t>
      </w:r>
      <w:r w:rsidR="00B043E4">
        <w:rPr>
          <w:b/>
          <w:bCs/>
        </w:rPr>
        <w:t xml:space="preserve">. </w:t>
      </w:r>
      <w:r w:rsidRPr="001C4327">
        <w:rPr>
          <w:b/>
          <w:bCs/>
        </w:rPr>
        <w:t>Minimizing for economic burden for small businesses or other small entities.</w:t>
      </w:r>
    </w:p>
    <w:p w:rsidR="003E34C0" w:rsidP="00395ED5" w:rsidRDefault="003E34C0" w14:paraId="4142D36B" w14:textId="77777777">
      <w:pPr>
        <w:ind w:firstLine="720"/>
      </w:pPr>
    </w:p>
    <w:p w:rsidRPr="001C4327" w:rsidR="000576E9" w:rsidP="00395ED5" w:rsidRDefault="009A0CC2" w14:paraId="3BB574CE" w14:textId="6C190AE2">
      <w:pPr>
        <w:ind w:firstLine="720"/>
        <w:rPr>
          <w:rFonts w:ascii="Arial Narrow" w:hAnsi="Arial Narrow"/>
        </w:rPr>
      </w:pPr>
      <w:r w:rsidRPr="001C4327">
        <w:t>This collection of information does not impact small businesses because they are not eligible to apply for grants</w:t>
      </w:r>
      <w:r w:rsidR="00B043E4">
        <w:t xml:space="preserve">. </w:t>
      </w:r>
      <w:r w:rsidRPr="001C4327">
        <w:t>There is no economic burden to any other small entities beyond the co</w:t>
      </w:r>
      <w:r w:rsidR="00783B2E">
        <w:t>st of staff time to collect and report the data</w:t>
      </w:r>
      <w:r w:rsidR="00B043E4">
        <w:t xml:space="preserve">. </w:t>
      </w:r>
      <w:r w:rsidRPr="001C4327">
        <w:t xml:space="preserve">This is minimized to the degree possible by only asking for the information absolutely necessary </w:t>
      </w:r>
      <w:r w:rsidRPr="001C4327" w:rsidR="006B6EA0">
        <w:t xml:space="preserve">to </w:t>
      </w:r>
      <w:r w:rsidR="006B6EA0">
        <w:t>understand who is applying, enrolling in and exiting from AmeriCorps programs.</w:t>
      </w:r>
    </w:p>
    <w:p w:rsidRPr="001C4327" w:rsidR="000576E9" w:rsidP="000576E9" w:rsidRDefault="000576E9" w14:paraId="3B4EE0DF" w14:textId="77777777">
      <w:pPr>
        <w:rPr>
          <w:b/>
          <w:bCs/>
        </w:rPr>
      </w:pPr>
    </w:p>
    <w:p w:rsidRPr="001C4327" w:rsidR="000576E9" w:rsidP="000576E9" w:rsidRDefault="000576E9" w14:paraId="5C15A347" w14:textId="4BA372CC">
      <w:pPr>
        <w:rPr>
          <w:rFonts w:ascii="Arial Narrow" w:hAnsi="Arial Narrow"/>
        </w:rPr>
      </w:pPr>
      <w:r w:rsidRPr="001C4327">
        <w:rPr>
          <w:b/>
          <w:bCs/>
        </w:rPr>
        <w:t>A6</w:t>
      </w:r>
      <w:r w:rsidR="00B043E4">
        <w:rPr>
          <w:b/>
          <w:bCs/>
        </w:rPr>
        <w:t xml:space="preserve">.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14:paraId="4525B395" w14:textId="77777777">
      <w:pPr>
        <w:ind w:firstLine="720"/>
      </w:pPr>
      <w:r w:rsidRPr="001C4327">
        <w:t> </w:t>
      </w:r>
    </w:p>
    <w:p w:rsidRPr="001C4327" w:rsidR="009A0CC2" w:rsidP="00395ED5" w:rsidRDefault="00EB23B7" w14:paraId="52673E55" w14:textId="635AEF37">
      <w:pPr>
        <w:ind w:firstLine="720"/>
      </w:pPr>
      <w:r>
        <w:lastRenderedPageBreak/>
        <w:t>AmeriCorps</w:t>
      </w:r>
      <w:r w:rsidRPr="001C4327" w:rsidR="009A0CC2">
        <w:t xml:space="preserve"> will be unable to </w:t>
      </w:r>
      <w:r w:rsidR="000D0B1C">
        <w:t xml:space="preserve">request the necessary information </w:t>
      </w:r>
      <w:r w:rsidR="00DD1918">
        <w:t>to provide important demographical information about</w:t>
      </w:r>
      <w:r w:rsidR="00536CF5">
        <w:t xml:space="preserve"> applicants and</w:t>
      </w:r>
      <w:r w:rsidR="00DD1918">
        <w:t xml:space="preserve"> member</w:t>
      </w:r>
      <w:r w:rsidR="00536CF5">
        <w:t>s</w:t>
      </w:r>
      <w:r w:rsidR="00DD1918">
        <w:t xml:space="preserve"> enrolling or exiting service</w:t>
      </w:r>
      <w:r w:rsidR="00536CF5">
        <w:t>.</w:t>
      </w:r>
    </w:p>
    <w:p w:rsidRPr="001C4327" w:rsidR="000576E9" w:rsidP="000576E9" w:rsidRDefault="000576E9" w14:paraId="5DCF2F99" w14:textId="77777777">
      <w:pPr>
        <w:ind w:left="540" w:hanging="630"/>
        <w:rPr>
          <w:b/>
          <w:bCs/>
        </w:rPr>
      </w:pPr>
    </w:p>
    <w:p w:rsidRPr="001C4327" w:rsidR="000576E9" w:rsidP="000576E9" w:rsidRDefault="000576E9" w14:paraId="7061EFEC" w14:textId="0A518631">
      <w:pPr>
        <w:ind w:left="540" w:hanging="630"/>
        <w:rPr>
          <w:b/>
          <w:bCs/>
        </w:rPr>
      </w:pPr>
      <w:r w:rsidRPr="001C4327">
        <w:rPr>
          <w:b/>
          <w:bCs/>
        </w:rPr>
        <w:t xml:space="preserve">  A7</w:t>
      </w:r>
      <w:r w:rsidR="00B043E4">
        <w:rPr>
          <w:b/>
          <w:bCs/>
        </w:rPr>
        <w:t xml:space="preserve">. </w:t>
      </w:r>
      <w:r w:rsidRPr="001C4327">
        <w:rPr>
          <w:b/>
          <w:bCs/>
        </w:rPr>
        <w:t xml:space="preserve">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14:paraId="783E2DC9" w14:textId="77777777">
      <w:pPr>
        <w:tabs>
          <w:tab w:val="left" w:pos="540"/>
          <w:tab w:val="left" w:pos="900"/>
        </w:tabs>
        <w:ind w:firstLine="720"/>
        <w:outlineLvl w:val="0"/>
        <w:rPr>
          <w:bCs/>
        </w:rPr>
      </w:pPr>
    </w:p>
    <w:p w:rsidRPr="001C4327" w:rsidR="000576E9" w:rsidP="00395ED5" w:rsidRDefault="009A0CC2" w14:paraId="046F7E5F" w14:textId="77777777">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14:paraId="444FA9D9" w14:textId="77777777">
      <w:pPr>
        <w:ind w:left="360"/>
        <w:outlineLvl w:val="0"/>
        <w:rPr>
          <w:rFonts w:ascii="Arial Narrow" w:hAnsi="Arial Narrow"/>
        </w:rPr>
      </w:pPr>
    </w:p>
    <w:p w:rsidRPr="001C4327" w:rsidR="000576E9" w:rsidP="000576E9" w:rsidRDefault="000576E9" w14:paraId="3F33D188" w14:textId="161199CF">
      <w:pPr>
        <w:ind w:left="540" w:hanging="540"/>
        <w:rPr>
          <w:b/>
          <w:bCs/>
        </w:rPr>
      </w:pPr>
      <w:r w:rsidRPr="001C4327">
        <w:rPr>
          <w:b/>
          <w:bCs/>
        </w:rPr>
        <w:t>A8</w:t>
      </w:r>
      <w:r w:rsidR="00B043E4">
        <w:rPr>
          <w:b/>
          <w:bCs/>
        </w:rPr>
        <w:t xml:space="preserve">. </w:t>
      </w:r>
      <w:r w:rsidRPr="001C4327">
        <w:rPr>
          <w:b/>
          <w:bCs/>
        </w:rPr>
        <w:t>Provide copy and identify the date and page number of publication in the Federal Register of the Agency’s notice</w:t>
      </w:r>
      <w:r w:rsidR="00B043E4">
        <w:rPr>
          <w:b/>
          <w:bCs/>
        </w:rPr>
        <w:t xml:space="preserve">. </w:t>
      </w:r>
      <w:r w:rsidR="003E34C0">
        <w:rPr>
          <w:b/>
          <w:bCs/>
        </w:rPr>
        <w:t>Summarize comments received and actions taken in response to comments</w:t>
      </w:r>
      <w:r w:rsidR="00B043E4">
        <w:rPr>
          <w:b/>
          <w:bCs/>
        </w:rPr>
        <w:t xml:space="preserve">. </w:t>
      </w:r>
      <w:r w:rsidR="003E34C0">
        <w:rPr>
          <w:b/>
          <w:bCs/>
        </w:rPr>
        <w:t>Specifically address comments received on cost and hour burden.</w:t>
      </w:r>
    </w:p>
    <w:p w:rsidR="00D74ADD" w:rsidP="004163D5" w:rsidRDefault="00D74ADD" w14:paraId="41FA373B" w14:textId="77777777"/>
    <w:p w:rsidRPr="00BE0835" w:rsidR="00BF1B93" w:rsidP="00BF1B93" w:rsidRDefault="00BF1B93" w14:paraId="101B42B2" w14:textId="61B595A1">
      <w:pPr>
        <w:ind w:firstLine="720"/>
        <w:rPr>
          <w:szCs w:val="22"/>
        </w:rPr>
      </w:pPr>
      <w:r w:rsidRPr="001C4327">
        <w:t>The</w:t>
      </w:r>
      <w:r>
        <w:t xml:space="preserve"> 60-day</w:t>
      </w:r>
      <w:r w:rsidRPr="001C4327">
        <w:t xml:space="preserve"> </w:t>
      </w:r>
      <w:r w:rsidRPr="004163D5">
        <w:rPr>
          <w:i/>
        </w:rPr>
        <w:t xml:space="preserve">Notice </w:t>
      </w:r>
      <w:r w:rsidRPr="001C4327">
        <w:t xml:space="preserve">soliciting comments was published on </w:t>
      </w:r>
      <w:r>
        <w:t>Thursday, December 2, 2021, on page 86. No comments were received. The 30-day Notice soliciting comments was published on Monday, February 7, 2022. No comments were received.</w:t>
      </w:r>
    </w:p>
    <w:p w:rsidRPr="001C4327" w:rsidR="000576E9" w:rsidP="000576E9" w:rsidRDefault="000576E9" w14:paraId="3BF86379" w14:textId="77777777">
      <w:pPr>
        <w:rPr>
          <w:rFonts w:ascii="Arial Narrow" w:hAnsi="Arial Narrow"/>
        </w:rPr>
      </w:pPr>
      <w:r w:rsidRPr="001C4327">
        <w:t> </w:t>
      </w:r>
    </w:p>
    <w:p w:rsidRPr="001C4327" w:rsidR="000576E9" w:rsidP="00AD792F" w:rsidRDefault="000576E9" w14:paraId="430CE562" w14:textId="1D988063">
      <w:pPr>
        <w:rPr>
          <w:b/>
          <w:bCs/>
          <w:kern w:val="36"/>
        </w:rPr>
      </w:pPr>
      <w:r w:rsidRPr="001C4327">
        <w:t> </w:t>
      </w:r>
      <w:r w:rsidRPr="001C4327">
        <w:rPr>
          <w:b/>
          <w:bCs/>
          <w:kern w:val="36"/>
        </w:rPr>
        <w:t>A9</w:t>
      </w:r>
      <w:r w:rsidR="00B043E4">
        <w:rPr>
          <w:b/>
          <w:bCs/>
          <w:kern w:val="36"/>
        </w:rPr>
        <w:t xml:space="preserve">. </w:t>
      </w:r>
      <w:r w:rsidRPr="001C4327">
        <w:rPr>
          <w:b/>
          <w:bCs/>
          <w:kern w:val="36"/>
        </w:rPr>
        <w:t>Payment to Respondents</w:t>
      </w:r>
    </w:p>
    <w:p w:rsidR="00D74ADD" w:rsidP="00395ED5" w:rsidRDefault="00D74ADD" w14:paraId="60C8C4EE" w14:textId="77777777">
      <w:pPr>
        <w:keepNext/>
        <w:ind w:firstLine="720"/>
        <w:outlineLvl w:val="0"/>
        <w:rPr>
          <w:bCs/>
          <w:kern w:val="36"/>
        </w:rPr>
      </w:pPr>
    </w:p>
    <w:p w:rsidRPr="001C4327" w:rsidR="009437C4" w:rsidP="00395ED5" w:rsidRDefault="009437C4" w14:paraId="1137C09F" w14:textId="7E2866B2">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r w:rsidR="00BF1B93">
        <w:rPr>
          <w:bCs/>
          <w:kern w:val="36"/>
        </w:rPr>
        <w:t>.</w:t>
      </w:r>
    </w:p>
    <w:p w:rsidRPr="001C4327" w:rsidR="000576E9" w:rsidP="000576E9" w:rsidRDefault="000576E9" w14:paraId="22E5454B" w14:textId="77777777">
      <w:pPr>
        <w:rPr>
          <w:rFonts w:ascii="Arial Narrow" w:hAnsi="Arial Narrow"/>
        </w:rPr>
      </w:pPr>
      <w:r w:rsidRPr="001C4327">
        <w:t>  </w:t>
      </w:r>
    </w:p>
    <w:p w:rsidR="0035071A" w:rsidP="0035071A" w:rsidRDefault="0035071A" w14:paraId="50A00432" w14:textId="6248B0D4">
      <w:pPr>
        <w:rPr>
          <w:rFonts w:ascii="Arial Narrow" w:hAnsi="Arial Narrow"/>
        </w:rPr>
      </w:pPr>
      <w:r>
        <w:rPr>
          <w:b/>
          <w:bCs/>
        </w:rPr>
        <w:t>A10</w:t>
      </w:r>
      <w:r w:rsidR="00B043E4">
        <w:rPr>
          <w:b/>
          <w:bCs/>
        </w:rPr>
        <w:t xml:space="preserve">. </w:t>
      </w:r>
      <w:r>
        <w:rPr>
          <w:b/>
          <w:bCs/>
        </w:rPr>
        <w:t>Assurance of Confidentiality and its basis in statute, regulation, or agency policy.</w:t>
      </w:r>
    </w:p>
    <w:p w:rsidR="0035071A" w:rsidP="0035071A" w:rsidRDefault="0035071A" w14:paraId="25CDC39D" w14:textId="77777777">
      <w:pPr>
        <w:ind w:firstLine="540"/>
        <w:rPr>
          <w:bCs/>
        </w:rPr>
      </w:pPr>
    </w:p>
    <w:p w:rsidRPr="00B40F3E" w:rsidR="00DD14A6" w:rsidP="00DD14A6" w:rsidRDefault="00DD14A6" w14:paraId="66B6F332" w14:textId="77777777">
      <w:pPr>
        <w:pStyle w:val="xmsonormal"/>
        <w:spacing w:before="0" w:beforeAutospacing="0" w:after="0" w:afterAutospacing="0"/>
        <w:ind w:firstLine="720"/>
        <w:rPr>
          <w:i/>
          <w:iCs/>
          <w:color w:val="201F1E"/>
          <w:sz w:val="22"/>
          <w:szCs w:val="22"/>
        </w:rPr>
      </w:pPr>
      <w:r w:rsidRPr="00B40F3E">
        <w:rPr>
          <w:rStyle w:val="Emphasis"/>
          <w:b/>
          <w:bCs/>
          <w:i w:val="0"/>
          <w:iCs w:val="0"/>
          <w:color w:val="201F1E"/>
          <w:bdr w:val="none" w:color="auto" w:sz="0" w:space="0" w:frame="1"/>
        </w:rPr>
        <w:t>Privacy Act Statement:</w:t>
      </w:r>
      <w:r w:rsidRPr="00B40F3E">
        <w:rPr>
          <w:i/>
          <w:iCs/>
          <w:color w:val="201F1E"/>
          <w:bdr w:val="none" w:color="auto" w:sz="0" w:space="0" w:frame="1"/>
        </w:rPr>
        <w:t xml:space="preserve"> </w:t>
      </w:r>
      <w:r w:rsidRPr="00B40F3E">
        <w:rPr>
          <w:rStyle w:val="Emphasis"/>
          <w:i w:val="0"/>
          <w:iCs w:val="0"/>
          <w:color w:val="201F1E"/>
          <w:bdr w:val="none" w:color="auto" w:sz="0" w:space="0" w:frame="1"/>
        </w:rPr>
        <w:t xml:space="preserve">AmeriCorps is required by the Privacy Act of 1974 (5 U.S.C. 552a) to tell you what personal information we collect via this website (e.g. name, contact information, demographics, education and employment history, criminal history, medical information) and how it will be used: </w:t>
      </w:r>
      <w:r w:rsidRPr="00B40F3E">
        <w:rPr>
          <w:rStyle w:val="Emphasis"/>
          <w:b/>
          <w:bCs/>
          <w:i w:val="0"/>
          <w:iCs w:val="0"/>
          <w:color w:val="201F1E"/>
          <w:bdr w:val="none" w:color="auto" w:sz="0" w:space="0" w:frame="1"/>
        </w:rPr>
        <w:t>Authorities</w:t>
      </w:r>
      <w:r w:rsidRPr="00B40F3E">
        <w:rPr>
          <w:rStyle w:val="Emphasis"/>
          <w:i w:val="0"/>
          <w:iCs w:val="0"/>
          <w:color w:val="201F1E"/>
          <w:bdr w:val="none" w:color="auto" w:sz="0" w:space="0" w:frame="1"/>
        </w:rPr>
        <w:t xml:space="preserve"> –</w:t>
      </w:r>
      <w:r w:rsidRPr="00B40F3E">
        <w:rPr>
          <w:i/>
          <w:iCs/>
          <w:color w:val="201F1E"/>
          <w:bdr w:val="none" w:color="auto" w:sz="0" w:space="0" w:frame="1"/>
        </w:rPr>
        <w:t xml:space="preserve"> </w:t>
      </w:r>
      <w:r w:rsidRPr="00B40F3E">
        <w:rPr>
          <w:rStyle w:val="Emphasis"/>
          <w:i w:val="0"/>
          <w:iCs w:val="0"/>
          <w:color w:val="201F1E"/>
          <w:bdr w:val="none" w:color="auto" w:sz="0" w:space="0" w:frame="1"/>
        </w:rPr>
        <w:t>My AmeriCorps requests your personal information pursuant to</w:t>
      </w:r>
      <w:r w:rsidRPr="00B40F3E">
        <w:rPr>
          <w:i/>
          <w:iCs/>
          <w:color w:val="201F1E"/>
          <w:bdr w:val="none" w:color="auto" w:sz="0" w:space="0" w:frame="1"/>
        </w:rPr>
        <w:t xml:space="preserve"> </w:t>
      </w:r>
      <w:r w:rsidRPr="00B40F3E">
        <w:rPr>
          <w:rStyle w:val="Emphasis"/>
          <w:i w:val="0"/>
          <w:iCs w:val="0"/>
          <w:color w:val="201F1E"/>
          <w:bdr w:val="none" w:color="auto" w:sz="0" w:space="0" w:frame="1"/>
        </w:rPr>
        <w:t xml:space="preserve">42 U.S.C. Chapter 129 - National and Community Service, 42 U.S.C. Chapter 66 - Domestic Volunteer Services, and Executive Order 9397, as amended. </w:t>
      </w:r>
      <w:r w:rsidRPr="00B40F3E">
        <w:rPr>
          <w:rStyle w:val="Emphasis"/>
          <w:b/>
          <w:bCs/>
          <w:i w:val="0"/>
          <w:iCs w:val="0"/>
          <w:color w:val="201F1E"/>
          <w:bdr w:val="none" w:color="auto" w:sz="0" w:space="0" w:frame="1"/>
        </w:rPr>
        <w:t>Purposes</w:t>
      </w:r>
      <w:r w:rsidRPr="00B40F3E">
        <w:rPr>
          <w:rStyle w:val="Emphasis"/>
          <w:i w:val="0"/>
          <w:iCs w:val="0"/>
          <w:color w:val="201F1E"/>
          <w:bdr w:val="none" w:color="auto" w:sz="0" w:space="0" w:frame="1"/>
        </w:rPr>
        <w:t xml:space="preserve"> – It is requested to (1) manage your application, service, and post-service benefits and (2) evaluate how to enhance AmeriCorps. </w:t>
      </w:r>
      <w:r w:rsidRPr="00B40F3E">
        <w:rPr>
          <w:rStyle w:val="Emphasis"/>
          <w:b/>
          <w:bCs/>
          <w:i w:val="0"/>
          <w:iCs w:val="0"/>
          <w:color w:val="201F1E"/>
          <w:bdr w:val="none" w:color="auto" w:sz="0" w:space="0" w:frame="1"/>
        </w:rPr>
        <w:t>Routine Uses</w:t>
      </w:r>
      <w:r w:rsidRPr="00B40F3E">
        <w:rPr>
          <w:rStyle w:val="Emphasis"/>
          <w:i w:val="0"/>
          <w:iCs w:val="0"/>
          <w:color w:val="201F1E"/>
          <w:bdr w:val="none" w:color="auto" w:sz="0" w:space="0" w:frame="1"/>
        </w:rPr>
        <w:t xml:space="preserve"> – Routine uses of this information may include disclosure to complete your background check, to process your payments, to manage and oversee your service, and other reasons consistent with why it was collected. </w:t>
      </w:r>
      <w:r w:rsidRPr="00B40F3E">
        <w:rPr>
          <w:rStyle w:val="Emphasis"/>
          <w:b/>
          <w:bCs/>
          <w:i w:val="0"/>
          <w:iCs w:val="0"/>
          <w:color w:val="201F1E"/>
          <w:bdr w:val="none" w:color="auto" w:sz="0" w:space="0" w:frame="1"/>
        </w:rPr>
        <w:t>Effects of Nondisclosure</w:t>
      </w:r>
      <w:r w:rsidRPr="00B40F3E">
        <w:rPr>
          <w:rStyle w:val="Emphasis"/>
          <w:i w:val="0"/>
          <w:iCs w:val="0"/>
          <w:color w:val="201F1E"/>
          <w:bdr w:val="none" w:color="auto" w:sz="0" w:space="0" w:frame="1"/>
        </w:rPr>
        <w:t xml:space="preserve"> – This request is voluntary, but not providing the information may limit your</w:t>
      </w:r>
      <w:r w:rsidRPr="00B40F3E">
        <w:rPr>
          <w:i/>
          <w:iCs/>
          <w:color w:val="201F1E"/>
          <w:bdr w:val="none" w:color="auto" w:sz="0" w:space="0" w:frame="1"/>
        </w:rPr>
        <w:t xml:space="preserve"> </w:t>
      </w:r>
      <w:r w:rsidRPr="00B40F3E">
        <w:rPr>
          <w:rStyle w:val="Emphasis"/>
          <w:i w:val="0"/>
          <w:iCs w:val="0"/>
          <w:color w:val="201F1E"/>
          <w:bdr w:val="none" w:color="auto" w:sz="0" w:space="0" w:frame="1"/>
        </w:rPr>
        <w:t>ability</w:t>
      </w:r>
      <w:r w:rsidRPr="00B40F3E">
        <w:rPr>
          <w:i/>
          <w:iCs/>
          <w:color w:val="201F1E"/>
          <w:bdr w:val="none" w:color="auto" w:sz="0" w:space="0" w:frame="1"/>
        </w:rPr>
        <w:t xml:space="preserve"> </w:t>
      </w:r>
      <w:r w:rsidRPr="00B40F3E">
        <w:rPr>
          <w:rStyle w:val="Emphasis"/>
          <w:i w:val="0"/>
          <w:iCs w:val="0"/>
          <w:color w:val="201F1E"/>
          <w:bdr w:val="none" w:color="auto" w:sz="0" w:space="0" w:frame="1"/>
        </w:rPr>
        <w:t>to</w:t>
      </w:r>
      <w:r w:rsidRPr="00B40F3E">
        <w:rPr>
          <w:i/>
          <w:iCs/>
          <w:color w:val="201F1E"/>
          <w:bdr w:val="none" w:color="auto" w:sz="0" w:space="0" w:frame="1"/>
        </w:rPr>
        <w:t xml:space="preserve"> </w:t>
      </w:r>
      <w:r w:rsidRPr="00B40F3E">
        <w:rPr>
          <w:rStyle w:val="Emphasis"/>
          <w:i w:val="0"/>
          <w:iCs w:val="0"/>
          <w:color w:val="201F1E"/>
          <w:bdr w:val="none" w:color="auto" w:sz="0" w:space="0" w:frame="1"/>
        </w:rPr>
        <w:t>become a Member, continue being a Member, or</w:t>
      </w:r>
      <w:r w:rsidRPr="00B40F3E">
        <w:rPr>
          <w:i/>
          <w:iCs/>
          <w:color w:val="201F1E"/>
          <w:bdr w:val="none" w:color="auto" w:sz="0" w:space="0" w:frame="1"/>
        </w:rPr>
        <w:t xml:space="preserve"> </w:t>
      </w:r>
      <w:r w:rsidRPr="00B40F3E">
        <w:rPr>
          <w:rStyle w:val="Emphasis"/>
          <w:i w:val="0"/>
          <w:iCs w:val="0"/>
          <w:color w:val="201F1E"/>
          <w:bdr w:val="none" w:color="auto" w:sz="0" w:space="0" w:frame="1"/>
        </w:rPr>
        <w:t xml:space="preserve">receive Member benefits. </w:t>
      </w:r>
      <w:r w:rsidRPr="00B40F3E">
        <w:rPr>
          <w:rStyle w:val="Emphasis"/>
          <w:b/>
          <w:bCs/>
          <w:i w:val="0"/>
          <w:iCs w:val="0"/>
          <w:color w:val="201F1E"/>
          <w:bdr w:val="none" w:color="auto" w:sz="0" w:space="0" w:frame="1"/>
        </w:rPr>
        <w:t>Additional Information –</w:t>
      </w:r>
      <w:r w:rsidRPr="00B40F3E">
        <w:rPr>
          <w:i/>
          <w:iCs/>
          <w:color w:val="201F1E"/>
          <w:bdr w:val="none" w:color="auto" w:sz="0" w:space="0" w:frame="1"/>
        </w:rPr>
        <w:t xml:space="preserve"> </w:t>
      </w:r>
      <w:r w:rsidRPr="00B40F3E">
        <w:rPr>
          <w:rStyle w:val="Emphasis"/>
          <w:i w:val="0"/>
          <w:iCs w:val="0"/>
          <w:color w:val="201F1E"/>
          <w:bdr w:val="none" w:color="auto" w:sz="0" w:space="0" w:frame="1"/>
        </w:rPr>
        <w:t xml:space="preserve">The applicable system of records notice is </w:t>
      </w:r>
      <w:hyperlink w:tgtFrame="_blank" w:history="1" r:id="rId12">
        <w:r w:rsidRPr="00B40F3E">
          <w:rPr>
            <w:rStyle w:val="Hyperlink"/>
            <w:i/>
            <w:iCs/>
            <w:bdr w:val="none" w:color="auto" w:sz="0" w:space="0" w:frame="1"/>
          </w:rPr>
          <w:t>AmeriCorps-04-CPO-MMF-Member Management Files (MMF)</w:t>
        </w:r>
      </w:hyperlink>
      <w:r w:rsidRPr="00B40F3E">
        <w:rPr>
          <w:rStyle w:val="Emphasis"/>
          <w:i w:val="0"/>
          <w:iCs w:val="0"/>
          <w:color w:val="201F1E"/>
          <w:bdr w:val="none" w:color="auto" w:sz="0" w:space="0" w:frame="1"/>
        </w:rPr>
        <w:t>.</w:t>
      </w:r>
    </w:p>
    <w:p w:rsidR="0035071A" w:rsidP="0035071A" w:rsidRDefault="0035071A" w14:paraId="6EF722E7" w14:textId="77777777">
      <w:pPr>
        <w:rPr>
          <w:b/>
          <w:bCs/>
        </w:rPr>
      </w:pPr>
    </w:p>
    <w:p w:rsidR="0035071A" w:rsidP="0035071A" w:rsidRDefault="0035071A" w14:paraId="1A02E8EA" w14:textId="3F29B59C">
      <w:pPr>
        <w:rPr>
          <w:rFonts w:ascii="Arial Narrow" w:hAnsi="Arial Narrow"/>
        </w:rPr>
      </w:pPr>
      <w:r>
        <w:rPr>
          <w:b/>
          <w:bCs/>
        </w:rPr>
        <w:t>A11</w:t>
      </w:r>
      <w:r w:rsidR="00B043E4">
        <w:rPr>
          <w:b/>
          <w:bCs/>
        </w:rPr>
        <w:t xml:space="preserve">. </w:t>
      </w:r>
      <w:r>
        <w:rPr>
          <w:b/>
          <w:bCs/>
        </w:rPr>
        <w:t>Sensitive Questions</w:t>
      </w:r>
    </w:p>
    <w:p w:rsidR="0035071A" w:rsidP="0035071A" w:rsidRDefault="0035071A" w14:paraId="7CAE092F" w14:textId="77777777">
      <w:pPr>
        <w:ind w:firstLine="720"/>
      </w:pPr>
      <w:r>
        <w:lastRenderedPageBreak/>
        <w:t> </w:t>
      </w:r>
    </w:p>
    <w:p w:rsidR="0035071A" w:rsidP="0035071A" w:rsidRDefault="0035071A" w14:paraId="3BA34869" w14:textId="77777777">
      <w:pPr>
        <w:ind w:firstLine="720"/>
      </w:pPr>
      <w:r>
        <w:t>The information collection does not include questions of a sensitive nature.</w:t>
      </w:r>
    </w:p>
    <w:p w:rsidRPr="001C4327" w:rsidR="000576E9" w:rsidP="000576E9" w:rsidRDefault="000576E9" w14:paraId="021DB333" w14:textId="77777777">
      <w:pPr>
        <w:rPr>
          <w:rFonts w:ascii="Arial Narrow" w:hAnsi="Arial Narrow"/>
        </w:rPr>
      </w:pPr>
      <w:r w:rsidRPr="001C4327">
        <w:t> </w:t>
      </w:r>
    </w:p>
    <w:p w:rsidRPr="001C4327" w:rsidR="000576E9" w:rsidP="000576E9" w:rsidRDefault="000576E9" w14:paraId="487050D7" w14:textId="4528E38E">
      <w:pPr>
        <w:rPr>
          <w:rFonts w:ascii="Arial Narrow" w:hAnsi="Arial Narrow"/>
        </w:rPr>
      </w:pPr>
      <w:r w:rsidRPr="001C4327">
        <w:rPr>
          <w:b/>
          <w:bCs/>
        </w:rPr>
        <w:t>A12</w:t>
      </w:r>
      <w:r w:rsidR="00B043E4">
        <w:rPr>
          <w:b/>
          <w:bCs/>
        </w:rPr>
        <w:t xml:space="preserve">. </w:t>
      </w:r>
      <w:r w:rsidRPr="001C4327">
        <w:rPr>
          <w:b/>
          <w:bCs/>
        </w:rPr>
        <w:t>Hour burden of the collection</w:t>
      </w:r>
    </w:p>
    <w:p w:rsidR="00E61571" w:rsidP="00CF36A8" w:rsidRDefault="00E61571" w14:paraId="79A298A5" w14:textId="77777777">
      <w:pPr>
        <w:ind w:firstLine="720"/>
      </w:pPr>
    </w:p>
    <w:p w:rsidR="009437C4" w:rsidP="00CF36A8" w:rsidRDefault="009437C4" w14:paraId="28F5CB54" w14:textId="39EF579E">
      <w:pPr>
        <w:ind w:firstLine="720"/>
      </w:pPr>
      <w:r w:rsidRPr="001C4327">
        <w:t xml:space="preserve">We expect </w:t>
      </w:r>
      <w:r w:rsidRPr="001C4327" w:rsidR="00700BBD">
        <w:t xml:space="preserve">approximately </w:t>
      </w:r>
      <w:r w:rsidR="005561CE">
        <w:t>521,000</w:t>
      </w:r>
      <w:r w:rsidRPr="001C4327">
        <w:t xml:space="preserve"> respondents to </w:t>
      </w:r>
      <w:r w:rsidRPr="001C4327" w:rsidR="007844D8">
        <w:t xml:space="preserve">use </w:t>
      </w:r>
      <w:r w:rsidR="00E61571">
        <w:t>this information collection</w:t>
      </w:r>
      <w:r w:rsidR="00B043E4">
        <w:t xml:space="preserve">. </w:t>
      </w:r>
      <w:r w:rsidRPr="001C4327">
        <w:t xml:space="preserve">The frequency of response will not be greater than </w:t>
      </w:r>
      <w:r w:rsidR="00DA770C">
        <w:t>521,000</w:t>
      </w:r>
      <w:r w:rsidR="00E61571">
        <w:t xml:space="preserve"> </w:t>
      </w:r>
      <w:r w:rsidR="00783B2E">
        <w:t>annually</w:t>
      </w:r>
      <w:r w:rsidR="00E61571">
        <w:t xml:space="preserve"> </w:t>
      </w:r>
      <w:r w:rsidRPr="001C4327" w:rsidR="007844D8">
        <w:t xml:space="preserve">and </w:t>
      </w:r>
      <w:r w:rsidR="00E61571">
        <w:t>will</w:t>
      </w:r>
      <w:r w:rsidRPr="001C4327" w:rsidR="007844D8">
        <w:t xml:space="preserve"> not exceed </w:t>
      </w:r>
      <w:r w:rsidR="005561CE">
        <w:t>.75</w:t>
      </w:r>
      <w:r w:rsidRPr="001C4327" w:rsidR="00094EFB">
        <w:t xml:space="preserve"> </w:t>
      </w:r>
      <w:r w:rsidRPr="001C4327">
        <w:t xml:space="preserve">hours of effort per </w:t>
      </w:r>
      <w:r w:rsidR="001072CB">
        <w:t>respondent</w:t>
      </w:r>
      <w:r w:rsidR="00B043E4">
        <w:t xml:space="preserve">. </w:t>
      </w:r>
      <w:r w:rsidRPr="001C4327">
        <w:t>There is no estimated annual hour burden outside of the customary and usual business practices</w:t>
      </w:r>
      <w:r w:rsidR="00B043E4">
        <w:t xml:space="preserve">. </w:t>
      </w:r>
    </w:p>
    <w:p w:rsidR="00C44860" w:rsidP="00CF36A8" w:rsidRDefault="00C44860" w14:paraId="12EBA54D" w14:textId="75313BC8">
      <w:pPr>
        <w:ind w:firstLine="720"/>
      </w:pPr>
    </w:p>
    <w:p w:rsidR="007C36C9" w:rsidP="007C36C9" w:rsidRDefault="000576E9" w14:paraId="4BC6781F" w14:textId="77777777">
      <w:pPr>
        <w:keepNext/>
        <w:outlineLvl w:val="1"/>
        <w:rPr>
          <w:b/>
          <w:bCs/>
        </w:rPr>
      </w:pPr>
      <w:r w:rsidRPr="001C4327">
        <w:t> </w:t>
      </w:r>
      <w:r w:rsidR="007C36C9">
        <w:rPr>
          <w:b/>
          <w:bCs/>
        </w:rPr>
        <w:t>A13. Respondent Burden and its Labor Costs</w:t>
      </w:r>
    </w:p>
    <w:p w:rsidR="007C36C9" w:rsidP="007C36C9" w:rsidRDefault="007C36C9" w14:paraId="17FB1648" w14:textId="77777777">
      <w:pPr>
        <w:pStyle w:val="HTMLPreformatted"/>
        <w:rPr>
          <w:rFonts w:ascii="Times New Roman" w:hAnsi="Times New Roman"/>
          <w:sz w:val="24"/>
          <w:szCs w:val="24"/>
        </w:rPr>
      </w:pPr>
      <w:r>
        <w:rPr>
          <w:rFonts w:ascii="Times New Roman" w:hAnsi="Times New Roman"/>
          <w:sz w:val="24"/>
          <w:szCs w:val="24"/>
        </w:rPr>
        <w:t>The estimated respondent burdens and labor costs are shown in the following table.</w:t>
      </w:r>
    </w:p>
    <w:p w:rsidR="007C36C9" w:rsidP="007C36C9" w:rsidRDefault="007C36C9" w14:paraId="1692738B" w14:textId="77777777">
      <w:pPr>
        <w:pStyle w:val="HTMLPreformatted"/>
        <w:rPr>
          <w:rFonts w:ascii="Times New Roman" w:hAnsi="Times New Roman"/>
          <w:sz w:val="24"/>
          <w:szCs w:val="24"/>
        </w:rPr>
      </w:pPr>
    </w:p>
    <w:tbl>
      <w:tblPr>
        <w:tblW w:w="9270" w:type="dxa"/>
        <w:tblInd w:w="108" w:type="dxa"/>
        <w:tblCellMar>
          <w:left w:w="0" w:type="dxa"/>
          <w:right w:w="0" w:type="dxa"/>
        </w:tblCellMar>
        <w:tblLook w:val="04A0" w:firstRow="1" w:lastRow="0" w:firstColumn="1" w:lastColumn="0" w:noHBand="0" w:noVBand="1"/>
      </w:tblPr>
      <w:tblGrid>
        <w:gridCol w:w="7020"/>
        <w:gridCol w:w="2250"/>
      </w:tblGrid>
      <w:tr w:rsidR="007C36C9" w:rsidTr="007C36C9" w14:paraId="16478CE1"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0B67557E" w14:textId="77777777">
            <w:pPr>
              <w:spacing w:before="100" w:beforeAutospacing="1" w:after="100" w:afterAutospacing="1" w:line="288" w:lineRule="atLeast"/>
              <w:jc w:val="center"/>
              <w:rPr>
                <w:rFonts w:eastAsia="Calibri"/>
                <w:sz w:val="28"/>
                <w:szCs w:val="28"/>
              </w:rPr>
            </w:pPr>
            <w:r>
              <w:rPr>
                <w:rFonts w:eastAsia="Calibri"/>
              </w:rPr>
              <w:t>Estimation of Respondent Burden</w:t>
            </w:r>
          </w:p>
        </w:tc>
      </w:tr>
      <w:tr w:rsidR="007C36C9" w:rsidTr="007C36C9" w14:paraId="74BB2815" w14:textId="77777777">
        <w:trPr>
          <w:trHeight w:val="386"/>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51F45FDD" w14:textId="77777777">
            <w:pPr>
              <w:rPr>
                <w:rFonts w:eastAsia="Calibri"/>
                <w:color w:val="000000"/>
              </w:rPr>
            </w:pPr>
            <w:bookmarkStart w:name="cp458" w:id="0"/>
            <w:r>
              <w:rPr>
                <w:rFonts w:eastAsia="Calibri"/>
                <w:color w:val="000000"/>
              </w:rPr>
              <w:t xml:space="preserve">Number of respondents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DA770C" w14:paraId="270E901B" w14:textId="556970C0">
            <w:pPr>
              <w:rPr>
                <w:rFonts w:eastAsia="Calibri"/>
                <w:color w:val="000000"/>
              </w:rPr>
            </w:pPr>
            <w:r>
              <w:t>521,000</w:t>
            </w:r>
          </w:p>
        </w:tc>
      </w:tr>
      <w:tr w:rsidR="007C36C9" w:rsidTr="007C36C9" w14:paraId="0A9F2304" w14:textId="77777777">
        <w:trPr>
          <w:trHeight w:val="422"/>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4AFDAA62" w14:textId="77777777">
            <w:pPr>
              <w:rPr>
                <w:rFonts w:eastAsia="Calibri"/>
                <w:color w:val="000000"/>
                <w:sz w:val="28"/>
                <w:szCs w:val="28"/>
              </w:rPr>
            </w:pPr>
            <w:r>
              <w:rPr>
                <w:rFonts w:eastAsia="Calibri"/>
                <w:color w:val="000000"/>
              </w:rPr>
              <w:t xml:space="preserve">Responses per respondent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DA770C" w14:paraId="007E5C14" w14:textId="1ECB796C">
            <w:pPr>
              <w:rPr>
                <w:rFonts w:eastAsia="Calibri"/>
                <w:color w:val="000000"/>
              </w:rPr>
            </w:pPr>
            <w:r>
              <w:rPr>
                <w:rFonts w:eastAsia="Calibri"/>
                <w:color w:val="000000"/>
              </w:rPr>
              <w:t>1</w:t>
            </w:r>
          </w:p>
        </w:tc>
      </w:tr>
      <w:tr w:rsidR="007C36C9" w:rsidTr="007C36C9" w14:paraId="579E5D04"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160F0954" w14:textId="77777777">
            <w:pPr>
              <w:rPr>
                <w:rFonts w:eastAsia="Calibri"/>
                <w:color w:val="000000"/>
                <w:sz w:val="28"/>
                <w:szCs w:val="28"/>
              </w:rPr>
            </w:pPr>
            <w:r>
              <w:rPr>
                <w:rFonts w:eastAsia="Calibri"/>
                <w:color w:val="000000"/>
              </w:rPr>
              <w:t xml:space="preserve">Number of responses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DA770C" w14:paraId="59E59552" w14:textId="6817966F">
            <w:pPr>
              <w:rPr>
                <w:rFonts w:eastAsia="Calibri"/>
                <w:color w:val="000000"/>
              </w:rPr>
            </w:pPr>
            <w:r>
              <w:t>521,000</w:t>
            </w:r>
          </w:p>
        </w:tc>
      </w:tr>
      <w:tr w:rsidR="007C36C9" w:rsidTr="007C36C9" w14:paraId="774089C3"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71634C19" w14:textId="77777777">
            <w:pPr>
              <w:rPr>
                <w:rFonts w:eastAsia="Calibri"/>
                <w:color w:val="000000"/>
                <w:sz w:val="28"/>
                <w:szCs w:val="28"/>
              </w:rPr>
            </w:pPr>
            <w:r>
              <w:rPr>
                <w:rFonts w:eastAsia="Calibri"/>
                <w:color w:val="000000"/>
              </w:rPr>
              <w:t xml:space="preserve">Hours per response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F84BD7" w14:paraId="096B5FA2" w14:textId="2E261C17">
            <w:pPr>
              <w:rPr>
                <w:rFonts w:eastAsia="Calibri"/>
                <w:color w:val="000000"/>
              </w:rPr>
            </w:pPr>
            <w:r>
              <w:rPr>
                <w:rFonts w:eastAsia="Calibri"/>
                <w:color w:val="000000"/>
              </w:rPr>
              <w:t>.75</w:t>
            </w:r>
          </w:p>
        </w:tc>
      </w:tr>
      <w:tr w:rsidR="007C36C9" w:rsidTr="007C36C9" w14:paraId="6C114FE6" w14:textId="77777777">
        <w:trPr>
          <w:trHeight w:val="449"/>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01F1FBB9" w14:textId="77777777">
            <w:pPr>
              <w:rPr>
                <w:rFonts w:eastAsia="Calibri"/>
                <w:color w:val="000000"/>
                <w:sz w:val="28"/>
                <w:szCs w:val="28"/>
              </w:rPr>
            </w:pPr>
            <w:r>
              <w:rPr>
                <w:rFonts w:eastAsia="Calibri"/>
                <w:color w:val="000000"/>
              </w:rPr>
              <w:t>Total estimated hours (number of responses multiplied by hours per response)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CC3EED" w14:paraId="3B52A1AD" w14:textId="0DFF5D71">
            <w:pPr>
              <w:rPr>
                <w:rFonts w:eastAsia="Calibri"/>
                <w:color w:val="000000"/>
              </w:rPr>
            </w:pPr>
            <w:r>
              <w:rPr>
                <w:rFonts w:eastAsia="Calibri"/>
                <w:color w:val="000000"/>
              </w:rPr>
              <w:t>390,750</w:t>
            </w:r>
          </w:p>
        </w:tc>
      </w:tr>
      <w:tr w:rsidR="007C36C9" w:rsidTr="007C36C9" w14:paraId="517D1B99"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6F332A88" w14:textId="77777777">
            <w:pPr>
              <w:rPr>
                <w:rFonts w:eastAsia="Calibri"/>
                <w:color w:val="000000"/>
                <w:sz w:val="28"/>
                <w:szCs w:val="28"/>
              </w:rPr>
            </w:pPr>
            <w:r>
              <w:rPr>
                <w:rFonts w:eastAsia="Calibri"/>
                <w:color w:val="000000"/>
              </w:rPr>
              <w:t xml:space="preserve">Cost per hour (hourly wage)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2B3A21" w14:paraId="18F3868A" w14:textId="1A40E859">
            <w:pPr>
              <w:rPr>
                <w:rFonts w:eastAsia="Calibri"/>
              </w:rPr>
            </w:pPr>
            <w:r>
              <w:rPr>
                <w:rFonts w:eastAsia="Calibri"/>
              </w:rPr>
              <w:t>33.13</w:t>
            </w:r>
          </w:p>
        </w:tc>
      </w:tr>
      <w:tr w:rsidR="007C36C9" w:rsidTr="007C36C9" w14:paraId="5F168A17"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479890A7" w14:textId="77777777">
            <w:pPr>
              <w:rPr>
                <w:rFonts w:eastAsia="Calibri"/>
                <w:color w:val="000000"/>
              </w:rPr>
            </w:pPr>
            <w:r>
              <w:rPr>
                <w:rFonts w:eastAsia="Calibri"/>
                <w:color w:val="000000"/>
              </w:rPr>
              <w:t>Annual public burden (estimated hours multiplied by cost per hour)</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791D87" w14:paraId="42F228DD" w14:textId="04FDA8EA">
            <w:pPr>
              <w:rPr>
                <w:rFonts w:eastAsia="Calibri"/>
              </w:rPr>
            </w:pPr>
            <w:r>
              <w:rPr>
                <w:rFonts w:eastAsia="Calibri"/>
              </w:rPr>
              <w:t>12</w:t>
            </w:r>
            <w:r w:rsidR="00204036">
              <w:rPr>
                <w:rFonts w:eastAsia="Calibri"/>
              </w:rPr>
              <w:t>,</w:t>
            </w:r>
            <w:r>
              <w:rPr>
                <w:rFonts w:eastAsia="Calibri"/>
              </w:rPr>
              <w:t>945</w:t>
            </w:r>
            <w:r w:rsidR="00204036">
              <w:rPr>
                <w:rFonts w:eastAsia="Calibri"/>
              </w:rPr>
              <w:t>,</w:t>
            </w:r>
            <w:r w:rsidR="00792FE4">
              <w:rPr>
                <w:rFonts w:eastAsia="Calibri"/>
              </w:rPr>
              <w:t>547</w:t>
            </w:r>
          </w:p>
        </w:tc>
      </w:tr>
      <w:bookmarkEnd w:id="0"/>
    </w:tbl>
    <w:p w:rsidR="007C36C9" w:rsidP="007C36C9" w:rsidRDefault="007C36C9" w14:paraId="7EBC6C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x-none"/>
        </w:rPr>
      </w:pPr>
    </w:p>
    <w:p w:rsidR="007C36C9" w:rsidP="007C36C9" w:rsidRDefault="007C36C9" w14:paraId="1D8BC9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r>
        <w:rPr>
          <w:rFonts w:eastAsia="Calibri"/>
          <w:b/>
          <w:bCs/>
          <w:sz w:val="20"/>
          <w:szCs w:val="20"/>
        </w:rPr>
        <w:t>Note:</w:t>
      </w:r>
      <w:r>
        <w:rPr>
          <w:rFonts w:eastAsia="Calibri"/>
          <w:sz w:val="20"/>
          <w:szCs w:val="20"/>
        </w:rPr>
        <w:t xml:space="preserve">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7C36C9" w:rsidP="007C36C9" w:rsidRDefault="007C36C9" w14:paraId="16BC67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p>
    <w:p w:rsidR="007C36C9" w:rsidP="007C36C9" w:rsidRDefault="007C36C9" w14:paraId="54D56C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x-none"/>
        </w:rPr>
      </w:pPr>
      <w:r>
        <w:rPr>
          <w:rFonts w:eastAsia="Calibri"/>
          <w:sz w:val="20"/>
          <w:szCs w:val="20"/>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007C36C9" w:rsidP="007C36C9" w:rsidRDefault="007C36C9" w14:paraId="1AB5A8F8" w14:textId="77777777">
      <w:pPr>
        <w:pStyle w:val="HTMLPreformatted"/>
        <w:rPr>
          <w:rFonts w:ascii="Times New Roman" w:hAnsi="Times New Roman" w:eastAsiaTheme="minorHAnsi"/>
          <w:sz w:val="24"/>
          <w:szCs w:val="24"/>
        </w:rPr>
      </w:pPr>
    </w:p>
    <w:p w:rsidR="007C36C9" w:rsidP="007C36C9" w:rsidRDefault="007C36C9" w14:paraId="46200052" w14:textId="77777777">
      <w:pPr>
        <w:pStyle w:val="HTMLPreformatted"/>
        <w:rPr>
          <w:rFonts w:ascii="Times New Roman" w:hAnsi="Times New Roman"/>
          <w:b/>
          <w:bCs/>
          <w:sz w:val="24"/>
          <w:szCs w:val="24"/>
        </w:rPr>
      </w:pPr>
      <w:r>
        <w:rPr>
          <w:rFonts w:ascii="Times New Roman" w:hAnsi="Times New Roman"/>
          <w:b/>
          <w:bCs/>
          <w:sz w:val="24"/>
          <w:szCs w:val="24"/>
        </w:rPr>
        <w:t xml:space="preserve">A14. Respondent Costs Other Than Burden Hour Costs </w:t>
      </w:r>
    </w:p>
    <w:p w:rsidR="007C36C9" w:rsidP="007C36C9" w:rsidRDefault="007C36C9" w14:paraId="54B9158A" w14:textId="77777777">
      <w:pPr>
        <w:pStyle w:val="HTMLPreformatted"/>
        <w:rPr>
          <w:rFonts w:ascii="Times New Roman" w:hAnsi="Times New Roman"/>
          <w:sz w:val="24"/>
          <w:szCs w:val="24"/>
          <w:lang w:val="en-US"/>
        </w:rPr>
      </w:pPr>
      <w:r>
        <w:rPr>
          <w:rFonts w:ascii="Times New Roman" w:hAnsi="Times New Roman"/>
          <w:sz w:val="24"/>
          <w:szCs w:val="24"/>
        </w:rPr>
        <w:t>AmeriCorps does not estimate any annual cost burden apart from the hourly burden in Item A13 above.</w:t>
      </w:r>
    </w:p>
    <w:p w:rsidR="007C36C9" w:rsidP="007C36C9" w:rsidRDefault="007C36C9" w14:paraId="5B7C4179" w14:textId="77777777">
      <w:r>
        <w:t> </w:t>
      </w:r>
    </w:p>
    <w:p w:rsidR="007C36C9" w:rsidP="007C36C9" w:rsidRDefault="007C36C9" w14:paraId="48E89FD7" w14:textId="77777777">
      <w:pPr>
        <w:rPr>
          <w:rFonts w:ascii="Arial Narrow" w:hAnsi="Arial Narrow"/>
        </w:rPr>
      </w:pPr>
      <w:r>
        <w:rPr>
          <w:b/>
          <w:bCs/>
        </w:rPr>
        <w:t>A15. Cost to Government</w:t>
      </w:r>
    </w:p>
    <w:p w:rsidR="007C36C9" w:rsidP="007C36C9" w:rsidRDefault="007C36C9" w14:paraId="1F48CFA0" w14:textId="69853F28">
      <w:r>
        <w:t xml:space="preserve">The estimated cost to the Government is shown in the following table. It is estimated that it will take the Government </w:t>
      </w:r>
      <w:r w:rsidR="00707530">
        <w:t>1.34</w:t>
      </w:r>
      <w:r>
        <w:t xml:space="preserve"> hour(s) to review and verify the information contained in each response. This estimate was developed by staff involved in the management of current activity. </w:t>
      </w:r>
    </w:p>
    <w:p w:rsidR="007C36C9" w:rsidP="007C36C9" w:rsidRDefault="007C36C9" w14:paraId="475202C5" w14:textId="77777777"/>
    <w:tbl>
      <w:tblPr>
        <w:tblW w:w="9270" w:type="dxa"/>
        <w:tblInd w:w="108" w:type="dxa"/>
        <w:tblCellMar>
          <w:left w:w="0" w:type="dxa"/>
          <w:right w:w="0" w:type="dxa"/>
        </w:tblCellMar>
        <w:tblLook w:val="04A0" w:firstRow="1" w:lastRow="0" w:firstColumn="1" w:lastColumn="0" w:noHBand="0" w:noVBand="1"/>
      </w:tblPr>
      <w:tblGrid>
        <w:gridCol w:w="7020"/>
        <w:gridCol w:w="2250"/>
      </w:tblGrid>
      <w:tr w:rsidR="007C36C9" w:rsidTr="007C36C9" w14:paraId="4A4235EE" w14:textId="77777777">
        <w:trPr>
          <w:trHeight w:val="386"/>
        </w:trPr>
        <w:tc>
          <w:tcPr>
            <w:tcW w:w="92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30410AA5" w14:textId="77777777">
            <w:pPr>
              <w:jc w:val="center"/>
            </w:pPr>
            <w:r>
              <w:lastRenderedPageBreak/>
              <w:t>Estimation of Cost to the Government</w:t>
            </w:r>
          </w:p>
        </w:tc>
      </w:tr>
      <w:tr w:rsidR="007C36C9" w:rsidTr="007C36C9" w14:paraId="3DED28EA"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691BCB11" w14:textId="77777777">
            <w:r>
              <w:t xml:space="preserve">Number of responses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E17554" w14:paraId="6A4A42AF" w14:textId="6E3B2576">
            <w:r>
              <w:t>521,000</w:t>
            </w:r>
          </w:p>
        </w:tc>
      </w:tr>
      <w:tr w:rsidR="007C36C9" w:rsidTr="007C36C9" w14:paraId="7F0E4915"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C36C9" w:rsidRDefault="007C36C9" w14:paraId="4E475DB7" w14:textId="77777777">
            <w:r>
              <w:t xml:space="preserve">Hours per response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C36C9" w:rsidRDefault="00B00EF3" w14:paraId="22E324FA" w14:textId="48192BCF">
            <w:r>
              <w:t>.25</w:t>
            </w:r>
          </w:p>
        </w:tc>
      </w:tr>
      <w:tr w:rsidR="002E073F" w:rsidTr="007C36C9" w14:paraId="35B6B006" w14:textId="77777777">
        <w:trPr>
          <w:trHeight w:val="449"/>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2E073F" w:rsidP="002E073F" w:rsidRDefault="002E073F" w14:paraId="6216A8A8" w14:textId="77777777">
            <w:r>
              <w:t>Total estimated hours (number of responses multiplied by hours per response)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2E073F" w:rsidP="002E073F" w:rsidRDefault="00434659" w14:paraId="1A5122F4" w14:textId="5AAC54DC">
            <w:r>
              <w:t>130,250</w:t>
            </w:r>
          </w:p>
        </w:tc>
      </w:tr>
      <w:tr w:rsidR="002E073F" w:rsidTr="007C36C9" w14:paraId="5D3EA2A5" w14:textId="77777777">
        <w:trPr>
          <w:trHeight w:val="431"/>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2E073F" w:rsidP="002E073F" w:rsidRDefault="002E073F" w14:paraId="3C8BB7A9" w14:textId="77777777">
            <w:r>
              <w:t xml:space="preserve">Cost per hour (hourly wage)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2E073F" w:rsidP="002E073F" w:rsidRDefault="002E073F" w14:paraId="5711B44C" w14:textId="6A7ED6D1">
            <w:r>
              <w:t>33.13</w:t>
            </w:r>
          </w:p>
        </w:tc>
      </w:tr>
      <w:tr w:rsidR="002E073F" w:rsidTr="007C36C9" w14:paraId="41163E17" w14:textId="77777777">
        <w:trPr>
          <w:trHeight w:val="440"/>
        </w:trPr>
        <w:tc>
          <w:tcPr>
            <w:tcW w:w="70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2E073F" w:rsidP="002E073F" w:rsidRDefault="002E073F" w14:paraId="46F28861" w14:textId="77777777">
            <w:r>
              <w:t>Annual burden (estimated hours multiplied by cost per hour)</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2E073F" w:rsidP="002E073F" w:rsidRDefault="005C2E87" w14:paraId="6166D56A" w14:textId="419F70A8">
            <w:r w:rsidRPr="005C2E87">
              <w:t>4,315,182.5</w:t>
            </w:r>
            <w:r>
              <w:t>0</w:t>
            </w:r>
          </w:p>
        </w:tc>
      </w:tr>
    </w:tbl>
    <w:p w:rsidR="007C36C9" w:rsidP="007C36C9" w:rsidRDefault="007C36C9" w14:paraId="0D58D87E" w14:textId="77777777"/>
    <w:p w:rsidR="007C36C9" w:rsidP="007C36C9" w:rsidRDefault="007C36C9" w14:paraId="24760E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Pr>
          <w:rFonts w:eastAsia="Calibri"/>
          <w:b/>
          <w:bCs/>
          <w:sz w:val="20"/>
          <w:szCs w:val="20"/>
        </w:rPr>
        <w:t>Note:</w:t>
      </w:r>
      <w:r>
        <w:rPr>
          <w:rFonts w:eastAsia="Calibri"/>
          <w:sz w:val="20"/>
          <w:szCs w:val="20"/>
        </w:rPr>
        <w:t xml:space="preserve"> The cost per hour is based on the average of eight 2021 OPM GS hourly rates (base + locality) for a GS-11, step 1 employee living in our eight regions of operation, plus the 36.25% civilian personnel full fringe benefit rate from OMB memorandum M-08-13. The average cost per hour is $33.13 (average hourly rate) + $12.01 ($33.13 average hourly rate x 36.25% fringe) = $45.14/hour (rounded to the nearest penny). </w:t>
      </w:r>
    </w:p>
    <w:p w:rsidR="007C36C9" w:rsidP="007C36C9" w:rsidRDefault="007C36C9" w14:paraId="60293E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p>
    <w:p w:rsidR="007C36C9" w:rsidP="007C36C9" w:rsidRDefault="007C36C9" w14:paraId="2960B7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r>
        <w:rPr>
          <w:rFonts w:eastAsia="Calibri"/>
          <w:sz w:val="20"/>
          <w:szCs w:val="20"/>
        </w:rPr>
        <w:t>The 2021 GS-11, step 1 hourly rates for the eight regions of operation are as follows: Austin, TX ($31.57), Atlanta, GA ($32.64), Columbus, OH ($32.06), Concord, NH ($34.49), Denver, CO ($33.96), Kansas City, MO ($31.29), Los Angeles, CA ($35.37) and Philadelphia, PA ($33.67). The average hourly rate is the sum of these hourly rates divided by eight = $33.13/hour (rounded to the nearest penny).</w:t>
      </w:r>
    </w:p>
    <w:p w:rsidR="007C36C9" w:rsidP="007C36C9" w:rsidRDefault="007C36C9" w14:paraId="7E70B283" w14:textId="77777777">
      <w:pPr>
        <w:rPr>
          <w:rFonts w:ascii="Arial Narrow" w:hAnsi="Arial Narrow"/>
        </w:rPr>
      </w:pPr>
    </w:p>
    <w:p w:rsidR="007C36C9" w:rsidP="007C36C9" w:rsidRDefault="007C36C9" w14:paraId="447D396F" w14:textId="77777777">
      <w:pPr>
        <w:rPr>
          <w:b/>
          <w:bCs/>
        </w:rPr>
      </w:pPr>
      <w:r>
        <w:rPr>
          <w:b/>
          <w:bCs/>
        </w:rPr>
        <w:t>A16. Reasons for program changes</w:t>
      </w:r>
    </w:p>
    <w:p w:rsidR="007C36C9" w:rsidP="007C36C9" w:rsidRDefault="00CF6823" w14:paraId="13113C41" w14:textId="634B276C">
      <w:r>
        <w:t>Not applicable.</w:t>
      </w:r>
    </w:p>
    <w:p w:rsidR="007C36C9" w:rsidP="007C36C9" w:rsidRDefault="007C36C9" w14:paraId="174156CB" w14:textId="77777777">
      <w:pPr>
        <w:rPr>
          <w:rFonts w:ascii="Arial Narrow" w:hAnsi="Arial Narrow"/>
        </w:rPr>
      </w:pPr>
      <w:r>
        <w:t> </w:t>
      </w:r>
    </w:p>
    <w:p w:rsidR="007C36C9" w:rsidP="007C36C9" w:rsidRDefault="007C36C9" w14:paraId="40AB60AB" w14:textId="77777777">
      <w:pPr>
        <w:rPr>
          <w:rFonts w:ascii="Arial Narrow" w:hAnsi="Arial Narrow"/>
        </w:rPr>
      </w:pPr>
      <w:r>
        <w:t> </w:t>
      </w:r>
      <w:r>
        <w:rPr>
          <w:b/>
          <w:bCs/>
        </w:rPr>
        <w:t>A17. Publication of results</w:t>
      </w:r>
    </w:p>
    <w:p w:rsidR="007C36C9" w:rsidP="007C36C9" w:rsidRDefault="007C36C9" w14:paraId="09A85F6F" w14:textId="52E33EDA">
      <w:pPr>
        <w:rPr>
          <w:rFonts w:ascii="Arial Narrow" w:hAnsi="Arial Narrow"/>
        </w:rPr>
      </w:pPr>
      <w:r>
        <w:t>Not applicable because the results will not be published</w:t>
      </w:r>
      <w:r w:rsidR="00CF6823">
        <w:t>.</w:t>
      </w:r>
    </w:p>
    <w:p w:rsidR="007C36C9" w:rsidP="007C36C9" w:rsidRDefault="007C36C9" w14:paraId="1B61DA9A" w14:textId="77777777">
      <w:pPr>
        <w:rPr>
          <w:rFonts w:ascii="Arial Narrow" w:hAnsi="Arial Narrow"/>
        </w:rPr>
      </w:pPr>
      <w:r>
        <w:t> </w:t>
      </w:r>
    </w:p>
    <w:p w:rsidR="007C36C9" w:rsidP="007C36C9" w:rsidRDefault="007C36C9" w14:paraId="140BFF0B" w14:textId="77777777">
      <w:pPr>
        <w:ind w:left="540" w:hanging="540"/>
        <w:rPr>
          <w:b/>
          <w:bCs/>
        </w:rPr>
      </w:pPr>
      <w:r>
        <w:rPr>
          <w:b/>
          <w:bCs/>
        </w:rPr>
        <w:t>A18. Explain the reason for seeking approval to not display the expiration date for OMB approval of the information collection.</w:t>
      </w:r>
    </w:p>
    <w:p w:rsidR="007C36C9" w:rsidP="007C36C9" w:rsidRDefault="007C36C9" w14:paraId="2B440C35" w14:textId="77777777">
      <w:pPr>
        <w:ind w:left="540" w:hanging="540"/>
        <w:rPr>
          <w:rFonts w:ascii="Arial Narrow" w:hAnsi="Arial Narrow"/>
        </w:rPr>
      </w:pPr>
      <w:r>
        <w:rPr>
          <w:bCs/>
        </w:rPr>
        <w:t>Not applicable.</w:t>
      </w:r>
    </w:p>
    <w:p w:rsidR="007C36C9" w:rsidP="007C36C9" w:rsidRDefault="007C36C9" w14:paraId="6C952478" w14:textId="77777777">
      <w:pPr>
        <w:rPr>
          <w:rFonts w:ascii="Arial Narrow" w:hAnsi="Arial Narrow"/>
        </w:rPr>
      </w:pPr>
      <w:r>
        <w:t> </w:t>
      </w:r>
    </w:p>
    <w:p w:rsidR="007C36C9" w:rsidP="007C36C9" w:rsidRDefault="007C36C9" w14:paraId="30A4F9EB" w14:textId="77777777">
      <w:pPr>
        <w:rPr>
          <w:b/>
          <w:bCs/>
        </w:rPr>
      </w:pPr>
      <w:r>
        <w:t> </w:t>
      </w:r>
      <w:r>
        <w:rPr>
          <w:b/>
          <w:bCs/>
        </w:rPr>
        <w:t>A19. Exceptions to the certification statement</w:t>
      </w:r>
    </w:p>
    <w:p w:rsidR="007C36C9" w:rsidP="007C36C9" w:rsidRDefault="007C36C9" w14:paraId="44147C9F" w14:textId="77777777">
      <w:r>
        <w:t>There are no exceptions to the certification statement.</w:t>
      </w:r>
    </w:p>
    <w:p w:rsidRPr="001C4327" w:rsidR="000576E9" w:rsidP="000576E9" w:rsidRDefault="000576E9" w14:paraId="78862097" w14:textId="60FDA7D7">
      <w:pPr>
        <w:rPr>
          <w:rFonts w:ascii="Arial Narrow" w:hAnsi="Arial Narrow"/>
        </w:rPr>
      </w:pPr>
    </w:p>
    <w:sectPr w:rsidRPr="001C4327" w:rsidR="000576E9">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5BC1" w14:textId="77777777" w:rsidR="00091615" w:rsidRDefault="00091615">
      <w:r>
        <w:separator/>
      </w:r>
    </w:p>
  </w:endnote>
  <w:endnote w:type="continuationSeparator" w:id="0">
    <w:p w14:paraId="653A4A52" w14:textId="77777777" w:rsidR="00091615" w:rsidRDefault="0009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A122" w14:textId="77777777"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E3DAA" w14:textId="77777777"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9D9E" w14:textId="77777777"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9607D7">
      <w:rPr>
        <w:rStyle w:val="PageNumber"/>
        <w:noProof/>
        <w:sz w:val="22"/>
        <w:szCs w:val="22"/>
      </w:rPr>
      <w:t>1</w:t>
    </w:r>
    <w:r w:rsidRPr="00E178E3">
      <w:rPr>
        <w:rStyle w:val="PageNumber"/>
        <w:sz w:val="22"/>
        <w:szCs w:val="22"/>
      </w:rPr>
      <w:fldChar w:fldCharType="end"/>
    </w:r>
  </w:p>
  <w:p w14:paraId="53BB9987" w14:textId="77777777"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ED19" w14:textId="77777777" w:rsidR="00091615" w:rsidRDefault="00091615">
      <w:r>
        <w:separator/>
      </w:r>
    </w:p>
  </w:footnote>
  <w:footnote w:type="continuationSeparator" w:id="0">
    <w:p w14:paraId="052FB99F" w14:textId="77777777" w:rsidR="00091615" w:rsidRDefault="00091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E6"/>
    <w:rsid w:val="000513D6"/>
    <w:rsid w:val="000568D3"/>
    <w:rsid w:val="000576E9"/>
    <w:rsid w:val="00091615"/>
    <w:rsid w:val="00094EFB"/>
    <w:rsid w:val="000A1932"/>
    <w:rsid w:val="000D0B1C"/>
    <w:rsid w:val="000D704C"/>
    <w:rsid w:val="000E3007"/>
    <w:rsid w:val="001072CB"/>
    <w:rsid w:val="00142DC2"/>
    <w:rsid w:val="00146FFD"/>
    <w:rsid w:val="00156988"/>
    <w:rsid w:val="001A191E"/>
    <w:rsid w:val="001B1A4B"/>
    <w:rsid w:val="001C4327"/>
    <w:rsid w:val="00204036"/>
    <w:rsid w:val="002105CD"/>
    <w:rsid w:val="002126B4"/>
    <w:rsid w:val="00213BA9"/>
    <w:rsid w:val="0021772D"/>
    <w:rsid w:val="002618B1"/>
    <w:rsid w:val="00281BA0"/>
    <w:rsid w:val="00291C13"/>
    <w:rsid w:val="002B3A21"/>
    <w:rsid w:val="002B7037"/>
    <w:rsid w:val="002E073F"/>
    <w:rsid w:val="003045DF"/>
    <w:rsid w:val="0035071A"/>
    <w:rsid w:val="003574A0"/>
    <w:rsid w:val="00375E83"/>
    <w:rsid w:val="00382088"/>
    <w:rsid w:val="00395ED5"/>
    <w:rsid w:val="003A0561"/>
    <w:rsid w:val="003A12BC"/>
    <w:rsid w:val="003D34C2"/>
    <w:rsid w:val="003E34C0"/>
    <w:rsid w:val="003E6562"/>
    <w:rsid w:val="003F7DFE"/>
    <w:rsid w:val="004163D5"/>
    <w:rsid w:val="00430F73"/>
    <w:rsid w:val="004340BF"/>
    <w:rsid w:val="00434659"/>
    <w:rsid w:val="0044080F"/>
    <w:rsid w:val="00441161"/>
    <w:rsid w:val="005178D2"/>
    <w:rsid w:val="0052336C"/>
    <w:rsid w:val="00533E46"/>
    <w:rsid w:val="00536CF5"/>
    <w:rsid w:val="00536EBB"/>
    <w:rsid w:val="00552C18"/>
    <w:rsid w:val="005561CE"/>
    <w:rsid w:val="00567E8B"/>
    <w:rsid w:val="00595812"/>
    <w:rsid w:val="00597953"/>
    <w:rsid w:val="005B0110"/>
    <w:rsid w:val="005C2E87"/>
    <w:rsid w:val="00616EA0"/>
    <w:rsid w:val="006302B8"/>
    <w:rsid w:val="006520B0"/>
    <w:rsid w:val="00697658"/>
    <w:rsid w:val="006B6EA0"/>
    <w:rsid w:val="00700BBD"/>
    <w:rsid w:val="007045A0"/>
    <w:rsid w:val="00707530"/>
    <w:rsid w:val="0072584A"/>
    <w:rsid w:val="0072779F"/>
    <w:rsid w:val="00783B2E"/>
    <w:rsid w:val="007844D8"/>
    <w:rsid w:val="007918B7"/>
    <w:rsid w:val="00791D87"/>
    <w:rsid w:val="00792FE4"/>
    <w:rsid w:val="007C1F0A"/>
    <w:rsid w:val="007C230B"/>
    <w:rsid w:val="007C36C9"/>
    <w:rsid w:val="008204A0"/>
    <w:rsid w:val="0082242E"/>
    <w:rsid w:val="00825B1C"/>
    <w:rsid w:val="00883F8D"/>
    <w:rsid w:val="008A63B8"/>
    <w:rsid w:val="008C0903"/>
    <w:rsid w:val="008C5735"/>
    <w:rsid w:val="008D6C60"/>
    <w:rsid w:val="00907CC4"/>
    <w:rsid w:val="009231B5"/>
    <w:rsid w:val="00926B3E"/>
    <w:rsid w:val="0093680B"/>
    <w:rsid w:val="009437C4"/>
    <w:rsid w:val="009541E3"/>
    <w:rsid w:val="00956385"/>
    <w:rsid w:val="009607D7"/>
    <w:rsid w:val="00992B15"/>
    <w:rsid w:val="00997736"/>
    <w:rsid w:val="009A0CC2"/>
    <w:rsid w:val="009E7092"/>
    <w:rsid w:val="009E7260"/>
    <w:rsid w:val="00A05737"/>
    <w:rsid w:val="00A155EA"/>
    <w:rsid w:val="00A427DC"/>
    <w:rsid w:val="00A54952"/>
    <w:rsid w:val="00A705FF"/>
    <w:rsid w:val="00A76525"/>
    <w:rsid w:val="00AB33DD"/>
    <w:rsid w:val="00AB5526"/>
    <w:rsid w:val="00AB5E90"/>
    <w:rsid w:val="00AD792F"/>
    <w:rsid w:val="00AE12A7"/>
    <w:rsid w:val="00AE4ABC"/>
    <w:rsid w:val="00AF42D4"/>
    <w:rsid w:val="00B00EF3"/>
    <w:rsid w:val="00B043E4"/>
    <w:rsid w:val="00B303C0"/>
    <w:rsid w:val="00B35DE1"/>
    <w:rsid w:val="00B56C03"/>
    <w:rsid w:val="00B7197E"/>
    <w:rsid w:val="00B865BD"/>
    <w:rsid w:val="00BF1B93"/>
    <w:rsid w:val="00C06453"/>
    <w:rsid w:val="00C44860"/>
    <w:rsid w:val="00C47EA0"/>
    <w:rsid w:val="00C67C91"/>
    <w:rsid w:val="00C740E1"/>
    <w:rsid w:val="00CA01B6"/>
    <w:rsid w:val="00CB7174"/>
    <w:rsid w:val="00CC3EED"/>
    <w:rsid w:val="00CD1122"/>
    <w:rsid w:val="00CE1E6A"/>
    <w:rsid w:val="00CF36A8"/>
    <w:rsid w:val="00CF6823"/>
    <w:rsid w:val="00CF77A1"/>
    <w:rsid w:val="00CF7ACB"/>
    <w:rsid w:val="00D00B81"/>
    <w:rsid w:val="00D15692"/>
    <w:rsid w:val="00D600A2"/>
    <w:rsid w:val="00D74ADD"/>
    <w:rsid w:val="00D81506"/>
    <w:rsid w:val="00DA770C"/>
    <w:rsid w:val="00DB0B23"/>
    <w:rsid w:val="00DD14A6"/>
    <w:rsid w:val="00DD1918"/>
    <w:rsid w:val="00DE1D58"/>
    <w:rsid w:val="00DE2D9D"/>
    <w:rsid w:val="00DE3BFD"/>
    <w:rsid w:val="00DF349F"/>
    <w:rsid w:val="00E17554"/>
    <w:rsid w:val="00E178E3"/>
    <w:rsid w:val="00E518D1"/>
    <w:rsid w:val="00E51CE6"/>
    <w:rsid w:val="00E61571"/>
    <w:rsid w:val="00E77FA0"/>
    <w:rsid w:val="00E842BB"/>
    <w:rsid w:val="00E90DD5"/>
    <w:rsid w:val="00EB23B7"/>
    <w:rsid w:val="00EE6ED2"/>
    <w:rsid w:val="00EF33B1"/>
    <w:rsid w:val="00F13321"/>
    <w:rsid w:val="00F37DF3"/>
    <w:rsid w:val="00F4790C"/>
    <w:rsid w:val="00F52800"/>
    <w:rsid w:val="00F64EE0"/>
    <w:rsid w:val="00F77C58"/>
    <w:rsid w:val="00F84BD7"/>
    <w:rsid w:val="00F87E57"/>
    <w:rsid w:val="00FA076B"/>
    <w:rsid w:val="00FA62F5"/>
    <w:rsid w:val="00FA7B79"/>
    <w:rsid w:val="00FB0EED"/>
    <w:rsid w:val="00FB3670"/>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D23D76"/>
  <w15:chartTrackingRefBased/>
  <w15:docId w15:val="{A1EC26D2-7FB5-4684-B90D-989451F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uiPriority w:val="99"/>
    <w:rsid w:val="00CF36A8"/>
    <w:pPr>
      <w:spacing w:before="100" w:beforeAutospacing="1" w:after="100" w:afterAutospacing="1"/>
    </w:pPr>
  </w:style>
  <w:style w:type="paragraph" w:styleId="HTMLPreformatted">
    <w:name w:val="HTML Preformatted"/>
    <w:basedOn w:val="Normal"/>
    <w:link w:val="HTMLPreformattedChar"/>
    <w:uiPriority w:val="99"/>
    <w:unhideWhenUsed/>
    <w:rsid w:val="00DB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B0B23"/>
    <w:rPr>
      <w:rFonts w:ascii="Courier New" w:hAnsi="Courier New"/>
      <w:lang w:val="x-none" w:eastAsia="x-none"/>
    </w:rPr>
  </w:style>
  <w:style w:type="paragraph" w:customStyle="1" w:styleId="xmsonormal">
    <w:name w:val="x_msonormal"/>
    <w:basedOn w:val="Normal"/>
    <w:rsid w:val="00DD14A6"/>
    <w:pPr>
      <w:spacing w:before="100" w:beforeAutospacing="1" w:after="100" w:afterAutospacing="1"/>
    </w:pPr>
  </w:style>
  <w:style w:type="character" w:styleId="Emphasis">
    <w:name w:val="Emphasis"/>
    <w:uiPriority w:val="20"/>
    <w:qFormat/>
    <w:rsid w:val="00DD14A6"/>
    <w:rPr>
      <w:i/>
      <w:iCs/>
    </w:rPr>
  </w:style>
  <w:style w:type="character" w:styleId="Hyperlink">
    <w:name w:val="Hyperlink"/>
    <w:uiPriority w:val="99"/>
    <w:unhideWhenUsed/>
    <w:rsid w:val="00DD1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365908840">
      <w:bodyDiv w:val="1"/>
      <w:marLeft w:val="0"/>
      <w:marRight w:val="0"/>
      <w:marTop w:val="0"/>
      <w:marBottom w:val="0"/>
      <w:divBdr>
        <w:top w:val="none" w:sz="0" w:space="0" w:color="auto"/>
        <w:left w:val="none" w:sz="0" w:space="0" w:color="auto"/>
        <w:bottom w:val="none" w:sz="0" w:space="0" w:color="auto"/>
        <w:right w:val="none" w:sz="0" w:space="0" w:color="auto"/>
      </w:divBdr>
    </w:div>
    <w:div w:id="534078509">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0/01/23/2020-01080/privacy-act-of-1974-system-of-rec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618575B7B32E4BB904F6D8D3E194CA" ma:contentTypeVersion="12" ma:contentTypeDescription="Create a new document." ma:contentTypeScope="" ma:versionID="78ad4910b11476501f73b6847e1df8d6">
  <xsd:schema xmlns:xsd="http://www.w3.org/2001/XMLSchema" xmlns:xs="http://www.w3.org/2001/XMLSchema" xmlns:p="http://schemas.microsoft.com/office/2006/metadata/properties" xmlns:ns1="http://schemas.microsoft.com/sharepoint/v3" xmlns:ns2="955b5658-c4af-4367-aaf7-f4b787d2e46e" xmlns:ns3="a79f660f-d4d3-4b52-b9d4-3120a5418ac1" targetNamespace="http://schemas.microsoft.com/office/2006/metadata/properties" ma:root="true" ma:fieldsID="e08ec9d425114b6f66a97b097b989a57" ns1:_="" ns2:_="" ns3:_="">
    <xsd:import namespace="http://schemas.microsoft.com/sharepoint/v3"/>
    <xsd:import namespace="955b5658-c4af-4367-aaf7-f4b787d2e46e"/>
    <xsd:import namespace="a79f660f-d4d3-4b52-b9d4-3120a5418ac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f660f-d4d3-4b52-b9d4-3120a5418ac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87A8CAD-3FC4-4B17-A1D1-58D7F98110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3.xml><?xml version="1.0" encoding="utf-8"?>
<ds:datastoreItem xmlns:ds="http://schemas.openxmlformats.org/officeDocument/2006/customXml" ds:itemID="{44E07876-9302-485D-9748-4F2EAFCF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a79f660f-d4d3-4b52-b9d4-3120a541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5.xml><?xml version="1.0" encoding="utf-8"?>
<ds:datastoreItem xmlns:ds="http://schemas.openxmlformats.org/officeDocument/2006/customXml" ds:itemID="{E5689A92-3C23-4859-AD0B-42E6CD4E3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34</cp:revision>
  <cp:lastPrinted>2006-03-09T20:43:00Z</cp:lastPrinted>
  <dcterms:created xsi:type="dcterms:W3CDTF">2022-02-08T14:26:00Z</dcterms:created>
  <dcterms:modified xsi:type="dcterms:W3CDTF">2022-02-09T16:28:00Z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ies>
</file>