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7E81" w:rsidP="003E0304" w:rsidRDefault="00111C59" w14:paraId="3126F56F" w14:textId="77777777">
      <w:pPr>
        <w:jc w:val="center"/>
        <w:rPr>
          <w:b/>
        </w:rPr>
      </w:pPr>
      <w:r w:rsidRPr="00FB2478">
        <w:rPr>
          <w:b/>
        </w:rPr>
        <w:t>Supporting Statement for Paperwork Reduction Act Submissions</w:t>
      </w:r>
      <w:r w:rsidR="00354741">
        <w:rPr>
          <w:b/>
        </w:rPr>
        <w:t xml:space="preserve"> </w:t>
      </w:r>
    </w:p>
    <w:p w:rsidR="003E3F21" w:rsidP="003E0304" w:rsidRDefault="00354741" w14:paraId="28D152BB" w14:textId="10D0B11A">
      <w:pPr>
        <w:jc w:val="center"/>
        <w:rPr>
          <w:b/>
        </w:rPr>
      </w:pPr>
      <w:r w:rsidRPr="002A7E81">
        <w:rPr>
          <w:b/>
        </w:rPr>
        <w:t>[OMB Control #</w:t>
      </w:r>
      <w:r w:rsidRPr="002A7E81" w:rsidR="002A7E81">
        <w:rPr>
          <w:b/>
        </w:rPr>
        <w:t>3048-0053</w:t>
      </w:r>
      <w:r w:rsidRPr="002A7E81">
        <w:rPr>
          <w:b/>
        </w:rPr>
        <w:t>]</w:t>
      </w:r>
    </w:p>
    <w:p w:rsidR="004A58D5" w:rsidP="003E0304" w:rsidRDefault="004A58D5" w14:paraId="015FA7AE" w14:textId="77777777">
      <w:pPr>
        <w:jc w:val="center"/>
        <w:rPr>
          <w:b/>
          <w:highlight w:val="yellow"/>
        </w:rPr>
      </w:pPr>
    </w:p>
    <w:p w:rsidRPr="00D56F6E" w:rsidR="00045D9B" w:rsidP="003E0304" w:rsidRDefault="00AF6216" w14:paraId="4DB06639" w14:textId="77777777">
      <w:pPr>
        <w:jc w:val="center"/>
        <w:rPr>
          <w:b/>
        </w:rPr>
      </w:pPr>
      <w:r>
        <w:rPr>
          <w:b/>
        </w:rPr>
        <w:t>EIB 1</w:t>
      </w:r>
      <w:r w:rsidR="00354741">
        <w:rPr>
          <w:b/>
        </w:rPr>
        <w:t>8</w:t>
      </w:r>
      <w:r>
        <w:rPr>
          <w:b/>
        </w:rPr>
        <w:t>-0</w:t>
      </w:r>
      <w:r w:rsidR="00354741">
        <w:rPr>
          <w:b/>
        </w:rPr>
        <w:t>1</w:t>
      </w:r>
      <w:r>
        <w:rPr>
          <w:b/>
        </w:rPr>
        <w:t xml:space="preserve"> </w:t>
      </w:r>
      <w:r w:rsidR="00354741">
        <w:rPr>
          <w:b/>
        </w:rPr>
        <w:t xml:space="preserve">Multi-Buyer Policy:  Reasonable Spread of Risk </w:t>
      </w:r>
      <w:r w:rsidR="00365FDC">
        <w:rPr>
          <w:b/>
        </w:rPr>
        <w:t xml:space="preserve">(RSOR) </w:t>
      </w:r>
      <w:r w:rsidR="00354741">
        <w:rPr>
          <w:b/>
        </w:rPr>
        <w:t>Exclusions Worksheet</w:t>
      </w:r>
    </w:p>
    <w:p w:rsidR="00111C59" w:rsidRDefault="00111C59" w14:paraId="034E7267" w14:textId="77777777"/>
    <w:p w:rsidR="001D683D" w:rsidP="001D683D" w:rsidRDefault="001D683D" w14:paraId="73878240" w14:textId="77777777">
      <w:pPr>
        <w:pStyle w:val="xmsonormal"/>
      </w:pPr>
      <w:r>
        <w:t xml:space="preserve">Additional Information related to the to the Export Import Bank’s privacy policies for </w:t>
      </w:r>
      <w:r w:rsidRPr="00CA5230" w:rsidR="00BE1331">
        <w:rPr>
          <w:b/>
        </w:rPr>
        <w:t>EIB 18-01</w:t>
      </w:r>
      <w:r>
        <w:t xml:space="preserve"> collection: </w:t>
      </w:r>
    </w:p>
    <w:p w:rsidR="001D683D" w:rsidP="001D683D" w:rsidRDefault="001D683D" w14:paraId="309CD13B" w14:textId="77777777">
      <w:pPr>
        <w:pStyle w:val="xmsonormal"/>
      </w:pPr>
    </w:p>
    <w:p w:rsidR="001D683D" w:rsidP="001D683D" w:rsidRDefault="001D683D" w14:paraId="0B139848" w14:textId="77777777">
      <w:pPr>
        <w:pStyle w:val="xmsonormal"/>
        <w:numPr>
          <w:ilvl w:val="0"/>
          <w:numId w:val="4"/>
        </w:numPr>
      </w:pPr>
      <w:r>
        <w:t>Is the information collected maintained as part of a system of records?</w:t>
      </w:r>
    </w:p>
    <w:p w:rsidR="001D683D" w:rsidP="001D683D" w:rsidRDefault="001D683D" w14:paraId="09C5BF74" w14:textId="77777777">
      <w:pPr>
        <w:pStyle w:val="xmsonormal"/>
        <w:ind w:left="720"/>
      </w:pPr>
    </w:p>
    <w:p w:rsidR="001D683D" w:rsidP="001D683D" w:rsidRDefault="001D683D" w14:paraId="024E6896" w14:textId="77777777">
      <w:pPr>
        <w:pStyle w:val="xmsonormal"/>
        <w:ind w:left="720"/>
      </w:pPr>
      <w:r>
        <w:t xml:space="preserve">Information collected by </w:t>
      </w:r>
      <w:r w:rsidR="004F5C8A">
        <w:t xml:space="preserve">this form </w:t>
      </w:r>
      <w:r>
        <w:t xml:space="preserve">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w:t>
      </w:r>
      <w:r w:rsidR="004F5C8A">
        <w:t xml:space="preserve">and </w:t>
      </w:r>
      <w:r>
        <w:t>not Personally Identifiable Information.</w:t>
      </w:r>
    </w:p>
    <w:p w:rsidR="001D683D" w:rsidP="001D683D" w:rsidRDefault="001D683D" w14:paraId="150EF2C0" w14:textId="77777777">
      <w:pPr>
        <w:pStyle w:val="xmsonormal"/>
        <w:ind w:left="720"/>
      </w:pPr>
    </w:p>
    <w:p w:rsidR="001D683D" w:rsidP="001D683D" w:rsidRDefault="001D683D" w14:paraId="79836253" w14:textId="77777777">
      <w:pPr>
        <w:pStyle w:val="xmsonormal"/>
        <w:numPr>
          <w:ilvl w:val="0"/>
          <w:numId w:val="4"/>
        </w:numPr>
      </w:pPr>
      <w:r>
        <w:t>Does EXIM have a Privacy Impact Assessment (PIA) or System of Records Notice that is applicable to the information collected?</w:t>
      </w:r>
    </w:p>
    <w:p w:rsidR="001D683D" w:rsidP="001D683D" w:rsidRDefault="001D683D" w14:paraId="4060124C" w14:textId="77777777">
      <w:pPr>
        <w:pStyle w:val="ListParagraph"/>
      </w:pPr>
    </w:p>
    <w:p w:rsidR="001D683D" w:rsidP="001D683D" w:rsidRDefault="001D683D" w14:paraId="40AAC919" w14:textId="77777777">
      <w:pPr>
        <w:pStyle w:val="xmsonormal"/>
        <w:ind w:left="720"/>
      </w:pPr>
      <w:r>
        <w:t xml:space="preserve">The most recent PIA applicable to the collected information is the EXIM Online </w:t>
      </w:r>
      <w:r w:rsidR="004F5C8A">
        <w:t xml:space="preserve">(EOL) </w:t>
      </w:r>
      <w:r>
        <w:t>PIA, dated June 25, 2018.  The PIA determined that EOL is not a System of records under the Privacy Act, 5 U.S.C 552a.</w:t>
      </w:r>
    </w:p>
    <w:p w:rsidR="001D683D" w:rsidP="001D683D" w:rsidRDefault="001D683D" w14:paraId="72F1959A" w14:textId="77777777">
      <w:pPr>
        <w:pStyle w:val="ListParagraph"/>
      </w:pPr>
    </w:p>
    <w:p w:rsidR="001D683D" w:rsidP="001D683D" w:rsidRDefault="001D683D" w14:paraId="390526C3" w14:textId="77777777">
      <w:pPr>
        <w:pStyle w:val="xmsonormal"/>
        <w:numPr>
          <w:ilvl w:val="0"/>
          <w:numId w:val="4"/>
        </w:numPr>
      </w:pPr>
      <w:r>
        <w:t>Has the form contained in this information collection request been reviewed by EXIM’s privacy office or staff?</w:t>
      </w:r>
    </w:p>
    <w:p w:rsidR="001D683D" w:rsidP="001D683D" w:rsidRDefault="001D683D" w14:paraId="15ACDD63" w14:textId="77777777">
      <w:pPr>
        <w:pStyle w:val="ListParagraph"/>
      </w:pPr>
    </w:p>
    <w:p w:rsidR="001D683D" w:rsidP="001D683D" w:rsidRDefault="001D683D" w14:paraId="23B5CA93" w14:textId="77777777">
      <w:pPr>
        <w:pStyle w:val="xmsonormal"/>
        <w:ind w:left="720"/>
      </w:pPr>
      <w:r>
        <w:t xml:space="preserve">Yes, this form has been reviewed by EXIM’s privacy office. </w:t>
      </w:r>
    </w:p>
    <w:p w:rsidR="001D683D" w:rsidP="001D683D" w:rsidRDefault="001D683D" w14:paraId="1029384E" w14:textId="77777777">
      <w:pPr>
        <w:pStyle w:val="xmsonormal"/>
        <w:ind w:left="720"/>
      </w:pPr>
    </w:p>
    <w:p w:rsidR="00111C59" w:rsidP="001D683D" w:rsidRDefault="001D683D" w14:paraId="1861C614" w14:textId="77777777">
      <w:r>
        <w:t xml:space="preserve"> </w:t>
      </w:r>
      <w:r w:rsidR="00111C59">
        <w:t>General Instructions</w:t>
      </w:r>
    </w:p>
    <w:p w:rsidR="00111C59" w:rsidRDefault="00111C59" w14:paraId="79F8BA83"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Default="00111C59" w14:paraId="56183E35" w14:textId="77777777"/>
    <w:p w:rsidR="00111C59" w:rsidRDefault="00111C59" w14:paraId="7B175297" w14:textId="77777777">
      <w:r>
        <w:t>Specific Instructions</w:t>
      </w:r>
    </w:p>
    <w:p w:rsidR="00111C59" w:rsidRDefault="00111C59" w14:paraId="48C854CE" w14:textId="77777777"/>
    <w:p w:rsidR="00111C59" w:rsidP="00111C59" w:rsidRDefault="00111C59" w14:paraId="486A36AE" w14:textId="77777777">
      <w:pPr>
        <w:numPr>
          <w:ilvl w:val="0"/>
          <w:numId w:val="1"/>
        </w:numPr>
      </w:pPr>
      <w:r>
        <w:t>Justification</w:t>
      </w:r>
    </w:p>
    <w:p w:rsidR="00111C59" w:rsidP="00111C59" w:rsidRDefault="00111C59" w14:paraId="2DC094DE" w14:textId="77777777"/>
    <w:p w:rsidR="007B74C3" w:rsidP="007B74C3" w:rsidRDefault="00111C59" w14:paraId="501BD274" w14:textId="77777777">
      <w:pPr>
        <w:numPr>
          <w:ilvl w:val="0"/>
          <w:numId w:val="2"/>
        </w:numPr>
      </w:pPr>
      <w:r>
        <w:t xml:space="preserve">Explain the circumstances that make the collection of </w:t>
      </w:r>
      <w:r w:rsidR="00C43B2D">
        <w:t>information necessary.  Identify</w:t>
      </w:r>
      <w:r>
        <w:t xml:space="preserve"> any legal or administrative requirements that necessitate the collection.  Attach a copy of the appropriate section of each statute and regulation mandating or authorizing the collection of information.</w:t>
      </w:r>
    </w:p>
    <w:p w:rsidR="007B74C3" w:rsidP="007B74C3" w:rsidRDefault="007B74C3" w14:paraId="566582C2" w14:textId="77777777"/>
    <w:p w:rsidRPr="009717E9" w:rsidR="00354741" w:rsidP="00354741" w:rsidRDefault="00354741" w14:paraId="0F56256B" w14:textId="77777777">
      <w:pPr>
        <w:ind w:left="720"/>
      </w:pPr>
      <w:r w:rsidRPr="009717E9">
        <w:lastRenderedPageBreak/>
        <w:t>Pursuant to the Export-Import Bank Act of 1945, as amended (12 USC 635, et seq.), the Export-Import Bank of the United States (EXIM), facilitates the finance of the export of U.S. goods and services by providing insurance or guarantees to U.S. exporters or lenders financing U.S. exports</w:t>
      </w:r>
      <w:r w:rsidRPr="004055C3">
        <w:t xml:space="preserve">. </w:t>
      </w:r>
      <w:r w:rsidRPr="004055C3" w:rsidR="009717E9">
        <w:t xml:space="preserve"> The Multi-Buyer Policy:  Reasonable Spread of Risk</w:t>
      </w:r>
      <w:r w:rsidRPr="004055C3" w:rsidR="00A73C52">
        <w:t xml:space="preserve"> (</w:t>
      </w:r>
      <w:proofErr w:type="gramStart"/>
      <w:r w:rsidRPr="004055C3" w:rsidR="00A73C52">
        <w:t>RSOR)</w:t>
      </w:r>
      <w:r w:rsidRPr="004055C3" w:rsidR="009717E9">
        <w:t xml:space="preserve"> </w:t>
      </w:r>
      <w:r w:rsidRPr="004055C3" w:rsidR="009717E9">
        <w:rPr>
          <w:color w:val="FF0000"/>
        </w:rPr>
        <w:t xml:space="preserve"> </w:t>
      </w:r>
      <w:r w:rsidRPr="004055C3" w:rsidR="009717E9">
        <w:t xml:space="preserve"> </w:t>
      </w:r>
      <w:proofErr w:type="gramEnd"/>
      <w:r w:rsidRPr="004055C3" w:rsidR="009717E9">
        <w:t>Exclusions Worksheet will be used by external customers, current policyholders and portfolio managers to determine eligibility of E</w:t>
      </w:r>
      <w:r w:rsidRPr="004055C3" w:rsidR="00A73C52">
        <w:t xml:space="preserve">XIM </w:t>
      </w:r>
      <w:r w:rsidRPr="004055C3" w:rsidR="009717E9">
        <w:t>Bank support under the</w:t>
      </w:r>
      <w:r w:rsidRPr="004055C3" w:rsidR="00A73C52">
        <w:t xml:space="preserve"> RSOR</w:t>
      </w:r>
      <w:r w:rsidRPr="004055C3" w:rsidR="009717E9">
        <w:t xml:space="preserve"> </w:t>
      </w:r>
      <w:r w:rsidRPr="004055C3" w:rsidR="009717E9">
        <w:rPr>
          <w:color w:val="FF0000"/>
        </w:rPr>
        <w:t xml:space="preserve"> </w:t>
      </w:r>
      <w:r w:rsidRPr="004055C3" w:rsidR="009717E9">
        <w:t>Policy.</w:t>
      </w:r>
    </w:p>
    <w:p w:rsidRPr="00690CFE" w:rsidR="003E0304" w:rsidP="007B74C3" w:rsidRDefault="003E0304" w14:paraId="76E644A6" w14:textId="77777777">
      <w:pPr>
        <w:ind w:left="360"/>
      </w:pPr>
    </w:p>
    <w:p w:rsidR="004D1414" w:rsidP="003E0304" w:rsidRDefault="00111C59" w14:paraId="7AE478C8" w14:textId="77777777">
      <w:pPr>
        <w:numPr>
          <w:ilvl w:val="0"/>
          <w:numId w:val="2"/>
        </w:numPr>
      </w:pPr>
      <w:r>
        <w:t xml:space="preserve">Indicate how, by whom and for what purpose the information is to be used. </w:t>
      </w:r>
    </w:p>
    <w:p w:rsidR="00FC5C2F" w:rsidP="00FC5C2F" w:rsidRDefault="00FC5C2F" w14:paraId="29FA80D3" w14:textId="77777777">
      <w:pPr>
        <w:pStyle w:val="Default"/>
      </w:pPr>
    </w:p>
    <w:p w:rsidRPr="001F2D26" w:rsidR="00A47ABD" w:rsidP="00A47ABD" w:rsidRDefault="00A47ABD" w14:paraId="0A2CF559" w14:textId="77777777">
      <w:r>
        <w:tab/>
      </w:r>
      <w:r w:rsidRPr="001F2D26">
        <w:t xml:space="preserve">In March 2017, the eligibility requirements for the Small Business Express Policy </w:t>
      </w:r>
      <w:r w:rsidRPr="001F2D26">
        <w:tab/>
        <w:t xml:space="preserve">changed to include a “graduation” requirement for policyholders who had been in the </w:t>
      </w:r>
      <w:r w:rsidRPr="001F2D26">
        <w:tab/>
        <w:t xml:space="preserve">program three or more years.  One of the three alternative policies for graduates is the </w:t>
      </w:r>
      <w:r w:rsidRPr="001F2D26">
        <w:tab/>
        <w:t xml:space="preserve">RSOR.  As a result, there has been revitalized interest in this policy which requires the </w:t>
      </w:r>
      <w:r w:rsidRPr="001F2D26">
        <w:tab/>
        <w:t>gathering of information located on the Multi-Buyer RSOR Exclusions Worksheet</w:t>
      </w:r>
      <w:r w:rsidRPr="00955532">
        <w:t xml:space="preserve">.  The </w:t>
      </w:r>
      <w:r w:rsidRPr="00955532">
        <w:tab/>
        <w:t xml:space="preserve">proposed form was previously available to customers, so this is not a creation of a new </w:t>
      </w:r>
      <w:r w:rsidRPr="00955532">
        <w:tab/>
        <w:t xml:space="preserve">form, but renewal of a prior form that was previously used by internal and external </w:t>
      </w:r>
      <w:r w:rsidRPr="00955532">
        <w:tab/>
        <w:t>participants.  The information collected on this form will allow streamlined</w:t>
      </w:r>
      <w:r w:rsidRPr="001F2D26">
        <w:t xml:space="preserve"> </w:t>
      </w:r>
    </w:p>
    <w:p w:rsidRPr="00A47ABD" w:rsidR="00A47ABD" w:rsidP="00A47ABD" w:rsidRDefault="002B1BB2" w14:paraId="79CD10E0" w14:textId="77777777">
      <w:r>
        <w:t xml:space="preserve">            </w:t>
      </w:r>
      <w:r w:rsidRPr="001F2D26" w:rsidR="00A47ABD">
        <w:t>processing and evaluation of policy applicants for program compliance.</w:t>
      </w:r>
      <w:r w:rsidRPr="00A47ABD" w:rsidR="00A47ABD">
        <w:t>     </w:t>
      </w:r>
    </w:p>
    <w:p w:rsidR="004D1414" w:rsidP="00304298" w:rsidRDefault="00FC5C2F" w14:paraId="4B0D4E65" w14:textId="77777777">
      <w:pPr>
        <w:ind w:left="720"/>
      </w:pPr>
      <w:r w:rsidRPr="009717E9">
        <w:rPr>
          <w:b/>
          <w:color w:val="FF0000"/>
          <w:sz w:val="23"/>
          <w:szCs w:val="23"/>
        </w:rPr>
        <w:br/>
      </w:r>
    </w:p>
    <w:p w:rsidR="00111C59" w:rsidP="00111C59" w:rsidRDefault="00111C59" w14:paraId="58855D9E" w14:textId="77777777">
      <w:pPr>
        <w:numPr>
          <w:ilvl w:val="0"/>
          <w:numId w:val="2"/>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2211B5">
        <w:br/>
      </w:r>
    </w:p>
    <w:p w:rsidR="005D47F4" w:rsidP="00304298" w:rsidRDefault="00AF6216" w14:paraId="0F6569F1" w14:textId="77777777">
      <w:pPr>
        <w:ind w:left="720"/>
      </w:pPr>
      <w:r>
        <w:rPr>
          <w:sz w:val="23"/>
          <w:szCs w:val="23"/>
        </w:rPr>
        <w:t>E</w:t>
      </w:r>
      <w:r w:rsidR="00C43B2D">
        <w:rPr>
          <w:sz w:val="23"/>
          <w:szCs w:val="23"/>
        </w:rPr>
        <w:t>XIM</w:t>
      </w:r>
      <w:r>
        <w:rPr>
          <w:sz w:val="23"/>
          <w:szCs w:val="23"/>
        </w:rPr>
        <w:t xml:space="preserve"> is currently accepting this application electronically. The online application offers the </w:t>
      </w:r>
      <w:smartTag w:uri="urn:schemas-microsoft-com:office:smarttags" w:element="place">
        <w:smartTag w:uri="urn:schemas-microsoft-com:office:smarttags" w:element="country-region">
          <w:r>
            <w:rPr>
              <w:sz w:val="23"/>
              <w:szCs w:val="23"/>
            </w:rPr>
            <w:t>U.S.</w:t>
          </w:r>
        </w:smartTag>
      </w:smartTag>
      <w:r>
        <w:rPr>
          <w:sz w:val="23"/>
          <w:szCs w:val="23"/>
        </w:rPr>
        <w:t xml:space="preserve"> exporting community the opportunity to electronically submit a claim, which reduces the paperwork burden and processing times, and minimizes the expense of using mailing services. </w:t>
      </w:r>
      <w:r>
        <w:br/>
      </w:r>
    </w:p>
    <w:p w:rsidR="002211B5" w:rsidP="00111C59" w:rsidRDefault="002211B5" w14:paraId="409DF979" w14:textId="77777777">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br/>
      </w:r>
    </w:p>
    <w:p w:rsidRPr="00690CFE" w:rsidR="00F105D8" w:rsidP="00304298" w:rsidRDefault="00AF6216" w14:paraId="07787645" w14:textId="77777777">
      <w:pPr>
        <w:ind w:left="720"/>
      </w:pPr>
      <w:r>
        <w:rPr>
          <w:sz w:val="23"/>
          <w:szCs w:val="23"/>
        </w:rPr>
        <w:t>Each form is independent of the other, i.e., no duplication, since each form corresponds to a unique product. In circumstances when some information may already be on file at E</w:t>
      </w:r>
      <w:r w:rsidR="00C43B2D">
        <w:rPr>
          <w:sz w:val="23"/>
          <w:szCs w:val="23"/>
        </w:rPr>
        <w:t xml:space="preserve">XIM </w:t>
      </w:r>
      <w:r>
        <w:rPr>
          <w:sz w:val="23"/>
          <w:szCs w:val="23"/>
        </w:rPr>
        <w:t xml:space="preserve">  the application includes language allowing the applicant to indicate so. </w:t>
      </w:r>
      <w:r>
        <w:br/>
      </w:r>
    </w:p>
    <w:p w:rsidR="002211B5" w:rsidP="00111C59" w:rsidRDefault="002211B5" w14:paraId="335DEA57" w14:textId="77777777">
      <w:pPr>
        <w:numPr>
          <w:ilvl w:val="0"/>
          <w:numId w:val="2"/>
        </w:numPr>
      </w:pPr>
      <w:r>
        <w:t xml:space="preserve">If the collection of information impacts </w:t>
      </w:r>
      <w:r w:rsidRPr="00A73C52">
        <w:t>small businesses</w:t>
      </w:r>
      <w:r>
        <w:t xml:space="preserve"> or other small entities describe any methods used to minimize burden.</w:t>
      </w:r>
      <w:r>
        <w:br/>
      </w:r>
    </w:p>
    <w:p w:rsidRPr="00690CFE" w:rsidR="00D41437" w:rsidP="00304298" w:rsidRDefault="00AF6216" w14:paraId="34F3EB11" w14:textId="77777777">
      <w:pPr>
        <w:ind w:left="720"/>
      </w:pPr>
      <w:r w:rsidRPr="00A73C52">
        <w:rPr>
          <w:sz w:val="23"/>
          <w:szCs w:val="23"/>
        </w:rPr>
        <w:t>The electronic submission of the forms reduces the paperwork burden on small businesses and processing time for E</w:t>
      </w:r>
      <w:r w:rsidRPr="00A73C52" w:rsidR="00C43B2D">
        <w:rPr>
          <w:sz w:val="23"/>
          <w:szCs w:val="23"/>
        </w:rPr>
        <w:t>XIM</w:t>
      </w:r>
      <w:r w:rsidRPr="00A73C52">
        <w:rPr>
          <w:sz w:val="23"/>
          <w:szCs w:val="23"/>
        </w:rPr>
        <w:t xml:space="preserve">. </w:t>
      </w:r>
      <w:r w:rsidRPr="00A73C52" w:rsidR="00E05A76">
        <w:rPr>
          <w:sz w:val="23"/>
          <w:szCs w:val="23"/>
        </w:rPr>
        <w:t xml:space="preserve"> </w:t>
      </w:r>
      <w:r w:rsidRPr="00A73C52">
        <w:rPr>
          <w:sz w:val="23"/>
          <w:szCs w:val="23"/>
        </w:rPr>
        <w:t>Paper forms have been used in the past. We are encouraging our customers to submit their claims online.</w:t>
      </w:r>
      <w:r w:rsidR="005C0B32">
        <w:rPr>
          <w:sz w:val="23"/>
          <w:szCs w:val="23"/>
        </w:rPr>
        <w:t xml:space="preserve"> </w:t>
      </w:r>
      <w:r>
        <w:rPr>
          <w:sz w:val="23"/>
          <w:szCs w:val="23"/>
        </w:rPr>
        <w:br/>
      </w:r>
    </w:p>
    <w:p w:rsidRPr="00304298" w:rsidR="00304298" w:rsidP="00AF6216" w:rsidRDefault="002211B5" w14:paraId="0C8DAE64" w14:textId="77777777">
      <w:pPr>
        <w:numPr>
          <w:ilvl w:val="0"/>
          <w:numId w:val="2"/>
        </w:numPr>
      </w:pPr>
      <w:r>
        <w:lastRenderedPageBreak/>
        <w:t xml:space="preserve">Describe the consequence to Federal program or policy activities if the collection is not conducted or is conducted less frequently, as well as any technical or legal obstacles to reducing burden. </w:t>
      </w:r>
    </w:p>
    <w:p w:rsidR="00304298" w:rsidP="00304298" w:rsidRDefault="00304298" w14:paraId="3267E32F" w14:textId="77777777">
      <w:pPr>
        <w:rPr>
          <w:sz w:val="23"/>
          <w:szCs w:val="23"/>
        </w:rPr>
      </w:pPr>
    </w:p>
    <w:p w:rsidRPr="001F2D26" w:rsidR="00AD4D62" w:rsidP="00AD4D62" w:rsidRDefault="00AD4D62" w14:paraId="56834608" w14:textId="77777777">
      <w:r>
        <w:tab/>
      </w:r>
      <w:r w:rsidRPr="001F2D26">
        <w:t xml:space="preserve">Making this form available to customers is meant to streamline the collection of the </w:t>
      </w:r>
      <w:r w:rsidRPr="001F2D26">
        <w:tab/>
        <w:t xml:space="preserve">information needed to effectively evaluate and provide an approval decision within a </w:t>
      </w:r>
      <w:r w:rsidRPr="001F2D26">
        <w:tab/>
        <w:t xml:space="preserve">justified and supported policy parameter framework under the RSOR </w:t>
      </w:r>
      <w:r w:rsidRPr="00955532">
        <w:t xml:space="preserve">structure.  To </w:t>
      </w:r>
      <w:r w:rsidRPr="00955532">
        <w:tab/>
        <w:t xml:space="preserve">currently underwrite a RSOR request, the information is collected in various formats </w:t>
      </w:r>
      <w:r w:rsidRPr="00955532">
        <w:tab/>
        <w:t xml:space="preserve">and can be erroneously omitted from the initial application resulting in unnecessary </w:t>
      </w:r>
      <w:r w:rsidRPr="00955532">
        <w:tab/>
        <w:t>delays.  The worksheet will help guide customers to provide the required inf</w:t>
      </w:r>
      <w:r w:rsidRPr="001F2D26">
        <w:t xml:space="preserve">ormation to </w:t>
      </w:r>
      <w:r w:rsidRPr="001F2D26">
        <w:tab/>
      </w:r>
    </w:p>
    <w:p w:rsidR="00AD4D62" w:rsidP="00AD4D62" w:rsidRDefault="00AD4D62" w14:paraId="05229772" w14:textId="77777777">
      <w:r w:rsidRPr="001F2D26">
        <w:tab/>
        <w:t>complete the application package via an easy and organized method.</w:t>
      </w:r>
      <w:r w:rsidRPr="00AD4D62">
        <w:t>   </w:t>
      </w:r>
    </w:p>
    <w:p w:rsidRPr="00AD4D62" w:rsidR="00AD4D62" w:rsidP="00AD4D62" w:rsidRDefault="00AD4D62" w14:paraId="1B18B188" w14:textId="77777777"/>
    <w:p w:rsidRPr="002B1BB2" w:rsidR="002211B5" w:rsidP="002211B5" w:rsidRDefault="002211B5" w14:paraId="1D5F5BF7" w14:textId="77777777">
      <w:pPr>
        <w:numPr>
          <w:ilvl w:val="0"/>
          <w:numId w:val="2"/>
        </w:numPr>
      </w:pPr>
      <w:r>
        <w:t>Explain any special circumstances that would cause an information collect</w:t>
      </w:r>
      <w:r w:rsidR="0005409D">
        <w: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r>
      <w:r w:rsidRPr="00A73C52">
        <w:t>*requiring the use of statistical data classification that has not been reviewed and</w:t>
      </w:r>
      <w:r>
        <w:t xml:space="preserve">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 xml:space="preserve">data with other </w:t>
      </w:r>
      <w:r w:rsidRPr="00A73C52">
        <w:t>agencies for compatible confidential use</w:t>
      </w:r>
      <w:r w:rsidRPr="00A73C52" w:rsidR="00633291">
        <w:t>; or</w:t>
      </w:r>
      <w:r w:rsidR="00633291">
        <w:br/>
      </w:r>
      <w:r w:rsidRPr="002D2B8C" w:rsidR="00633291">
        <w:t xml:space="preserve">*requiring respondents to submit proprietary trade secrets, or other confidential information unless the agency can demonstrate that it has instituted procedures to protect </w:t>
      </w:r>
      <w:r w:rsidRPr="002B1BB2" w:rsidR="00633291">
        <w:t>the information’s confidentiality to the extent permitted by law.</w:t>
      </w:r>
      <w:r w:rsidRPr="002B1BB2" w:rsidR="00633291">
        <w:br/>
      </w:r>
    </w:p>
    <w:p w:rsidRPr="002B1BB2" w:rsidR="00815718" w:rsidP="00304298" w:rsidRDefault="00AF6216" w14:paraId="6E57D6FD" w14:textId="77777777">
      <w:pPr>
        <w:ind w:left="720"/>
      </w:pPr>
      <w:r w:rsidRPr="002B1BB2">
        <w:rPr>
          <w:sz w:val="23"/>
          <w:szCs w:val="23"/>
        </w:rPr>
        <w:t>This collection is consistent with guidelines in 5 CFR 1320.6</w:t>
      </w:r>
      <w:r w:rsidRPr="002B1BB2" w:rsidR="005C0B32">
        <w:rPr>
          <w:sz w:val="23"/>
          <w:szCs w:val="23"/>
        </w:rPr>
        <w:t>.</w:t>
      </w:r>
      <w:r w:rsidRPr="002B1BB2">
        <w:rPr>
          <w:sz w:val="23"/>
          <w:szCs w:val="23"/>
        </w:rPr>
        <w:t xml:space="preserve"> </w:t>
      </w:r>
    </w:p>
    <w:p w:rsidRPr="002B1BB2" w:rsidR="00AF6216" w:rsidP="00815718" w:rsidRDefault="00AF6216" w14:paraId="3ADF93F5" w14:textId="77777777">
      <w:pPr>
        <w:ind w:left="360"/>
      </w:pPr>
    </w:p>
    <w:p w:rsidRPr="002B1BB2" w:rsidR="005C0B32" w:rsidP="00690CFE" w:rsidRDefault="00633291" w14:paraId="2E3BF526" w14:textId="01522CFA">
      <w:pPr>
        <w:numPr>
          <w:ilvl w:val="0"/>
          <w:numId w:val="2"/>
        </w:numPr>
      </w:pPr>
      <w:r w:rsidRPr="002B1BB2">
        <w:t xml:space="preserve">If applicable, provide a copy and identify the date and page number of </w:t>
      </w:r>
      <w:proofErr w:type="gramStart"/>
      <w:r w:rsidRPr="002B1BB2">
        <w:t>publication</w:t>
      </w:r>
      <w:proofErr w:type="gramEnd"/>
      <w:r w:rsidRPr="002B1BB2">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2B1BB2">
        <w:br/>
      </w:r>
      <w:r w:rsidRPr="002B1BB2" w:rsidR="0045292A">
        <w:br/>
        <w:t xml:space="preserve">60 Day Federal Register Notice FR </w:t>
      </w:r>
      <w:r w:rsidRPr="002B1BB2" w:rsidR="009D75F3">
        <w:t xml:space="preserve">Vol. </w:t>
      </w:r>
      <w:r w:rsidRPr="002B1BB2" w:rsidR="00CF664B">
        <w:t>8</w:t>
      </w:r>
      <w:r w:rsidR="002A7E81">
        <w:t>6</w:t>
      </w:r>
      <w:r w:rsidRPr="002B1BB2" w:rsidR="00277DAF">
        <w:t>,</w:t>
      </w:r>
      <w:r w:rsidRPr="002B1BB2" w:rsidR="0045292A">
        <w:t xml:space="preserve"> #</w:t>
      </w:r>
      <w:r w:rsidRPr="002A7E81" w:rsidR="002A7E81">
        <w:t>63377</w:t>
      </w:r>
      <w:r w:rsidRPr="002B1BB2" w:rsidR="0045292A">
        <w:t xml:space="preserve">dated </w:t>
      </w:r>
      <w:r w:rsidR="002A7E81">
        <w:t>11/16/2021</w:t>
      </w:r>
      <w:r w:rsidRPr="002B1BB2" w:rsidR="0045292A">
        <w:br/>
      </w:r>
      <w:r w:rsidRPr="002B1BB2" w:rsidR="00690CFE">
        <w:br/>
      </w:r>
      <w:r w:rsidRPr="002B1BB2" w:rsidR="002D2B8C">
        <w:t>No comments.</w:t>
      </w:r>
      <w:r w:rsidRPr="002B1BB2" w:rsidR="00D00788">
        <w:t xml:space="preserve">  </w:t>
      </w:r>
    </w:p>
    <w:p w:rsidRPr="00690CFE" w:rsidR="00690CFE" w:rsidP="005C0B32" w:rsidRDefault="003C04D9" w14:paraId="4D386FCC" w14:textId="66C15BC4">
      <w:pPr>
        <w:ind w:left="720"/>
      </w:pPr>
      <w:r w:rsidRPr="002B1BB2">
        <w:br/>
        <w:t xml:space="preserve">30 Day Federal Register Notice FR </w:t>
      </w:r>
      <w:r w:rsidRPr="002B1BB2" w:rsidR="009D75F3">
        <w:t xml:space="preserve">Vol. </w:t>
      </w:r>
      <w:r w:rsidRPr="002B1BB2" w:rsidR="002D2B8C">
        <w:t>8</w:t>
      </w:r>
      <w:r w:rsidR="002A7E81">
        <w:t>7</w:t>
      </w:r>
      <w:r w:rsidRPr="002B1BB2" w:rsidR="00277DAF">
        <w:t>,</w:t>
      </w:r>
      <w:r w:rsidRPr="002B1BB2">
        <w:t xml:space="preserve"> #</w:t>
      </w:r>
      <w:r w:rsidRPr="002A7E81" w:rsidR="002A7E81">
        <w:t>4593</w:t>
      </w:r>
      <w:r w:rsidRPr="002B1BB2">
        <w:t xml:space="preserve"> dated </w:t>
      </w:r>
      <w:r w:rsidR="002A7E81">
        <w:t>01/28/2022</w:t>
      </w:r>
      <w:r w:rsidRPr="00690CFE" w:rsidR="00690CFE">
        <w:br/>
      </w:r>
    </w:p>
    <w:p w:rsidR="00633291" w:rsidP="002211B5" w:rsidRDefault="00633291" w14:paraId="0925B968" w14:textId="77777777">
      <w:pPr>
        <w:numPr>
          <w:ilvl w:val="0"/>
          <w:numId w:val="2"/>
        </w:numPr>
      </w:pPr>
      <w:r>
        <w:t>Explain any decision to provide any payment or gift to respondents, other than remuneration of contractors or grantees.</w:t>
      </w:r>
      <w:r>
        <w:br/>
      </w:r>
    </w:p>
    <w:p w:rsidR="00815718" w:rsidP="00304298" w:rsidRDefault="00331269" w14:paraId="07468B86" w14:textId="77777777">
      <w:pPr>
        <w:ind w:left="720"/>
      </w:pPr>
      <w:r>
        <w:rPr>
          <w:sz w:val="23"/>
          <w:szCs w:val="23"/>
        </w:rPr>
        <w:lastRenderedPageBreak/>
        <w:t xml:space="preserve">Not applicable. </w:t>
      </w:r>
      <w:r w:rsidRPr="00E05A76" w:rsidR="00E05A76">
        <w:rPr>
          <w:sz w:val="23"/>
          <w:szCs w:val="23"/>
        </w:rPr>
        <w:t>E</w:t>
      </w:r>
      <w:r w:rsidR="00E05A76">
        <w:rPr>
          <w:sz w:val="23"/>
          <w:szCs w:val="23"/>
        </w:rPr>
        <w:t>XIM</w:t>
      </w:r>
      <w:r>
        <w:rPr>
          <w:sz w:val="23"/>
          <w:szCs w:val="23"/>
        </w:rPr>
        <w:t xml:space="preserve"> does not provide any payment or gift to respondents.</w:t>
      </w:r>
      <w:r>
        <w:rPr>
          <w:sz w:val="23"/>
          <w:szCs w:val="23"/>
        </w:rPr>
        <w:br/>
      </w:r>
    </w:p>
    <w:p w:rsidR="00815718" w:rsidP="002211B5" w:rsidRDefault="00633291" w14:paraId="386344C2" w14:textId="77777777">
      <w:pPr>
        <w:numPr>
          <w:ilvl w:val="0"/>
          <w:numId w:val="2"/>
        </w:numPr>
      </w:pPr>
      <w:r>
        <w:t>Describe any assurance of confidentiality provided to respondents and the basis for the assurance in statute, regulation, or agency policy.</w:t>
      </w:r>
      <w:r w:rsidR="00331269">
        <w:br/>
      </w:r>
    </w:p>
    <w:p w:rsidR="00815718" w:rsidP="00304298" w:rsidRDefault="00331269" w14:paraId="53519F57" w14:textId="77777777">
      <w:pPr>
        <w:pStyle w:val="Default"/>
        <w:ind w:left="720"/>
      </w:pPr>
      <w:r>
        <w:rPr>
          <w:sz w:val="23"/>
          <w:szCs w:val="23"/>
        </w:rPr>
        <w:t>E</w:t>
      </w:r>
      <w:r w:rsidR="00E05A76">
        <w:rPr>
          <w:sz w:val="23"/>
          <w:szCs w:val="23"/>
        </w:rPr>
        <w:t>XIM</w:t>
      </w:r>
      <w:r>
        <w:rPr>
          <w:sz w:val="23"/>
          <w:szCs w:val="23"/>
        </w:rPr>
        <w:t xml:space="preserve"> and its officers and employees are subject to the Trade Secrets Act, 18 </w:t>
      </w:r>
      <w:r>
        <w:t>U.S.C. Sec. 1905, which requires E</w:t>
      </w:r>
      <w:r w:rsidR="00E05A76">
        <w:t>XIM</w:t>
      </w:r>
      <w:r>
        <w:t xml:space="preserve"> to protect confidential business and </w:t>
      </w:r>
      <w:r w:rsidR="00304298">
        <w:t>c</w:t>
      </w:r>
      <w:r>
        <w:t xml:space="preserve">ommercial information from disclosure, as well as 12 CFR 404.1, which </w:t>
      </w:r>
      <w:r w:rsidR="00304298">
        <w:t>p</w:t>
      </w:r>
      <w:r>
        <w:t>rovides that, except as required by law, E</w:t>
      </w:r>
      <w:r w:rsidR="00E05A76">
        <w:t>XIM</w:t>
      </w:r>
      <w:r>
        <w:t xml:space="preserve"> will not disclose </w:t>
      </w:r>
      <w:r w:rsidR="00304298">
        <w:t>i</w:t>
      </w:r>
      <w:r>
        <w:t>nformation provided in confidence without the submitter’s consent.</w:t>
      </w:r>
      <w:r>
        <w:br/>
      </w:r>
    </w:p>
    <w:p w:rsidR="00633291" w:rsidP="002211B5" w:rsidRDefault="00633291" w14:paraId="7D5AB6C7" w14:textId="77777777">
      <w:pPr>
        <w:numPr>
          <w:ilvl w:val="0"/>
          <w:numId w:val="2"/>
        </w:numPr>
      </w:pPr>
      <w:r>
        <w:t xml:space="preserve">Provide additional justification for any question of a sensitive nature, such as sexual behavior and attitudes, religious beliefs, and other matters that </w:t>
      </w:r>
      <w:r w:rsidR="0095352A">
        <w:t>are commonly considered private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br/>
      </w:r>
    </w:p>
    <w:p w:rsidRPr="00183570" w:rsidR="0083345B" w:rsidP="0083345B" w:rsidRDefault="00815718" w14:paraId="1C22D8E5" w14:textId="77777777">
      <w:pPr>
        <w:ind w:left="720"/>
        <w:rPr>
          <w:b/>
          <w:color w:val="FF0000"/>
        </w:rPr>
      </w:pPr>
      <w:r w:rsidRPr="00A73C52">
        <w:t>There are no questions of a sensitive nature included in the questionnaire.</w:t>
      </w:r>
      <w:r w:rsidRPr="00A73C52" w:rsidR="0083345B">
        <w:rPr>
          <w:b/>
          <w:color w:val="FF0000"/>
        </w:rPr>
        <w:t xml:space="preserve">  </w:t>
      </w:r>
    </w:p>
    <w:p w:rsidR="003E0304" w:rsidP="00304298" w:rsidRDefault="003E0304" w14:paraId="7FE7928B" w14:textId="77777777">
      <w:pPr>
        <w:ind w:left="720"/>
      </w:pPr>
    </w:p>
    <w:p w:rsidRPr="00690CFE" w:rsidR="003E0304" w:rsidP="00304298" w:rsidRDefault="003E0304" w14:paraId="71EDD807" w14:textId="77777777">
      <w:pPr>
        <w:ind w:left="720"/>
      </w:pPr>
    </w:p>
    <w:p w:rsidR="00572EA7" w:rsidP="0083345B" w:rsidRDefault="008C5ACF" w14:paraId="4C85765C" w14:textId="77777777">
      <w:pPr>
        <w:numPr>
          <w:ilvl w:val="0"/>
          <w:numId w:val="2"/>
        </w:numPr>
      </w:pPr>
      <w:r w:rsidRPr="00045D9B">
        <w:t>Provide estimates of the hour burden of the collection of information. The statement should include</w:t>
      </w:r>
      <w:r w:rsidRPr="00045D9B" w:rsidR="00500644">
        <w:t>:</w:t>
      </w:r>
    </w:p>
    <w:p w:rsidR="0083345B" w:rsidP="00572EA7" w:rsidRDefault="00D63E92" w14:paraId="371A7DF7" w14:textId="77777777">
      <w:pPr>
        <w:ind w:left="720"/>
      </w:pPr>
      <w:r w:rsidRPr="00045D9B">
        <w:br/>
      </w:r>
      <w:r w:rsidR="0083345B">
        <w:t>Annual N</w:t>
      </w:r>
      <w:r w:rsidRPr="00690CFE" w:rsidR="0083345B">
        <w:t xml:space="preserve">umber of </w:t>
      </w:r>
      <w:r w:rsidR="0083345B">
        <w:t>R</w:t>
      </w:r>
      <w:r w:rsidRPr="00690CFE" w:rsidR="0083345B">
        <w:t>espondents</w:t>
      </w:r>
      <w:r w:rsidR="0083345B">
        <w:t>:</w:t>
      </w:r>
      <w:r w:rsidR="0083345B">
        <w:tab/>
        <w:t>60</w:t>
      </w:r>
      <w:r w:rsidRPr="00690CFE" w:rsidR="0083345B">
        <w:br/>
      </w:r>
      <w:r w:rsidR="0083345B">
        <w:t xml:space="preserve">Estimated Time per </w:t>
      </w:r>
      <w:r w:rsidR="00572EA7">
        <w:t>Respondent</w:t>
      </w:r>
      <w:r w:rsidRPr="00690CFE" w:rsidR="00572EA7">
        <w:t>:</w:t>
      </w:r>
      <w:r w:rsidR="0083345B">
        <w:tab/>
        <w:t>15 minutes</w:t>
      </w:r>
    </w:p>
    <w:p w:rsidR="0083345B" w:rsidP="0083345B" w:rsidRDefault="0083345B" w14:paraId="0E5F3EB5" w14:textId="77777777">
      <w:pPr>
        <w:ind w:left="720"/>
      </w:pPr>
      <w:r>
        <w:t>A</w:t>
      </w:r>
      <w:r w:rsidRPr="00690CFE">
        <w:t xml:space="preserve">nnual </w:t>
      </w:r>
      <w:r>
        <w:t>Burden H</w:t>
      </w:r>
      <w:r w:rsidRPr="00690CFE">
        <w:t>our</w:t>
      </w:r>
      <w:r>
        <w:t>s:</w:t>
      </w:r>
      <w:r>
        <w:tab/>
      </w:r>
      <w:r>
        <w:tab/>
      </w:r>
      <w:r w:rsidR="00AA5DA7">
        <w:t>15</w:t>
      </w:r>
      <w:r w:rsidRPr="003C04D9">
        <w:t xml:space="preserve"> </w:t>
      </w:r>
      <w:r w:rsidRPr="00690CFE">
        <w:t>hours</w:t>
      </w:r>
    </w:p>
    <w:p w:rsidR="0083345B" w:rsidP="0083345B" w:rsidRDefault="0083345B" w14:paraId="76F54E49" w14:textId="77777777">
      <w:pPr>
        <w:ind w:left="720"/>
      </w:pPr>
      <w:r>
        <w:t>Frequency of Reporting or Use:</w:t>
      </w:r>
      <w:r>
        <w:tab/>
        <w:t>As needed</w:t>
      </w:r>
    </w:p>
    <w:p w:rsidR="00FF71CD" w:rsidP="0042305A" w:rsidRDefault="00FF71CD" w14:paraId="3BC950FD" w14:textId="77777777">
      <w:pPr>
        <w:ind w:left="720"/>
      </w:pPr>
    </w:p>
    <w:p w:rsidRPr="000B0E89" w:rsidR="0005409D" w:rsidP="0042305A" w:rsidRDefault="00D63E92" w14:paraId="3534C72A" w14:textId="77777777">
      <w:pPr>
        <w:ind w:left="720"/>
      </w:pPr>
      <w:r w:rsidRPr="000B0E89">
        <w:t>A</w:t>
      </w:r>
      <w:r w:rsidRPr="000B0E89" w:rsidR="008C5ACF">
        <w:t>n explanation of</w:t>
      </w:r>
      <w:r w:rsidRPr="000B0E89" w:rsidR="00045D9B">
        <w:t xml:space="preserve"> how the burden was estimated:</w:t>
      </w:r>
      <w:r w:rsidRPr="000B0E89" w:rsidR="00045D9B">
        <w:br/>
      </w:r>
    </w:p>
    <w:p w:rsidR="0083345B" w:rsidP="0042305A" w:rsidRDefault="00DA5331" w14:paraId="44C95426" w14:textId="77777777">
      <w:pPr>
        <w:ind w:left="720"/>
      </w:pPr>
      <w:r w:rsidRPr="00A73C52">
        <w:t xml:space="preserve">From </w:t>
      </w:r>
      <w:proofErr w:type="gramStart"/>
      <w:r w:rsidRPr="00A73C52">
        <w:t>time to time</w:t>
      </w:r>
      <w:proofErr w:type="gramEnd"/>
      <w:r w:rsidRPr="00A73C52">
        <w:t xml:space="preserve"> E</w:t>
      </w:r>
      <w:r w:rsidRPr="00A73C52" w:rsidR="00E05A76">
        <w:t>XIM</w:t>
      </w:r>
      <w:r w:rsidRPr="00A73C52">
        <w:t xml:space="preserve"> staff</w:t>
      </w:r>
      <w:r w:rsidRPr="00A73C52" w:rsidR="00E05A76">
        <w:t xml:space="preserve"> </w:t>
      </w:r>
      <w:r w:rsidRPr="00A73C52">
        <w:t>sit</w:t>
      </w:r>
      <w:r w:rsidRPr="00A73C52" w:rsidR="00FF71CD">
        <w:t>s</w:t>
      </w:r>
      <w:r w:rsidRPr="00A73C52">
        <w:t xml:space="preserve"> down and fill out the form with a sample transaction.  Recently, it took staff about</w:t>
      </w:r>
      <w:r w:rsidR="00A73C52">
        <w:t xml:space="preserve"> 15 minutes</w:t>
      </w:r>
      <w:r w:rsidRPr="00A73C52" w:rsidR="0083345B">
        <w:rPr>
          <w:b/>
          <w:color w:val="FF0000"/>
        </w:rPr>
        <w:t xml:space="preserve"> </w:t>
      </w:r>
      <w:r w:rsidRPr="00A73C52">
        <w:t xml:space="preserve">to fill out the form.  Presuming that all transaction information is </w:t>
      </w:r>
      <w:proofErr w:type="gramStart"/>
      <w:r w:rsidRPr="00A73C52">
        <w:t>collected together</w:t>
      </w:r>
      <w:proofErr w:type="gramEnd"/>
      <w:r w:rsidRPr="00A73C52">
        <w:t xml:space="preserve"> in a transaction </w:t>
      </w:r>
      <w:r w:rsidRPr="001F2D26">
        <w:t>file, the claimant should also be able to complete the form in</w:t>
      </w:r>
      <w:r w:rsidRPr="001F2D26" w:rsidR="00A73C52">
        <w:t xml:space="preserve"> 15 minutes</w:t>
      </w:r>
      <w:r w:rsidRPr="001F2D26">
        <w:t>.</w:t>
      </w:r>
      <w:r w:rsidRPr="00A73C52">
        <w:t xml:space="preserve">  </w:t>
      </w:r>
    </w:p>
    <w:p w:rsidR="00A73C52" w:rsidP="0042305A" w:rsidRDefault="00A73C52" w14:paraId="7AAE10FD" w14:textId="77777777">
      <w:pPr>
        <w:ind w:left="720"/>
      </w:pPr>
    </w:p>
    <w:p w:rsidRPr="003C04D9" w:rsidR="00633291" w:rsidP="0042305A" w:rsidRDefault="00633291" w14:paraId="02CEBC4A" w14:textId="77777777">
      <w:pPr>
        <w:ind w:left="720"/>
      </w:pPr>
    </w:p>
    <w:p w:rsidRPr="00045D9B" w:rsidR="008C5ACF" w:rsidP="00045D9B" w:rsidRDefault="008C5ACF" w14:paraId="501A1875" w14:textId="77777777">
      <w:pPr>
        <w:numPr>
          <w:ilvl w:val="0"/>
          <w:numId w:val="2"/>
        </w:numPr>
      </w:pPr>
      <w:r w:rsidRPr="00045D9B">
        <w:t xml:space="preserve">Provide an estimate for the total annual </w:t>
      </w:r>
      <w:r w:rsidRPr="00045D9B" w:rsidR="00BC02CD">
        <w:t>cost burden to respondents or records keepers resulting from the collection of information.  (Do not include the cost of any hour burden shown in items 12 and 14).</w:t>
      </w:r>
      <w:r w:rsidR="00045D9B">
        <w:br/>
      </w:r>
      <w:r w:rsidR="00045D9B">
        <w:br/>
      </w:r>
      <w:r w:rsidRPr="00690CFE" w:rsidR="00045D9B">
        <w:t>Not applicable</w:t>
      </w:r>
      <w:r w:rsidR="00B83ACA">
        <w:t>.</w:t>
      </w:r>
      <w:r w:rsidRPr="00690CFE" w:rsidR="00BC02CD">
        <w:br/>
      </w:r>
    </w:p>
    <w:p w:rsidR="00366D0A" w:rsidP="002211B5" w:rsidRDefault="00BC02CD" w14:paraId="1429157A" w14:textId="77777777">
      <w:pPr>
        <w:numPr>
          <w:ilvl w:val="0"/>
          <w:numId w:val="2"/>
        </w:numPr>
      </w:pPr>
      <w:r w:rsidRPr="00045D9B">
        <w:t>Provide estimates of annualized costs to the Federal government</w:t>
      </w:r>
      <w:r w:rsidR="00994746">
        <w:t xml:space="preserve"> </w:t>
      </w:r>
    </w:p>
    <w:p w:rsidRPr="00045D9B" w:rsidR="00500644" w:rsidP="00366D0A" w:rsidRDefault="00D63E92" w14:paraId="0729B30E" w14:textId="77777777">
      <w:pPr>
        <w:ind w:left="720"/>
      </w:pPr>
      <w:r w:rsidRPr="00045D9B">
        <w:rPr>
          <w:b/>
        </w:rPr>
        <w:br/>
      </w:r>
      <w:r w:rsidRPr="00572EA7">
        <w:t xml:space="preserve">Reviewing time per </w:t>
      </w:r>
      <w:r w:rsidR="00572EA7">
        <w:t>Response</w:t>
      </w:r>
      <w:r w:rsidRPr="00572EA7">
        <w:t>:</w:t>
      </w:r>
      <w:r w:rsidRPr="00572EA7" w:rsidR="00B83ACA">
        <w:tab/>
      </w:r>
      <w:r w:rsidRPr="00572EA7" w:rsidR="00DA5331">
        <w:t>1 hour</w:t>
      </w:r>
      <w:r w:rsidRPr="00572EA7">
        <w:br/>
        <w:t>Responses per year</w:t>
      </w:r>
      <w:r w:rsidRPr="00572EA7" w:rsidR="00994746">
        <w:t>:</w:t>
      </w:r>
      <w:r w:rsidRPr="00572EA7" w:rsidR="00B83ACA">
        <w:tab/>
      </w:r>
      <w:r w:rsidRPr="00572EA7" w:rsidR="00B83ACA">
        <w:tab/>
      </w:r>
      <w:r w:rsidR="00572EA7">
        <w:tab/>
      </w:r>
      <w:r w:rsidRPr="00572EA7" w:rsidR="00B83ACA">
        <w:t>60</w:t>
      </w:r>
      <w:r w:rsidRPr="00572EA7">
        <w:tab/>
      </w:r>
      <w:r w:rsidRPr="00572EA7">
        <w:tab/>
      </w:r>
      <w:r w:rsidRPr="00572EA7">
        <w:br/>
      </w:r>
      <w:r w:rsidRPr="00572EA7">
        <w:lastRenderedPageBreak/>
        <w:t>Reviewing time per year</w:t>
      </w:r>
      <w:r w:rsidRPr="00572EA7" w:rsidR="00FF71CD">
        <w:t>:</w:t>
      </w:r>
      <w:r w:rsidRPr="00572EA7" w:rsidR="00B83ACA">
        <w:tab/>
      </w:r>
      <w:r w:rsidR="00572EA7">
        <w:tab/>
      </w:r>
      <w:r w:rsidRPr="00572EA7" w:rsidR="00B83ACA">
        <w:t>60</w:t>
      </w:r>
      <w:r w:rsidRPr="00572EA7" w:rsidR="00DA5331">
        <w:rPr>
          <w:color w:val="FF0000"/>
        </w:rPr>
        <w:t xml:space="preserve"> </w:t>
      </w:r>
      <w:r w:rsidRPr="00572EA7" w:rsidR="00045D9B">
        <w:t>hours</w:t>
      </w:r>
      <w:r w:rsidRPr="00572EA7">
        <w:br/>
        <w:t>Average Wages per hour</w:t>
      </w:r>
      <w:r w:rsidRPr="00572EA7" w:rsidR="00FF71CD">
        <w:t>:</w:t>
      </w:r>
      <w:r w:rsidRPr="00572EA7" w:rsidR="00B83ACA">
        <w:tab/>
      </w:r>
      <w:r w:rsidR="00572EA7">
        <w:tab/>
      </w:r>
      <w:r w:rsidRPr="00572EA7" w:rsidR="00D00788">
        <w:t>$42</w:t>
      </w:r>
      <w:r w:rsidRPr="00572EA7" w:rsidR="00045D9B">
        <w:t>.</w:t>
      </w:r>
      <w:r w:rsidRPr="00572EA7" w:rsidR="00D00788">
        <w:t>5</w:t>
      </w:r>
      <w:r w:rsidRPr="00572EA7" w:rsidR="00045D9B">
        <w:t>0</w:t>
      </w:r>
      <w:r w:rsidRPr="00572EA7">
        <w:t xml:space="preserve">   </w:t>
      </w:r>
      <w:r w:rsidRPr="00572EA7">
        <w:br/>
        <w:t>Average cost per year</w:t>
      </w:r>
      <w:r w:rsidRPr="00572EA7" w:rsidR="00FF71CD">
        <w:t>:</w:t>
      </w:r>
      <w:r w:rsidRPr="00572EA7" w:rsidR="00B83ACA">
        <w:tab/>
      </w:r>
      <w:r w:rsidR="00572EA7">
        <w:tab/>
      </w:r>
      <w:r w:rsidRPr="00572EA7" w:rsidR="00045D9B">
        <w:t>$</w:t>
      </w:r>
      <w:r w:rsidRPr="00572EA7" w:rsidR="00D00788">
        <w:t>2,</w:t>
      </w:r>
      <w:r w:rsidRPr="00572EA7" w:rsidR="00B83ACA">
        <w:t>550</w:t>
      </w:r>
      <w:r w:rsidRPr="00572EA7" w:rsidR="00B83ACA">
        <w:br/>
        <w:t xml:space="preserve">    </w:t>
      </w:r>
      <w:proofErr w:type="gramStart"/>
      <w:r w:rsidRPr="00572EA7" w:rsidR="00B83ACA">
        <w:t xml:space="preserve">   </w:t>
      </w:r>
      <w:r w:rsidRPr="00572EA7">
        <w:t>(</w:t>
      </w:r>
      <w:proofErr w:type="gramEnd"/>
      <w:r w:rsidRPr="00572EA7">
        <w:t>time * wages)</w:t>
      </w:r>
      <w:r w:rsidRPr="00572EA7">
        <w:br/>
        <w:t>Benefits and overhead</w:t>
      </w:r>
      <w:r w:rsidRPr="00572EA7" w:rsidR="00FF71CD">
        <w:t>:</w:t>
      </w:r>
      <w:r w:rsidRPr="00572EA7" w:rsidR="00B83ACA">
        <w:tab/>
      </w:r>
      <w:r w:rsidR="00572EA7">
        <w:tab/>
      </w:r>
      <w:r w:rsidRPr="00572EA7" w:rsidR="00B83ACA">
        <w:t>2</w:t>
      </w:r>
      <w:r w:rsidRPr="00572EA7" w:rsidR="00366D0A">
        <w:t>0</w:t>
      </w:r>
      <w:r w:rsidRPr="00572EA7" w:rsidR="00045D9B">
        <w:t>%</w:t>
      </w:r>
      <w:r w:rsidRPr="00572EA7">
        <w:br/>
        <w:t>Total Government Cost</w:t>
      </w:r>
      <w:r w:rsidRPr="00572EA7" w:rsidR="00FF71CD">
        <w:t>:</w:t>
      </w:r>
      <w:r w:rsidRPr="00572EA7" w:rsidR="00B83ACA">
        <w:tab/>
      </w:r>
      <w:r w:rsidR="00572EA7">
        <w:tab/>
      </w:r>
      <w:r w:rsidRPr="00572EA7" w:rsidR="00045D9B">
        <w:t>$</w:t>
      </w:r>
      <w:r w:rsidRPr="00572EA7" w:rsidR="00DA5331">
        <w:t>3,</w:t>
      </w:r>
      <w:r w:rsidRPr="00572EA7" w:rsidR="00B83ACA">
        <w:t>060</w:t>
      </w:r>
      <w:r w:rsidR="005D679E">
        <w:t xml:space="preserve"> </w:t>
      </w:r>
      <w:r w:rsidRPr="00690CFE">
        <w:br/>
      </w:r>
    </w:p>
    <w:p w:rsidRPr="00045D9B" w:rsidR="0028495A" w:rsidP="002211B5" w:rsidRDefault="00500644" w14:paraId="65C6C95F" w14:textId="77777777">
      <w:pPr>
        <w:numPr>
          <w:ilvl w:val="0"/>
          <w:numId w:val="2"/>
        </w:numPr>
      </w:pPr>
      <w:r w:rsidRPr="00045D9B">
        <w:t>Explain the reasons for any program changes or adjusted re</w:t>
      </w:r>
      <w:r w:rsidRPr="00045D9B" w:rsidR="00815718">
        <w:t>ported in items 13 or</w:t>
      </w:r>
      <w:r w:rsidRPr="00045D9B" w:rsidR="00990969">
        <w:t xml:space="preserve"> </w:t>
      </w:r>
      <w:r w:rsidRPr="00045D9B" w:rsidR="00815718">
        <w:t>14 of OMB For</w:t>
      </w:r>
      <w:r w:rsidRPr="00045D9B">
        <w:t>m 83-1.</w:t>
      </w:r>
      <w:r w:rsidRPr="00045D9B" w:rsidR="00BC02CD">
        <w:t xml:space="preserve"> </w:t>
      </w:r>
    </w:p>
    <w:p w:rsidRPr="00045D9B" w:rsidR="0028495A" w:rsidP="0028495A" w:rsidRDefault="0028495A" w14:paraId="16281E93" w14:textId="77777777">
      <w:pPr>
        <w:ind w:left="360"/>
      </w:pPr>
    </w:p>
    <w:p w:rsidRPr="00331269" w:rsidR="00BC02CD" w:rsidP="0028495A" w:rsidRDefault="009E6F81" w14:paraId="1C29B7CF" w14:textId="77777777">
      <w:pPr>
        <w:ind w:left="360"/>
      </w:pPr>
      <w:r>
        <w:rPr>
          <w:color w:val="FF0000"/>
        </w:rPr>
        <w:tab/>
      </w:r>
      <w:r w:rsidRPr="00331269">
        <w:t>Not applicable</w:t>
      </w:r>
      <w:r w:rsidRPr="00331269" w:rsidR="0028495A">
        <w:t>.</w:t>
      </w:r>
      <w:r w:rsidRPr="00331269" w:rsidR="00BC02CD">
        <w:br/>
      </w:r>
    </w:p>
    <w:p w:rsidR="00BC02CD" w:rsidP="002211B5" w:rsidRDefault="00BC02CD" w14:paraId="077D41D7" w14:textId="77777777">
      <w:pPr>
        <w:numPr>
          <w:ilvl w:val="0"/>
          <w:numId w:val="2"/>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br/>
      </w:r>
    </w:p>
    <w:p w:rsidRPr="00572EA7" w:rsidR="0028495A" w:rsidP="0042305A" w:rsidRDefault="00572EA7" w14:paraId="6B538D13" w14:textId="77777777">
      <w:pPr>
        <w:ind w:left="720"/>
      </w:pPr>
      <w:r w:rsidRPr="00572EA7">
        <w:t xml:space="preserve">Not </w:t>
      </w:r>
      <w:r>
        <w:t>a</w:t>
      </w:r>
      <w:r w:rsidRPr="00572EA7">
        <w:t xml:space="preserve">pplicable. </w:t>
      </w:r>
    </w:p>
    <w:p w:rsidR="0028495A" w:rsidP="0028495A" w:rsidRDefault="0028495A" w14:paraId="7F58060A" w14:textId="77777777">
      <w:pPr>
        <w:ind w:left="360"/>
      </w:pPr>
    </w:p>
    <w:p w:rsidR="0028495A" w:rsidP="002211B5" w:rsidRDefault="00BC02CD" w14:paraId="6EEC9C73" w14:textId="77777777">
      <w:pPr>
        <w:numPr>
          <w:ilvl w:val="0"/>
          <w:numId w:val="2"/>
        </w:numPr>
      </w:pPr>
      <w:r>
        <w:t>If seeking approval to not display the expiration date for OMB approval of the information collection, explain the reasons that display would be inappropriate.</w:t>
      </w:r>
    </w:p>
    <w:p w:rsidR="0028495A" w:rsidP="0028495A" w:rsidRDefault="0028495A" w14:paraId="063ADA7F" w14:textId="77777777">
      <w:pPr>
        <w:ind w:left="360"/>
      </w:pPr>
    </w:p>
    <w:p w:rsidRPr="00690CFE" w:rsidR="00500644" w:rsidP="0042305A" w:rsidRDefault="0028495A" w14:paraId="1ADCF136" w14:textId="77777777">
      <w:pPr>
        <w:ind w:left="720"/>
      </w:pPr>
      <w:r w:rsidRPr="00690CFE">
        <w:t>E</w:t>
      </w:r>
      <w:r w:rsidR="00E05A76">
        <w:t xml:space="preserve">XIM </w:t>
      </w:r>
      <w:r w:rsidRPr="00690CFE">
        <w:t>is not seeking approval to not display the expiration date.</w:t>
      </w:r>
      <w:r w:rsidRPr="00690CFE" w:rsidR="00500644">
        <w:br/>
      </w:r>
    </w:p>
    <w:p w:rsidR="0028495A" w:rsidP="002211B5" w:rsidRDefault="00500644" w14:paraId="291E6B80" w14:textId="77777777">
      <w:pPr>
        <w:numPr>
          <w:ilvl w:val="0"/>
          <w:numId w:val="2"/>
        </w:numPr>
      </w:pPr>
      <w:r>
        <w:t>Explain each exception to the certification statement identified in Item 19 “Certification for Paperwork Reduction Act Submissions,” of OMB Form 83-1.</w:t>
      </w:r>
    </w:p>
    <w:p w:rsidR="0028495A" w:rsidP="0028495A" w:rsidRDefault="0028495A" w14:paraId="0F0EE0E6" w14:textId="77777777">
      <w:pPr>
        <w:ind w:left="360"/>
      </w:pPr>
    </w:p>
    <w:p w:rsidRPr="00690CFE" w:rsidR="00BC02CD" w:rsidP="0042305A" w:rsidRDefault="0028495A" w14:paraId="48D69166" w14:textId="77777777">
      <w:pPr>
        <w:ind w:left="720"/>
      </w:pPr>
      <w:r w:rsidRPr="00690CFE">
        <w:t>There are no exceptions to the certification statement.</w:t>
      </w:r>
      <w:r w:rsidRPr="00690CFE" w:rsidR="00BC02CD">
        <w:br/>
      </w:r>
    </w:p>
    <w:p w:rsidRPr="00045D9B" w:rsidR="00BC02CD" w:rsidP="00BC02CD" w:rsidRDefault="00BC02CD" w14:paraId="6A94D895" w14:textId="77777777">
      <w:pPr>
        <w:numPr>
          <w:ilvl w:val="0"/>
          <w:numId w:val="1"/>
        </w:numPr>
      </w:pPr>
      <w:r w:rsidRPr="00045D9B">
        <w:t>Collection of Information Employing Statistical Methods</w:t>
      </w:r>
      <w:r w:rsidRPr="00045D9B">
        <w:br/>
      </w:r>
    </w:p>
    <w:p w:rsidRPr="00045D9B" w:rsidR="00BC02CD" w:rsidP="00BC02CD" w:rsidRDefault="00BC02CD" w14:paraId="6B45C6DC" w14:textId="77777777">
      <w:pPr>
        <w:ind w:left="360"/>
      </w:pPr>
      <w:r w:rsidRPr="00045D9B">
        <w:t xml:space="preserve">The agency should be prepared to justify its decision not to use statistical methods in any case where such methods might reduce burden or improve accuracy of results.  </w:t>
      </w:r>
      <w:r w:rsidRPr="00045D9B" w:rsidR="00500644">
        <w:t>When Item 17 on OMB Form 83-1 is checked, “Yes” the following documentation should be included in the Supporting Statement to the exten</w:t>
      </w:r>
      <w:r w:rsidR="005F1DCE">
        <w:t>t</w:t>
      </w:r>
      <w:r w:rsidRPr="00045D9B" w:rsidR="00500644">
        <w:t xml:space="preserve"> that it applies to the methods proposed:</w:t>
      </w:r>
    </w:p>
    <w:p w:rsidRPr="00690CFE" w:rsidR="00F06F63" w:rsidP="00BC02CD" w:rsidRDefault="00045D9B" w14:paraId="6EEAD3FD" w14:textId="77777777">
      <w:pPr>
        <w:ind w:left="360"/>
      </w:pPr>
      <w:r w:rsidRPr="00690CFE">
        <w:t xml:space="preserve">Statistical methods are not used in </w:t>
      </w:r>
      <w:r w:rsidRPr="00690CFE" w:rsidR="00F06F63">
        <w:t xml:space="preserve">this collection.  </w:t>
      </w:r>
    </w:p>
    <w:sectPr w:rsidRPr="00690CFE" w:rsidR="00F06F63" w:rsidSect="003E03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68D8" w14:textId="77777777" w:rsidR="004D19A8" w:rsidRDefault="004D19A8" w:rsidP="00F977CF">
      <w:r>
        <w:separator/>
      </w:r>
    </w:p>
  </w:endnote>
  <w:endnote w:type="continuationSeparator" w:id="0">
    <w:p w14:paraId="709BB5D9" w14:textId="77777777" w:rsidR="004D19A8" w:rsidRDefault="004D19A8" w:rsidP="00F9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8AAB" w14:textId="77777777" w:rsidR="004D19A8" w:rsidRDefault="004D19A8" w:rsidP="00F977CF">
      <w:r>
        <w:separator/>
      </w:r>
    </w:p>
  </w:footnote>
  <w:footnote w:type="continuationSeparator" w:id="0">
    <w:p w14:paraId="011232EC" w14:textId="77777777" w:rsidR="004D19A8" w:rsidRDefault="004D19A8" w:rsidP="00F97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18443A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442E4C"/>
    <w:multiLevelType w:val="hybridMultilevel"/>
    <w:tmpl w:val="AFA28C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45D9B"/>
    <w:rsid w:val="0005409D"/>
    <w:rsid w:val="00054992"/>
    <w:rsid w:val="000722A9"/>
    <w:rsid w:val="00087FF5"/>
    <w:rsid w:val="000B0641"/>
    <w:rsid w:val="000B0E89"/>
    <w:rsid w:val="000D2F53"/>
    <w:rsid w:val="000D38DD"/>
    <w:rsid w:val="000E4823"/>
    <w:rsid w:val="000E7126"/>
    <w:rsid w:val="000F09EA"/>
    <w:rsid w:val="00111C59"/>
    <w:rsid w:val="00112D23"/>
    <w:rsid w:val="00117F34"/>
    <w:rsid w:val="00142A92"/>
    <w:rsid w:val="001B3BDA"/>
    <w:rsid w:val="001D683D"/>
    <w:rsid w:val="001D7303"/>
    <w:rsid w:val="001F14E1"/>
    <w:rsid w:val="001F2D26"/>
    <w:rsid w:val="00203796"/>
    <w:rsid w:val="002211B5"/>
    <w:rsid w:val="00234B97"/>
    <w:rsid w:val="002462C9"/>
    <w:rsid w:val="00266702"/>
    <w:rsid w:val="00277DAF"/>
    <w:rsid w:val="0028495A"/>
    <w:rsid w:val="00285940"/>
    <w:rsid w:val="00293E0B"/>
    <w:rsid w:val="002A7E81"/>
    <w:rsid w:val="002B1BB2"/>
    <w:rsid w:val="002B5C29"/>
    <w:rsid w:val="002C5F46"/>
    <w:rsid w:val="002D2B8C"/>
    <w:rsid w:val="002F553C"/>
    <w:rsid w:val="00304298"/>
    <w:rsid w:val="00326CAA"/>
    <w:rsid w:val="00331269"/>
    <w:rsid w:val="0035172A"/>
    <w:rsid w:val="00354741"/>
    <w:rsid w:val="003636F2"/>
    <w:rsid w:val="003640CA"/>
    <w:rsid w:val="00365FDC"/>
    <w:rsid w:val="00366D0A"/>
    <w:rsid w:val="0037738F"/>
    <w:rsid w:val="003A55BD"/>
    <w:rsid w:val="003B6C93"/>
    <w:rsid w:val="003C04D9"/>
    <w:rsid w:val="003D18E0"/>
    <w:rsid w:val="003E0304"/>
    <w:rsid w:val="003E3F21"/>
    <w:rsid w:val="003F2EC7"/>
    <w:rsid w:val="003F6699"/>
    <w:rsid w:val="004055C3"/>
    <w:rsid w:val="0042305A"/>
    <w:rsid w:val="0042482B"/>
    <w:rsid w:val="00432F1A"/>
    <w:rsid w:val="00442816"/>
    <w:rsid w:val="0045292A"/>
    <w:rsid w:val="00477326"/>
    <w:rsid w:val="004A43FE"/>
    <w:rsid w:val="004A58D5"/>
    <w:rsid w:val="004B6823"/>
    <w:rsid w:val="004D1414"/>
    <w:rsid w:val="004D19A8"/>
    <w:rsid w:val="004E7916"/>
    <w:rsid w:val="004F5C8A"/>
    <w:rsid w:val="00500644"/>
    <w:rsid w:val="005517C5"/>
    <w:rsid w:val="00572EA7"/>
    <w:rsid w:val="00584B4F"/>
    <w:rsid w:val="0059265D"/>
    <w:rsid w:val="005A3972"/>
    <w:rsid w:val="005A3A50"/>
    <w:rsid w:val="005C0B32"/>
    <w:rsid w:val="005D47F4"/>
    <w:rsid w:val="005D679E"/>
    <w:rsid w:val="005F1DCE"/>
    <w:rsid w:val="005F1E47"/>
    <w:rsid w:val="00624B93"/>
    <w:rsid w:val="00633291"/>
    <w:rsid w:val="00670C06"/>
    <w:rsid w:val="00681832"/>
    <w:rsid w:val="00685A45"/>
    <w:rsid w:val="006862AF"/>
    <w:rsid w:val="00686F23"/>
    <w:rsid w:val="00690CFE"/>
    <w:rsid w:val="00694AF5"/>
    <w:rsid w:val="006E6F5A"/>
    <w:rsid w:val="006F2980"/>
    <w:rsid w:val="00701F42"/>
    <w:rsid w:val="007037C6"/>
    <w:rsid w:val="0071283A"/>
    <w:rsid w:val="0072296E"/>
    <w:rsid w:val="00745173"/>
    <w:rsid w:val="00746BDF"/>
    <w:rsid w:val="00751E6F"/>
    <w:rsid w:val="0075736F"/>
    <w:rsid w:val="0077781F"/>
    <w:rsid w:val="007B74C3"/>
    <w:rsid w:val="007E43CB"/>
    <w:rsid w:val="007E610D"/>
    <w:rsid w:val="007E6297"/>
    <w:rsid w:val="00815718"/>
    <w:rsid w:val="0083345B"/>
    <w:rsid w:val="008507A5"/>
    <w:rsid w:val="00851171"/>
    <w:rsid w:val="00851583"/>
    <w:rsid w:val="00860E48"/>
    <w:rsid w:val="008A7B2A"/>
    <w:rsid w:val="008C5ACF"/>
    <w:rsid w:val="008F1E86"/>
    <w:rsid w:val="00904BCB"/>
    <w:rsid w:val="00914209"/>
    <w:rsid w:val="00920276"/>
    <w:rsid w:val="00925F03"/>
    <w:rsid w:val="009331D0"/>
    <w:rsid w:val="0095352A"/>
    <w:rsid w:val="00955532"/>
    <w:rsid w:val="009610E9"/>
    <w:rsid w:val="00961306"/>
    <w:rsid w:val="009717E9"/>
    <w:rsid w:val="00990969"/>
    <w:rsid w:val="00994746"/>
    <w:rsid w:val="009A2B6D"/>
    <w:rsid w:val="009B0425"/>
    <w:rsid w:val="009B7792"/>
    <w:rsid w:val="009D75F3"/>
    <w:rsid w:val="009E6722"/>
    <w:rsid w:val="009E6F81"/>
    <w:rsid w:val="00A170B7"/>
    <w:rsid w:val="00A20AC9"/>
    <w:rsid w:val="00A35D52"/>
    <w:rsid w:val="00A41B82"/>
    <w:rsid w:val="00A47ABD"/>
    <w:rsid w:val="00A66E64"/>
    <w:rsid w:val="00A67AD6"/>
    <w:rsid w:val="00A73C52"/>
    <w:rsid w:val="00A920F0"/>
    <w:rsid w:val="00A957DD"/>
    <w:rsid w:val="00AA2FEB"/>
    <w:rsid w:val="00AA5DA7"/>
    <w:rsid w:val="00AA7AB4"/>
    <w:rsid w:val="00AD07D8"/>
    <w:rsid w:val="00AD4D62"/>
    <w:rsid w:val="00AF6216"/>
    <w:rsid w:val="00B01095"/>
    <w:rsid w:val="00B07027"/>
    <w:rsid w:val="00B15D91"/>
    <w:rsid w:val="00B25570"/>
    <w:rsid w:val="00B35A5E"/>
    <w:rsid w:val="00B51211"/>
    <w:rsid w:val="00B5640B"/>
    <w:rsid w:val="00B603AB"/>
    <w:rsid w:val="00B70B94"/>
    <w:rsid w:val="00B83ACA"/>
    <w:rsid w:val="00BC02CD"/>
    <w:rsid w:val="00BC7060"/>
    <w:rsid w:val="00BD37B4"/>
    <w:rsid w:val="00BD5DDE"/>
    <w:rsid w:val="00BE02B7"/>
    <w:rsid w:val="00BE1331"/>
    <w:rsid w:val="00C02935"/>
    <w:rsid w:val="00C05D37"/>
    <w:rsid w:val="00C41D98"/>
    <w:rsid w:val="00C43B2D"/>
    <w:rsid w:val="00CA5230"/>
    <w:rsid w:val="00CF1DD1"/>
    <w:rsid w:val="00CF3C6D"/>
    <w:rsid w:val="00CF579D"/>
    <w:rsid w:val="00CF664B"/>
    <w:rsid w:val="00D00788"/>
    <w:rsid w:val="00D12C77"/>
    <w:rsid w:val="00D162E4"/>
    <w:rsid w:val="00D34E80"/>
    <w:rsid w:val="00D3582C"/>
    <w:rsid w:val="00D41437"/>
    <w:rsid w:val="00D469CE"/>
    <w:rsid w:val="00D56F6E"/>
    <w:rsid w:val="00D63E92"/>
    <w:rsid w:val="00D731CD"/>
    <w:rsid w:val="00D92AD5"/>
    <w:rsid w:val="00DA3D07"/>
    <w:rsid w:val="00DA5331"/>
    <w:rsid w:val="00DC1A6C"/>
    <w:rsid w:val="00DC1FA8"/>
    <w:rsid w:val="00DD02F8"/>
    <w:rsid w:val="00DD345F"/>
    <w:rsid w:val="00DE47B4"/>
    <w:rsid w:val="00E00FDA"/>
    <w:rsid w:val="00E05A76"/>
    <w:rsid w:val="00E22D31"/>
    <w:rsid w:val="00E24519"/>
    <w:rsid w:val="00E24F51"/>
    <w:rsid w:val="00E3538E"/>
    <w:rsid w:val="00E4332A"/>
    <w:rsid w:val="00E447ED"/>
    <w:rsid w:val="00ED04EC"/>
    <w:rsid w:val="00ED2091"/>
    <w:rsid w:val="00F06F63"/>
    <w:rsid w:val="00F105D8"/>
    <w:rsid w:val="00F2259B"/>
    <w:rsid w:val="00F3571A"/>
    <w:rsid w:val="00F44C49"/>
    <w:rsid w:val="00F479C2"/>
    <w:rsid w:val="00F617D6"/>
    <w:rsid w:val="00F83DD3"/>
    <w:rsid w:val="00F92EF0"/>
    <w:rsid w:val="00F977CF"/>
    <w:rsid w:val="00FB2478"/>
    <w:rsid w:val="00FC5C2F"/>
    <w:rsid w:val="00FE14E8"/>
    <w:rsid w:val="00FE7EC5"/>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33A732B7"/>
  <w15:chartTrackingRefBased/>
  <w15:docId w15:val="{BFB74661-E094-4370-8124-F8720A0C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617D6"/>
    <w:rPr>
      <w:rFonts w:ascii="Tahoma" w:hAnsi="Tahoma" w:cs="Tahoma"/>
      <w:sz w:val="16"/>
      <w:szCs w:val="16"/>
    </w:rPr>
  </w:style>
  <w:style w:type="character" w:styleId="CommentReference">
    <w:name w:val="annotation reference"/>
    <w:semiHidden/>
    <w:rsid w:val="00F617D6"/>
    <w:rPr>
      <w:sz w:val="16"/>
      <w:szCs w:val="16"/>
    </w:rPr>
  </w:style>
  <w:style w:type="paragraph" w:styleId="CommentText">
    <w:name w:val="annotation text"/>
    <w:basedOn w:val="Normal"/>
    <w:semiHidden/>
    <w:rsid w:val="00F617D6"/>
    <w:rPr>
      <w:sz w:val="20"/>
      <w:szCs w:val="20"/>
    </w:rPr>
  </w:style>
  <w:style w:type="paragraph" w:styleId="CommentSubject">
    <w:name w:val="annotation subject"/>
    <w:basedOn w:val="CommentText"/>
    <w:next w:val="CommentText"/>
    <w:semiHidden/>
    <w:rsid w:val="00F617D6"/>
    <w:rPr>
      <w:b/>
      <w:bCs/>
    </w:rPr>
  </w:style>
  <w:style w:type="paragraph" w:styleId="Revision">
    <w:name w:val="Revision"/>
    <w:hidden/>
    <w:uiPriority w:val="99"/>
    <w:semiHidden/>
    <w:rsid w:val="00AF6216"/>
    <w:rPr>
      <w:sz w:val="24"/>
      <w:szCs w:val="24"/>
    </w:rPr>
  </w:style>
  <w:style w:type="paragraph" w:customStyle="1" w:styleId="Default">
    <w:name w:val="Default"/>
    <w:rsid w:val="00AF6216"/>
    <w:pPr>
      <w:autoSpaceDE w:val="0"/>
      <w:autoSpaceDN w:val="0"/>
      <w:adjustRightInd w:val="0"/>
    </w:pPr>
    <w:rPr>
      <w:color w:val="000000"/>
      <w:sz w:val="24"/>
      <w:szCs w:val="24"/>
    </w:rPr>
  </w:style>
  <w:style w:type="paragraph" w:styleId="Header">
    <w:name w:val="header"/>
    <w:basedOn w:val="Normal"/>
    <w:link w:val="HeaderChar"/>
    <w:rsid w:val="00F977CF"/>
    <w:pPr>
      <w:tabs>
        <w:tab w:val="center" w:pos="4680"/>
        <w:tab w:val="right" w:pos="9360"/>
      </w:tabs>
    </w:pPr>
  </w:style>
  <w:style w:type="character" w:customStyle="1" w:styleId="HeaderChar">
    <w:name w:val="Header Char"/>
    <w:link w:val="Header"/>
    <w:rsid w:val="00F977CF"/>
    <w:rPr>
      <w:sz w:val="24"/>
      <w:szCs w:val="24"/>
    </w:rPr>
  </w:style>
  <w:style w:type="paragraph" w:styleId="Footer">
    <w:name w:val="footer"/>
    <w:basedOn w:val="Normal"/>
    <w:link w:val="FooterChar"/>
    <w:rsid w:val="00F977CF"/>
    <w:pPr>
      <w:tabs>
        <w:tab w:val="center" w:pos="4680"/>
        <w:tab w:val="right" w:pos="9360"/>
      </w:tabs>
    </w:pPr>
  </w:style>
  <w:style w:type="character" w:customStyle="1" w:styleId="FooterChar">
    <w:name w:val="Footer Char"/>
    <w:link w:val="Footer"/>
    <w:rsid w:val="00F977CF"/>
    <w:rPr>
      <w:sz w:val="24"/>
      <w:szCs w:val="24"/>
    </w:rPr>
  </w:style>
  <w:style w:type="paragraph" w:styleId="ListParagraph">
    <w:name w:val="List Paragraph"/>
    <w:basedOn w:val="Normal"/>
    <w:uiPriority w:val="34"/>
    <w:qFormat/>
    <w:rsid w:val="001D683D"/>
    <w:pPr>
      <w:ind w:left="720"/>
    </w:pPr>
    <w:rPr>
      <w:rFonts w:eastAsia="Calibri"/>
    </w:rPr>
  </w:style>
  <w:style w:type="paragraph" w:customStyle="1" w:styleId="xmsonormal">
    <w:name w:val="x_msonormal"/>
    <w:basedOn w:val="Normal"/>
    <w:rsid w:val="001D683D"/>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682750">
      <w:bodyDiv w:val="1"/>
      <w:marLeft w:val="0"/>
      <w:marRight w:val="0"/>
      <w:marTop w:val="0"/>
      <w:marBottom w:val="0"/>
      <w:divBdr>
        <w:top w:val="none" w:sz="0" w:space="0" w:color="auto"/>
        <w:left w:val="none" w:sz="0" w:space="0" w:color="auto"/>
        <w:bottom w:val="none" w:sz="0" w:space="0" w:color="auto"/>
        <w:right w:val="none" w:sz="0" w:space="0" w:color="auto"/>
      </w:divBdr>
    </w:div>
    <w:div w:id="1566183453">
      <w:bodyDiv w:val="1"/>
      <w:marLeft w:val="0"/>
      <w:marRight w:val="0"/>
      <w:marTop w:val="0"/>
      <w:marBottom w:val="0"/>
      <w:divBdr>
        <w:top w:val="none" w:sz="0" w:space="0" w:color="auto"/>
        <w:left w:val="none" w:sz="0" w:space="0" w:color="auto"/>
        <w:bottom w:val="none" w:sz="0" w:space="0" w:color="auto"/>
        <w:right w:val="none" w:sz="0" w:space="0" w:color="auto"/>
      </w:divBdr>
    </w:div>
    <w:div w:id="19193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E9169-B011-435D-8B84-AABC35D4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2011-02-14T13:41:00Z</cp:lastPrinted>
  <dcterms:created xsi:type="dcterms:W3CDTF">2022-02-18T16:40:00Z</dcterms:created>
  <dcterms:modified xsi:type="dcterms:W3CDTF">2022-02-18T16:40:00Z</dcterms:modified>
</cp:coreProperties>
</file>