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31D4" w:rsidR="00DF2BCC" w:rsidP="00DF2BCC" w:rsidRDefault="00DF2BCC" w14:paraId="772F3BE4" w14:textId="77777777">
      <w:pPr>
        <w:jc w:val="center"/>
        <w:outlineLvl w:val="0"/>
        <w:rPr>
          <w:b/>
          <w:szCs w:val="24"/>
        </w:rPr>
      </w:pPr>
      <w:r w:rsidRPr="00C031D4">
        <w:rPr>
          <w:b/>
          <w:szCs w:val="24"/>
        </w:rPr>
        <w:t>Supporting Statement</w:t>
      </w:r>
    </w:p>
    <w:p w:rsidRPr="00C031D4" w:rsidR="00DF2BCC" w:rsidP="00DF2BCC" w:rsidRDefault="00DF2BCC" w14:paraId="6A1998AE" w14:textId="77777777">
      <w:pPr>
        <w:jc w:val="center"/>
        <w:outlineLvl w:val="0"/>
        <w:rPr>
          <w:b/>
          <w:szCs w:val="24"/>
        </w:rPr>
      </w:pPr>
      <w:r w:rsidRPr="00C031D4">
        <w:rPr>
          <w:b/>
          <w:szCs w:val="24"/>
        </w:rPr>
        <w:t xml:space="preserve">Requests to </w:t>
      </w:r>
      <w:r w:rsidR="004C2087">
        <w:rPr>
          <w:b/>
          <w:szCs w:val="24"/>
        </w:rPr>
        <w:t>u</w:t>
      </w:r>
      <w:r w:rsidRPr="00C031D4">
        <w:rPr>
          <w:b/>
          <w:szCs w:val="24"/>
        </w:rPr>
        <w:t xml:space="preserve">se NARA </w:t>
      </w:r>
      <w:r w:rsidR="004C2087">
        <w:rPr>
          <w:b/>
          <w:szCs w:val="24"/>
        </w:rPr>
        <w:t>f</w:t>
      </w:r>
      <w:r w:rsidRPr="00C031D4" w:rsidR="004C2087">
        <w:rPr>
          <w:b/>
          <w:szCs w:val="24"/>
        </w:rPr>
        <w:t xml:space="preserve">acilities </w:t>
      </w:r>
      <w:r w:rsidRPr="00C031D4">
        <w:rPr>
          <w:b/>
          <w:szCs w:val="24"/>
        </w:rPr>
        <w:t xml:space="preserve">for </w:t>
      </w:r>
      <w:r w:rsidR="004C2087">
        <w:rPr>
          <w:b/>
          <w:szCs w:val="24"/>
        </w:rPr>
        <w:t>e</w:t>
      </w:r>
      <w:r w:rsidRPr="00C031D4" w:rsidR="004C2087">
        <w:rPr>
          <w:b/>
          <w:szCs w:val="24"/>
        </w:rPr>
        <w:t>vents</w:t>
      </w:r>
    </w:p>
    <w:p w:rsidRPr="00C031D4" w:rsidR="00DF2BCC" w:rsidP="00DF2BCC" w:rsidRDefault="00DF2BCC" w14:paraId="730338FA" w14:textId="77777777">
      <w:pPr>
        <w:jc w:val="center"/>
        <w:outlineLvl w:val="0"/>
        <w:rPr>
          <w:b/>
          <w:szCs w:val="24"/>
        </w:rPr>
      </w:pPr>
      <w:r w:rsidRPr="00C031D4">
        <w:rPr>
          <w:b/>
          <w:szCs w:val="24"/>
        </w:rPr>
        <w:t>OMB Control No. 3095-0043</w:t>
      </w:r>
    </w:p>
    <w:p w:rsidRPr="00C031D4" w:rsidR="00DF2BCC" w:rsidP="00DF2BCC" w:rsidRDefault="00DF2BCC" w14:paraId="5DADD2FE" w14:textId="77777777">
      <w:pPr>
        <w:jc w:val="center"/>
        <w:rPr>
          <w:szCs w:val="24"/>
        </w:rPr>
      </w:pPr>
    </w:p>
    <w:p w:rsidRPr="00B3749F" w:rsidR="004708F5" w:rsidP="000A5F1E" w:rsidRDefault="009A4F47" w14:paraId="6DC785CE" w14:textId="14CBB001">
      <w:pPr>
        <w:autoSpaceDE w:val="0"/>
        <w:autoSpaceDN w:val="0"/>
        <w:adjustRightInd w:val="0"/>
        <w:rPr>
          <w:strike/>
          <w:szCs w:val="24"/>
        </w:rPr>
      </w:pPr>
      <w:r w:rsidRPr="000C48BF">
        <w:rPr>
          <w:b/>
          <w:szCs w:val="24"/>
        </w:rPr>
        <w:t>1.</w:t>
      </w:r>
      <w:r w:rsidRPr="000C48BF">
        <w:rPr>
          <w:b/>
          <w:szCs w:val="24"/>
        </w:rPr>
        <w:tab/>
      </w:r>
      <w:r w:rsidRPr="00B3749F" w:rsidR="00DF2BCC">
        <w:rPr>
          <w:b/>
          <w:szCs w:val="24"/>
          <w:u w:val="single"/>
        </w:rPr>
        <w:t>Circumstances making the collection of information necessary.</w:t>
      </w:r>
      <w:r w:rsidRPr="00B3749F" w:rsidR="00DF2BCC">
        <w:rPr>
          <w:szCs w:val="24"/>
        </w:rPr>
        <w:t xml:space="preserve">  </w:t>
      </w:r>
      <w:r w:rsidRPr="00B3749F" w:rsidR="00552702">
        <w:rPr>
          <w:szCs w:val="24"/>
        </w:rPr>
        <w:t xml:space="preserve">The primary use for NARA property and facilities, including areas open to the public, is conducting official NARA business. However, we may permit occasional, non-official use of some public areas for private group activities and events that relate to or further our archival, records, or other interests. </w:t>
      </w:r>
      <w:r w:rsidRPr="00B3749F" w:rsidR="00DF2BCC">
        <w:rPr>
          <w:szCs w:val="24"/>
        </w:rPr>
        <w:t xml:space="preserve">In the Washington, DC, area, </w:t>
      </w:r>
      <w:r w:rsidRPr="00B3749F" w:rsidR="00A76EB5">
        <w:rPr>
          <w:szCs w:val="24"/>
        </w:rPr>
        <w:t xml:space="preserve">and at Presidential libraries throughout the country, </w:t>
      </w:r>
      <w:r w:rsidRPr="00B3749F" w:rsidR="0054364E">
        <w:rPr>
          <w:szCs w:val="24"/>
        </w:rPr>
        <w:t>we have</w:t>
      </w:r>
      <w:r w:rsidRPr="00B3749F" w:rsidR="00DF2BCC">
        <w:rPr>
          <w:szCs w:val="24"/>
        </w:rPr>
        <w:t xml:space="preserve"> public areas that are attractive venues for organizations wishing to hold events. </w:t>
      </w:r>
      <w:r w:rsidRPr="00B3749F" w:rsidR="00552702">
        <w:rPr>
          <w:szCs w:val="24"/>
        </w:rPr>
        <w:t>P</w:t>
      </w:r>
      <w:r w:rsidRPr="00B3749F" w:rsidR="00DF2BCC">
        <w:rPr>
          <w:szCs w:val="24"/>
        </w:rPr>
        <w:t>ursuant to law</w:t>
      </w:r>
      <w:r w:rsidRPr="00B3749F" w:rsidR="00A76EB5">
        <w:rPr>
          <w:rStyle w:val="FootnoteReference"/>
          <w:szCs w:val="24"/>
        </w:rPr>
        <w:footnoteReference w:id="1"/>
      </w:r>
      <w:r w:rsidRPr="00B3749F" w:rsidR="00DF2BCC">
        <w:rPr>
          <w:szCs w:val="24"/>
        </w:rPr>
        <w:t xml:space="preserve"> and regulation</w:t>
      </w:r>
      <w:r w:rsidRPr="00B3749F" w:rsidR="00552702">
        <w:rPr>
          <w:rStyle w:val="FootnoteReference"/>
          <w:szCs w:val="24"/>
        </w:rPr>
        <w:footnoteReference w:id="2"/>
      </w:r>
      <w:r w:rsidRPr="00B3749F" w:rsidR="00DF2BCC">
        <w:rPr>
          <w:szCs w:val="24"/>
        </w:rPr>
        <w:t xml:space="preserve">, any event held in a NARA facility must relate to NARA’s mission or interests, organizations may not use facilities </w:t>
      </w:r>
      <w:r w:rsidRPr="00B3749F" w:rsidR="0054364E">
        <w:rPr>
          <w:szCs w:val="24"/>
        </w:rPr>
        <w:t xml:space="preserve">for profit-making or </w:t>
      </w:r>
      <w:r w:rsidRPr="00B3749F" w:rsidR="00DF2BCC">
        <w:rPr>
          <w:szCs w:val="24"/>
        </w:rPr>
        <w:t>to promote commercial enterprises or products, and they cannot use them for partisan political, s</w:t>
      </w:r>
      <w:r w:rsidRPr="00B3749F" w:rsidR="000A5F1E">
        <w:rPr>
          <w:szCs w:val="24"/>
        </w:rPr>
        <w:t xml:space="preserve">ectarian, or similar purposes. </w:t>
      </w:r>
      <w:r w:rsidRPr="00B3749F" w:rsidR="00DF2BCC">
        <w:rPr>
          <w:szCs w:val="24"/>
        </w:rPr>
        <w:t xml:space="preserve">Organizations must therefore request permission from NARA to use </w:t>
      </w:r>
      <w:r w:rsidRPr="00B3749F" w:rsidR="0054364E">
        <w:rPr>
          <w:szCs w:val="24"/>
        </w:rPr>
        <w:t xml:space="preserve">our </w:t>
      </w:r>
      <w:r w:rsidRPr="00B3749F" w:rsidR="00DF2BCC">
        <w:rPr>
          <w:szCs w:val="24"/>
        </w:rPr>
        <w:t xml:space="preserve">facilities, and </w:t>
      </w:r>
      <w:r w:rsidRPr="00B3749F" w:rsidR="0054364E">
        <w:rPr>
          <w:szCs w:val="24"/>
        </w:rPr>
        <w:t xml:space="preserve">we </w:t>
      </w:r>
      <w:r w:rsidRPr="00B3749F" w:rsidR="00DF2BCC">
        <w:rPr>
          <w:szCs w:val="24"/>
        </w:rPr>
        <w:t xml:space="preserve">collect information through </w:t>
      </w:r>
      <w:r w:rsidRPr="00B3749F" w:rsidR="0054364E">
        <w:rPr>
          <w:szCs w:val="24"/>
        </w:rPr>
        <w:t xml:space="preserve">the request </w:t>
      </w:r>
      <w:r w:rsidRPr="00B3749F" w:rsidR="00DF2BCC">
        <w:rPr>
          <w:szCs w:val="24"/>
        </w:rPr>
        <w:t xml:space="preserve">process </w:t>
      </w:r>
      <w:r w:rsidRPr="00B3749F" w:rsidR="000C48BF">
        <w:rPr>
          <w:szCs w:val="24"/>
        </w:rPr>
        <w:t>to determine whether the proposed use of the space by the group meets the criteria specified in 36 CFR 1280</w:t>
      </w:r>
      <w:r w:rsidRPr="00B3749F" w:rsidR="00DF2BCC">
        <w:rPr>
          <w:szCs w:val="24"/>
        </w:rPr>
        <w:t>.</w:t>
      </w:r>
      <w:r w:rsidRPr="00B3749F" w:rsidR="000A5F1E">
        <w:rPr>
          <w:szCs w:val="24"/>
        </w:rPr>
        <w:t xml:space="preserve"> </w:t>
      </w:r>
      <w:r w:rsidRPr="00B3749F" w:rsidR="000C48BF">
        <w:rPr>
          <w:szCs w:val="24"/>
        </w:rPr>
        <w:t xml:space="preserve">To request use of space at Presidential library spaces that are considered NARA property, private organizations provide information on NA Form 16011, Application and Permit for Use of Space in Presidential Libraries and </w:t>
      </w:r>
      <w:r w:rsidRPr="00B3749F" w:rsidR="00B3749F">
        <w:rPr>
          <w:szCs w:val="24"/>
        </w:rPr>
        <w:t>Grounds and</w:t>
      </w:r>
      <w:r w:rsidRPr="00B3749F" w:rsidR="000C48BF">
        <w:rPr>
          <w:szCs w:val="24"/>
        </w:rPr>
        <w:t xml:space="preserve"> submit the form to the relevant Presidential library. If approved, the requester receives a copy of the form </w:t>
      </w:r>
      <w:r w:rsidRPr="00B3749F" w:rsidR="004A2928">
        <w:rPr>
          <w:szCs w:val="24"/>
        </w:rPr>
        <w:t>(part II serves</w:t>
      </w:r>
      <w:r w:rsidRPr="00B3749F" w:rsidR="000C48BF">
        <w:rPr>
          <w:szCs w:val="24"/>
        </w:rPr>
        <w:t xml:space="preserve"> </w:t>
      </w:r>
      <w:r w:rsidRPr="00B3749F" w:rsidR="004A2928">
        <w:rPr>
          <w:szCs w:val="24"/>
        </w:rPr>
        <w:t>as the permit to use the space)</w:t>
      </w:r>
      <w:r w:rsidRPr="00B3749F" w:rsidR="000C48BF">
        <w:rPr>
          <w:szCs w:val="24"/>
        </w:rPr>
        <w:t>, conditions of us</w:t>
      </w:r>
      <w:r w:rsidRPr="00B3749F" w:rsidR="00653AE3">
        <w:rPr>
          <w:szCs w:val="24"/>
        </w:rPr>
        <w:t>e</w:t>
      </w:r>
      <w:r w:rsidRPr="00B3749F" w:rsidR="000C48BF">
        <w:rPr>
          <w:szCs w:val="24"/>
        </w:rPr>
        <w:t>, and the regulation</w:t>
      </w:r>
      <w:r w:rsidRPr="00B3749F" w:rsidR="00653AE3">
        <w:rPr>
          <w:szCs w:val="24"/>
        </w:rPr>
        <w:t>s</w:t>
      </w:r>
      <w:r w:rsidRPr="00B3749F" w:rsidR="000C48BF">
        <w:rPr>
          <w:szCs w:val="24"/>
        </w:rPr>
        <w:t>.</w:t>
      </w:r>
      <w:r w:rsidRPr="00B3749F" w:rsidR="00653AE3">
        <w:rPr>
          <w:szCs w:val="24"/>
        </w:rPr>
        <w:t xml:space="preserve"> To request use of space at other NARA facilities and property in the Washington, DC, area, requesters call or email the special events office listed for the building in 36 CFR </w:t>
      </w:r>
      <w:r w:rsidRPr="00B3749F" w:rsidR="004A2928">
        <w:rPr>
          <w:szCs w:val="24"/>
        </w:rPr>
        <w:t xml:space="preserve">§ </w:t>
      </w:r>
      <w:r w:rsidRPr="00B3749F" w:rsidR="00653AE3">
        <w:rPr>
          <w:szCs w:val="24"/>
        </w:rPr>
        <w:t xml:space="preserve">1280.64 </w:t>
      </w:r>
      <w:r w:rsidRPr="00B3749F" w:rsidR="00B3749F">
        <w:rPr>
          <w:szCs w:val="24"/>
        </w:rPr>
        <w:t>and</w:t>
      </w:r>
      <w:r w:rsidRPr="00B3749F" w:rsidR="00653AE3">
        <w:rPr>
          <w:szCs w:val="24"/>
        </w:rPr>
        <w:t xml:space="preserve"> submit a written request providing the required information.</w:t>
      </w:r>
    </w:p>
    <w:p w:rsidRPr="00B3749F" w:rsidR="000A5F1E" w:rsidP="000A5F1E" w:rsidRDefault="000A5F1E" w14:paraId="426D3239" w14:textId="77777777">
      <w:pPr>
        <w:autoSpaceDE w:val="0"/>
        <w:autoSpaceDN w:val="0"/>
        <w:adjustRightInd w:val="0"/>
        <w:rPr>
          <w:strike/>
          <w:szCs w:val="24"/>
        </w:rPr>
      </w:pPr>
    </w:p>
    <w:p w:rsidRPr="00B3749F" w:rsidR="000271A9" w:rsidP="00B3749F" w:rsidRDefault="009A4F47" w14:paraId="5119B362" w14:textId="0608E50E">
      <w:pPr>
        <w:rPr>
          <w:szCs w:val="24"/>
        </w:rPr>
      </w:pPr>
      <w:r w:rsidRPr="00B3749F">
        <w:rPr>
          <w:b/>
          <w:szCs w:val="24"/>
        </w:rPr>
        <w:t>2.</w:t>
      </w:r>
      <w:r w:rsidRPr="00B3749F">
        <w:rPr>
          <w:b/>
          <w:szCs w:val="24"/>
        </w:rPr>
        <w:tab/>
      </w:r>
      <w:r w:rsidRPr="00B3749F" w:rsidR="00DF2BCC">
        <w:rPr>
          <w:b/>
          <w:szCs w:val="24"/>
          <w:u w:val="single"/>
        </w:rPr>
        <w:t>Purpose and use of the information.</w:t>
      </w:r>
      <w:r w:rsidRPr="00B3749F" w:rsidR="00DF2BCC">
        <w:rPr>
          <w:szCs w:val="24"/>
        </w:rPr>
        <w:t xml:space="preserve">  </w:t>
      </w:r>
      <w:r w:rsidRPr="00B3749F" w:rsidR="00653AE3">
        <w:rPr>
          <w:szCs w:val="24"/>
        </w:rPr>
        <w:t xml:space="preserve">We </w:t>
      </w:r>
      <w:r w:rsidRPr="00B3749F" w:rsidR="00DF2BCC">
        <w:rPr>
          <w:szCs w:val="24"/>
        </w:rPr>
        <w:t xml:space="preserve">use </w:t>
      </w:r>
      <w:r w:rsidRPr="00B3749F" w:rsidR="000271A9">
        <w:rPr>
          <w:szCs w:val="24"/>
        </w:rPr>
        <w:t xml:space="preserve">the collected </w:t>
      </w:r>
      <w:r w:rsidRPr="00B3749F" w:rsidR="00DF2BCC">
        <w:rPr>
          <w:szCs w:val="24"/>
        </w:rPr>
        <w:t>information to determine whether to approve a request to hold a</w:t>
      </w:r>
      <w:r w:rsidRPr="00B3749F" w:rsidR="000A5F1E">
        <w:rPr>
          <w:szCs w:val="24"/>
        </w:rPr>
        <w:t xml:space="preserve">n event in a NARA public area. </w:t>
      </w:r>
      <w:r w:rsidRPr="00B3749F" w:rsidR="000271A9">
        <w:rPr>
          <w:szCs w:val="24"/>
        </w:rPr>
        <w:t xml:space="preserve">The collected information allows </w:t>
      </w:r>
      <w:r w:rsidRPr="00B3749F" w:rsidR="00653AE3">
        <w:rPr>
          <w:szCs w:val="24"/>
        </w:rPr>
        <w:t xml:space="preserve">us </w:t>
      </w:r>
      <w:r w:rsidRPr="00B3749F" w:rsidR="000271A9">
        <w:rPr>
          <w:szCs w:val="24"/>
        </w:rPr>
        <w:t>to assess a</w:t>
      </w:r>
      <w:r w:rsidRPr="00B3749F" w:rsidR="00DF2BCC">
        <w:rPr>
          <w:szCs w:val="24"/>
        </w:rPr>
        <w:t xml:space="preserve"> proposed event </w:t>
      </w:r>
      <w:r w:rsidRPr="00B3749F" w:rsidR="000271A9">
        <w:rPr>
          <w:szCs w:val="24"/>
        </w:rPr>
        <w:t xml:space="preserve">to determine if it </w:t>
      </w:r>
      <w:r w:rsidRPr="00B3749F" w:rsidR="00DF2BCC">
        <w:rPr>
          <w:szCs w:val="24"/>
        </w:rPr>
        <w:t>complies with regulation</w:t>
      </w:r>
      <w:r w:rsidRPr="00B3749F" w:rsidR="000271A9">
        <w:rPr>
          <w:szCs w:val="24"/>
        </w:rPr>
        <w:t>s</w:t>
      </w:r>
      <w:r w:rsidRPr="00B3749F" w:rsidR="00DF2BCC">
        <w:rPr>
          <w:szCs w:val="24"/>
        </w:rPr>
        <w:t xml:space="preserve"> </w:t>
      </w:r>
      <w:r w:rsidRPr="00B3749F" w:rsidR="0090393B">
        <w:rPr>
          <w:szCs w:val="24"/>
        </w:rPr>
        <w:t>and relates</w:t>
      </w:r>
      <w:r w:rsidRPr="00B3749F" w:rsidR="000271A9">
        <w:rPr>
          <w:szCs w:val="24"/>
        </w:rPr>
        <w:t xml:space="preserve"> to </w:t>
      </w:r>
      <w:r w:rsidRPr="00B3749F" w:rsidR="004A2928">
        <w:rPr>
          <w:szCs w:val="24"/>
        </w:rPr>
        <w:t xml:space="preserve">our </w:t>
      </w:r>
      <w:r w:rsidRPr="00B3749F" w:rsidR="000271A9">
        <w:rPr>
          <w:szCs w:val="24"/>
        </w:rPr>
        <w:t>mission or interests</w:t>
      </w:r>
      <w:r w:rsidRPr="00B3749F" w:rsidR="000A5F1E">
        <w:rPr>
          <w:szCs w:val="24"/>
        </w:rPr>
        <w:t xml:space="preserve">. </w:t>
      </w:r>
      <w:r w:rsidRPr="00B3749F" w:rsidR="000271A9">
        <w:rPr>
          <w:szCs w:val="24"/>
        </w:rPr>
        <w:t xml:space="preserve">It also allows </w:t>
      </w:r>
      <w:r w:rsidRPr="00B3749F" w:rsidR="004A2928">
        <w:rPr>
          <w:szCs w:val="24"/>
        </w:rPr>
        <w:t xml:space="preserve">us </w:t>
      </w:r>
      <w:r w:rsidRPr="00B3749F" w:rsidR="00DF2BCC">
        <w:rPr>
          <w:szCs w:val="24"/>
        </w:rPr>
        <w:t xml:space="preserve">to </w:t>
      </w:r>
      <w:r w:rsidRPr="00B3749F" w:rsidR="000271A9">
        <w:rPr>
          <w:szCs w:val="24"/>
        </w:rPr>
        <w:t xml:space="preserve">schedule use of </w:t>
      </w:r>
      <w:r w:rsidRPr="00B3749F" w:rsidR="004A2928">
        <w:rPr>
          <w:szCs w:val="24"/>
        </w:rPr>
        <w:t xml:space="preserve">the </w:t>
      </w:r>
      <w:r w:rsidRPr="00B3749F" w:rsidR="000271A9">
        <w:rPr>
          <w:szCs w:val="24"/>
        </w:rPr>
        <w:t xml:space="preserve">public areas, </w:t>
      </w:r>
      <w:r w:rsidRPr="00B3749F" w:rsidR="00B3749F">
        <w:rPr>
          <w:szCs w:val="24"/>
        </w:rPr>
        <w:t>determine</w:t>
      </w:r>
      <w:r w:rsidRPr="00B3749F" w:rsidR="004A2928">
        <w:rPr>
          <w:szCs w:val="24"/>
        </w:rPr>
        <w:t xml:space="preserve"> whether the requested date can be accommodated, </w:t>
      </w:r>
      <w:r w:rsidRPr="00B3749F" w:rsidR="000271A9">
        <w:rPr>
          <w:szCs w:val="24"/>
        </w:rPr>
        <w:t xml:space="preserve">adjust </w:t>
      </w:r>
      <w:r w:rsidRPr="00B3749F" w:rsidR="00DF2BCC">
        <w:rPr>
          <w:szCs w:val="24"/>
        </w:rPr>
        <w:t xml:space="preserve">staffing </w:t>
      </w:r>
      <w:r w:rsidRPr="00B3749F" w:rsidR="000271A9">
        <w:rPr>
          <w:szCs w:val="24"/>
        </w:rPr>
        <w:t xml:space="preserve">and related budget </w:t>
      </w:r>
      <w:r w:rsidRPr="00B3749F" w:rsidR="00DF2BCC">
        <w:rPr>
          <w:szCs w:val="24"/>
        </w:rPr>
        <w:t>requirements for the event</w:t>
      </w:r>
      <w:r w:rsidRPr="00B3749F" w:rsidR="000271A9">
        <w:rPr>
          <w:szCs w:val="24"/>
        </w:rPr>
        <w:t xml:space="preserve">, and </w:t>
      </w:r>
      <w:r w:rsidRPr="00B3749F">
        <w:rPr>
          <w:szCs w:val="24"/>
        </w:rPr>
        <w:t xml:space="preserve">protect </w:t>
      </w:r>
      <w:r w:rsidRPr="00B3749F" w:rsidR="000271A9">
        <w:rPr>
          <w:szCs w:val="24"/>
        </w:rPr>
        <w:t>property and fragile archival holdings in the requested location</w:t>
      </w:r>
      <w:r w:rsidRPr="00B3749F" w:rsidR="00DF2BCC">
        <w:rPr>
          <w:szCs w:val="24"/>
        </w:rPr>
        <w:t>.</w:t>
      </w:r>
      <w:r w:rsidRPr="00B3749F" w:rsidR="00A3523B">
        <w:rPr>
          <w:szCs w:val="24"/>
        </w:rPr>
        <w:t xml:space="preserve"> </w:t>
      </w:r>
      <w:r w:rsidRPr="00B3749F" w:rsidR="004A2928">
        <w:rPr>
          <w:szCs w:val="24"/>
        </w:rPr>
        <w:t>We</w:t>
      </w:r>
      <w:r w:rsidRPr="00B3749F" w:rsidR="00A3523B">
        <w:rPr>
          <w:szCs w:val="24"/>
        </w:rPr>
        <w:t xml:space="preserve"> would not be able to make the space available to outside groups if </w:t>
      </w:r>
      <w:r w:rsidRPr="00B3749F" w:rsidR="004A2928">
        <w:rPr>
          <w:szCs w:val="24"/>
        </w:rPr>
        <w:t>we did not conduct the</w:t>
      </w:r>
      <w:r w:rsidRPr="00B3749F" w:rsidR="00A3523B">
        <w:rPr>
          <w:szCs w:val="24"/>
        </w:rPr>
        <w:t xml:space="preserve"> information collection.</w:t>
      </w:r>
      <w:r w:rsidRPr="00B3749F" w:rsidR="004A2928">
        <w:rPr>
          <w:szCs w:val="24"/>
        </w:rPr>
        <w:t xml:space="preserve"> </w:t>
      </w:r>
      <w:r w:rsidRPr="00B3749F" w:rsidR="000271A9">
        <w:rPr>
          <w:szCs w:val="24"/>
        </w:rPr>
        <w:t>36 CFR 1280</w:t>
      </w:r>
      <w:r w:rsidRPr="00B3749F" w:rsidR="004A2928">
        <w:rPr>
          <w:szCs w:val="24"/>
        </w:rPr>
        <w:t>, Subparts C and D,</w:t>
      </w:r>
      <w:r w:rsidRPr="00B3749F" w:rsidR="000271A9">
        <w:rPr>
          <w:szCs w:val="24"/>
        </w:rPr>
        <w:t xml:space="preserve"> inform respondents of the request requirement</w:t>
      </w:r>
      <w:r w:rsidRPr="00B3749F" w:rsidR="004A2928">
        <w:rPr>
          <w:szCs w:val="24"/>
        </w:rPr>
        <w:t>, processes,</w:t>
      </w:r>
      <w:r w:rsidRPr="00B3749F" w:rsidR="000271A9">
        <w:rPr>
          <w:szCs w:val="24"/>
        </w:rPr>
        <w:t xml:space="preserve"> and the use</w:t>
      </w:r>
      <w:r w:rsidRPr="00B3749F" w:rsidR="004A2928">
        <w:rPr>
          <w:szCs w:val="24"/>
        </w:rPr>
        <w:t>s</w:t>
      </w:r>
      <w:r w:rsidRPr="00B3749F" w:rsidR="000271A9">
        <w:rPr>
          <w:szCs w:val="24"/>
        </w:rPr>
        <w:t xml:space="preserve"> to which </w:t>
      </w:r>
      <w:r w:rsidRPr="00B3749F" w:rsidR="004A2928">
        <w:rPr>
          <w:szCs w:val="24"/>
        </w:rPr>
        <w:t xml:space="preserve">we </w:t>
      </w:r>
      <w:r w:rsidRPr="00B3749F" w:rsidR="000271A9">
        <w:rPr>
          <w:szCs w:val="24"/>
        </w:rPr>
        <w:t>put the collected information.</w:t>
      </w:r>
    </w:p>
    <w:p w:rsidRPr="00B3749F" w:rsidR="00DF2BCC" w:rsidP="009A4F47" w:rsidRDefault="00DF2BCC" w14:paraId="6203886C" w14:textId="77777777">
      <w:pPr>
        <w:rPr>
          <w:szCs w:val="24"/>
        </w:rPr>
      </w:pPr>
    </w:p>
    <w:p w:rsidRPr="00B3749F" w:rsidR="00DF2BCC" w:rsidP="009A4F47" w:rsidRDefault="009A4F47" w14:paraId="3C957E90" w14:textId="5DA89ABB">
      <w:pPr>
        <w:rPr>
          <w:szCs w:val="24"/>
        </w:rPr>
      </w:pPr>
      <w:r w:rsidRPr="00B3749F">
        <w:rPr>
          <w:b/>
          <w:szCs w:val="24"/>
        </w:rPr>
        <w:t>3.</w:t>
      </w:r>
      <w:r w:rsidRPr="00B3749F">
        <w:rPr>
          <w:b/>
          <w:szCs w:val="24"/>
        </w:rPr>
        <w:tab/>
      </w:r>
      <w:r w:rsidRPr="00B3749F" w:rsidR="00DF2BCC">
        <w:rPr>
          <w:b/>
          <w:szCs w:val="24"/>
          <w:u w:val="single"/>
        </w:rPr>
        <w:t>Use of information technology and burden reduction.</w:t>
      </w:r>
      <w:r w:rsidRPr="00B3749F" w:rsidR="00DF2BCC">
        <w:rPr>
          <w:szCs w:val="24"/>
        </w:rPr>
        <w:t xml:space="preserve">  </w:t>
      </w:r>
      <w:r w:rsidRPr="00B3749F" w:rsidR="004A2928">
        <w:t xml:space="preserve">We </w:t>
      </w:r>
      <w:r w:rsidRPr="00B3749F" w:rsidR="001B1709">
        <w:t xml:space="preserve">collect this information </w:t>
      </w:r>
      <w:r w:rsidRPr="00B3749F" w:rsidR="004A2928">
        <w:t xml:space="preserve">through NA Form 16011 at Presidential libraries, which can be submitted by email. We collect the information at other facilities </w:t>
      </w:r>
      <w:r w:rsidRPr="00B3749F" w:rsidR="001B1709">
        <w:t xml:space="preserve">by email and telephone. Respondents electronically submit requests and copies of printed materials they wish to display or distribute at the event for </w:t>
      </w:r>
      <w:r w:rsidRPr="00B3749F" w:rsidR="004A2928">
        <w:t xml:space="preserve">our </w:t>
      </w:r>
      <w:r w:rsidRPr="00B3749F" w:rsidR="00B3749F">
        <w:t>review and</w:t>
      </w:r>
      <w:r w:rsidRPr="00B3749F" w:rsidR="001B1709">
        <w:t xml:space="preserve"> may add additional details by telephone. Due to the nature of the information, no additional technology options would reduce the burden.</w:t>
      </w:r>
      <w:r w:rsidRPr="00B3749F" w:rsidR="00A3523B">
        <w:rPr>
          <w:szCs w:val="24"/>
        </w:rPr>
        <w:t xml:space="preserve"> </w:t>
      </w:r>
      <w:r w:rsidRPr="00B3749F" w:rsidR="000B3E8B">
        <w:rPr>
          <w:szCs w:val="24"/>
        </w:rPr>
        <w:t>We</w:t>
      </w:r>
      <w:r w:rsidRPr="00B3749F" w:rsidR="00A3523B">
        <w:rPr>
          <w:szCs w:val="24"/>
        </w:rPr>
        <w:t xml:space="preserve"> ha</w:t>
      </w:r>
      <w:r w:rsidRPr="00B3749F" w:rsidR="000B3E8B">
        <w:rPr>
          <w:szCs w:val="24"/>
        </w:rPr>
        <w:t>ve</w:t>
      </w:r>
      <w:r w:rsidRPr="00B3749F" w:rsidR="00A3523B">
        <w:rPr>
          <w:szCs w:val="24"/>
        </w:rPr>
        <w:t xml:space="preserve"> attempted to simplify the information collection to minimize the burden on</w:t>
      </w:r>
      <w:r w:rsidRPr="00B3749F" w:rsidR="000B3E8B">
        <w:rPr>
          <w:szCs w:val="24"/>
        </w:rPr>
        <w:t xml:space="preserve"> </w:t>
      </w:r>
      <w:r w:rsidRPr="00B3749F" w:rsidR="00A3523B">
        <w:rPr>
          <w:szCs w:val="24"/>
        </w:rPr>
        <w:t>respondents</w:t>
      </w:r>
      <w:r w:rsidRPr="00B3749F" w:rsidR="000B3E8B">
        <w:rPr>
          <w:szCs w:val="24"/>
        </w:rPr>
        <w:t xml:space="preserve"> by allowing email submission and using a standardized form at all Presidential libraries across the country</w:t>
      </w:r>
      <w:r w:rsidRPr="00B3749F" w:rsidR="00A3523B">
        <w:rPr>
          <w:szCs w:val="24"/>
        </w:rPr>
        <w:t>.</w:t>
      </w:r>
    </w:p>
    <w:p w:rsidRPr="00B3749F" w:rsidR="00DF2BCC" w:rsidP="009A4F47" w:rsidRDefault="00DF2BCC" w14:paraId="4E25204C" w14:textId="77777777">
      <w:pPr>
        <w:rPr>
          <w:szCs w:val="24"/>
        </w:rPr>
      </w:pPr>
    </w:p>
    <w:p w:rsidRPr="00B3749F" w:rsidR="00DF2BCC" w:rsidP="009A4F47" w:rsidRDefault="009A4F47" w14:paraId="0154D01E" w14:textId="290BFE6C">
      <w:pPr>
        <w:rPr>
          <w:szCs w:val="24"/>
        </w:rPr>
      </w:pPr>
      <w:r w:rsidRPr="00B3749F">
        <w:rPr>
          <w:b/>
          <w:szCs w:val="24"/>
        </w:rPr>
        <w:t>4.</w:t>
      </w:r>
      <w:r w:rsidRPr="00B3749F">
        <w:rPr>
          <w:b/>
          <w:szCs w:val="24"/>
        </w:rPr>
        <w:tab/>
      </w:r>
      <w:r w:rsidRPr="00B3749F" w:rsidR="00DF2BCC">
        <w:rPr>
          <w:b/>
          <w:szCs w:val="24"/>
          <w:u w:val="single"/>
        </w:rPr>
        <w:t>Efforts to identify duplication and use of similar information.</w:t>
      </w:r>
      <w:r w:rsidRPr="00B3749F" w:rsidR="000A5F1E">
        <w:rPr>
          <w:szCs w:val="24"/>
        </w:rPr>
        <w:t xml:space="preserve">  </w:t>
      </w:r>
      <w:r w:rsidRPr="00B3749F" w:rsidR="00A3523B">
        <w:rPr>
          <w:szCs w:val="24"/>
        </w:rPr>
        <w:t xml:space="preserve">There is no similar information already </w:t>
      </w:r>
      <w:r w:rsidRPr="00B3749F" w:rsidR="00B3749F">
        <w:rPr>
          <w:szCs w:val="24"/>
        </w:rPr>
        <w:t>available,</w:t>
      </w:r>
      <w:r w:rsidRPr="00B3749F" w:rsidR="000B3E8B">
        <w:rPr>
          <w:szCs w:val="24"/>
        </w:rPr>
        <w:t xml:space="preserve"> and the information is not duplicated elsewhere.</w:t>
      </w:r>
      <w:r w:rsidRPr="00B3749F" w:rsidDel="000B3E8B" w:rsidR="000B3E8B">
        <w:rPr>
          <w:szCs w:val="24"/>
        </w:rPr>
        <w:t xml:space="preserve"> </w:t>
      </w:r>
    </w:p>
    <w:p w:rsidRPr="00B3749F" w:rsidR="00DF2BCC" w:rsidP="009A4F47" w:rsidRDefault="00DF2BCC" w14:paraId="2DC0AD78" w14:textId="77777777">
      <w:pPr>
        <w:rPr>
          <w:szCs w:val="24"/>
        </w:rPr>
      </w:pPr>
    </w:p>
    <w:p w:rsidRPr="00B3749F" w:rsidR="000B3E8B" w:rsidP="009A4F47" w:rsidRDefault="009A4F47" w14:paraId="1BB2D5CB" w14:textId="1A106B6A">
      <w:pPr>
        <w:rPr>
          <w:szCs w:val="24"/>
        </w:rPr>
      </w:pPr>
      <w:r w:rsidRPr="00B3749F">
        <w:rPr>
          <w:b/>
          <w:szCs w:val="24"/>
        </w:rPr>
        <w:t>5.</w:t>
      </w:r>
      <w:r w:rsidRPr="00B3749F">
        <w:rPr>
          <w:b/>
          <w:szCs w:val="24"/>
        </w:rPr>
        <w:tab/>
      </w:r>
      <w:r w:rsidRPr="00B3749F" w:rsidR="00DF2BCC">
        <w:rPr>
          <w:b/>
          <w:szCs w:val="24"/>
          <w:u w:val="single"/>
        </w:rPr>
        <w:t>Impact on small businesses or other small entities.</w:t>
      </w:r>
      <w:r w:rsidRPr="00B3749F" w:rsidR="00DF2BCC">
        <w:rPr>
          <w:szCs w:val="24"/>
        </w:rPr>
        <w:t xml:space="preserve">  </w:t>
      </w:r>
      <w:r w:rsidRPr="00B3749F" w:rsidR="00A3523B">
        <w:rPr>
          <w:szCs w:val="24"/>
        </w:rPr>
        <w:t xml:space="preserve">The information </w:t>
      </w:r>
      <w:r w:rsidRPr="00B3749F" w:rsidR="000B3E8B">
        <w:rPr>
          <w:szCs w:val="24"/>
        </w:rPr>
        <w:t>collection</w:t>
      </w:r>
      <w:r w:rsidRPr="00B3749F" w:rsidR="00A3523B">
        <w:rPr>
          <w:szCs w:val="24"/>
        </w:rPr>
        <w:t xml:space="preserve"> do</w:t>
      </w:r>
      <w:r w:rsidRPr="00B3749F" w:rsidR="000B3E8B">
        <w:rPr>
          <w:szCs w:val="24"/>
        </w:rPr>
        <w:t>es</w:t>
      </w:r>
      <w:r w:rsidRPr="00B3749F" w:rsidR="00A3523B">
        <w:rPr>
          <w:szCs w:val="24"/>
        </w:rPr>
        <w:t xml:space="preserve"> not have a significant impact on small businesses or other small entities because the affected public is primarily not-for-profit institutions. </w:t>
      </w:r>
      <w:r w:rsidRPr="00B3749F" w:rsidR="000B3E8B">
        <w:rPr>
          <w:szCs w:val="24"/>
        </w:rPr>
        <w:t>We do not require</w:t>
      </w:r>
      <w:r w:rsidRPr="00B3749F" w:rsidR="00A3523B">
        <w:rPr>
          <w:szCs w:val="24"/>
        </w:rPr>
        <w:t xml:space="preserve"> application</w:t>
      </w:r>
      <w:r w:rsidRPr="00B3749F" w:rsidR="000B3E8B">
        <w:rPr>
          <w:szCs w:val="24"/>
        </w:rPr>
        <w:t>s</w:t>
      </w:r>
      <w:r w:rsidRPr="00B3749F" w:rsidR="00A3523B">
        <w:rPr>
          <w:szCs w:val="24"/>
        </w:rPr>
        <w:t xml:space="preserve"> in instances where the library </w:t>
      </w:r>
      <w:r w:rsidRPr="00B3749F" w:rsidR="000B3E8B">
        <w:rPr>
          <w:szCs w:val="24"/>
        </w:rPr>
        <w:t xml:space="preserve">or agency </w:t>
      </w:r>
      <w:r w:rsidRPr="00B3749F" w:rsidR="00A3523B">
        <w:rPr>
          <w:szCs w:val="24"/>
        </w:rPr>
        <w:t>co-sponsors the activity with the private organization.</w:t>
      </w:r>
    </w:p>
    <w:p w:rsidRPr="00B3749F" w:rsidR="00DF2BCC" w:rsidP="009A4F47" w:rsidRDefault="00DF2BCC" w14:paraId="4890AE41" w14:textId="77777777">
      <w:pPr>
        <w:rPr>
          <w:szCs w:val="24"/>
        </w:rPr>
      </w:pPr>
    </w:p>
    <w:p w:rsidRPr="00B3749F" w:rsidR="00DF2BCC" w:rsidP="009A4F47" w:rsidRDefault="009A4F47" w14:paraId="7179DB03" w14:textId="2FFD79B4">
      <w:pPr>
        <w:rPr>
          <w:szCs w:val="24"/>
        </w:rPr>
      </w:pPr>
      <w:r w:rsidRPr="00B3749F">
        <w:rPr>
          <w:b/>
          <w:szCs w:val="24"/>
        </w:rPr>
        <w:t>6.</w:t>
      </w:r>
      <w:r w:rsidRPr="00B3749F">
        <w:rPr>
          <w:b/>
          <w:szCs w:val="24"/>
        </w:rPr>
        <w:tab/>
      </w:r>
      <w:r w:rsidRPr="00B3749F" w:rsidR="00DF2BCC">
        <w:rPr>
          <w:b/>
          <w:szCs w:val="24"/>
          <w:u w:val="single"/>
        </w:rPr>
        <w:t>Consequences of collecting the information less frequently.</w:t>
      </w:r>
      <w:r w:rsidRPr="00B3749F" w:rsidR="00DF2BCC">
        <w:rPr>
          <w:szCs w:val="24"/>
        </w:rPr>
        <w:t xml:space="preserve">  </w:t>
      </w:r>
      <w:r w:rsidRPr="00B3749F" w:rsidR="000B3E8B">
        <w:rPr>
          <w:szCs w:val="24"/>
        </w:rPr>
        <w:t xml:space="preserve">We </w:t>
      </w:r>
      <w:r w:rsidRPr="00B3749F" w:rsidR="001B1709">
        <w:rPr>
          <w:szCs w:val="24"/>
        </w:rPr>
        <w:t xml:space="preserve">cannot collect the </w:t>
      </w:r>
      <w:r w:rsidRPr="00B3749F" w:rsidR="00DF2BCC">
        <w:rPr>
          <w:szCs w:val="24"/>
        </w:rPr>
        <w:t xml:space="preserve">information less frequently than once per new request to use a NARA public area because </w:t>
      </w:r>
      <w:r w:rsidRPr="00B3749F" w:rsidR="001B1709">
        <w:rPr>
          <w:szCs w:val="24"/>
        </w:rPr>
        <w:t xml:space="preserve">we </w:t>
      </w:r>
      <w:r w:rsidRPr="00B3749F" w:rsidR="000A5F1E">
        <w:rPr>
          <w:szCs w:val="24"/>
        </w:rPr>
        <w:t xml:space="preserve">must evaluate each request. </w:t>
      </w:r>
      <w:r w:rsidRPr="00B3749F" w:rsidR="000B3E8B">
        <w:rPr>
          <w:szCs w:val="24"/>
        </w:rPr>
        <w:t>Requests for recurring events are rare, but we</w:t>
      </w:r>
      <w:r w:rsidRPr="00B3749F" w:rsidR="000E2CC4">
        <w:rPr>
          <w:szCs w:val="24"/>
        </w:rPr>
        <w:t xml:space="preserve"> require separate applications for each use to facilitate review and approval. </w:t>
      </w:r>
      <w:r w:rsidRPr="00B3749F" w:rsidR="000B3E8B">
        <w:rPr>
          <w:szCs w:val="24"/>
        </w:rPr>
        <w:t>We</w:t>
      </w:r>
      <w:r w:rsidRPr="00B3749F" w:rsidR="00A3523B">
        <w:rPr>
          <w:szCs w:val="24"/>
        </w:rPr>
        <w:t xml:space="preserve"> ha</w:t>
      </w:r>
      <w:r w:rsidRPr="00B3749F" w:rsidR="000B3E8B">
        <w:rPr>
          <w:szCs w:val="24"/>
        </w:rPr>
        <w:t>ve</w:t>
      </w:r>
      <w:r w:rsidRPr="00B3749F" w:rsidR="00A3523B">
        <w:rPr>
          <w:szCs w:val="24"/>
        </w:rPr>
        <w:t xml:space="preserve"> found that submi</w:t>
      </w:r>
      <w:r w:rsidRPr="00B3749F" w:rsidR="000B3E8B">
        <w:rPr>
          <w:szCs w:val="24"/>
        </w:rPr>
        <w:t>tting</w:t>
      </w:r>
      <w:r w:rsidRPr="00B3749F" w:rsidR="00A3523B">
        <w:rPr>
          <w:szCs w:val="24"/>
        </w:rPr>
        <w:t xml:space="preserve"> one application for multiple events over a long period of time is not practical because required information about activities to be held in the distant future, such as the responsible person and catering or other special services, </w:t>
      </w:r>
      <w:r w:rsidRPr="00B3749F" w:rsidR="000B3E8B">
        <w:rPr>
          <w:szCs w:val="24"/>
        </w:rPr>
        <w:t xml:space="preserve">typically </w:t>
      </w:r>
      <w:r w:rsidRPr="00B3749F" w:rsidR="00A3523B">
        <w:rPr>
          <w:szCs w:val="24"/>
        </w:rPr>
        <w:t>has not been planned at the time of the initial application or is subject to change.</w:t>
      </w:r>
      <w:r w:rsidRPr="00B3749F" w:rsidR="000B3E8B">
        <w:rPr>
          <w:szCs w:val="24"/>
        </w:rPr>
        <w:t xml:space="preserve"> If we did not collect this information, we would be unable to allow outside groups and other Federal agencies to use our public areas for events.</w:t>
      </w:r>
    </w:p>
    <w:p w:rsidRPr="00B3749F" w:rsidR="00DF2BCC" w:rsidP="009A4F47" w:rsidRDefault="00DF2BCC" w14:paraId="6AD3F567" w14:textId="77777777">
      <w:pPr>
        <w:rPr>
          <w:szCs w:val="24"/>
        </w:rPr>
      </w:pPr>
    </w:p>
    <w:p w:rsidRPr="00B3749F" w:rsidR="00DF2BCC" w:rsidP="009A4F47" w:rsidRDefault="009A4F47" w14:paraId="607A5F3C" w14:textId="77777777">
      <w:pPr>
        <w:rPr>
          <w:szCs w:val="24"/>
        </w:rPr>
      </w:pPr>
      <w:r w:rsidRPr="00B3749F">
        <w:rPr>
          <w:b/>
          <w:szCs w:val="24"/>
        </w:rPr>
        <w:t>7.</w:t>
      </w:r>
      <w:r w:rsidRPr="00B3749F">
        <w:rPr>
          <w:b/>
          <w:szCs w:val="24"/>
        </w:rPr>
        <w:tab/>
      </w:r>
      <w:r w:rsidRPr="00B3749F" w:rsidR="00DF2BCC">
        <w:rPr>
          <w:b/>
          <w:szCs w:val="24"/>
          <w:u w:val="single"/>
        </w:rPr>
        <w:t>Special circumstances relating to the guidelines of 5 CFR 1320.5.</w:t>
      </w:r>
      <w:r w:rsidRPr="00B3749F" w:rsidR="00DF2BCC">
        <w:rPr>
          <w:szCs w:val="24"/>
        </w:rPr>
        <w:t xml:space="preserve">  </w:t>
      </w:r>
      <w:r w:rsidRPr="00B3749F" w:rsidR="001B1709">
        <w:rPr>
          <w:szCs w:val="24"/>
        </w:rPr>
        <w:t xml:space="preserve">We collect this information </w:t>
      </w:r>
      <w:r w:rsidRPr="00B3749F" w:rsidR="00DF2BCC">
        <w:rPr>
          <w:szCs w:val="24"/>
        </w:rPr>
        <w:t>in a manner consistent with the guidelines in 5 CFR 1320.</w:t>
      </w:r>
    </w:p>
    <w:p w:rsidRPr="00B3749F" w:rsidR="00DF2BCC" w:rsidP="009A4F47" w:rsidRDefault="00DF2BCC" w14:paraId="51A47383" w14:textId="77777777">
      <w:pPr>
        <w:rPr>
          <w:szCs w:val="24"/>
        </w:rPr>
      </w:pPr>
    </w:p>
    <w:p w:rsidRPr="00B3749F" w:rsidR="00820211" w:rsidP="00820211" w:rsidRDefault="009A4F47" w14:paraId="53EED1B5" w14:textId="0B102C97">
      <w:pPr>
        <w:widowControl w:val="0"/>
        <w:rPr>
          <w:szCs w:val="24"/>
        </w:rPr>
      </w:pPr>
      <w:r w:rsidRPr="00B3749F">
        <w:rPr>
          <w:b/>
          <w:szCs w:val="24"/>
        </w:rPr>
        <w:t>8.</w:t>
      </w:r>
      <w:r w:rsidRPr="00B3749F">
        <w:rPr>
          <w:b/>
          <w:szCs w:val="24"/>
        </w:rPr>
        <w:tab/>
      </w:r>
      <w:r w:rsidRPr="00B3749F" w:rsidR="00DF2BCC">
        <w:rPr>
          <w:b/>
          <w:szCs w:val="24"/>
          <w:u w:val="single"/>
        </w:rPr>
        <w:t xml:space="preserve">Comments in response to the </w:t>
      </w:r>
      <w:r w:rsidRPr="00B3749F" w:rsidR="00DF2BCC">
        <w:rPr>
          <w:b/>
          <w:i/>
          <w:iCs/>
          <w:szCs w:val="24"/>
          <w:u w:val="single"/>
        </w:rPr>
        <w:t>Federal Register</w:t>
      </w:r>
      <w:r w:rsidRPr="00B3749F" w:rsidR="00DF2BCC">
        <w:rPr>
          <w:b/>
          <w:szCs w:val="24"/>
          <w:u w:val="single"/>
        </w:rPr>
        <w:t xml:space="preserve"> notice and efforts to consult outside agency.</w:t>
      </w:r>
      <w:r w:rsidRPr="00B3749F" w:rsidR="00DF2BCC">
        <w:rPr>
          <w:szCs w:val="24"/>
        </w:rPr>
        <w:t xml:space="preserve">  </w:t>
      </w:r>
      <w:r w:rsidRPr="00B3749F" w:rsidR="000E2CC4">
        <w:rPr>
          <w:szCs w:val="24"/>
        </w:rPr>
        <w:t>We</w:t>
      </w:r>
      <w:r w:rsidRPr="00B3749F" w:rsidR="00820211">
        <w:rPr>
          <w:szCs w:val="24"/>
        </w:rPr>
        <w:t xml:space="preserve"> ha</w:t>
      </w:r>
      <w:r w:rsidRPr="00B3749F" w:rsidR="000E2CC4">
        <w:rPr>
          <w:szCs w:val="24"/>
        </w:rPr>
        <w:t>ve</w:t>
      </w:r>
      <w:r w:rsidRPr="00B3749F" w:rsidR="00820211">
        <w:rPr>
          <w:szCs w:val="24"/>
        </w:rPr>
        <w:t xml:space="preserve"> not consulted with pe</w:t>
      </w:r>
      <w:r w:rsidRPr="00B3749F" w:rsidR="000E2CC4">
        <w:rPr>
          <w:szCs w:val="24"/>
        </w:rPr>
        <w:t>ople</w:t>
      </w:r>
      <w:r w:rsidRPr="00B3749F" w:rsidR="00820211">
        <w:rPr>
          <w:szCs w:val="24"/>
        </w:rPr>
        <w:t xml:space="preserve"> outside the agency on this information collection in the past; however, </w:t>
      </w:r>
      <w:r w:rsidRPr="00B3749F" w:rsidR="000E2CC4">
        <w:rPr>
          <w:szCs w:val="24"/>
        </w:rPr>
        <w:t>we</w:t>
      </w:r>
      <w:r w:rsidRPr="00B3749F" w:rsidR="00820211">
        <w:rPr>
          <w:szCs w:val="24"/>
        </w:rPr>
        <w:t xml:space="preserve"> published a notice in the </w:t>
      </w:r>
      <w:r w:rsidRPr="00B3749F" w:rsidR="00820211">
        <w:rPr>
          <w:i/>
          <w:szCs w:val="24"/>
        </w:rPr>
        <w:t>Federal Register</w:t>
      </w:r>
      <w:r w:rsidRPr="00B3749F" w:rsidR="00820211">
        <w:rPr>
          <w:szCs w:val="24"/>
        </w:rPr>
        <w:t xml:space="preserve"> on </w:t>
      </w:r>
      <w:r w:rsidRPr="00B3749F" w:rsidR="000E2CC4">
        <w:rPr>
          <w:szCs w:val="24"/>
        </w:rPr>
        <w:t>November 22, 2021</w:t>
      </w:r>
      <w:r w:rsidRPr="00B3749F" w:rsidR="00820211">
        <w:rPr>
          <w:szCs w:val="24"/>
        </w:rPr>
        <w:t xml:space="preserve"> (8</w:t>
      </w:r>
      <w:r w:rsidRPr="00B3749F" w:rsidR="000E2CC4">
        <w:rPr>
          <w:szCs w:val="24"/>
        </w:rPr>
        <w:t>6</w:t>
      </w:r>
      <w:r w:rsidRPr="00B3749F" w:rsidR="00820211">
        <w:rPr>
          <w:szCs w:val="24"/>
        </w:rPr>
        <w:t xml:space="preserve"> FR </w:t>
      </w:r>
      <w:r w:rsidRPr="00B3749F" w:rsidR="000E2CC4">
        <w:rPr>
          <w:szCs w:val="24"/>
        </w:rPr>
        <w:t>66339</w:t>
      </w:r>
      <w:r w:rsidRPr="00B3749F" w:rsidR="00820211">
        <w:rPr>
          <w:szCs w:val="24"/>
        </w:rPr>
        <w:t>) inviting public comment on th</w:t>
      </w:r>
      <w:r w:rsidRPr="00B3749F" w:rsidR="000E2CC4">
        <w:rPr>
          <w:szCs w:val="24"/>
        </w:rPr>
        <w:t>is</w:t>
      </w:r>
      <w:r w:rsidRPr="00B3749F" w:rsidR="00820211">
        <w:rPr>
          <w:szCs w:val="24"/>
        </w:rPr>
        <w:t xml:space="preserve"> information collection. </w:t>
      </w:r>
      <w:r w:rsidRPr="00B3749F" w:rsidR="000E2CC4">
        <w:rPr>
          <w:szCs w:val="24"/>
        </w:rPr>
        <w:t>We did not receive any comments.</w:t>
      </w:r>
    </w:p>
    <w:p w:rsidRPr="00B3749F" w:rsidR="00DF2BCC" w:rsidP="009A4F47" w:rsidRDefault="00DF2BCC" w14:paraId="2CF045F4" w14:textId="0BEFEC97">
      <w:pPr>
        <w:rPr>
          <w:szCs w:val="24"/>
        </w:rPr>
      </w:pPr>
    </w:p>
    <w:p w:rsidRPr="00B3749F" w:rsidR="00DF2BCC" w:rsidP="009A4F47" w:rsidRDefault="00DF2BCC" w14:paraId="18B8618F" w14:textId="77777777">
      <w:pPr>
        <w:rPr>
          <w:szCs w:val="24"/>
        </w:rPr>
      </w:pPr>
    </w:p>
    <w:p w:rsidRPr="00B3749F" w:rsidR="00DF2BCC" w:rsidP="009A4F47" w:rsidRDefault="009A4F47" w14:paraId="74835C19" w14:textId="2536DFEB">
      <w:pPr>
        <w:rPr>
          <w:szCs w:val="24"/>
        </w:rPr>
      </w:pPr>
      <w:r w:rsidRPr="00B3749F">
        <w:rPr>
          <w:b/>
          <w:szCs w:val="24"/>
        </w:rPr>
        <w:t>9.</w:t>
      </w:r>
      <w:r w:rsidRPr="00B3749F">
        <w:rPr>
          <w:b/>
          <w:szCs w:val="24"/>
        </w:rPr>
        <w:tab/>
      </w:r>
      <w:r w:rsidRPr="00B3749F" w:rsidR="00DF2BCC">
        <w:rPr>
          <w:b/>
          <w:szCs w:val="24"/>
          <w:u w:val="single"/>
        </w:rPr>
        <w:t>Explanation of any payment or gift to respondents.</w:t>
      </w:r>
      <w:r w:rsidRPr="00B3749F" w:rsidR="00DF2BCC">
        <w:rPr>
          <w:szCs w:val="24"/>
        </w:rPr>
        <w:t xml:space="preserve">  </w:t>
      </w:r>
      <w:r w:rsidRPr="00B3749F" w:rsidR="000E2CC4">
        <w:rPr>
          <w:szCs w:val="24"/>
        </w:rPr>
        <w:t>We do not provide payment or gifts to respondents for this information.</w:t>
      </w:r>
    </w:p>
    <w:p w:rsidRPr="00B3749F" w:rsidR="00DF2BCC" w:rsidP="009A4F47" w:rsidRDefault="00DF2BCC" w14:paraId="6E713147" w14:textId="77777777">
      <w:pPr>
        <w:rPr>
          <w:szCs w:val="24"/>
        </w:rPr>
      </w:pPr>
    </w:p>
    <w:p w:rsidRPr="00B3749F" w:rsidR="00DF2BCC" w:rsidP="009A4F47" w:rsidRDefault="009A4F47" w14:paraId="077C56ED" w14:textId="2D269782">
      <w:pPr>
        <w:rPr>
          <w:szCs w:val="24"/>
        </w:rPr>
      </w:pPr>
      <w:r w:rsidRPr="00B3749F">
        <w:rPr>
          <w:b/>
          <w:szCs w:val="24"/>
        </w:rPr>
        <w:t>10.</w:t>
      </w:r>
      <w:r w:rsidRPr="00B3749F">
        <w:rPr>
          <w:b/>
          <w:szCs w:val="24"/>
        </w:rPr>
        <w:tab/>
      </w:r>
      <w:r w:rsidRPr="00B3749F" w:rsidR="00DF2BCC">
        <w:rPr>
          <w:b/>
          <w:szCs w:val="24"/>
          <w:u w:val="single"/>
        </w:rPr>
        <w:t>Assurance of confidentiality provided to respondents.</w:t>
      </w:r>
      <w:r w:rsidRPr="00B3749F" w:rsidR="00DF2BCC">
        <w:rPr>
          <w:szCs w:val="24"/>
        </w:rPr>
        <w:t xml:space="preserve">  </w:t>
      </w:r>
      <w:r w:rsidRPr="00B3749F" w:rsidR="001B1709">
        <w:rPr>
          <w:szCs w:val="24"/>
        </w:rPr>
        <w:t xml:space="preserve">We do not collect information that </w:t>
      </w:r>
      <w:r w:rsidRPr="00B3749F" w:rsidR="00501C9F">
        <w:rPr>
          <w:szCs w:val="24"/>
        </w:rPr>
        <w:t>requires</w:t>
      </w:r>
      <w:r w:rsidRPr="00B3749F" w:rsidR="001B1709">
        <w:rPr>
          <w:szCs w:val="24"/>
        </w:rPr>
        <w:t xml:space="preserve"> confidentiality</w:t>
      </w:r>
      <w:r w:rsidRPr="00B3749F" w:rsidR="000E2CC4">
        <w:rPr>
          <w:szCs w:val="24"/>
        </w:rPr>
        <w:t xml:space="preserve"> and we do not provide assurance of confidentiality</w:t>
      </w:r>
      <w:r w:rsidRPr="00B3749F" w:rsidR="00DF2BCC">
        <w:rPr>
          <w:szCs w:val="24"/>
        </w:rPr>
        <w:t>.</w:t>
      </w:r>
      <w:r w:rsidRPr="00B3749F" w:rsidR="00820211">
        <w:rPr>
          <w:szCs w:val="24"/>
        </w:rPr>
        <w:t xml:space="preserve"> </w:t>
      </w:r>
      <w:r w:rsidRPr="00B3749F" w:rsidR="00501C9F">
        <w:rPr>
          <w:szCs w:val="24"/>
        </w:rPr>
        <w:t>The information we collect from requestors to use Presidential library spaces is in a system of records protected by the Privacy Act  and covered by the SORN for NARA 41. The information we collect from requestors to use other NARA spaces is not maintained in a system of records.</w:t>
      </w:r>
    </w:p>
    <w:p w:rsidRPr="00B3749F" w:rsidR="00DF2BCC" w:rsidP="009A4F47" w:rsidRDefault="00DF2BCC" w14:paraId="481F6564" w14:textId="77777777">
      <w:pPr>
        <w:rPr>
          <w:szCs w:val="24"/>
        </w:rPr>
      </w:pPr>
    </w:p>
    <w:p w:rsidRPr="00B3749F" w:rsidR="00DF2BCC" w:rsidP="009A4F47" w:rsidRDefault="009A4F47" w14:paraId="77817601" w14:textId="7AE10F6E">
      <w:pPr>
        <w:rPr>
          <w:szCs w:val="24"/>
        </w:rPr>
      </w:pPr>
      <w:r w:rsidRPr="00B3749F">
        <w:rPr>
          <w:b/>
          <w:szCs w:val="24"/>
        </w:rPr>
        <w:t>11.</w:t>
      </w:r>
      <w:r w:rsidRPr="00B3749F">
        <w:rPr>
          <w:b/>
          <w:szCs w:val="24"/>
        </w:rPr>
        <w:tab/>
      </w:r>
      <w:r w:rsidRPr="00B3749F" w:rsidR="00DF2BCC">
        <w:rPr>
          <w:b/>
          <w:szCs w:val="24"/>
          <w:u w:val="single"/>
        </w:rPr>
        <w:t>Justification for sensitive questions.</w:t>
      </w:r>
      <w:r w:rsidRPr="00B3749F" w:rsidR="00DF2BCC">
        <w:rPr>
          <w:szCs w:val="24"/>
        </w:rPr>
        <w:t xml:space="preserve">  </w:t>
      </w:r>
      <w:r w:rsidRPr="00B3749F" w:rsidR="001B1709">
        <w:rPr>
          <w:szCs w:val="24"/>
        </w:rPr>
        <w:t xml:space="preserve">We do not ask </w:t>
      </w:r>
      <w:r w:rsidRPr="00B3749F" w:rsidR="00DF2BCC">
        <w:rPr>
          <w:szCs w:val="24"/>
        </w:rPr>
        <w:t>questions of a sensitive nature.</w:t>
      </w:r>
    </w:p>
    <w:p w:rsidRPr="00B3749F" w:rsidR="00DF2BCC" w:rsidP="009A4F47" w:rsidRDefault="00DF2BCC" w14:paraId="3C990BE9" w14:textId="77777777">
      <w:pPr>
        <w:rPr>
          <w:szCs w:val="24"/>
        </w:rPr>
      </w:pPr>
    </w:p>
    <w:p w:rsidRPr="00B3749F" w:rsidR="00E076DA" w:rsidP="009A4F47" w:rsidRDefault="009A4F47" w14:paraId="7B98C051" w14:textId="42C834BA">
      <w:pPr>
        <w:rPr>
          <w:szCs w:val="24"/>
        </w:rPr>
      </w:pPr>
      <w:r w:rsidRPr="00B3749F">
        <w:rPr>
          <w:b/>
          <w:szCs w:val="24"/>
        </w:rPr>
        <w:t>12.</w:t>
      </w:r>
      <w:r w:rsidRPr="00B3749F">
        <w:rPr>
          <w:b/>
          <w:szCs w:val="24"/>
        </w:rPr>
        <w:tab/>
      </w:r>
      <w:r w:rsidRPr="00B3749F" w:rsidR="00DF2BCC">
        <w:rPr>
          <w:b/>
          <w:szCs w:val="24"/>
          <w:u w:val="single"/>
        </w:rPr>
        <w:t>Estimates of hour burden including annualized hourly costs.</w:t>
      </w:r>
      <w:r w:rsidRPr="00B3749F" w:rsidR="00DF2BCC">
        <w:rPr>
          <w:szCs w:val="24"/>
        </w:rPr>
        <w:t xml:space="preserve"> </w:t>
      </w:r>
      <w:r w:rsidRPr="00B3749F" w:rsidR="00F07A63">
        <w:rPr>
          <w:szCs w:val="24"/>
        </w:rPr>
        <w:t xml:space="preserve"> </w:t>
      </w:r>
      <w:r w:rsidRPr="00B3749F" w:rsidR="00723753">
        <w:rPr>
          <w:szCs w:val="24"/>
        </w:rPr>
        <w:t xml:space="preserve">We receive an </w:t>
      </w:r>
      <w:r w:rsidRPr="00B3749F" w:rsidR="00E076DA">
        <w:rPr>
          <w:szCs w:val="24"/>
        </w:rPr>
        <w:t>estimated</w:t>
      </w:r>
      <w:r w:rsidRPr="00B3749F" w:rsidR="00723753">
        <w:rPr>
          <w:szCs w:val="24"/>
        </w:rPr>
        <w:t xml:space="preserve"> 600 requests for use of Presidential library spaces per year, based on the volume of requests during past years. For use of other NARA spaces, we receive an </w:t>
      </w:r>
      <w:r w:rsidRPr="00B3749F" w:rsidR="00E076DA">
        <w:rPr>
          <w:szCs w:val="24"/>
        </w:rPr>
        <w:t>estimated</w:t>
      </w:r>
      <w:r w:rsidRPr="00B3749F" w:rsidR="00F07A63">
        <w:rPr>
          <w:szCs w:val="24"/>
        </w:rPr>
        <w:t xml:space="preserve"> 3</w:t>
      </w:r>
      <w:r w:rsidRPr="00B3749F" w:rsidR="004708F5">
        <w:rPr>
          <w:szCs w:val="24"/>
        </w:rPr>
        <w:t>0</w:t>
      </w:r>
      <w:r w:rsidRPr="00B3749F" w:rsidR="00F07A63">
        <w:rPr>
          <w:szCs w:val="24"/>
        </w:rPr>
        <w:t xml:space="preserve">0 </w:t>
      </w:r>
      <w:r w:rsidRPr="00B3749F">
        <w:rPr>
          <w:szCs w:val="24"/>
        </w:rPr>
        <w:t xml:space="preserve">requests </w:t>
      </w:r>
      <w:r w:rsidRPr="00B3749F" w:rsidR="00DF2BCC">
        <w:rPr>
          <w:szCs w:val="24"/>
        </w:rPr>
        <w:t>per year</w:t>
      </w:r>
      <w:r w:rsidRPr="00B3749F" w:rsidR="00723753">
        <w:rPr>
          <w:szCs w:val="24"/>
        </w:rPr>
        <w:t>, based on previous years</w:t>
      </w:r>
      <w:r w:rsidRPr="00B3749F" w:rsidR="000A5F1E">
        <w:rPr>
          <w:szCs w:val="24"/>
        </w:rPr>
        <w:t xml:space="preserve">. </w:t>
      </w:r>
      <w:r w:rsidRPr="00B3749F" w:rsidR="00723753">
        <w:rPr>
          <w:szCs w:val="24"/>
        </w:rPr>
        <w:t xml:space="preserve">The frequency of response for both types of </w:t>
      </w:r>
      <w:r w:rsidRPr="00B3749F" w:rsidR="00B3749F">
        <w:rPr>
          <w:szCs w:val="24"/>
        </w:rPr>
        <w:t>requests</w:t>
      </w:r>
      <w:r w:rsidRPr="00B3749F" w:rsidR="00723753">
        <w:rPr>
          <w:szCs w:val="24"/>
        </w:rPr>
        <w:t xml:space="preserve"> is </w:t>
      </w:r>
      <w:r w:rsidRPr="00B3749F" w:rsidR="009B6178">
        <w:rPr>
          <w:szCs w:val="24"/>
        </w:rPr>
        <w:t>occasionally,</w:t>
      </w:r>
      <w:r w:rsidRPr="00B3749F" w:rsidR="00723753">
        <w:rPr>
          <w:szCs w:val="24"/>
        </w:rPr>
        <w:t xml:space="preserve"> whenever a </w:t>
      </w:r>
      <w:r w:rsidRPr="00B3749F" w:rsidR="009B6178">
        <w:rPr>
          <w:szCs w:val="24"/>
        </w:rPr>
        <w:t>group request</w:t>
      </w:r>
      <w:r w:rsidRPr="00B3749F" w:rsidR="00723753">
        <w:rPr>
          <w:szCs w:val="24"/>
        </w:rPr>
        <w:t xml:space="preserve"> use of the space. Most respondents submit </w:t>
      </w:r>
      <w:r w:rsidRPr="00B3749F" w:rsidR="00646DDC">
        <w:rPr>
          <w:szCs w:val="24"/>
        </w:rPr>
        <w:t>requests less than once each year.</w:t>
      </w:r>
    </w:p>
    <w:p w:rsidRPr="00B3749F" w:rsidR="00E076DA" w:rsidP="009A4F47" w:rsidRDefault="00E076DA" w14:paraId="49655DA8" w14:textId="77777777">
      <w:pPr>
        <w:rPr>
          <w:szCs w:val="24"/>
        </w:rPr>
      </w:pPr>
    </w:p>
    <w:p w:rsidRPr="00B3749F" w:rsidR="00DF2BCC" w:rsidP="00B3749F" w:rsidRDefault="00723753" w14:paraId="566AB3BF" w14:textId="4C2C37B2">
      <w:pPr>
        <w:ind w:firstLine="720"/>
        <w:rPr>
          <w:strike/>
          <w:szCs w:val="24"/>
        </w:rPr>
      </w:pPr>
      <w:r w:rsidRPr="00B3749F">
        <w:rPr>
          <w:szCs w:val="24"/>
        </w:rPr>
        <w:t xml:space="preserve">The </w:t>
      </w:r>
      <w:r w:rsidRPr="00B3749F" w:rsidR="00646DDC">
        <w:rPr>
          <w:szCs w:val="24"/>
        </w:rPr>
        <w:t xml:space="preserve">estimated </w:t>
      </w:r>
      <w:r w:rsidRPr="00B3749F">
        <w:rPr>
          <w:szCs w:val="24"/>
        </w:rPr>
        <w:t xml:space="preserve">individual respondent </w:t>
      </w:r>
      <w:r w:rsidRPr="00B3749F" w:rsidR="00E076DA">
        <w:rPr>
          <w:szCs w:val="24"/>
        </w:rPr>
        <w:t xml:space="preserve">hour </w:t>
      </w:r>
      <w:r w:rsidRPr="00B3749F">
        <w:rPr>
          <w:szCs w:val="24"/>
        </w:rPr>
        <w:t xml:space="preserve">burden </w:t>
      </w:r>
      <w:r w:rsidRPr="00B3749F" w:rsidR="00646DDC">
        <w:rPr>
          <w:szCs w:val="24"/>
        </w:rPr>
        <w:t>for Presidential library requests is</w:t>
      </w:r>
      <w:r w:rsidRPr="00B3749F">
        <w:rPr>
          <w:szCs w:val="24"/>
        </w:rPr>
        <w:t xml:space="preserve"> 20 minutes per application to review the conditions of use and regulations and to complete the form.</w:t>
      </w:r>
      <w:r w:rsidRPr="00B3749F" w:rsidR="00646DDC">
        <w:rPr>
          <w:szCs w:val="24"/>
        </w:rPr>
        <w:t xml:space="preserve"> The estimated individual respondent </w:t>
      </w:r>
      <w:r w:rsidRPr="00B3749F" w:rsidR="00E076DA">
        <w:rPr>
          <w:szCs w:val="24"/>
        </w:rPr>
        <w:t xml:space="preserve">hour </w:t>
      </w:r>
      <w:r w:rsidRPr="00B3749F" w:rsidR="00646DDC">
        <w:rPr>
          <w:szCs w:val="24"/>
        </w:rPr>
        <w:t xml:space="preserve">burden for other facility requests is 30 minutes per application to </w:t>
      </w:r>
      <w:r w:rsidRPr="00B3749F" w:rsidR="00DF2BCC">
        <w:rPr>
          <w:szCs w:val="24"/>
        </w:rPr>
        <w:t xml:space="preserve">provide information about the proposed event, including the date and location desired, plans and scheduled activities for the event, and samples of printed materials </w:t>
      </w:r>
      <w:r w:rsidRPr="00B3749F" w:rsidR="00F07A63">
        <w:rPr>
          <w:szCs w:val="24"/>
        </w:rPr>
        <w:t>they wish to use or display</w:t>
      </w:r>
      <w:r w:rsidRPr="00B3749F" w:rsidR="00DF2BCC">
        <w:rPr>
          <w:szCs w:val="24"/>
        </w:rPr>
        <w:t xml:space="preserve"> at the event.</w:t>
      </w:r>
    </w:p>
    <w:p w:rsidRPr="00B3749F" w:rsidR="000B6767" w:rsidP="009A4F47" w:rsidRDefault="000B6767" w14:paraId="0271573D" w14:textId="77777777">
      <w:pPr>
        <w:rPr>
          <w:szCs w:val="24"/>
        </w:rPr>
      </w:pPr>
    </w:p>
    <w:p w:rsidRPr="00B3749F" w:rsidR="00646DDC" w:rsidP="000A5F1E" w:rsidRDefault="00646DDC" w14:paraId="0C853E48" w14:textId="7AA49C20">
      <w:pPr>
        <w:pStyle w:val="BodyTextIndent"/>
        <w:ind w:firstLine="720"/>
        <w:rPr>
          <w:szCs w:val="24"/>
        </w:rPr>
      </w:pPr>
      <w:r w:rsidRPr="00B3749F">
        <w:rPr>
          <w:szCs w:val="24"/>
        </w:rPr>
        <w:lastRenderedPageBreak/>
        <w:t xml:space="preserve">We estimate the cost per hour to respondents requesting use of Presidential library space at $15 per hour. Respondents for these requests include a variety of organizations, ranging from small volunteer or personal interest groups in the community where the library is located to national professional organizations. </w:t>
      </w:r>
      <w:r w:rsidRPr="00B3749F" w:rsidR="0021239E">
        <w:rPr>
          <w:szCs w:val="24"/>
        </w:rPr>
        <w:t xml:space="preserve">We estimated the value of the respondent's time at $15 per hour to accommodate respondents who used a professional planner or administrative staff member to complete the form. </w:t>
      </w:r>
      <w:r w:rsidRPr="00B3749F">
        <w:rPr>
          <w:szCs w:val="24"/>
        </w:rPr>
        <w:t>We estimate the</w:t>
      </w:r>
      <w:r w:rsidRPr="00B3749F" w:rsidR="00F07A63">
        <w:rPr>
          <w:szCs w:val="24"/>
        </w:rPr>
        <w:t xml:space="preserve"> </w:t>
      </w:r>
      <w:r w:rsidRPr="00B3749F" w:rsidR="00DF2BCC">
        <w:rPr>
          <w:szCs w:val="24"/>
        </w:rPr>
        <w:t xml:space="preserve">cost per </w:t>
      </w:r>
      <w:r w:rsidRPr="00B3749F" w:rsidR="0021239E">
        <w:rPr>
          <w:szCs w:val="24"/>
        </w:rPr>
        <w:t xml:space="preserve">hour to respondents requesting </w:t>
      </w:r>
      <w:r w:rsidRPr="00B3749F" w:rsidR="000B6767">
        <w:rPr>
          <w:szCs w:val="24"/>
        </w:rPr>
        <w:t xml:space="preserve">use of </w:t>
      </w:r>
      <w:r w:rsidRPr="00B3749F">
        <w:rPr>
          <w:szCs w:val="24"/>
        </w:rPr>
        <w:t>other facility spaces</w:t>
      </w:r>
      <w:r w:rsidRPr="00B3749F" w:rsidR="000B6767">
        <w:rPr>
          <w:szCs w:val="24"/>
        </w:rPr>
        <w:t xml:space="preserve"> </w:t>
      </w:r>
      <w:r w:rsidRPr="00B3749F">
        <w:rPr>
          <w:szCs w:val="24"/>
        </w:rPr>
        <w:t>in the Washington, DC, are</w:t>
      </w:r>
      <w:r w:rsidRPr="00B3749F" w:rsidR="0021239E">
        <w:rPr>
          <w:szCs w:val="24"/>
        </w:rPr>
        <w:t>a</w:t>
      </w:r>
      <w:r w:rsidRPr="00B3749F">
        <w:rPr>
          <w:szCs w:val="24"/>
        </w:rPr>
        <w:t xml:space="preserve"> </w:t>
      </w:r>
      <w:r w:rsidRPr="00B3749F" w:rsidR="0021239E">
        <w:rPr>
          <w:szCs w:val="24"/>
        </w:rPr>
        <w:t>based on</w:t>
      </w:r>
      <w:r w:rsidRPr="00B3749F">
        <w:rPr>
          <w:szCs w:val="24"/>
        </w:rPr>
        <w:t xml:space="preserve"> a</w:t>
      </w:r>
      <w:r w:rsidRPr="00B3749F" w:rsidR="0021239E">
        <w:rPr>
          <w:szCs w:val="24"/>
        </w:rPr>
        <w:t xml:space="preserve"> moderate</w:t>
      </w:r>
      <w:r w:rsidRPr="00B3749F">
        <w:rPr>
          <w:szCs w:val="24"/>
        </w:rPr>
        <w:t xml:space="preserve"> </w:t>
      </w:r>
      <w:r w:rsidRPr="00B3749F" w:rsidR="00F07A63">
        <w:rPr>
          <w:szCs w:val="24"/>
        </w:rPr>
        <w:t xml:space="preserve">hourly </w:t>
      </w:r>
      <w:r w:rsidRPr="00B3749F" w:rsidR="00E076DA">
        <w:rPr>
          <w:szCs w:val="24"/>
        </w:rPr>
        <w:t xml:space="preserve">office </w:t>
      </w:r>
      <w:r w:rsidRPr="00B3749F" w:rsidR="00F07A63">
        <w:rPr>
          <w:szCs w:val="24"/>
        </w:rPr>
        <w:t>wage</w:t>
      </w:r>
      <w:r w:rsidRPr="00B3749F" w:rsidR="0021239E">
        <w:rPr>
          <w:szCs w:val="24"/>
        </w:rPr>
        <w:t xml:space="preserve"> for the area</w:t>
      </w:r>
      <w:r w:rsidRPr="00B3749F" w:rsidR="00F07A63">
        <w:rPr>
          <w:szCs w:val="24"/>
        </w:rPr>
        <w:t xml:space="preserve"> of $30</w:t>
      </w:r>
      <w:r w:rsidRPr="00B3749F">
        <w:rPr>
          <w:szCs w:val="24"/>
        </w:rPr>
        <w:t xml:space="preserve"> per </w:t>
      </w:r>
      <w:r w:rsidRPr="00B3749F" w:rsidR="000A5F1E">
        <w:rPr>
          <w:szCs w:val="24"/>
        </w:rPr>
        <w:t>hour</w:t>
      </w:r>
      <w:r w:rsidRPr="00B3749F">
        <w:rPr>
          <w:szCs w:val="24"/>
        </w:rPr>
        <w:t>.</w:t>
      </w:r>
      <w:r w:rsidRPr="00B3749F" w:rsidR="000A5F1E">
        <w:rPr>
          <w:szCs w:val="24"/>
        </w:rPr>
        <w:t xml:space="preserve"> </w:t>
      </w:r>
    </w:p>
    <w:p w:rsidRPr="00B3749F" w:rsidR="00701C0E" w:rsidP="000A5F1E" w:rsidRDefault="00701C0E" w14:paraId="01C71771" w14:textId="3BFAEE53">
      <w:pPr>
        <w:pStyle w:val="BodyTextIndent"/>
        <w:ind w:firstLine="720"/>
        <w:rPr>
          <w:szCs w:val="24"/>
        </w:rPr>
      </w:pPr>
    </w:p>
    <w:tbl>
      <w:tblPr>
        <w:tblStyle w:val="TableGrid"/>
        <w:tblW w:w="0" w:type="auto"/>
        <w:tblLook w:val="04A0" w:firstRow="1" w:lastRow="0" w:firstColumn="1" w:lastColumn="0" w:noHBand="0" w:noVBand="1"/>
      </w:tblPr>
      <w:tblGrid>
        <w:gridCol w:w="1525"/>
        <w:gridCol w:w="1325"/>
        <w:gridCol w:w="1377"/>
        <w:gridCol w:w="1438"/>
        <w:gridCol w:w="1350"/>
        <w:gridCol w:w="1441"/>
        <w:gridCol w:w="1470"/>
      </w:tblGrid>
      <w:tr w:rsidRPr="00B3749F" w:rsidR="00E076DA" w:rsidTr="00E076DA" w14:paraId="34BED4F6" w14:textId="77777777">
        <w:tc>
          <w:tcPr>
            <w:tcW w:w="1525" w:type="dxa"/>
            <w:vAlign w:val="center"/>
          </w:tcPr>
          <w:p w:rsidRPr="00B3749F" w:rsidR="004317EB" w:rsidP="00B3749F" w:rsidRDefault="004317EB" w14:paraId="581F32E8" w14:textId="58A8033F">
            <w:pPr>
              <w:pStyle w:val="BodyTextIndent"/>
              <w:ind w:firstLine="0"/>
              <w:jc w:val="center"/>
              <w:rPr>
                <w:b/>
                <w:bCs/>
                <w:szCs w:val="24"/>
              </w:rPr>
            </w:pPr>
            <w:r w:rsidRPr="00B3749F">
              <w:rPr>
                <w:b/>
                <w:bCs/>
                <w:szCs w:val="24"/>
              </w:rPr>
              <w:t>Type of request</w:t>
            </w:r>
          </w:p>
        </w:tc>
        <w:tc>
          <w:tcPr>
            <w:tcW w:w="1325" w:type="dxa"/>
            <w:vAlign w:val="center"/>
          </w:tcPr>
          <w:p w:rsidRPr="00B3749F" w:rsidR="004317EB" w:rsidP="00B3749F" w:rsidRDefault="004317EB" w14:paraId="3FF0D65B" w14:textId="521302C2">
            <w:pPr>
              <w:pStyle w:val="BodyTextIndent"/>
              <w:ind w:firstLine="0"/>
              <w:jc w:val="center"/>
              <w:rPr>
                <w:b/>
                <w:bCs/>
                <w:szCs w:val="24"/>
              </w:rPr>
            </w:pPr>
            <w:r w:rsidRPr="00B3749F">
              <w:rPr>
                <w:b/>
                <w:bCs/>
                <w:szCs w:val="24"/>
              </w:rPr>
              <w:t>Average request</w:t>
            </w:r>
            <w:r w:rsidRPr="00B3749F" w:rsidR="002A0903">
              <w:rPr>
                <w:b/>
                <w:bCs/>
                <w:szCs w:val="24"/>
              </w:rPr>
              <w:t>s</w:t>
            </w:r>
            <w:r w:rsidRPr="00B3749F">
              <w:rPr>
                <w:b/>
                <w:bCs/>
                <w:szCs w:val="24"/>
              </w:rPr>
              <w:t xml:space="preserve"> per respondent</w:t>
            </w:r>
            <w:r w:rsidRPr="00B3749F" w:rsidR="002A0903">
              <w:rPr>
                <w:b/>
                <w:bCs/>
                <w:szCs w:val="24"/>
              </w:rPr>
              <w:t xml:space="preserve"> (a)</w:t>
            </w:r>
          </w:p>
        </w:tc>
        <w:tc>
          <w:tcPr>
            <w:tcW w:w="1377" w:type="dxa"/>
            <w:vAlign w:val="center"/>
          </w:tcPr>
          <w:p w:rsidRPr="00B3749F" w:rsidR="004317EB" w:rsidP="00B3749F" w:rsidRDefault="004317EB" w14:paraId="155C465D" w14:textId="1D41CB99">
            <w:pPr>
              <w:pStyle w:val="BodyTextIndent"/>
              <w:ind w:firstLine="0"/>
              <w:jc w:val="center"/>
              <w:rPr>
                <w:b/>
                <w:bCs/>
                <w:szCs w:val="24"/>
              </w:rPr>
            </w:pPr>
            <w:r w:rsidRPr="00B3749F">
              <w:rPr>
                <w:b/>
                <w:bCs/>
                <w:szCs w:val="24"/>
              </w:rPr>
              <w:t>Estimated total requests per year</w:t>
            </w:r>
            <w:r w:rsidRPr="00B3749F" w:rsidR="002A0903">
              <w:rPr>
                <w:b/>
                <w:bCs/>
                <w:szCs w:val="24"/>
              </w:rPr>
              <w:t xml:space="preserve"> (b)</w:t>
            </w:r>
          </w:p>
        </w:tc>
        <w:tc>
          <w:tcPr>
            <w:tcW w:w="1438" w:type="dxa"/>
            <w:vAlign w:val="center"/>
          </w:tcPr>
          <w:p w:rsidRPr="00B3749F" w:rsidR="004317EB" w:rsidP="00B3749F" w:rsidRDefault="004317EB" w14:paraId="10042771" w14:textId="214B93EB">
            <w:pPr>
              <w:pStyle w:val="BodyTextIndent"/>
              <w:ind w:firstLine="0"/>
              <w:jc w:val="center"/>
              <w:rPr>
                <w:b/>
                <w:bCs/>
                <w:szCs w:val="24"/>
              </w:rPr>
            </w:pPr>
            <w:r w:rsidRPr="00B3749F">
              <w:rPr>
                <w:b/>
                <w:bCs/>
                <w:szCs w:val="24"/>
              </w:rPr>
              <w:t>Estimated time per request</w:t>
            </w:r>
            <w:r w:rsidRPr="00B3749F" w:rsidR="002A0903">
              <w:rPr>
                <w:b/>
                <w:bCs/>
                <w:szCs w:val="24"/>
              </w:rPr>
              <w:t xml:space="preserve"> (c)</w:t>
            </w:r>
          </w:p>
        </w:tc>
        <w:tc>
          <w:tcPr>
            <w:tcW w:w="1350" w:type="dxa"/>
            <w:vAlign w:val="center"/>
          </w:tcPr>
          <w:p w:rsidRPr="00B3749F" w:rsidR="004317EB" w:rsidP="00B3749F" w:rsidRDefault="004317EB" w14:paraId="0BE0B684" w14:textId="0F9B8BBC">
            <w:pPr>
              <w:pStyle w:val="BodyTextIndent"/>
              <w:ind w:firstLine="0"/>
              <w:jc w:val="center"/>
              <w:rPr>
                <w:b/>
                <w:bCs/>
                <w:szCs w:val="24"/>
              </w:rPr>
            </w:pPr>
            <w:r w:rsidRPr="00B3749F">
              <w:rPr>
                <w:b/>
                <w:bCs/>
                <w:szCs w:val="24"/>
              </w:rPr>
              <w:t>Estimated rate for time per request</w:t>
            </w:r>
            <w:r w:rsidRPr="00B3749F" w:rsidR="002A0903">
              <w:rPr>
                <w:b/>
                <w:bCs/>
                <w:szCs w:val="24"/>
              </w:rPr>
              <w:t xml:space="preserve"> (d)</w:t>
            </w:r>
          </w:p>
        </w:tc>
        <w:tc>
          <w:tcPr>
            <w:tcW w:w="1441" w:type="dxa"/>
            <w:vAlign w:val="center"/>
          </w:tcPr>
          <w:p w:rsidRPr="00B3749F" w:rsidR="009C7A11" w:rsidP="009C7A11" w:rsidRDefault="004317EB" w14:paraId="348305B0" w14:textId="77777777">
            <w:pPr>
              <w:pStyle w:val="BodyTextIndent"/>
              <w:ind w:firstLine="0"/>
              <w:jc w:val="center"/>
              <w:rPr>
                <w:b/>
                <w:bCs/>
                <w:szCs w:val="24"/>
              </w:rPr>
            </w:pPr>
            <w:r w:rsidRPr="00B3749F">
              <w:rPr>
                <w:b/>
                <w:bCs/>
                <w:szCs w:val="24"/>
              </w:rPr>
              <w:t>Estimated total annual hours</w:t>
            </w:r>
            <w:r w:rsidRPr="00B3749F" w:rsidR="002A0903">
              <w:rPr>
                <w:b/>
                <w:bCs/>
                <w:szCs w:val="24"/>
              </w:rPr>
              <w:t xml:space="preserve"> </w:t>
            </w:r>
          </w:p>
          <w:p w:rsidRPr="00B3749F" w:rsidR="004317EB" w:rsidP="00B3749F" w:rsidRDefault="002A0903" w14:paraId="228BF406" w14:textId="20E11FDA">
            <w:pPr>
              <w:pStyle w:val="BodyTextIndent"/>
              <w:ind w:firstLine="0"/>
              <w:jc w:val="center"/>
              <w:rPr>
                <w:b/>
                <w:bCs/>
                <w:szCs w:val="24"/>
              </w:rPr>
            </w:pPr>
            <w:r w:rsidRPr="00B3749F">
              <w:rPr>
                <w:b/>
                <w:bCs/>
                <w:szCs w:val="24"/>
              </w:rPr>
              <w:t>(e) =</w:t>
            </w:r>
            <w:r w:rsidRPr="00B3749F" w:rsidR="00E076DA">
              <w:rPr>
                <w:b/>
                <w:bCs/>
                <w:szCs w:val="24"/>
              </w:rPr>
              <w:t xml:space="preserve"> </w:t>
            </w:r>
            <w:r w:rsidRPr="00B3749F">
              <w:rPr>
                <w:b/>
                <w:bCs/>
                <w:szCs w:val="24"/>
              </w:rPr>
              <w:t>(b)x(c)</w:t>
            </w:r>
          </w:p>
        </w:tc>
        <w:tc>
          <w:tcPr>
            <w:tcW w:w="1470" w:type="dxa"/>
            <w:vAlign w:val="center"/>
          </w:tcPr>
          <w:p w:rsidRPr="00B3749F" w:rsidR="009C7A11" w:rsidP="009C7A11" w:rsidRDefault="004317EB" w14:paraId="01B78E23" w14:textId="4FCEBD21">
            <w:pPr>
              <w:pStyle w:val="BodyTextIndent"/>
              <w:ind w:firstLine="0"/>
              <w:jc w:val="center"/>
              <w:rPr>
                <w:b/>
                <w:bCs/>
                <w:szCs w:val="24"/>
              </w:rPr>
            </w:pPr>
            <w:r w:rsidRPr="00B3749F">
              <w:rPr>
                <w:b/>
                <w:bCs/>
                <w:szCs w:val="24"/>
              </w:rPr>
              <w:t xml:space="preserve">Estimated total annual hour </w:t>
            </w:r>
            <w:r w:rsidRPr="00B3749F" w:rsidR="00E076DA">
              <w:rPr>
                <w:b/>
                <w:bCs/>
                <w:szCs w:val="24"/>
              </w:rPr>
              <w:t>cost</w:t>
            </w:r>
            <w:r w:rsidRPr="00B3749F" w:rsidR="002A0903">
              <w:rPr>
                <w:b/>
                <w:bCs/>
                <w:szCs w:val="24"/>
              </w:rPr>
              <w:t xml:space="preserve"> </w:t>
            </w:r>
          </w:p>
          <w:p w:rsidRPr="00B3749F" w:rsidR="004317EB" w:rsidP="00B3749F" w:rsidRDefault="002A0903" w14:paraId="0A69E2BC" w14:textId="2267C32E">
            <w:pPr>
              <w:pStyle w:val="BodyTextIndent"/>
              <w:ind w:firstLine="0"/>
              <w:jc w:val="center"/>
              <w:rPr>
                <w:b/>
                <w:bCs/>
                <w:szCs w:val="24"/>
              </w:rPr>
            </w:pPr>
            <w:r w:rsidRPr="00B3749F">
              <w:rPr>
                <w:b/>
                <w:bCs/>
                <w:szCs w:val="24"/>
              </w:rPr>
              <w:t>(f) = (e)x(d)</w:t>
            </w:r>
          </w:p>
        </w:tc>
      </w:tr>
      <w:tr w:rsidRPr="00B3749F" w:rsidR="002A0903" w:rsidTr="00B3749F" w14:paraId="764FD826" w14:textId="77777777">
        <w:tc>
          <w:tcPr>
            <w:tcW w:w="1525" w:type="dxa"/>
          </w:tcPr>
          <w:p w:rsidRPr="00B3749F" w:rsidR="004317EB" w:rsidP="000A5F1E" w:rsidRDefault="004317EB" w14:paraId="0233A5EF" w14:textId="0CA474D8">
            <w:pPr>
              <w:pStyle w:val="BodyTextIndent"/>
              <w:ind w:firstLine="0"/>
              <w:rPr>
                <w:szCs w:val="24"/>
              </w:rPr>
            </w:pPr>
            <w:r w:rsidRPr="00B3749F">
              <w:rPr>
                <w:szCs w:val="24"/>
              </w:rPr>
              <w:t>Presidential library requests</w:t>
            </w:r>
          </w:p>
        </w:tc>
        <w:tc>
          <w:tcPr>
            <w:tcW w:w="1325" w:type="dxa"/>
            <w:vAlign w:val="center"/>
          </w:tcPr>
          <w:p w:rsidRPr="00B3749F" w:rsidR="004317EB" w:rsidP="00B3749F" w:rsidRDefault="004317EB" w14:paraId="1271609F" w14:textId="6D8387F9">
            <w:pPr>
              <w:pStyle w:val="BodyTextIndent"/>
              <w:ind w:firstLine="0"/>
              <w:jc w:val="center"/>
              <w:rPr>
                <w:szCs w:val="24"/>
              </w:rPr>
            </w:pPr>
            <w:r w:rsidRPr="00B3749F">
              <w:rPr>
                <w:szCs w:val="24"/>
              </w:rPr>
              <w:t>1</w:t>
            </w:r>
          </w:p>
        </w:tc>
        <w:tc>
          <w:tcPr>
            <w:tcW w:w="1377" w:type="dxa"/>
            <w:vAlign w:val="center"/>
          </w:tcPr>
          <w:p w:rsidRPr="00B3749F" w:rsidR="004317EB" w:rsidP="00B3749F" w:rsidRDefault="004317EB" w14:paraId="22948058" w14:textId="75F6342B">
            <w:pPr>
              <w:pStyle w:val="BodyTextIndent"/>
              <w:ind w:firstLine="0"/>
              <w:jc w:val="center"/>
              <w:rPr>
                <w:szCs w:val="24"/>
              </w:rPr>
            </w:pPr>
            <w:r w:rsidRPr="00B3749F">
              <w:rPr>
                <w:szCs w:val="24"/>
              </w:rPr>
              <w:t>600</w:t>
            </w:r>
          </w:p>
        </w:tc>
        <w:tc>
          <w:tcPr>
            <w:tcW w:w="1438" w:type="dxa"/>
            <w:vAlign w:val="center"/>
          </w:tcPr>
          <w:p w:rsidRPr="00B3749F" w:rsidR="004317EB" w:rsidP="00B3749F" w:rsidRDefault="004317EB" w14:paraId="360C6C83" w14:textId="32C3A0CE">
            <w:pPr>
              <w:pStyle w:val="BodyTextIndent"/>
              <w:ind w:firstLine="0"/>
              <w:jc w:val="center"/>
              <w:rPr>
                <w:szCs w:val="24"/>
              </w:rPr>
            </w:pPr>
            <w:r w:rsidRPr="00B3749F">
              <w:rPr>
                <w:szCs w:val="24"/>
              </w:rPr>
              <w:t>20</w:t>
            </w:r>
            <w:r w:rsidRPr="00B3749F" w:rsidR="002A0903">
              <w:rPr>
                <w:szCs w:val="24"/>
              </w:rPr>
              <w:t xml:space="preserve"> minutes (.33</w:t>
            </w:r>
            <w:r w:rsidRPr="00B3749F" w:rsidR="00DF2EFF">
              <w:rPr>
                <w:szCs w:val="24"/>
              </w:rPr>
              <w:t xml:space="preserve"> of an hour)</w:t>
            </w:r>
          </w:p>
        </w:tc>
        <w:tc>
          <w:tcPr>
            <w:tcW w:w="1350" w:type="dxa"/>
            <w:vAlign w:val="center"/>
          </w:tcPr>
          <w:p w:rsidRPr="00B3749F" w:rsidR="004317EB" w:rsidP="00B3749F" w:rsidRDefault="004317EB" w14:paraId="4AB4113F" w14:textId="0F775FCC">
            <w:pPr>
              <w:pStyle w:val="BodyTextIndent"/>
              <w:ind w:firstLine="0"/>
              <w:jc w:val="center"/>
              <w:rPr>
                <w:szCs w:val="24"/>
              </w:rPr>
            </w:pPr>
            <w:r w:rsidRPr="00B3749F">
              <w:rPr>
                <w:szCs w:val="24"/>
              </w:rPr>
              <w:t>$15 per hour</w:t>
            </w:r>
          </w:p>
        </w:tc>
        <w:tc>
          <w:tcPr>
            <w:tcW w:w="1441" w:type="dxa"/>
            <w:vAlign w:val="center"/>
          </w:tcPr>
          <w:p w:rsidRPr="00B3749F" w:rsidR="004317EB" w:rsidP="00B3749F" w:rsidRDefault="00DF2EFF" w14:paraId="752BF82C" w14:textId="4FAB83A1">
            <w:pPr>
              <w:pStyle w:val="BodyTextIndent"/>
              <w:ind w:firstLine="0"/>
              <w:jc w:val="center"/>
              <w:rPr>
                <w:szCs w:val="24"/>
              </w:rPr>
            </w:pPr>
            <w:r w:rsidRPr="00B3749F">
              <w:rPr>
                <w:szCs w:val="24"/>
              </w:rPr>
              <w:t>198</w:t>
            </w:r>
          </w:p>
        </w:tc>
        <w:tc>
          <w:tcPr>
            <w:tcW w:w="1470" w:type="dxa"/>
            <w:vAlign w:val="center"/>
          </w:tcPr>
          <w:p w:rsidRPr="00B3749F" w:rsidR="004317EB" w:rsidP="00B3749F" w:rsidRDefault="00DF2EFF" w14:paraId="15ABAE71" w14:textId="747862D3">
            <w:pPr>
              <w:pStyle w:val="BodyTextIndent"/>
              <w:ind w:firstLine="0"/>
              <w:jc w:val="center"/>
              <w:rPr>
                <w:szCs w:val="24"/>
              </w:rPr>
            </w:pPr>
            <w:r w:rsidRPr="00B3749F">
              <w:rPr>
                <w:szCs w:val="24"/>
              </w:rPr>
              <w:t>$2,970</w:t>
            </w:r>
          </w:p>
        </w:tc>
      </w:tr>
      <w:tr w:rsidRPr="00B3749F" w:rsidR="00DF2EFF" w:rsidTr="00B3749F" w14:paraId="6DF3BCEF" w14:textId="77777777">
        <w:tc>
          <w:tcPr>
            <w:tcW w:w="1525" w:type="dxa"/>
          </w:tcPr>
          <w:p w:rsidRPr="00B3749F" w:rsidR="00DF2EFF" w:rsidP="000A5F1E" w:rsidRDefault="00DF2EFF" w14:paraId="7B7913FE" w14:textId="4F332690">
            <w:pPr>
              <w:pStyle w:val="BodyTextIndent"/>
              <w:ind w:firstLine="0"/>
              <w:rPr>
                <w:szCs w:val="24"/>
              </w:rPr>
            </w:pPr>
            <w:r w:rsidRPr="00B3749F">
              <w:rPr>
                <w:szCs w:val="24"/>
              </w:rPr>
              <w:t>Other facility requests</w:t>
            </w:r>
          </w:p>
        </w:tc>
        <w:tc>
          <w:tcPr>
            <w:tcW w:w="1325" w:type="dxa"/>
            <w:vAlign w:val="center"/>
          </w:tcPr>
          <w:p w:rsidRPr="00B3749F" w:rsidR="00DF2EFF" w:rsidP="00B3749F" w:rsidRDefault="00DF2EFF" w14:paraId="6F00DFF2" w14:textId="406E78DA">
            <w:pPr>
              <w:pStyle w:val="BodyTextIndent"/>
              <w:ind w:firstLine="0"/>
              <w:jc w:val="center"/>
              <w:rPr>
                <w:szCs w:val="24"/>
              </w:rPr>
            </w:pPr>
            <w:r w:rsidRPr="00B3749F">
              <w:rPr>
                <w:szCs w:val="24"/>
              </w:rPr>
              <w:t>1</w:t>
            </w:r>
          </w:p>
        </w:tc>
        <w:tc>
          <w:tcPr>
            <w:tcW w:w="1377" w:type="dxa"/>
            <w:vAlign w:val="center"/>
          </w:tcPr>
          <w:p w:rsidRPr="00B3749F" w:rsidR="00DF2EFF" w:rsidP="00B3749F" w:rsidRDefault="00DF2EFF" w14:paraId="0F9C3DAE" w14:textId="5E90CEC4">
            <w:pPr>
              <w:pStyle w:val="BodyTextIndent"/>
              <w:ind w:firstLine="0"/>
              <w:jc w:val="center"/>
              <w:rPr>
                <w:szCs w:val="24"/>
              </w:rPr>
            </w:pPr>
            <w:r w:rsidRPr="00B3749F">
              <w:rPr>
                <w:szCs w:val="24"/>
              </w:rPr>
              <w:t>300</w:t>
            </w:r>
          </w:p>
        </w:tc>
        <w:tc>
          <w:tcPr>
            <w:tcW w:w="1438" w:type="dxa"/>
            <w:vAlign w:val="center"/>
          </w:tcPr>
          <w:p w:rsidRPr="00B3749F" w:rsidR="00DF2EFF" w:rsidP="00B3749F" w:rsidRDefault="00DF2EFF" w14:paraId="77F6EBF0" w14:textId="12E1A06E">
            <w:pPr>
              <w:pStyle w:val="BodyTextIndent"/>
              <w:ind w:firstLine="0"/>
              <w:jc w:val="center"/>
              <w:rPr>
                <w:szCs w:val="24"/>
              </w:rPr>
            </w:pPr>
            <w:r w:rsidRPr="00B3749F">
              <w:rPr>
                <w:szCs w:val="24"/>
              </w:rPr>
              <w:t>30 minutes (.5 of an hour)</w:t>
            </w:r>
          </w:p>
        </w:tc>
        <w:tc>
          <w:tcPr>
            <w:tcW w:w="1350" w:type="dxa"/>
            <w:vAlign w:val="center"/>
          </w:tcPr>
          <w:p w:rsidRPr="00B3749F" w:rsidR="00DF2EFF" w:rsidP="00B3749F" w:rsidRDefault="00DF2EFF" w14:paraId="56C64B13" w14:textId="4162E6D8">
            <w:pPr>
              <w:pStyle w:val="BodyTextIndent"/>
              <w:ind w:firstLine="0"/>
              <w:jc w:val="center"/>
              <w:rPr>
                <w:szCs w:val="24"/>
              </w:rPr>
            </w:pPr>
            <w:r w:rsidRPr="00B3749F">
              <w:rPr>
                <w:szCs w:val="24"/>
              </w:rPr>
              <w:t>$30 per hour</w:t>
            </w:r>
          </w:p>
        </w:tc>
        <w:tc>
          <w:tcPr>
            <w:tcW w:w="1441" w:type="dxa"/>
            <w:vAlign w:val="center"/>
          </w:tcPr>
          <w:p w:rsidRPr="00B3749F" w:rsidR="00DF2EFF" w:rsidP="00B3749F" w:rsidRDefault="00DF2EFF" w14:paraId="103AFF88" w14:textId="0FD1F865">
            <w:pPr>
              <w:pStyle w:val="BodyTextIndent"/>
              <w:ind w:firstLine="0"/>
              <w:jc w:val="center"/>
              <w:rPr>
                <w:szCs w:val="24"/>
              </w:rPr>
            </w:pPr>
            <w:r w:rsidRPr="00B3749F">
              <w:rPr>
                <w:szCs w:val="24"/>
              </w:rPr>
              <w:t>150</w:t>
            </w:r>
          </w:p>
        </w:tc>
        <w:tc>
          <w:tcPr>
            <w:tcW w:w="1470" w:type="dxa"/>
            <w:vAlign w:val="center"/>
          </w:tcPr>
          <w:p w:rsidRPr="00B3749F" w:rsidR="00DF2EFF" w:rsidP="00B3749F" w:rsidRDefault="00DF2EFF" w14:paraId="4269BFE6" w14:textId="6D797279">
            <w:pPr>
              <w:pStyle w:val="BodyTextIndent"/>
              <w:ind w:firstLine="0"/>
              <w:jc w:val="center"/>
              <w:rPr>
                <w:szCs w:val="24"/>
              </w:rPr>
            </w:pPr>
            <w:r w:rsidRPr="00B3749F">
              <w:rPr>
                <w:szCs w:val="24"/>
              </w:rPr>
              <w:t>$4,500</w:t>
            </w:r>
          </w:p>
        </w:tc>
      </w:tr>
      <w:tr w:rsidRPr="00B3749F" w:rsidR="009C7A11" w:rsidTr="00B3749F" w14:paraId="1B55A932" w14:textId="77777777">
        <w:tc>
          <w:tcPr>
            <w:tcW w:w="1525" w:type="dxa"/>
          </w:tcPr>
          <w:p w:rsidRPr="00B3749F" w:rsidR="009C7A11" w:rsidP="000A5F1E" w:rsidRDefault="009C7A11" w14:paraId="599E9957" w14:textId="2079F306">
            <w:pPr>
              <w:pStyle w:val="BodyTextIndent"/>
              <w:ind w:firstLine="0"/>
              <w:rPr>
                <w:b/>
                <w:bCs/>
                <w:szCs w:val="24"/>
              </w:rPr>
            </w:pPr>
            <w:r w:rsidRPr="00B3749F">
              <w:rPr>
                <w:b/>
                <w:bCs/>
                <w:szCs w:val="24"/>
              </w:rPr>
              <w:t>Total for this collection</w:t>
            </w:r>
          </w:p>
        </w:tc>
        <w:tc>
          <w:tcPr>
            <w:tcW w:w="1325" w:type="dxa"/>
            <w:vAlign w:val="center"/>
          </w:tcPr>
          <w:p w:rsidRPr="00B3749F" w:rsidR="009C7A11" w:rsidP="00DF2EFF" w:rsidRDefault="009C7A11" w14:paraId="346D821C" w14:textId="39EFF7AE">
            <w:pPr>
              <w:pStyle w:val="BodyTextIndent"/>
              <w:ind w:firstLine="0"/>
              <w:jc w:val="center"/>
              <w:rPr>
                <w:szCs w:val="24"/>
              </w:rPr>
            </w:pPr>
            <w:r w:rsidRPr="00B3749F">
              <w:rPr>
                <w:szCs w:val="24"/>
              </w:rPr>
              <w:t>--</w:t>
            </w:r>
          </w:p>
        </w:tc>
        <w:tc>
          <w:tcPr>
            <w:tcW w:w="1377" w:type="dxa"/>
            <w:vAlign w:val="center"/>
          </w:tcPr>
          <w:p w:rsidRPr="00B3749F" w:rsidR="009C7A11" w:rsidP="00DF2EFF" w:rsidRDefault="009C7A11" w14:paraId="68254E67" w14:textId="06762BEE">
            <w:pPr>
              <w:pStyle w:val="BodyTextIndent"/>
              <w:ind w:firstLine="0"/>
              <w:jc w:val="center"/>
              <w:rPr>
                <w:b/>
                <w:bCs/>
                <w:szCs w:val="24"/>
              </w:rPr>
            </w:pPr>
            <w:r w:rsidRPr="00B3749F">
              <w:rPr>
                <w:b/>
                <w:bCs/>
                <w:szCs w:val="24"/>
              </w:rPr>
              <w:t>900</w:t>
            </w:r>
          </w:p>
        </w:tc>
        <w:tc>
          <w:tcPr>
            <w:tcW w:w="1438" w:type="dxa"/>
            <w:vAlign w:val="center"/>
          </w:tcPr>
          <w:p w:rsidRPr="00B3749F" w:rsidR="009C7A11" w:rsidP="00DF2EFF" w:rsidRDefault="009C7A11" w14:paraId="7A3DA446" w14:textId="48664DDB">
            <w:pPr>
              <w:pStyle w:val="BodyTextIndent"/>
              <w:ind w:firstLine="0"/>
              <w:jc w:val="center"/>
              <w:rPr>
                <w:szCs w:val="24"/>
              </w:rPr>
            </w:pPr>
            <w:r w:rsidRPr="00B3749F">
              <w:rPr>
                <w:szCs w:val="24"/>
              </w:rPr>
              <w:t>--</w:t>
            </w:r>
          </w:p>
        </w:tc>
        <w:tc>
          <w:tcPr>
            <w:tcW w:w="1350" w:type="dxa"/>
            <w:vAlign w:val="center"/>
          </w:tcPr>
          <w:p w:rsidRPr="00B3749F" w:rsidR="009C7A11" w:rsidP="00DF2EFF" w:rsidRDefault="009C7A11" w14:paraId="29D40FFC" w14:textId="3E4B102C">
            <w:pPr>
              <w:pStyle w:val="BodyTextIndent"/>
              <w:ind w:firstLine="0"/>
              <w:jc w:val="center"/>
              <w:rPr>
                <w:szCs w:val="24"/>
              </w:rPr>
            </w:pPr>
            <w:r w:rsidRPr="00B3749F">
              <w:rPr>
                <w:szCs w:val="24"/>
              </w:rPr>
              <w:t>--</w:t>
            </w:r>
          </w:p>
        </w:tc>
        <w:tc>
          <w:tcPr>
            <w:tcW w:w="1441" w:type="dxa"/>
            <w:vAlign w:val="center"/>
          </w:tcPr>
          <w:p w:rsidRPr="00B3749F" w:rsidR="009C7A11" w:rsidP="00DF2EFF" w:rsidRDefault="009C7A11" w14:paraId="47760872" w14:textId="681CA387">
            <w:pPr>
              <w:pStyle w:val="BodyTextIndent"/>
              <w:ind w:firstLine="0"/>
              <w:jc w:val="center"/>
              <w:rPr>
                <w:b/>
                <w:bCs/>
                <w:szCs w:val="24"/>
              </w:rPr>
            </w:pPr>
            <w:r w:rsidRPr="00B3749F">
              <w:rPr>
                <w:b/>
                <w:bCs/>
                <w:szCs w:val="24"/>
              </w:rPr>
              <w:t>348</w:t>
            </w:r>
          </w:p>
        </w:tc>
        <w:tc>
          <w:tcPr>
            <w:tcW w:w="1470" w:type="dxa"/>
            <w:vAlign w:val="center"/>
          </w:tcPr>
          <w:p w:rsidRPr="00B3749F" w:rsidR="009C7A11" w:rsidP="00DF2EFF" w:rsidRDefault="009C7A11" w14:paraId="162EC559" w14:textId="389BF7C7">
            <w:pPr>
              <w:pStyle w:val="BodyTextIndent"/>
              <w:ind w:firstLine="0"/>
              <w:jc w:val="center"/>
              <w:rPr>
                <w:b/>
                <w:bCs/>
                <w:szCs w:val="24"/>
              </w:rPr>
            </w:pPr>
            <w:r w:rsidRPr="00B3749F">
              <w:rPr>
                <w:b/>
                <w:bCs/>
                <w:szCs w:val="24"/>
              </w:rPr>
              <w:t>$7,470</w:t>
            </w:r>
          </w:p>
        </w:tc>
      </w:tr>
    </w:tbl>
    <w:p w:rsidRPr="00B3749F" w:rsidR="00701C0E" w:rsidP="000A5F1E" w:rsidRDefault="00701C0E" w14:paraId="4135EEFE" w14:textId="77777777">
      <w:pPr>
        <w:pStyle w:val="BodyTextIndent"/>
        <w:ind w:firstLine="720"/>
        <w:rPr>
          <w:szCs w:val="24"/>
        </w:rPr>
      </w:pPr>
    </w:p>
    <w:p w:rsidRPr="00B3749F" w:rsidR="00DF2BCC" w:rsidP="009A4F47" w:rsidRDefault="00DF2BCC" w14:paraId="29962271" w14:textId="77777777">
      <w:pPr>
        <w:pStyle w:val="BodyTextIndent"/>
        <w:ind w:left="360" w:firstLine="0"/>
        <w:rPr>
          <w:szCs w:val="24"/>
        </w:rPr>
      </w:pPr>
    </w:p>
    <w:p w:rsidRPr="00B3749F" w:rsidR="00DF2BCC" w:rsidP="009A4F47" w:rsidRDefault="009A4F47" w14:paraId="7FB41F71" w14:textId="44B1538B">
      <w:pPr>
        <w:rPr>
          <w:szCs w:val="24"/>
        </w:rPr>
      </w:pPr>
      <w:r w:rsidRPr="00B3749F">
        <w:rPr>
          <w:b/>
          <w:szCs w:val="24"/>
        </w:rPr>
        <w:t>13.</w:t>
      </w:r>
      <w:r w:rsidRPr="00B3749F">
        <w:rPr>
          <w:b/>
          <w:szCs w:val="24"/>
        </w:rPr>
        <w:tab/>
      </w:r>
      <w:r w:rsidRPr="00B3749F" w:rsidR="00DF2BCC">
        <w:rPr>
          <w:b/>
          <w:szCs w:val="24"/>
          <w:u w:val="single"/>
        </w:rPr>
        <w:t>Estimate of other total annual cost burden to respondents or recordkeepers.</w:t>
      </w:r>
      <w:r w:rsidRPr="00B3749F" w:rsidR="00DF2BCC">
        <w:rPr>
          <w:szCs w:val="24"/>
        </w:rPr>
        <w:t xml:space="preserve">  </w:t>
      </w:r>
      <w:r w:rsidRPr="00B3749F" w:rsidR="00F07A63">
        <w:rPr>
          <w:szCs w:val="24"/>
        </w:rPr>
        <w:t>Respondents do not incur an</w:t>
      </w:r>
      <w:r w:rsidRPr="00B3749F" w:rsidR="00DF2BCC">
        <w:rPr>
          <w:szCs w:val="24"/>
        </w:rPr>
        <w:t xml:space="preserve"> annual cost apart from that enumerated in Item 12.</w:t>
      </w:r>
    </w:p>
    <w:p w:rsidRPr="00B3749F" w:rsidR="00DF2BCC" w:rsidP="009A4F47" w:rsidRDefault="00DF2BCC" w14:paraId="3C271C73" w14:textId="77777777">
      <w:pPr>
        <w:rPr>
          <w:szCs w:val="24"/>
        </w:rPr>
      </w:pPr>
    </w:p>
    <w:p w:rsidRPr="00B3749F" w:rsidR="00DF2BCC" w:rsidP="009A4F47" w:rsidRDefault="009A4F47" w14:paraId="437B3EEB" w14:textId="2941D485">
      <w:pPr>
        <w:rPr>
          <w:szCs w:val="24"/>
        </w:rPr>
      </w:pPr>
      <w:r w:rsidRPr="00B3749F">
        <w:rPr>
          <w:b/>
          <w:szCs w:val="24"/>
        </w:rPr>
        <w:t>14.</w:t>
      </w:r>
      <w:r w:rsidRPr="00B3749F">
        <w:rPr>
          <w:b/>
          <w:szCs w:val="24"/>
        </w:rPr>
        <w:tab/>
      </w:r>
      <w:r w:rsidRPr="00B3749F" w:rsidR="00DF2BCC">
        <w:rPr>
          <w:b/>
          <w:szCs w:val="24"/>
          <w:u w:val="single"/>
        </w:rPr>
        <w:t>Annualized cost to the Federal Government.</w:t>
      </w:r>
      <w:r w:rsidRPr="00B3749F" w:rsidR="00DF2BCC">
        <w:rPr>
          <w:szCs w:val="24"/>
        </w:rPr>
        <w:t xml:space="preserve">  </w:t>
      </w:r>
      <w:r w:rsidRPr="00B3749F" w:rsidR="0021239E">
        <w:rPr>
          <w:szCs w:val="24"/>
        </w:rPr>
        <w:t xml:space="preserve">The estimated annual cost to the Federal </w:t>
      </w:r>
      <w:r w:rsidRPr="00B3749F" w:rsidR="00E076DA">
        <w:rPr>
          <w:szCs w:val="24"/>
        </w:rPr>
        <w:t>G</w:t>
      </w:r>
      <w:r w:rsidRPr="00B3749F" w:rsidR="0021239E">
        <w:rPr>
          <w:szCs w:val="24"/>
        </w:rPr>
        <w:t>overnment of requests to use Presidential library space is $13,750, including printing costs of $250 and staff costs of $13,500 (based upon form review and coordination by a GS-13).</w:t>
      </w:r>
      <w:r w:rsidRPr="00B3749F" w:rsidR="0021239E">
        <w:rPr>
          <w:szCs w:val="24"/>
        </w:rPr>
        <w:t xml:space="preserve"> </w:t>
      </w:r>
      <w:r w:rsidRPr="00B3749F" w:rsidR="00F07A63">
        <w:rPr>
          <w:szCs w:val="24"/>
        </w:rPr>
        <w:t>T</w:t>
      </w:r>
      <w:r w:rsidRPr="00B3749F" w:rsidR="00DF2BCC">
        <w:rPr>
          <w:szCs w:val="24"/>
        </w:rPr>
        <w:t xml:space="preserve">he </w:t>
      </w:r>
      <w:r w:rsidRPr="00B3749F" w:rsidR="0021239E">
        <w:rPr>
          <w:szCs w:val="24"/>
        </w:rPr>
        <w:t>estimated annual cost to the Federal Government of requests to use other facility space is $</w:t>
      </w:r>
      <w:r w:rsidRPr="00B3749F" w:rsidR="009C7A11">
        <w:rPr>
          <w:szCs w:val="24"/>
        </w:rPr>
        <w:t>10,500 for staff costs</w:t>
      </w:r>
      <w:r w:rsidRPr="00B3749F" w:rsidR="00F07A63">
        <w:rPr>
          <w:szCs w:val="24"/>
        </w:rPr>
        <w:t xml:space="preserve"> </w:t>
      </w:r>
      <w:r w:rsidRPr="00B3749F" w:rsidR="009C7A11">
        <w:rPr>
          <w:szCs w:val="24"/>
        </w:rPr>
        <w:t xml:space="preserve">(based upon request review and coordination by </w:t>
      </w:r>
      <w:r w:rsidRPr="00B3749F" w:rsidR="00F07A63">
        <w:rPr>
          <w:szCs w:val="24"/>
        </w:rPr>
        <w:t>a GS-12</w:t>
      </w:r>
      <w:r w:rsidRPr="00B3749F" w:rsidR="009C7A11">
        <w:rPr>
          <w:szCs w:val="24"/>
        </w:rPr>
        <w:t>)</w:t>
      </w:r>
      <w:r w:rsidRPr="00B3749F" w:rsidR="00F07A63">
        <w:rPr>
          <w:szCs w:val="24"/>
        </w:rPr>
        <w:t>.</w:t>
      </w:r>
      <w:r w:rsidRPr="00B3749F" w:rsidR="00DF2BCC">
        <w:rPr>
          <w:szCs w:val="24"/>
        </w:rPr>
        <w:t xml:space="preserve"> </w:t>
      </w:r>
      <w:r w:rsidRPr="00B3749F" w:rsidR="00F07A63">
        <w:rPr>
          <w:szCs w:val="24"/>
        </w:rPr>
        <w:t>T</w:t>
      </w:r>
      <w:r w:rsidRPr="00B3749F" w:rsidR="00DF2BCC">
        <w:rPr>
          <w:szCs w:val="24"/>
        </w:rPr>
        <w:t xml:space="preserve">he total annual cost </w:t>
      </w:r>
      <w:r w:rsidRPr="00B3749F" w:rsidR="00E076DA">
        <w:rPr>
          <w:szCs w:val="24"/>
        </w:rPr>
        <w:t xml:space="preserve">to the Government of these requests </w:t>
      </w:r>
      <w:r w:rsidRPr="00B3749F" w:rsidR="00DF2BCC">
        <w:rPr>
          <w:szCs w:val="24"/>
        </w:rPr>
        <w:t xml:space="preserve">is </w:t>
      </w:r>
      <w:r w:rsidRPr="00B3749F" w:rsidR="00F07A63">
        <w:rPr>
          <w:szCs w:val="24"/>
        </w:rPr>
        <w:t xml:space="preserve">therefore approximately </w:t>
      </w:r>
      <w:r w:rsidRPr="00B3749F" w:rsidR="00DF2BCC">
        <w:rPr>
          <w:szCs w:val="24"/>
        </w:rPr>
        <w:t>$</w:t>
      </w:r>
      <w:r w:rsidRPr="00B3749F" w:rsidR="009C7A11">
        <w:rPr>
          <w:szCs w:val="24"/>
        </w:rPr>
        <w:t>24</w:t>
      </w:r>
      <w:r w:rsidRPr="00B3749F" w:rsidR="00BB5B5A">
        <w:rPr>
          <w:szCs w:val="24"/>
        </w:rPr>
        <w:t>,</w:t>
      </w:r>
      <w:r w:rsidRPr="00B3749F" w:rsidR="009C7A11">
        <w:rPr>
          <w:szCs w:val="24"/>
        </w:rPr>
        <w:t>000</w:t>
      </w:r>
      <w:r w:rsidRPr="00B3749F" w:rsidR="00F07A63">
        <w:rPr>
          <w:szCs w:val="24"/>
        </w:rPr>
        <w:t xml:space="preserve">, based on an average of </w:t>
      </w:r>
      <w:r w:rsidRPr="00B3749F" w:rsidR="009C7A11">
        <w:rPr>
          <w:szCs w:val="24"/>
        </w:rPr>
        <w:t xml:space="preserve">900 </w:t>
      </w:r>
      <w:r w:rsidRPr="00B3749F" w:rsidR="00F07A63">
        <w:rPr>
          <w:szCs w:val="24"/>
        </w:rPr>
        <w:t>requests per year</w:t>
      </w:r>
      <w:r w:rsidRPr="00B3749F" w:rsidR="00DF2BCC">
        <w:rPr>
          <w:szCs w:val="24"/>
        </w:rPr>
        <w:t>.</w:t>
      </w:r>
    </w:p>
    <w:p w:rsidRPr="00B3749F" w:rsidR="00DF2BCC" w:rsidP="009A4F47" w:rsidRDefault="00DF2BCC" w14:paraId="6A29A0B9" w14:textId="77777777">
      <w:pPr>
        <w:rPr>
          <w:szCs w:val="24"/>
        </w:rPr>
      </w:pPr>
    </w:p>
    <w:p w:rsidRPr="00B3749F" w:rsidR="00DF2BCC" w:rsidP="009A4F47" w:rsidRDefault="009A4F47" w14:paraId="5A07D3DD" w14:textId="1464B6CC">
      <w:pPr>
        <w:rPr>
          <w:szCs w:val="24"/>
        </w:rPr>
      </w:pPr>
      <w:r w:rsidRPr="00B3749F">
        <w:rPr>
          <w:b/>
          <w:szCs w:val="24"/>
        </w:rPr>
        <w:t>15.</w:t>
      </w:r>
      <w:r w:rsidRPr="00B3749F">
        <w:rPr>
          <w:b/>
          <w:szCs w:val="24"/>
        </w:rPr>
        <w:tab/>
      </w:r>
      <w:r w:rsidRPr="00B3749F" w:rsidR="00DF2BCC">
        <w:rPr>
          <w:b/>
          <w:szCs w:val="24"/>
          <w:u w:val="single"/>
        </w:rPr>
        <w:t>Explanation for program changes or adjustments.</w:t>
      </w:r>
      <w:r w:rsidRPr="00B3749F" w:rsidR="00DF2BCC">
        <w:rPr>
          <w:szCs w:val="24"/>
        </w:rPr>
        <w:t xml:space="preserve">  </w:t>
      </w:r>
      <w:r w:rsidRPr="00B3749F" w:rsidR="00E076DA">
        <w:rPr>
          <w:szCs w:val="24"/>
        </w:rPr>
        <w:t xml:space="preserve">This information collection previously covered requests for </w:t>
      </w:r>
      <w:r w:rsidRPr="00B3749F" w:rsidR="00081818">
        <w:rPr>
          <w:szCs w:val="24"/>
        </w:rPr>
        <w:t xml:space="preserve">use of facility spaces other than Presidential libraries and it included participants in a regular program we held in the Archives Building for sleepovers. </w:t>
      </w:r>
      <w:r w:rsidRPr="00B3749F" w:rsidR="00B3749F">
        <w:rPr>
          <w:szCs w:val="24"/>
        </w:rPr>
        <w:t xml:space="preserve">The sleepover program is inactive </w:t>
      </w:r>
      <w:proofErr w:type="gramStart"/>
      <w:r w:rsidRPr="00B3749F" w:rsidR="00B3749F">
        <w:rPr>
          <w:szCs w:val="24"/>
        </w:rPr>
        <w:t>at the moment</w:t>
      </w:r>
      <w:proofErr w:type="gramEnd"/>
      <w:r w:rsidRPr="00B3749F" w:rsidR="00B3749F">
        <w:rPr>
          <w:szCs w:val="24"/>
        </w:rPr>
        <w:t xml:space="preserve">, so we have reduced the estimates by subtracting those requests and the time to fill out their associated forms (NA Forms 11009 and 11009C, Sleepover at the National Archives Consent and Release and Sleepover at the National Archives Consent and Release Chaperones Only), which are </w:t>
      </w:r>
      <w:r w:rsidR="00B3749F">
        <w:rPr>
          <w:szCs w:val="24"/>
        </w:rPr>
        <w:t xml:space="preserve">now included </w:t>
      </w:r>
      <w:r w:rsidRPr="00B3749F" w:rsidR="00B3749F">
        <w:rPr>
          <w:szCs w:val="24"/>
        </w:rPr>
        <w:t>in 3095-0074</w:t>
      </w:r>
      <w:r w:rsidRPr="00B3749F" w:rsidR="00081818">
        <w:rPr>
          <w:szCs w:val="24"/>
        </w:rPr>
        <w:t>. We have</w:t>
      </w:r>
      <w:r w:rsidRPr="00B3749F" w:rsidR="005E5925">
        <w:rPr>
          <w:szCs w:val="24"/>
        </w:rPr>
        <w:t>, however,</w:t>
      </w:r>
      <w:r w:rsidRPr="00B3749F" w:rsidR="00081818">
        <w:rPr>
          <w:szCs w:val="24"/>
        </w:rPr>
        <w:t xml:space="preserve"> increased the totals by including requests to use Presidential library spaces to this </w:t>
      </w:r>
      <w:r w:rsidRPr="00B3749F" w:rsidR="005E5925">
        <w:rPr>
          <w:szCs w:val="24"/>
        </w:rPr>
        <w:t xml:space="preserve">information </w:t>
      </w:r>
      <w:r w:rsidRPr="00B3749F" w:rsidR="00081818">
        <w:rPr>
          <w:szCs w:val="24"/>
        </w:rPr>
        <w:t xml:space="preserve">collection. We did because the two types of requests are now integrated in the same regulatory section with the same criteria and similar processes, other than the use of a form for one. We are adding the 2020 numbers for requests to use Presidential library spaces </w:t>
      </w:r>
      <w:r w:rsidRPr="00B3749F" w:rsidR="005E5925">
        <w:rPr>
          <w:szCs w:val="24"/>
        </w:rPr>
        <w:t>because that was when we last renewed it as a separate information collection and those numbers have not changed since then</w:t>
      </w:r>
      <w:r w:rsidRPr="00B3749F" w:rsidR="00081818">
        <w:rPr>
          <w:szCs w:val="24"/>
        </w:rPr>
        <w:t>.</w:t>
      </w:r>
    </w:p>
    <w:p w:rsidRPr="00B3749F" w:rsidR="00DF2BCC" w:rsidP="009A4F47" w:rsidRDefault="00DF2BCC" w14:paraId="7957AC62" w14:textId="77777777">
      <w:pPr>
        <w:rPr>
          <w:szCs w:val="24"/>
        </w:rPr>
      </w:pPr>
    </w:p>
    <w:p w:rsidRPr="00B3749F" w:rsidR="00DF2BCC" w:rsidP="009A4F47" w:rsidRDefault="009A4F47" w14:paraId="337D2968" w14:textId="69AD926E">
      <w:pPr>
        <w:rPr>
          <w:szCs w:val="24"/>
        </w:rPr>
      </w:pPr>
      <w:r w:rsidRPr="00B3749F">
        <w:rPr>
          <w:b/>
          <w:szCs w:val="24"/>
        </w:rPr>
        <w:t>16.</w:t>
      </w:r>
      <w:r w:rsidRPr="00B3749F">
        <w:rPr>
          <w:b/>
          <w:szCs w:val="24"/>
        </w:rPr>
        <w:tab/>
      </w:r>
      <w:r w:rsidRPr="00B3749F" w:rsidR="00DF2BCC">
        <w:rPr>
          <w:b/>
          <w:szCs w:val="24"/>
          <w:u w:val="single"/>
        </w:rPr>
        <w:t>Plans for tabulation and publication and project time schedule.</w:t>
      </w:r>
      <w:r w:rsidRPr="00B3749F" w:rsidR="00DF2BCC">
        <w:rPr>
          <w:szCs w:val="24"/>
        </w:rPr>
        <w:t xml:space="preserve">  </w:t>
      </w:r>
      <w:r w:rsidRPr="00B3749F" w:rsidR="00F07A63">
        <w:rPr>
          <w:szCs w:val="24"/>
        </w:rPr>
        <w:t>We do not use t</w:t>
      </w:r>
      <w:r w:rsidRPr="00B3749F" w:rsidR="00DF2BCC">
        <w:rPr>
          <w:szCs w:val="24"/>
        </w:rPr>
        <w:t>his information collection for statistical publications.</w:t>
      </w:r>
    </w:p>
    <w:p w:rsidRPr="00B3749F" w:rsidR="00DF2BCC" w:rsidP="009A4F47" w:rsidRDefault="00DF2BCC" w14:paraId="63AA53B8" w14:textId="77777777">
      <w:pPr>
        <w:rPr>
          <w:szCs w:val="24"/>
        </w:rPr>
      </w:pPr>
    </w:p>
    <w:p w:rsidRPr="00B3749F" w:rsidR="00DF2BCC" w:rsidP="009A4F47" w:rsidRDefault="009A4F47" w14:paraId="185AAAFD" w14:textId="3C9D6EC4">
      <w:pPr>
        <w:rPr>
          <w:szCs w:val="24"/>
        </w:rPr>
      </w:pPr>
      <w:r w:rsidRPr="00B3749F">
        <w:rPr>
          <w:b/>
          <w:szCs w:val="24"/>
        </w:rPr>
        <w:lastRenderedPageBreak/>
        <w:t>17.</w:t>
      </w:r>
      <w:r w:rsidRPr="00B3749F">
        <w:rPr>
          <w:b/>
          <w:szCs w:val="24"/>
        </w:rPr>
        <w:tab/>
      </w:r>
      <w:r w:rsidRPr="00B3749F" w:rsidR="00DF2BCC">
        <w:rPr>
          <w:b/>
          <w:szCs w:val="24"/>
          <w:u w:val="single"/>
        </w:rPr>
        <w:t>Reason(s) display of OMB expiration date is inappropriate.</w:t>
      </w:r>
      <w:r w:rsidRPr="00B3749F" w:rsidR="00DF2BCC">
        <w:rPr>
          <w:szCs w:val="24"/>
        </w:rPr>
        <w:t xml:space="preserve">  </w:t>
      </w:r>
      <w:r w:rsidRPr="00B3749F" w:rsidR="00F07A63">
        <w:rPr>
          <w:szCs w:val="24"/>
        </w:rPr>
        <w:t>We include t</w:t>
      </w:r>
      <w:r w:rsidRPr="00B3749F" w:rsidR="00DF2BCC">
        <w:rPr>
          <w:szCs w:val="24"/>
        </w:rPr>
        <w:t>he information collection in a regulation</w:t>
      </w:r>
      <w:r w:rsidRPr="00B3749F" w:rsidR="00B0036A">
        <w:rPr>
          <w:szCs w:val="24"/>
        </w:rPr>
        <w:t xml:space="preserve"> so do not display the date there (although the OMB expiration date that was current at the time the regulation was recently updated was included in the preamble)</w:t>
      </w:r>
      <w:r w:rsidRPr="00B3749F" w:rsidR="00B01E16">
        <w:rPr>
          <w:szCs w:val="24"/>
        </w:rPr>
        <w:t>.</w:t>
      </w:r>
      <w:r w:rsidRPr="00B3749F" w:rsidR="002F090A">
        <w:rPr>
          <w:szCs w:val="24"/>
        </w:rPr>
        <w:t xml:space="preserve"> </w:t>
      </w:r>
      <w:r w:rsidRPr="00B3749F" w:rsidR="00B0036A">
        <w:rPr>
          <w:szCs w:val="24"/>
        </w:rPr>
        <w:t>We do display t</w:t>
      </w:r>
      <w:r w:rsidRPr="00B3749F" w:rsidR="002F090A">
        <w:rPr>
          <w:szCs w:val="24"/>
        </w:rPr>
        <w:t xml:space="preserve">he expiration date for OMB approval on the </w:t>
      </w:r>
      <w:r w:rsidRPr="00B3749F" w:rsidR="00B0036A">
        <w:rPr>
          <w:szCs w:val="24"/>
        </w:rPr>
        <w:t>NA Form 16011</w:t>
      </w:r>
      <w:r w:rsidRPr="00B3749F" w:rsidR="002F090A">
        <w:rPr>
          <w:szCs w:val="24"/>
        </w:rPr>
        <w:t>.</w:t>
      </w:r>
    </w:p>
    <w:p w:rsidRPr="00B3749F" w:rsidR="00DF2BCC" w:rsidP="009A4F47" w:rsidRDefault="00DF2BCC" w14:paraId="695E6A06" w14:textId="77777777">
      <w:pPr>
        <w:rPr>
          <w:szCs w:val="24"/>
        </w:rPr>
      </w:pPr>
    </w:p>
    <w:p w:rsidRPr="00C031D4" w:rsidR="00DF2BCC" w:rsidP="009A4F47" w:rsidRDefault="009A4F47" w14:paraId="66165845" w14:textId="15C8CBD4">
      <w:pPr>
        <w:rPr>
          <w:szCs w:val="24"/>
        </w:rPr>
      </w:pPr>
      <w:r w:rsidRPr="00B3749F">
        <w:rPr>
          <w:b/>
          <w:szCs w:val="24"/>
        </w:rPr>
        <w:t>18.</w:t>
      </w:r>
      <w:r w:rsidRPr="00B3749F">
        <w:rPr>
          <w:b/>
          <w:szCs w:val="24"/>
        </w:rPr>
        <w:tab/>
      </w:r>
      <w:r w:rsidRPr="00B3749F" w:rsidR="00DF2BCC">
        <w:rPr>
          <w:b/>
          <w:szCs w:val="24"/>
          <w:u w:val="single"/>
        </w:rPr>
        <w:t>Exceptions to certification for Paperwork Reduction Act submissions.</w:t>
      </w:r>
      <w:r w:rsidRPr="00B3749F" w:rsidR="00DF2BCC">
        <w:rPr>
          <w:szCs w:val="24"/>
        </w:rPr>
        <w:t xml:space="preserve">  There are no exceptions to the certification statement.</w:t>
      </w:r>
    </w:p>
    <w:p w:rsidRPr="00685C63" w:rsidR="003C4919" w:rsidP="009A4F47" w:rsidRDefault="003C4919" w14:paraId="02454515" w14:textId="77777777">
      <w:pPr>
        <w:rPr>
          <w:szCs w:val="24"/>
        </w:rPr>
      </w:pPr>
    </w:p>
    <w:sectPr w:rsidRPr="00685C63" w:rsidR="003C4919" w:rsidSect="005929F1">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284F" w14:textId="77777777" w:rsidR="00F54366" w:rsidRDefault="00F54366" w:rsidP="00C269BF">
      <w:r>
        <w:separator/>
      </w:r>
    </w:p>
  </w:endnote>
  <w:endnote w:type="continuationSeparator" w:id="0">
    <w:p w14:paraId="25C5AD76" w14:textId="77777777" w:rsidR="00F54366" w:rsidRDefault="00F54366" w:rsidP="00C2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A8D2" w14:textId="7AF1A06C" w:rsidR="00C031D4" w:rsidRDefault="00847BDE" w:rsidP="00C031D4">
    <w:pPr>
      <w:pStyle w:val="Footer"/>
      <w:jc w:val="center"/>
    </w:pPr>
    <w:r>
      <w:rPr>
        <w:rStyle w:val="PageNumber"/>
      </w:rPr>
      <w:fldChar w:fldCharType="begin"/>
    </w:r>
    <w:r w:rsidR="00B01E16">
      <w:rPr>
        <w:rStyle w:val="PageNumber"/>
      </w:rPr>
      <w:instrText xml:space="preserve"> PAGE </w:instrText>
    </w:r>
    <w:r>
      <w:rPr>
        <w:rStyle w:val="PageNumber"/>
      </w:rPr>
      <w:fldChar w:fldCharType="separate"/>
    </w:r>
    <w:r w:rsidR="00B06FB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540D" w14:textId="77777777" w:rsidR="00F54366" w:rsidRDefault="00F54366" w:rsidP="00C269BF">
      <w:r>
        <w:separator/>
      </w:r>
    </w:p>
  </w:footnote>
  <w:footnote w:type="continuationSeparator" w:id="0">
    <w:p w14:paraId="1EF32415" w14:textId="77777777" w:rsidR="00F54366" w:rsidRDefault="00F54366" w:rsidP="00C269BF">
      <w:r>
        <w:continuationSeparator/>
      </w:r>
    </w:p>
  </w:footnote>
  <w:footnote w:id="1">
    <w:p w14:paraId="2BA3A372" w14:textId="0286B373" w:rsidR="00A76EB5" w:rsidRDefault="00A76EB5">
      <w:pPr>
        <w:pStyle w:val="FootnoteText"/>
      </w:pPr>
      <w:r>
        <w:rPr>
          <w:rStyle w:val="FootnoteReference"/>
        </w:rPr>
        <w:footnoteRef/>
      </w:r>
      <w:r>
        <w:t xml:space="preserve"> </w:t>
      </w:r>
      <w:r w:rsidRPr="0048751D">
        <w:rPr>
          <w:szCs w:val="24"/>
        </w:rPr>
        <w:t>Presidential libraries are administered by the National Archives and Records Administration (NARA) in a</w:t>
      </w:r>
      <w:r>
        <w:rPr>
          <w:szCs w:val="24"/>
        </w:rPr>
        <w:t>ccordance with 44 U.S.C. § 2112</w:t>
      </w:r>
      <w:r w:rsidR="00552702">
        <w:rPr>
          <w:szCs w:val="24"/>
        </w:rPr>
        <w:t>. Authorities for occasional, non-official use of specified public areas for private group activities and events are 44 U.S.C. § 2112 for Presidential libraries and 44 U.S.C. § 2903(b) for other NARA facilities and property.</w:t>
      </w:r>
    </w:p>
  </w:footnote>
  <w:footnote w:id="2">
    <w:p w14:paraId="3CCD4B68" w14:textId="2D59C415" w:rsidR="00552702" w:rsidRDefault="00552702">
      <w:pPr>
        <w:pStyle w:val="FootnoteText"/>
      </w:pPr>
      <w:r>
        <w:rPr>
          <w:rStyle w:val="FootnoteReference"/>
        </w:rPr>
        <w:footnoteRef/>
      </w:r>
      <w:r>
        <w:t xml:space="preserve"> </w:t>
      </w:r>
      <w:r w:rsidR="0054364E">
        <w:t xml:space="preserve">Request processes, criteria, rules of use, fees, and available space information are at </w:t>
      </w:r>
      <w:r>
        <w:t>36 CFR 1280, Subpart</w:t>
      </w:r>
      <w:r w:rsidR="0054364E">
        <w:t>s</w:t>
      </w:r>
      <w:r>
        <w:t xml:space="preserve"> C</w:t>
      </w:r>
      <w:r w:rsidR="0054364E">
        <w:t xml:space="preserve"> and 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66FA"/>
    <w:multiLevelType w:val="singleLevel"/>
    <w:tmpl w:val="D48A4BCA"/>
    <w:lvl w:ilvl="0">
      <w:start w:val="1"/>
      <w:numFmt w:val="decimal"/>
      <w:lvlText w:val="%1."/>
      <w:lvlJc w:val="left"/>
      <w:pPr>
        <w:tabs>
          <w:tab w:val="num" w:pos="360"/>
        </w:tabs>
        <w:ind w:left="360" w:hanging="360"/>
      </w:pPr>
    </w:lvl>
  </w:abstractNum>
  <w:abstractNum w:abstractNumId="1" w15:restartNumberingAfterBreak="0">
    <w:nsid w:val="428E725A"/>
    <w:multiLevelType w:val="singleLevel"/>
    <w:tmpl w:val="DD36F550"/>
    <w:lvl w:ilvl="0">
      <w:start w:val="1"/>
      <w:numFmt w:val="decimal"/>
      <w:lvlText w:val="%1."/>
      <w:lvlJc w:val="left"/>
      <w:pPr>
        <w:tabs>
          <w:tab w:val="num" w:pos="360"/>
        </w:tabs>
        <w:ind w:left="0" w:firstLine="0"/>
      </w:pPr>
      <w:rPr>
        <w:caps w:val="0"/>
        <w:strike w:val="0"/>
        <w:dstrike w:val="0"/>
        <w:vanish w:val="0"/>
        <w:vertAlign w:val="baseline"/>
      </w:rPr>
    </w:lvl>
  </w:abstractNum>
  <w:abstractNum w:abstractNumId="2" w15:restartNumberingAfterBreak="0">
    <w:nsid w:val="7AB257B5"/>
    <w:multiLevelType w:val="singleLevel"/>
    <w:tmpl w:val="7E223E56"/>
    <w:lvl w:ilvl="0">
      <w:start w:val="13"/>
      <w:numFmt w:val="decimal"/>
      <w:lvlText w:val="%1."/>
      <w:lvlJc w:val="left"/>
      <w:pPr>
        <w:tabs>
          <w:tab w:val="num" w:pos="360"/>
        </w:tabs>
        <w:ind w:left="0" w:firstLine="0"/>
      </w:pPr>
      <w:rPr>
        <w:caps w:val="0"/>
        <w:strike w:val="0"/>
        <w:dstrike w:val="0"/>
        <w:vanish w:val="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F2BCC"/>
    <w:rsid w:val="000271A9"/>
    <w:rsid w:val="00080342"/>
    <w:rsid w:val="00081818"/>
    <w:rsid w:val="000822DB"/>
    <w:rsid w:val="000A5F1E"/>
    <w:rsid w:val="000B2FCC"/>
    <w:rsid w:val="000B3E8B"/>
    <w:rsid w:val="000B6767"/>
    <w:rsid w:val="000C48BF"/>
    <w:rsid w:val="000D47F9"/>
    <w:rsid w:val="000E2CC4"/>
    <w:rsid w:val="000F7615"/>
    <w:rsid w:val="001B1709"/>
    <w:rsid w:val="001C0266"/>
    <w:rsid w:val="001F58F6"/>
    <w:rsid w:val="0021239E"/>
    <w:rsid w:val="00252079"/>
    <w:rsid w:val="002759CB"/>
    <w:rsid w:val="002A0903"/>
    <w:rsid w:val="002B1AB6"/>
    <w:rsid w:val="002D32AF"/>
    <w:rsid w:val="002F090A"/>
    <w:rsid w:val="00374BE8"/>
    <w:rsid w:val="003C4919"/>
    <w:rsid w:val="004317EB"/>
    <w:rsid w:val="004708F5"/>
    <w:rsid w:val="004859FB"/>
    <w:rsid w:val="004A2928"/>
    <w:rsid w:val="004B48F5"/>
    <w:rsid w:val="004C2087"/>
    <w:rsid w:val="00501C9F"/>
    <w:rsid w:val="0054364E"/>
    <w:rsid w:val="00552702"/>
    <w:rsid w:val="00553CB7"/>
    <w:rsid w:val="00571BF5"/>
    <w:rsid w:val="005929F1"/>
    <w:rsid w:val="005A78A5"/>
    <w:rsid w:val="005E5925"/>
    <w:rsid w:val="005F65C8"/>
    <w:rsid w:val="00607ECD"/>
    <w:rsid w:val="00627F21"/>
    <w:rsid w:val="0063121F"/>
    <w:rsid w:val="00646DDC"/>
    <w:rsid w:val="00653AE3"/>
    <w:rsid w:val="0068590E"/>
    <w:rsid w:val="00685C63"/>
    <w:rsid w:val="00701C0E"/>
    <w:rsid w:val="00723753"/>
    <w:rsid w:val="007A4B5C"/>
    <w:rsid w:val="007D6417"/>
    <w:rsid w:val="00820211"/>
    <w:rsid w:val="00847BDE"/>
    <w:rsid w:val="00895FA2"/>
    <w:rsid w:val="008A4DCD"/>
    <w:rsid w:val="0090393B"/>
    <w:rsid w:val="00926C53"/>
    <w:rsid w:val="0097075C"/>
    <w:rsid w:val="009A002F"/>
    <w:rsid w:val="009A4F47"/>
    <w:rsid w:val="009B6178"/>
    <w:rsid w:val="009C7A11"/>
    <w:rsid w:val="009D6F1C"/>
    <w:rsid w:val="00A3523B"/>
    <w:rsid w:val="00A37944"/>
    <w:rsid w:val="00A73EE8"/>
    <w:rsid w:val="00A76EB5"/>
    <w:rsid w:val="00B0036A"/>
    <w:rsid w:val="00B01E16"/>
    <w:rsid w:val="00B06D7B"/>
    <w:rsid w:val="00B06FB0"/>
    <w:rsid w:val="00B240BF"/>
    <w:rsid w:val="00B3749F"/>
    <w:rsid w:val="00BB5B5A"/>
    <w:rsid w:val="00BC1F94"/>
    <w:rsid w:val="00C269BF"/>
    <w:rsid w:val="00CE2C05"/>
    <w:rsid w:val="00D42F53"/>
    <w:rsid w:val="00DF2BCC"/>
    <w:rsid w:val="00DF2EFF"/>
    <w:rsid w:val="00E0267F"/>
    <w:rsid w:val="00E076DA"/>
    <w:rsid w:val="00E75F34"/>
    <w:rsid w:val="00F07A63"/>
    <w:rsid w:val="00F54366"/>
    <w:rsid w:val="00FD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810D"/>
  <w15:docId w15:val="{447CBEB9-C1E9-4EB2-B6E4-9465071E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F2BCC"/>
    <w:pPr>
      <w:ind w:firstLine="360"/>
    </w:pPr>
  </w:style>
  <w:style w:type="character" w:customStyle="1" w:styleId="BodyTextIndentChar">
    <w:name w:val="Body Text Indent Char"/>
    <w:basedOn w:val="DefaultParagraphFont"/>
    <w:link w:val="BodyTextIndent"/>
    <w:rsid w:val="00DF2BCC"/>
    <w:rPr>
      <w:rFonts w:ascii="Times New Roman" w:eastAsia="Times New Roman" w:hAnsi="Times New Roman" w:cs="Times New Roman"/>
      <w:sz w:val="24"/>
      <w:szCs w:val="20"/>
    </w:rPr>
  </w:style>
  <w:style w:type="paragraph" w:styleId="Footer">
    <w:name w:val="footer"/>
    <w:basedOn w:val="Normal"/>
    <w:link w:val="FooterChar"/>
    <w:rsid w:val="00DF2BCC"/>
    <w:pPr>
      <w:tabs>
        <w:tab w:val="center" w:pos="4320"/>
        <w:tab w:val="right" w:pos="8640"/>
      </w:tabs>
    </w:pPr>
  </w:style>
  <w:style w:type="character" w:customStyle="1" w:styleId="FooterChar">
    <w:name w:val="Footer Char"/>
    <w:basedOn w:val="DefaultParagraphFont"/>
    <w:link w:val="Footer"/>
    <w:rsid w:val="00DF2BCC"/>
    <w:rPr>
      <w:rFonts w:ascii="Times New Roman" w:eastAsia="Times New Roman" w:hAnsi="Times New Roman" w:cs="Times New Roman"/>
      <w:sz w:val="24"/>
      <w:szCs w:val="20"/>
    </w:rPr>
  </w:style>
  <w:style w:type="character" w:styleId="PageNumber">
    <w:name w:val="page number"/>
    <w:basedOn w:val="DefaultParagraphFont"/>
    <w:rsid w:val="00DF2BCC"/>
  </w:style>
  <w:style w:type="paragraph" w:styleId="BalloonText">
    <w:name w:val="Balloon Text"/>
    <w:basedOn w:val="Normal"/>
    <w:link w:val="BalloonTextChar"/>
    <w:uiPriority w:val="99"/>
    <w:semiHidden/>
    <w:unhideWhenUsed/>
    <w:rsid w:val="000271A9"/>
    <w:rPr>
      <w:rFonts w:ascii="Tahoma" w:hAnsi="Tahoma" w:cs="Tahoma"/>
      <w:sz w:val="16"/>
      <w:szCs w:val="16"/>
    </w:rPr>
  </w:style>
  <w:style w:type="character" w:customStyle="1" w:styleId="BalloonTextChar">
    <w:name w:val="Balloon Text Char"/>
    <w:basedOn w:val="DefaultParagraphFont"/>
    <w:link w:val="BalloonText"/>
    <w:uiPriority w:val="99"/>
    <w:semiHidden/>
    <w:rsid w:val="000271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4F47"/>
    <w:rPr>
      <w:sz w:val="16"/>
      <w:szCs w:val="16"/>
    </w:rPr>
  </w:style>
  <w:style w:type="paragraph" w:styleId="CommentText">
    <w:name w:val="annotation text"/>
    <w:basedOn w:val="Normal"/>
    <w:link w:val="CommentTextChar"/>
    <w:uiPriority w:val="99"/>
    <w:semiHidden/>
    <w:unhideWhenUsed/>
    <w:rsid w:val="009A4F47"/>
    <w:rPr>
      <w:sz w:val="20"/>
    </w:rPr>
  </w:style>
  <w:style w:type="character" w:customStyle="1" w:styleId="CommentTextChar">
    <w:name w:val="Comment Text Char"/>
    <w:basedOn w:val="DefaultParagraphFont"/>
    <w:link w:val="CommentText"/>
    <w:uiPriority w:val="99"/>
    <w:semiHidden/>
    <w:rsid w:val="009A4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4F47"/>
    <w:rPr>
      <w:b/>
      <w:bCs/>
    </w:rPr>
  </w:style>
  <w:style w:type="character" w:customStyle="1" w:styleId="CommentSubjectChar">
    <w:name w:val="Comment Subject Char"/>
    <w:basedOn w:val="CommentTextChar"/>
    <w:link w:val="CommentSubject"/>
    <w:uiPriority w:val="99"/>
    <w:semiHidden/>
    <w:rsid w:val="009A4F47"/>
    <w:rPr>
      <w:rFonts w:ascii="Times New Roman" w:eastAsia="Times New Roman" w:hAnsi="Times New Roman" w:cs="Times New Roman"/>
      <w:b/>
      <w:bCs/>
      <w:sz w:val="20"/>
      <w:szCs w:val="20"/>
    </w:rPr>
  </w:style>
  <w:style w:type="paragraph" w:styleId="ListParagraph">
    <w:name w:val="List Paragraph"/>
    <w:basedOn w:val="Normal"/>
    <w:uiPriority w:val="34"/>
    <w:qFormat/>
    <w:rsid w:val="004708F5"/>
    <w:pPr>
      <w:ind w:left="720"/>
      <w:contextualSpacing/>
    </w:pPr>
  </w:style>
  <w:style w:type="paragraph" w:styleId="Revision">
    <w:name w:val="Revision"/>
    <w:hidden/>
    <w:uiPriority w:val="99"/>
    <w:semiHidden/>
    <w:rsid w:val="00A76EB5"/>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76EB5"/>
    <w:rPr>
      <w:sz w:val="20"/>
    </w:rPr>
  </w:style>
  <w:style w:type="character" w:customStyle="1" w:styleId="FootnoteTextChar">
    <w:name w:val="Footnote Text Char"/>
    <w:basedOn w:val="DefaultParagraphFont"/>
    <w:link w:val="FootnoteText"/>
    <w:uiPriority w:val="99"/>
    <w:semiHidden/>
    <w:rsid w:val="00A76E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6EB5"/>
    <w:rPr>
      <w:vertAlign w:val="superscript"/>
    </w:rPr>
  </w:style>
  <w:style w:type="table" w:styleId="TableGrid">
    <w:name w:val="Table Grid"/>
    <w:basedOn w:val="TableNormal"/>
    <w:uiPriority w:val="59"/>
    <w:rsid w:val="0070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E0AA-9427-2047-A8FB-15F75A8F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9034</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Request to Use NARA facilities for events</vt:lpstr>
    </vt:vector>
  </TitlesOfParts>
  <Company>NARA</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Use NARA facilities for events</dc:title>
  <dc:subject>OMB Supporting Statement for OMB Control No. 3095-0043</dc:subject>
  <dc:creator>nara</dc:creator>
  <cp:keywords>36 CFR 1280.80 and 82</cp:keywords>
  <cp:lastModifiedBy>Tamee Fechhelm</cp:lastModifiedBy>
  <cp:revision>3</cp:revision>
  <cp:lastPrinted>2015-04-30T19:26:00Z</cp:lastPrinted>
  <dcterms:created xsi:type="dcterms:W3CDTF">2022-02-17T21:19:00Z</dcterms:created>
  <dcterms:modified xsi:type="dcterms:W3CDTF">2022-02-17T21:19:00Z</dcterms:modified>
</cp:coreProperties>
</file>