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4CDC07A7"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FD34EF">
        <w:rPr>
          <w:sz w:val="28"/>
          <w:highlight w:val="yellow"/>
        </w:rPr>
        <w:t>XXXX-YYYY</w:t>
      </w:r>
      <w:r>
        <w:rPr>
          <w:sz w:val="28"/>
        </w:rPr>
        <w:t>)</w:t>
      </w:r>
    </w:p>
    <w:p w:rsidRPr="009239AA" w:rsidR="00E50293" w:rsidP="00434E33" w:rsidRDefault="00D96C53" w14:paraId="301E7DCA" w14:textId="22057385">
      <w:pPr>
        <w:rPr>
          <w:b/>
        </w:rPr>
      </w:pPr>
      <w:r>
        <w:rPr>
          <w:b/>
          <w:noProof/>
        </w:rPr>
        <mc:AlternateContent>
          <mc:Choice Requires="wps">
            <w:drawing>
              <wp:anchor distT="0" distB="0" distL="114300" distR="114300" simplePos="0" relativeHeight="251657728" behindDoc="0" locked="0" layoutInCell="0" allowOverlap="1" wp14:editId="287EC2D7" wp14:anchorId="4AA10B8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7DDEE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p>
    <w:p w:rsidR="005E714A" w:rsidRDefault="005E714A" w14:paraId="1CCC8C58" w14:textId="0424B20D"/>
    <w:p w:rsidR="00815FB8" w:rsidP="00815FB8" w:rsidRDefault="00815FB8" w14:paraId="108ED977" w14:textId="77777777">
      <w:pPr>
        <w:pStyle w:val="Heading2"/>
        <w:jc w:val="left"/>
      </w:pPr>
      <w:r>
        <w:rPr>
          <w:rFonts w:ascii="Century Gothic" w:hAnsi="Century Gothic" w:cs="Arial"/>
          <w:b w:val="0"/>
          <w:bCs w:val="0"/>
        </w:rPr>
        <w:t>American Battle Monuments Commission Visitor Use and Satisfaction Pilot Study</w:t>
      </w:r>
    </w:p>
    <w:p w:rsidR="00815FB8" w:rsidRDefault="00815FB8" w14:paraId="131E1552" w14:textId="77777777"/>
    <w:p w:rsidR="001B0AAA" w:rsidRDefault="00F15956" w14:paraId="6E30DD43" w14:textId="77777777">
      <w:r>
        <w:rPr>
          <w:b/>
        </w:rPr>
        <w:t>PURPOSE</w:t>
      </w:r>
      <w:r w:rsidRPr="009239AA">
        <w:rPr>
          <w:b/>
        </w:rPr>
        <w:t>:</w:t>
      </w:r>
      <w:r w:rsidRPr="009239AA" w:rsidR="00C14CC4">
        <w:rPr>
          <w:b/>
        </w:rPr>
        <w:t xml:space="preserve">  </w:t>
      </w:r>
    </w:p>
    <w:p w:rsidR="001B0AAA" w:rsidRDefault="001B0AAA" w14:paraId="63A5569D" w14:textId="77777777"/>
    <w:p w:rsidRPr="008C48B0" w:rsidR="00770CBA" w:rsidP="00E7598D" w:rsidRDefault="00770CBA" w14:paraId="5184C606" w14:textId="77777777">
      <w:pPr>
        <w:pStyle w:val="NormalLPTable"/>
        <w:rPr>
          <w:color w:val="auto"/>
        </w:rPr>
      </w:pPr>
      <w:r w:rsidRPr="008C48B0">
        <w:rPr>
          <w:color w:val="auto"/>
        </w:rPr>
        <w:t xml:space="preserve">For many decades, the American Battle Monuments Commission (ABMC) has sought to collect visitor data, which has primarily been conducted using observation and estimation of visitor use, although the employment of digital counters began in 2007. However, the ABMC has recognized the importance of additional data to understand the type of visitors and motivations and needs of visitors as well. This aligns with the Secretary’s call for measurable data.  </w:t>
      </w:r>
    </w:p>
    <w:p w:rsidRPr="008C48B0" w:rsidR="00770CBA" w:rsidP="00E7598D" w:rsidRDefault="00770CBA" w14:paraId="6DADA639" w14:textId="77777777">
      <w:pPr>
        <w:pStyle w:val="NormalLPTable"/>
        <w:rPr>
          <w:color w:val="auto"/>
        </w:rPr>
      </w:pPr>
    </w:p>
    <w:p w:rsidRPr="008C48B0" w:rsidR="00770CBA" w:rsidP="00E7598D" w:rsidRDefault="00770CBA" w14:paraId="39CED4F0" w14:textId="73D24765">
      <w:pPr>
        <w:pStyle w:val="NormalLPTable"/>
        <w:rPr>
          <w:color w:val="auto"/>
        </w:rPr>
      </w:pPr>
      <w:r w:rsidRPr="008C48B0">
        <w:rPr>
          <w:color w:val="auto"/>
        </w:rPr>
        <w:t xml:space="preserve">In this study, ABMC has contracted with the Eppley Institute for Parks and Public Lands to design a survey instrument that would </w:t>
      </w:r>
      <w:r w:rsidR="00DC1FDF">
        <w:rPr>
          <w:color w:val="auto"/>
        </w:rPr>
        <w:t xml:space="preserve">collect qualitative data including </w:t>
      </w:r>
      <w:r w:rsidRPr="008C48B0">
        <w:rPr>
          <w:color w:val="auto"/>
        </w:rPr>
        <w:t xml:space="preserve">site visitors’ level of satisfaction, motivations for visiting, and underlying needs at </w:t>
      </w:r>
      <w:r w:rsidR="00DC1FDF">
        <w:rPr>
          <w:color w:val="auto"/>
        </w:rPr>
        <w:t>nine</w:t>
      </w:r>
      <w:r w:rsidRPr="008C48B0">
        <w:rPr>
          <w:color w:val="auto"/>
        </w:rPr>
        <w:t xml:space="preserve"> sites within the ABMC. The </w:t>
      </w:r>
      <w:r w:rsidR="00477624">
        <w:rPr>
          <w:color w:val="auto"/>
        </w:rPr>
        <w:t>nine</w:t>
      </w:r>
      <w:r w:rsidRPr="008C48B0">
        <w:rPr>
          <w:color w:val="auto"/>
        </w:rPr>
        <w:t xml:space="preserve"> sites include:</w:t>
      </w:r>
    </w:p>
    <w:p w:rsidRPr="008C48B0" w:rsidR="00770CBA" w:rsidP="00E7598D" w:rsidRDefault="00770CBA" w14:paraId="4ECBDB52" w14:textId="77777777">
      <w:pPr>
        <w:pStyle w:val="NormalLPTable"/>
        <w:numPr>
          <w:ilvl w:val="0"/>
          <w:numId w:val="19"/>
        </w:numPr>
        <w:rPr>
          <w:color w:val="auto"/>
        </w:rPr>
      </w:pPr>
      <w:bookmarkStart w:name="_Hlk78208474" w:id="0"/>
      <w:r w:rsidRPr="008C48B0">
        <w:rPr>
          <w:color w:val="auto"/>
        </w:rPr>
        <w:t>Aisne-Marne American Cemetery</w:t>
      </w:r>
    </w:p>
    <w:p w:rsidRPr="008C48B0" w:rsidR="00770CBA" w:rsidP="00E7598D" w:rsidRDefault="00770CBA" w14:paraId="7DA9B459" w14:textId="77777777">
      <w:pPr>
        <w:pStyle w:val="NormalLPTable"/>
        <w:numPr>
          <w:ilvl w:val="0"/>
          <w:numId w:val="19"/>
        </w:numPr>
        <w:rPr>
          <w:color w:val="auto"/>
        </w:rPr>
      </w:pPr>
      <w:r w:rsidRPr="008C48B0">
        <w:rPr>
          <w:color w:val="auto"/>
        </w:rPr>
        <w:t>Chateau Thierry American Monument</w:t>
      </w:r>
    </w:p>
    <w:p w:rsidRPr="008C48B0" w:rsidR="00770CBA" w:rsidP="00E7598D" w:rsidRDefault="00770CBA" w14:paraId="7278B92F" w14:textId="77777777">
      <w:pPr>
        <w:pStyle w:val="NormalLPTable"/>
        <w:numPr>
          <w:ilvl w:val="0"/>
          <w:numId w:val="19"/>
        </w:numPr>
        <w:rPr>
          <w:color w:val="auto"/>
        </w:rPr>
      </w:pPr>
      <w:r w:rsidRPr="008C48B0">
        <w:rPr>
          <w:color w:val="auto"/>
        </w:rPr>
        <w:t>Luxembourg American Cemetery</w:t>
      </w:r>
    </w:p>
    <w:p w:rsidRPr="008C48B0" w:rsidR="00770CBA" w:rsidP="00E7598D" w:rsidRDefault="00770CBA" w14:paraId="1C652DD9" w14:textId="77777777">
      <w:pPr>
        <w:pStyle w:val="NormalLPTable"/>
        <w:numPr>
          <w:ilvl w:val="0"/>
          <w:numId w:val="19"/>
        </w:numPr>
        <w:rPr>
          <w:color w:val="auto"/>
        </w:rPr>
      </w:pPr>
      <w:r w:rsidRPr="008C48B0">
        <w:rPr>
          <w:color w:val="auto"/>
        </w:rPr>
        <w:t>Manila American Cemetery</w:t>
      </w:r>
    </w:p>
    <w:p w:rsidRPr="00477624" w:rsidR="00770CBA" w:rsidP="00E7598D" w:rsidRDefault="00770CBA" w14:paraId="709C955A" w14:textId="77777777">
      <w:pPr>
        <w:pStyle w:val="NormalLPTable"/>
        <w:numPr>
          <w:ilvl w:val="0"/>
          <w:numId w:val="19"/>
        </w:numPr>
        <w:rPr>
          <w:color w:val="auto"/>
        </w:rPr>
      </w:pPr>
      <w:r w:rsidRPr="00477624">
        <w:rPr>
          <w:color w:val="auto"/>
        </w:rPr>
        <w:t>Netherlands American Cemetery</w:t>
      </w:r>
    </w:p>
    <w:p w:rsidRPr="00477624" w:rsidR="00770CBA" w:rsidP="00E7598D" w:rsidRDefault="00770CBA" w14:paraId="421A8E63" w14:textId="77777777">
      <w:pPr>
        <w:pStyle w:val="NormalLPTable"/>
        <w:numPr>
          <w:ilvl w:val="0"/>
          <w:numId w:val="19"/>
        </w:numPr>
        <w:rPr>
          <w:color w:val="auto"/>
        </w:rPr>
      </w:pPr>
      <w:r w:rsidRPr="00477624">
        <w:rPr>
          <w:color w:val="auto"/>
        </w:rPr>
        <w:t>Normandy American Cemetery</w:t>
      </w:r>
    </w:p>
    <w:p w:rsidRPr="00477624" w:rsidR="00770CBA" w:rsidP="00E7598D" w:rsidRDefault="00770CBA" w14:paraId="0FD54D00" w14:textId="77777777">
      <w:pPr>
        <w:pStyle w:val="NormalLPTable"/>
        <w:numPr>
          <w:ilvl w:val="0"/>
          <w:numId w:val="19"/>
        </w:numPr>
        <w:rPr>
          <w:color w:val="auto"/>
        </w:rPr>
      </w:pPr>
      <w:r w:rsidRPr="00477624">
        <w:rPr>
          <w:color w:val="auto"/>
        </w:rPr>
        <w:t>Pointe du Hoc Ranger Monument</w:t>
      </w:r>
    </w:p>
    <w:p w:rsidRPr="00477624" w:rsidR="00770CBA" w:rsidP="00E7598D" w:rsidRDefault="00770CBA" w14:paraId="04F7B519" w14:textId="77777777">
      <w:pPr>
        <w:pStyle w:val="NormalLPTable"/>
        <w:numPr>
          <w:ilvl w:val="0"/>
          <w:numId w:val="19"/>
        </w:numPr>
        <w:rPr>
          <w:color w:val="auto"/>
        </w:rPr>
      </w:pPr>
      <w:r w:rsidRPr="00477624">
        <w:rPr>
          <w:color w:val="auto"/>
        </w:rPr>
        <w:t>Sicily-Rome American Cemetery</w:t>
      </w:r>
    </w:p>
    <w:p w:rsidRPr="00477624" w:rsidR="00770CBA" w:rsidP="00E7598D" w:rsidRDefault="00770CBA" w14:paraId="2DEB271F" w14:textId="77777777">
      <w:pPr>
        <w:pStyle w:val="NormalLPTable"/>
        <w:numPr>
          <w:ilvl w:val="0"/>
          <w:numId w:val="19"/>
        </w:numPr>
        <w:rPr>
          <w:color w:val="auto"/>
        </w:rPr>
      </w:pPr>
      <w:r w:rsidRPr="00477624">
        <w:rPr>
          <w:color w:val="auto"/>
        </w:rPr>
        <w:t>Suresnes American Cemetery</w:t>
      </w:r>
    </w:p>
    <w:bookmarkEnd w:id="0"/>
    <w:p w:rsidR="00770CBA" w:rsidP="00E7598D" w:rsidRDefault="00770CBA" w14:paraId="31489C17" w14:textId="77777777">
      <w:pPr>
        <w:pStyle w:val="NormalLPTable"/>
      </w:pPr>
    </w:p>
    <w:p w:rsidRPr="00B34B3E" w:rsidR="00B34B3E" w:rsidP="00B34B3E" w:rsidRDefault="00B34B3E" w14:paraId="47A07B49" w14:textId="29646EA3">
      <w:pPr>
        <w:rPr>
          <w:rFonts w:ascii="Century Gothic" w:hAnsi="Century Gothic"/>
          <w:i/>
          <w:iCs/>
        </w:rPr>
      </w:pPr>
      <w:r>
        <w:rPr>
          <w:rFonts w:ascii="Century Gothic" w:hAnsi="Century Gothic"/>
        </w:rPr>
        <w:t>The study will utilize a mixed-mode survey design approach to collect qualitative data. In this study, the mixed-mode methodology will comprise two contact modes with a single response mode.</w:t>
      </w:r>
      <w:r>
        <w:rPr>
          <w:rFonts w:ascii="Century Gothic" w:hAnsi="Century Gothic"/>
          <w:i/>
          <w:iCs/>
        </w:rPr>
        <w:t xml:space="preserve"> </w:t>
      </w:r>
      <w:r>
        <w:rPr>
          <w:rFonts w:ascii="Century Gothic" w:hAnsi="Century Gothic"/>
        </w:rPr>
        <w:t xml:space="preserve">The two survey contact modes (data collection systems) include: </w:t>
      </w:r>
      <w:r w:rsidRPr="00B34B3E">
        <w:rPr>
          <w:rFonts w:ascii="Century Gothic" w:hAnsi="Century Gothic"/>
        </w:rPr>
        <w:t>(1)</w:t>
      </w:r>
      <w:r>
        <w:rPr>
          <w:rFonts w:ascii="Century Gothic" w:hAnsi="Century Gothic"/>
          <w:i/>
          <w:iCs/>
        </w:rPr>
        <w:t xml:space="preserve"> </w:t>
      </w:r>
      <w:r w:rsidRPr="00B34B3E">
        <w:rPr>
          <w:rFonts w:ascii="Century Gothic" w:hAnsi="Century Gothic"/>
        </w:rPr>
        <w:t>Online – Administered remotely, via (</w:t>
      </w:r>
      <w:r>
        <w:rPr>
          <w:rFonts w:ascii="Century Gothic" w:hAnsi="Century Gothic"/>
        </w:rPr>
        <w:t>a</w:t>
      </w:r>
      <w:r w:rsidRPr="00B34B3E">
        <w:rPr>
          <w:rFonts w:ascii="Century Gothic" w:hAnsi="Century Gothic"/>
        </w:rPr>
        <w:t>) email and (</w:t>
      </w:r>
      <w:r>
        <w:rPr>
          <w:rFonts w:ascii="Century Gothic" w:hAnsi="Century Gothic"/>
        </w:rPr>
        <w:t>b</w:t>
      </w:r>
      <w:r w:rsidRPr="00B34B3E">
        <w:rPr>
          <w:rFonts w:ascii="Century Gothic" w:hAnsi="Century Gothic"/>
        </w:rPr>
        <w:t>) recruitment on-site via posted QR code and flyers</w:t>
      </w:r>
      <w:r>
        <w:rPr>
          <w:rFonts w:ascii="Century Gothic" w:hAnsi="Century Gothic"/>
        </w:rPr>
        <w:t xml:space="preserve">. (2) </w:t>
      </w:r>
      <w:r w:rsidRPr="00B34B3E">
        <w:rPr>
          <w:rFonts w:ascii="Century Gothic" w:hAnsi="Century Gothic"/>
        </w:rPr>
        <w:t xml:space="preserve">Intercept - Administered in-person, with electronic data collection </w:t>
      </w:r>
    </w:p>
    <w:p w:rsidR="00C8488C" w:rsidRDefault="00C8488C" w14:paraId="58F8A7DD" w14:textId="77777777"/>
    <w:p w:rsidR="00C8488C" w:rsidP="00434E33" w:rsidRDefault="00C8488C" w14:paraId="5EB5648D" w14:textId="77777777">
      <w:pPr>
        <w:pStyle w:val="Header"/>
        <w:tabs>
          <w:tab w:val="clear" w:pos="4320"/>
          <w:tab w:val="clear" w:pos="8640"/>
        </w:tabs>
        <w:rPr>
          <w:b/>
        </w:rPr>
      </w:pPr>
    </w:p>
    <w:p w:rsidRPr="00434E33" w:rsidR="00434E33" w:rsidP="00434E33" w:rsidRDefault="00434E33" w14:paraId="6FDF6709"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6880C119" w14:textId="77777777"/>
    <w:p w:rsidR="00477624" w:rsidP="00477624" w:rsidRDefault="00477624" w14:paraId="276A231F" w14:textId="7B813E72">
      <w:pPr>
        <w:rPr>
          <w:rFonts w:ascii="Century Gothic" w:hAnsi="Century Gothic"/>
        </w:rPr>
      </w:pPr>
      <w:r>
        <w:rPr>
          <w:rFonts w:ascii="Century Gothic" w:hAnsi="Century Gothic"/>
        </w:rPr>
        <w:t xml:space="preserve">The sampling frame will include those spring and summer 2022 </w:t>
      </w:r>
      <w:r w:rsidR="00A8585C">
        <w:rPr>
          <w:rFonts w:ascii="Century Gothic" w:hAnsi="Century Gothic"/>
        </w:rPr>
        <w:t xml:space="preserve">ABMC site </w:t>
      </w:r>
      <w:r>
        <w:rPr>
          <w:rFonts w:ascii="Century Gothic" w:hAnsi="Century Gothic"/>
        </w:rPr>
        <w:t xml:space="preserve">visitors </w:t>
      </w:r>
      <w:r w:rsidR="008A6D68">
        <w:rPr>
          <w:rFonts w:ascii="Century Gothic" w:hAnsi="Century Gothic"/>
        </w:rPr>
        <w:t>(“general public”</w:t>
      </w:r>
      <w:r w:rsidR="00B62AE3">
        <w:rPr>
          <w:rFonts w:ascii="Century Gothic" w:hAnsi="Century Gothic"/>
        </w:rPr>
        <w:t xml:space="preserve">) </w:t>
      </w:r>
      <w:r>
        <w:rPr>
          <w:rFonts w:ascii="Century Gothic" w:hAnsi="Century Gothic"/>
        </w:rPr>
        <w:t xml:space="preserve">who either (1) encounter or receive QR/website access to the online survey or (2) are intercepted during on-site data collection. Participation is functionally limited to those visitors with language competency in one of the five survey languages (English, French, Dutch, Spanish, and Italian). </w:t>
      </w:r>
    </w:p>
    <w:p w:rsidR="00C8488C" w:rsidRDefault="00C8488C" w14:paraId="2E7CCD9A" w14:textId="77777777"/>
    <w:p w:rsidR="00F15956" w:rsidRDefault="00F15956" w14:paraId="04E8478B" w14:textId="77777777"/>
    <w:p w:rsidR="00434E33" w:rsidRDefault="00434E33" w14:paraId="5E0D549E" w14:textId="77777777"/>
    <w:p w:rsidR="00E26329" w:rsidRDefault="00E26329" w14:paraId="40742949" w14:textId="77777777">
      <w:pPr>
        <w:rPr>
          <w:b/>
        </w:rPr>
      </w:pPr>
    </w:p>
    <w:p w:rsidR="00E26329" w:rsidRDefault="00E26329" w14:paraId="4360A0F9" w14:textId="77777777">
      <w:pPr>
        <w:rPr>
          <w:b/>
        </w:rPr>
      </w:pPr>
    </w:p>
    <w:p w:rsidRPr="00F06866" w:rsidR="00F06866" w:rsidRDefault="00F06866" w14:paraId="6D0C46EC" w14:textId="77777777">
      <w:pPr>
        <w:rPr>
          <w:b/>
        </w:rPr>
      </w:pPr>
      <w:r>
        <w:rPr>
          <w:b/>
        </w:rPr>
        <w:t>TYPE OF COLLECTION:</w:t>
      </w:r>
      <w:r w:rsidRPr="00F06866">
        <w:t xml:space="preserve"> (Check one)</w:t>
      </w:r>
    </w:p>
    <w:p w:rsidRPr="00434E33" w:rsidR="00441434" w:rsidP="0096108F" w:rsidRDefault="00441434" w14:paraId="0B09BD1B" w14:textId="77777777">
      <w:pPr>
        <w:pStyle w:val="BodyTextIndent"/>
        <w:tabs>
          <w:tab w:val="left" w:pos="360"/>
        </w:tabs>
        <w:ind w:left="0"/>
        <w:rPr>
          <w:bCs/>
          <w:sz w:val="16"/>
          <w:szCs w:val="16"/>
        </w:rPr>
      </w:pPr>
    </w:p>
    <w:p w:rsidRPr="00F06866" w:rsidR="00F06866" w:rsidP="0096108F" w:rsidRDefault="0096108F" w14:paraId="0FA8618B" w14:textId="53CAC6E9">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Pr="00E7598D" w:rsidR="00D96C53">
        <w:rPr>
          <w:bCs/>
          <w:sz w:val="24"/>
        </w:rPr>
        <w:t>X</w:t>
      </w:r>
      <w:r w:rsidRPr="00E7598D">
        <w:rPr>
          <w:bCs/>
          <w:sz w:val="24"/>
        </w:rPr>
        <w:t>]</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9B2D5D5"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CC21907" w14:textId="77777777">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6D471AC6" w14:textId="77777777">
      <w:pPr>
        <w:pStyle w:val="Header"/>
        <w:tabs>
          <w:tab w:val="clear" w:pos="4320"/>
          <w:tab w:val="clear" w:pos="8640"/>
        </w:tabs>
      </w:pPr>
    </w:p>
    <w:p w:rsidR="00CA2650" w:rsidRDefault="00441434" w14:paraId="5BDB1A3C" w14:textId="77777777">
      <w:pPr>
        <w:rPr>
          <w:b/>
        </w:rPr>
      </w:pPr>
      <w:r>
        <w:rPr>
          <w:b/>
        </w:rPr>
        <w:t>C</w:t>
      </w:r>
      <w:r w:rsidR="009C13B9">
        <w:rPr>
          <w:b/>
        </w:rPr>
        <w:t>ERTIFICATION:</w:t>
      </w:r>
    </w:p>
    <w:p w:rsidR="00441434" w:rsidRDefault="00441434" w14:paraId="7F8A56D2" w14:textId="77777777">
      <w:pPr>
        <w:rPr>
          <w:sz w:val="16"/>
          <w:szCs w:val="16"/>
        </w:rPr>
      </w:pPr>
    </w:p>
    <w:p w:rsidRPr="009C13B9" w:rsidR="008101A5" w:rsidP="008101A5" w:rsidRDefault="008101A5" w14:paraId="7931AD1F" w14:textId="77777777">
      <w:r>
        <w:t xml:space="preserve">I certify the following to be true: </w:t>
      </w:r>
    </w:p>
    <w:p w:rsidR="008101A5" w:rsidP="008101A5" w:rsidRDefault="008101A5" w14:paraId="01CB81C4" w14:textId="77777777">
      <w:pPr>
        <w:pStyle w:val="ListParagraph"/>
        <w:numPr>
          <w:ilvl w:val="0"/>
          <w:numId w:val="14"/>
        </w:numPr>
      </w:pPr>
      <w:r>
        <w:t>The collection is voluntary.</w:t>
      </w:r>
      <w:r w:rsidRPr="00C14CC4">
        <w:t xml:space="preserve"> </w:t>
      </w:r>
    </w:p>
    <w:p w:rsidR="008101A5" w:rsidP="008101A5" w:rsidRDefault="008101A5" w14:paraId="773DE74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1CDEC65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96CF5D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41F1B7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86D2AC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F0DDA06" w14:textId="77777777"/>
    <w:p w:rsidR="009C13B9" w:rsidP="009C13B9" w:rsidRDefault="009C13B9" w14:paraId="7171DC96" w14:textId="72B07ECE">
      <w:r>
        <w:t>Name</w:t>
      </w:r>
      <w:r w:rsidRPr="00CC3A34">
        <w:t>:_</w:t>
      </w:r>
      <w:r w:rsidR="00C72EF4">
        <w:t>/s/</w:t>
      </w:r>
      <w:r w:rsidRPr="00CC3A34" w:rsidR="00D96C53">
        <w:t>Karen</w:t>
      </w:r>
      <w:r w:rsidR="00C72EF4">
        <w:t xml:space="preserve"> WURZBURGER</w:t>
      </w:r>
      <w:r w:rsidRPr="00CC3A34">
        <w:t>_______________________________________________</w:t>
      </w:r>
    </w:p>
    <w:p w:rsidR="009C13B9" w:rsidP="009C13B9" w:rsidRDefault="009C13B9" w14:paraId="3828607A" w14:textId="77777777">
      <w:pPr>
        <w:pStyle w:val="ListParagraph"/>
        <w:ind w:left="360"/>
      </w:pPr>
    </w:p>
    <w:p w:rsidR="009C13B9" w:rsidP="009C13B9" w:rsidRDefault="009C13B9" w14:paraId="0009F713" w14:textId="77777777">
      <w:r>
        <w:t>To assist review, please provide answers to the following question:</w:t>
      </w:r>
    </w:p>
    <w:p w:rsidR="009C13B9" w:rsidP="009C13B9" w:rsidRDefault="009C13B9" w14:paraId="195843B6" w14:textId="77777777">
      <w:pPr>
        <w:pStyle w:val="ListParagraph"/>
        <w:ind w:left="360"/>
      </w:pPr>
    </w:p>
    <w:p w:rsidRPr="00C86E91" w:rsidR="009C13B9" w:rsidP="00C86E91" w:rsidRDefault="00C86E91" w14:paraId="6A2A4C3F" w14:textId="77777777">
      <w:pPr>
        <w:rPr>
          <w:b/>
        </w:rPr>
      </w:pPr>
      <w:r w:rsidRPr="00C86E91">
        <w:rPr>
          <w:b/>
        </w:rPr>
        <w:t>Personally Identifiable Information:</w:t>
      </w:r>
    </w:p>
    <w:p w:rsidR="00C86E91" w:rsidP="00C86E91" w:rsidRDefault="009C13B9" w14:paraId="73BBFE0B" w14:textId="33AD6850">
      <w:pPr>
        <w:pStyle w:val="ListParagraph"/>
        <w:numPr>
          <w:ilvl w:val="0"/>
          <w:numId w:val="18"/>
        </w:numPr>
      </w:pPr>
      <w:r>
        <w:t>Is</w:t>
      </w:r>
      <w:r w:rsidR="00237B48">
        <w:t xml:space="preserve"> personally identifiable information (PII) collected</w:t>
      </w:r>
      <w:r>
        <w:t xml:space="preserve">?  </w:t>
      </w:r>
      <w:r w:rsidR="009239AA">
        <w:t>[  ] Yes  [</w:t>
      </w:r>
      <w:r w:rsidR="00D96C53">
        <w:t xml:space="preserve"> </w:t>
      </w:r>
      <w:r w:rsidRPr="00E7598D" w:rsidR="00D96C53">
        <w:t>X</w:t>
      </w:r>
      <w:r w:rsidR="009239AA">
        <w:t xml:space="preserve"> ]  No </w:t>
      </w:r>
    </w:p>
    <w:p w:rsidR="00C86E91" w:rsidP="00C86E91" w:rsidRDefault="009C13B9" w14:paraId="0E0DEEF9"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47958D6A" w14:textId="77777777">
      <w:pPr>
        <w:pStyle w:val="ListParagraph"/>
        <w:numPr>
          <w:ilvl w:val="0"/>
          <w:numId w:val="18"/>
        </w:numPr>
      </w:pPr>
      <w:r>
        <w:t>If Applicable, has a System or Records Notice been published?  [  ] Yes  [  ] No</w:t>
      </w:r>
    </w:p>
    <w:p w:rsidRPr="00C86E91" w:rsidR="00C86E91" w:rsidP="00C86E91" w:rsidRDefault="00CB1078" w14:paraId="4F5EF5DF" w14:textId="77777777">
      <w:pPr>
        <w:pStyle w:val="ListParagraph"/>
        <w:ind w:left="0"/>
        <w:rPr>
          <w:b/>
        </w:rPr>
      </w:pPr>
      <w:r>
        <w:rPr>
          <w:b/>
        </w:rPr>
        <w:t>Gifts or Payments</w:t>
      </w:r>
      <w:r w:rsidR="00C86E91">
        <w:rPr>
          <w:b/>
        </w:rPr>
        <w:t>:</w:t>
      </w:r>
    </w:p>
    <w:p w:rsidRPr="00451E50" w:rsidR="00C86E91" w:rsidRDefault="00C86E91" w14:paraId="7F974EF0" w14:textId="0BEC64D7">
      <w:r>
        <w:t xml:space="preserve">Is an incentive (e.g., money or reimbursement of expenses, token of appreciation) provided to participants?  [  ] Yes [ </w:t>
      </w:r>
      <w:r w:rsidR="00451E50">
        <w:t>X</w:t>
      </w:r>
      <w:r>
        <w:t xml:space="preserve"> ] No  </w:t>
      </w:r>
    </w:p>
    <w:p w:rsidR="00C86E91" w:rsidRDefault="00C86E91" w14:paraId="6ABC48BE" w14:textId="77777777">
      <w:pPr>
        <w:rPr>
          <w:b/>
        </w:rPr>
      </w:pPr>
    </w:p>
    <w:p w:rsidR="005E714A" w:rsidP="00C86E91" w:rsidRDefault="005E714A" w14:paraId="543F8F18" w14:textId="77777777">
      <w:pPr>
        <w:rPr>
          <w:i/>
        </w:rPr>
      </w:pPr>
      <w:r>
        <w:rPr>
          <w:b/>
        </w:rPr>
        <w:t>BURDEN HOUR</w:t>
      </w:r>
      <w:r w:rsidR="00441434">
        <w:rPr>
          <w:b/>
        </w:rPr>
        <w:t>S</w:t>
      </w:r>
      <w:r>
        <w:t xml:space="preserve"> </w:t>
      </w:r>
    </w:p>
    <w:p w:rsidRPr="006832D9" w:rsidR="006832D9" w:rsidP="00F3170F" w:rsidRDefault="006832D9" w14:paraId="25615F0A" w14:textId="77777777">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14:paraId="3A8D4188" w14:textId="77777777">
        <w:trPr>
          <w:trHeight w:val="274"/>
        </w:trPr>
        <w:tc>
          <w:tcPr>
            <w:tcW w:w="5418" w:type="dxa"/>
          </w:tcPr>
          <w:p w:rsidRPr="00F6240A" w:rsidR="006832D9" w:rsidP="00C8488C" w:rsidRDefault="00E40B50" w14:paraId="2387DBE0" w14:textId="77777777">
            <w:pPr>
              <w:rPr>
                <w:b/>
              </w:rPr>
            </w:pPr>
            <w:r>
              <w:rPr>
                <w:b/>
              </w:rPr>
              <w:t>Category of Respondent</w:t>
            </w:r>
            <w:r w:rsidR="00EF2095">
              <w:rPr>
                <w:b/>
              </w:rPr>
              <w:t xml:space="preserve"> </w:t>
            </w:r>
          </w:p>
        </w:tc>
        <w:tc>
          <w:tcPr>
            <w:tcW w:w="1530" w:type="dxa"/>
          </w:tcPr>
          <w:p w:rsidRPr="00F6240A" w:rsidR="006832D9" w:rsidP="00843796" w:rsidRDefault="006832D9" w14:paraId="2E0AE0AA" w14:textId="77777777">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14:paraId="7259ADC0" w14:textId="77777777">
            <w:pPr>
              <w:rPr>
                <w:b/>
              </w:rPr>
            </w:pPr>
            <w:r w:rsidRPr="00F6240A">
              <w:rPr>
                <w:b/>
              </w:rPr>
              <w:t>Participation Time</w:t>
            </w:r>
          </w:p>
        </w:tc>
        <w:tc>
          <w:tcPr>
            <w:tcW w:w="1003" w:type="dxa"/>
          </w:tcPr>
          <w:p w:rsidRPr="00F6240A" w:rsidR="006832D9" w:rsidP="00843796" w:rsidRDefault="006832D9" w14:paraId="756B9057" w14:textId="77777777">
            <w:pPr>
              <w:rPr>
                <w:b/>
              </w:rPr>
            </w:pPr>
            <w:r w:rsidRPr="00F6240A">
              <w:rPr>
                <w:b/>
              </w:rPr>
              <w:t>Burden</w:t>
            </w:r>
          </w:p>
        </w:tc>
      </w:tr>
      <w:tr w:rsidR="00EF2095" w:rsidTr="00EF2095" w14:paraId="5F124752" w14:textId="77777777">
        <w:trPr>
          <w:trHeight w:val="274"/>
        </w:trPr>
        <w:tc>
          <w:tcPr>
            <w:tcW w:w="5418" w:type="dxa"/>
          </w:tcPr>
          <w:p w:rsidR="006832D9" w:rsidP="00843796" w:rsidRDefault="00451E50" w14:paraId="5817D5D9" w14:textId="5594F1D6">
            <w:r>
              <w:t>Respondents to survey, online &amp; non-intercept</w:t>
            </w:r>
          </w:p>
        </w:tc>
        <w:tc>
          <w:tcPr>
            <w:tcW w:w="1530" w:type="dxa"/>
          </w:tcPr>
          <w:p w:rsidR="006832D9" w:rsidP="00B12389" w:rsidRDefault="0021516D" w14:paraId="2573BEB3" w14:textId="3C403E8B">
            <w:pPr>
              <w:jc w:val="right"/>
            </w:pPr>
            <w:r>
              <w:t>9,000</w:t>
            </w:r>
          </w:p>
        </w:tc>
        <w:tc>
          <w:tcPr>
            <w:tcW w:w="1710" w:type="dxa"/>
          </w:tcPr>
          <w:p w:rsidR="006832D9" w:rsidP="00B12389" w:rsidRDefault="00BB2D31" w14:paraId="64679CD6" w14:textId="2E135255">
            <w:pPr>
              <w:jc w:val="center"/>
            </w:pPr>
            <w:r>
              <w:t>10 min</w:t>
            </w:r>
          </w:p>
        </w:tc>
        <w:tc>
          <w:tcPr>
            <w:tcW w:w="1003" w:type="dxa"/>
          </w:tcPr>
          <w:p w:rsidR="006832D9" w:rsidP="00B12389" w:rsidRDefault="0021516D" w14:paraId="75F8A657" w14:textId="6CD8A007">
            <w:pPr>
              <w:jc w:val="right"/>
            </w:pPr>
            <w:r>
              <w:t>1,500</w:t>
            </w:r>
          </w:p>
        </w:tc>
      </w:tr>
      <w:tr w:rsidR="00451E50" w:rsidTr="00EF2095" w14:paraId="71A916FD" w14:textId="77777777">
        <w:trPr>
          <w:trHeight w:val="274"/>
        </w:trPr>
        <w:tc>
          <w:tcPr>
            <w:tcW w:w="5418" w:type="dxa"/>
          </w:tcPr>
          <w:p w:rsidR="00451E50" w:rsidP="00843796" w:rsidRDefault="00451E50" w14:paraId="1F02CDDB" w14:textId="1C80E746">
            <w:r>
              <w:t>Respondents to survey, &amp; in-person/intercept</w:t>
            </w:r>
          </w:p>
        </w:tc>
        <w:tc>
          <w:tcPr>
            <w:tcW w:w="1530" w:type="dxa"/>
          </w:tcPr>
          <w:p w:rsidR="00451E50" w:rsidP="00B12389" w:rsidRDefault="00DA7B0E" w14:paraId="49A00EBE" w14:textId="625BE1BC">
            <w:pPr>
              <w:jc w:val="right"/>
            </w:pPr>
            <w:r>
              <w:t>3,000</w:t>
            </w:r>
          </w:p>
        </w:tc>
        <w:tc>
          <w:tcPr>
            <w:tcW w:w="1710" w:type="dxa"/>
          </w:tcPr>
          <w:p w:rsidR="00451E50" w:rsidP="00B12389" w:rsidRDefault="00BB2D31" w14:paraId="1C62741B" w14:textId="607357BD">
            <w:pPr>
              <w:jc w:val="center"/>
            </w:pPr>
            <w:r>
              <w:t>10 min</w:t>
            </w:r>
          </w:p>
        </w:tc>
        <w:tc>
          <w:tcPr>
            <w:tcW w:w="1003" w:type="dxa"/>
          </w:tcPr>
          <w:p w:rsidR="00451E50" w:rsidP="00B12389" w:rsidRDefault="00017BA2" w14:paraId="080CE490" w14:textId="39ED65F8">
            <w:pPr>
              <w:jc w:val="right"/>
            </w:pPr>
            <w:r>
              <w:t>500</w:t>
            </w:r>
          </w:p>
        </w:tc>
      </w:tr>
      <w:tr w:rsidR="00451E50" w:rsidTr="00EF2095" w14:paraId="36EC2229" w14:textId="77777777">
        <w:trPr>
          <w:trHeight w:val="274"/>
        </w:trPr>
        <w:tc>
          <w:tcPr>
            <w:tcW w:w="5418" w:type="dxa"/>
          </w:tcPr>
          <w:p w:rsidRPr="00601D44" w:rsidR="00451E50" w:rsidP="00843796" w:rsidRDefault="00451E50" w14:paraId="4FED574C" w14:textId="2DAF48ED"/>
        </w:tc>
        <w:tc>
          <w:tcPr>
            <w:tcW w:w="1530" w:type="dxa"/>
          </w:tcPr>
          <w:p w:rsidR="00451E50" w:rsidP="00B12389" w:rsidRDefault="00451E50" w14:paraId="5F3AD41A" w14:textId="2254E3AE">
            <w:pPr>
              <w:jc w:val="right"/>
            </w:pPr>
          </w:p>
        </w:tc>
        <w:tc>
          <w:tcPr>
            <w:tcW w:w="1710" w:type="dxa"/>
          </w:tcPr>
          <w:p w:rsidR="00451E50" w:rsidP="00B12389" w:rsidRDefault="00451E50" w14:paraId="6EE7CCF3" w14:textId="42F3E995">
            <w:pPr>
              <w:jc w:val="right"/>
            </w:pPr>
          </w:p>
        </w:tc>
        <w:tc>
          <w:tcPr>
            <w:tcW w:w="1003" w:type="dxa"/>
          </w:tcPr>
          <w:p w:rsidR="00451E50" w:rsidP="00B12389" w:rsidRDefault="00451E50" w14:paraId="4DAE6882" w14:textId="331B8CC3">
            <w:pPr>
              <w:jc w:val="right"/>
            </w:pPr>
          </w:p>
        </w:tc>
      </w:tr>
      <w:tr w:rsidR="00451E50" w:rsidTr="00EF2095" w14:paraId="08702D9C" w14:textId="77777777">
        <w:trPr>
          <w:trHeight w:val="274"/>
        </w:trPr>
        <w:tc>
          <w:tcPr>
            <w:tcW w:w="5418" w:type="dxa"/>
          </w:tcPr>
          <w:p w:rsidR="00451E50" w:rsidP="00843796" w:rsidRDefault="00451E50" w14:paraId="69031F61" w14:textId="77777777"/>
        </w:tc>
        <w:tc>
          <w:tcPr>
            <w:tcW w:w="1530" w:type="dxa"/>
          </w:tcPr>
          <w:p w:rsidR="00451E50" w:rsidP="00B12389" w:rsidRDefault="00451E50" w14:paraId="37D7C4F3" w14:textId="77777777">
            <w:pPr>
              <w:jc w:val="right"/>
            </w:pPr>
          </w:p>
        </w:tc>
        <w:tc>
          <w:tcPr>
            <w:tcW w:w="1710" w:type="dxa"/>
          </w:tcPr>
          <w:p w:rsidR="00451E50" w:rsidP="00B12389" w:rsidRDefault="00451E50" w14:paraId="6BAB69A7" w14:textId="77777777">
            <w:pPr>
              <w:jc w:val="right"/>
            </w:pPr>
          </w:p>
        </w:tc>
        <w:tc>
          <w:tcPr>
            <w:tcW w:w="1003" w:type="dxa"/>
          </w:tcPr>
          <w:p w:rsidR="00451E50" w:rsidP="00B12389" w:rsidRDefault="00451E50" w14:paraId="2A012188" w14:textId="77777777">
            <w:pPr>
              <w:jc w:val="right"/>
            </w:pPr>
          </w:p>
        </w:tc>
      </w:tr>
      <w:tr w:rsidR="00EF2095" w:rsidTr="00EF2095" w14:paraId="66449B97" w14:textId="77777777">
        <w:trPr>
          <w:trHeight w:val="274"/>
        </w:trPr>
        <w:tc>
          <w:tcPr>
            <w:tcW w:w="5418" w:type="dxa"/>
          </w:tcPr>
          <w:p w:rsidR="006832D9" w:rsidP="00843796" w:rsidRDefault="006832D9" w14:paraId="5B470E65" w14:textId="77777777"/>
        </w:tc>
        <w:tc>
          <w:tcPr>
            <w:tcW w:w="1530" w:type="dxa"/>
          </w:tcPr>
          <w:p w:rsidR="006832D9" w:rsidP="00B12389" w:rsidRDefault="006832D9" w14:paraId="50003153" w14:textId="77777777">
            <w:pPr>
              <w:jc w:val="right"/>
            </w:pPr>
          </w:p>
        </w:tc>
        <w:tc>
          <w:tcPr>
            <w:tcW w:w="1710" w:type="dxa"/>
          </w:tcPr>
          <w:p w:rsidR="006832D9" w:rsidP="00B12389" w:rsidRDefault="006832D9" w14:paraId="327127ED" w14:textId="77777777">
            <w:pPr>
              <w:jc w:val="right"/>
            </w:pPr>
          </w:p>
        </w:tc>
        <w:tc>
          <w:tcPr>
            <w:tcW w:w="1003" w:type="dxa"/>
          </w:tcPr>
          <w:p w:rsidR="006832D9" w:rsidP="00B12389" w:rsidRDefault="006832D9" w14:paraId="3A1582B8" w14:textId="77777777">
            <w:pPr>
              <w:jc w:val="right"/>
            </w:pPr>
          </w:p>
        </w:tc>
      </w:tr>
      <w:tr w:rsidR="00EF2095" w:rsidTr="00EF2095" w14:paraId="426C84C1" w14:textId="77777777">
        <w:trPr>
          <w:trHeight w:val="289"/>
        </w:trPr>
        <w:tc>
          <w:tcPr>
            <w:tcW w:w="5418" w:type="dxa"/>
          </w:tcPr>
          <w:p w:rsidRPr="00F6240A" w:rsidR="006832D9" w:rsidP="00843796" w:rsidRDefault="006832D9" w14:paraId="7111EC62" w14:textId="77777777">
            <w:pPr>
              <w:rPr>
                <w:b/>
              </w:rPr>
            </w:pPr>
            <w:r>
              <w:rPr>
                <w:b/>
              </w:rPr>
              <w:t>Totals</w:t>
            </w:r>
          </w:p>
        </w:tc>
        <w:tc>
          <w:tcPr>
            <w:tcW w:w="1530" w:type="dxa"/>
          </w:tcPr>
          <w:p w:rsidRPr="007B7F36" w:rsidR="006832D9" w:rsidP="00B12389" w:rsidRDefault="0021516D" w14:paraId="57A66775" w14:textId="08F207D5">
            <w:pPr>
              <w:jc w:val="right"/>
              <w:rPr>
                <w:bCs/>
              </w:rPr>
            </w:pPr>
            <w:r>
              <w:rPr>
                <w:bCs/>
              </w:rPr>
              <w:t>12,000</w:t>
            </w:r>
          </w:p>
        </w:tc>
        <w:tc>
          <w:tcPr>
            <w:tcW w:w="1710" w:type="dxa"/>
          </w:tcPr>
          <w:p w:rsidR="006832D9" w:rsidP="00B12389" w:rsidRDefault="006832D9" w14:paraId="25DBD716" w14:textId="77777777">
            <w:pPr>
              <w:jc w:val="right"/>
            </w:pPr>
          </w:p>
        </w:tc>
        <w:tc>
          <w:tcPr>
            <w:tcW w:w="1003" w:type="dxa"/>
          </w:tcPr>
          <w:p w:rsidRPr="007B7F36" w:rsidR="006832D9" w:rsidP="00B12389" w:rsidRDefault="007B7F36" w14:paraId="7DD729D3" w14:textId="4709B6A3">
            <w:pPr>
              <w:jc w:val="right"/>
              <w:rPr>
                <w:bCs/>
              </w:rPr>
            </w:pPr>
            <w:r w:rsidRPr="007B7F36">
              <w:rPr>
                <w:bCs/>
              </w:rPr>
              <w:t>2,</w:t>
            </w:r>
            <w:r w:rsidR="0021516D">
              <w:rPr>
                <w:bCs/>
              </w:rPr>
              <w:t>0</w:t>
            </w:r>
            <w:r w:rsidRPr="007B7F36">
              <w:rPr>
                <w:bCs/>
              </w:rPr>
              <w:t>00</w:t>
            </w:r>
          </w:p>
        </w:tc>
      </w:tr>
    </w:tbl>
    <w:p w:rsidR="00F3170F" w:rsidP="00F3170F" w:rsidRDefault="00F3170F" w14:paraId="582DB8C1" w14:textId="77777777"/>
    <w:p w:rsidR="00441434" w:rsidP="00F3170F" w:rsidRDefault="00441434" w14:paraId="6D159961" w14:textId="77777777"/>
    <w:p w:rsidRPr="005B5E40" w:rsidR="005B5E40" w:rsidP="005B5E40" w:rsidRDefault="001C39F7" w14:paraId="076DF1E2" w14:textId="081658DE">
      <w:pPr>
        <w:pStyle w:val="ListParagraph"/>
        <w:ind w:left="0"/>
        <w:rPr>
          <w:rFonts w:ascii="Century Gothic" w:hAnsi="Century Gothic"/>
          <w:sz w:val="22"/>
          <w:szCs w:val="22"/>
        </w:rPr>
      </w:pPr>
      <w:r>
        <w:rPr>
          <w:b/>
        </w:rPr>
        <w:lastRenderedPageBreak/>
        <w:t xml:space="preserve">FEDERAL </w:t>
      </w:r>
      <w:r w:rsidR="009F5923">
        <w:rPr>
          <w:b/>
        </w:rPr>
        <w:t>COST</w:t>
      </w:r>
      <w:r w:rsidR="00F06866">
        <w:rPr>
          <w:b/>
        </w:rPr>
        <w:t>:</w:t>
      </w:r>
      <w:r w:rsidR="00895229">
        <w:rPr>
          <w:b/>
        </w:rPr>
        <w:t xml:space="preserve"> </w:t>
      </w:r>
      <w:r w:rsidR="00C86E91">
        <w:rPr>
          <w:b/>
        </w:rPr>
        <w:t xml:space="preserve"> </w:t>
      </w:r>
      <w:r w:rsidRPr="005B5E40" w:rsidR="005B5E40">
        <w:rPr>
          <w:rFonts w:ascii="Century Gothic" w:hAnsi="Century Gothic"/>
        </w:rPr>
        <w:t xml:space="preserve">The anticipated cost to the Federal Government is $83,000 annually (from approximately September 2020 to September 2022).  These costs are comprised of contractor payments, which will include study design; survey instrument development; data collection and analysis, which includes travel to and on-site data collection at nine ABMC  sites; and reporting. Additional costs to be incurred by the contractor include procurement of equipment (e.g., </w:t>
      </w:r>
      <w:r w:rsidR="007C1F2E">
        <w:rPr>
          <w:rFonts w:ascii="Century Gothic" w:hAnsi="Century Gothic"/>
        </w:rPr>
        <w:t xml:space="preserve">tablets </w:t>
      </w:r>
      <w:r w:rsidRPr="005B5E40" w:rsidR="005B5E40">
        <w:rPr>
          <w:rFonts w:ascii="Century Gothic" w:hAnsi="Century Gothic"/>
        </w:rPr>
        <w:t xml:space="preserve">to collect data), printing, and indirect costs. </w:t>
      </w:r>
    </w:p>
    <w:p w:rsidR="00ED6492" w:rsidRDefault="00ED6492" w14:paraId="47AF7A32" w14:textId="77777777">
      <w:pPr>
        <w:rPr>
          <w:b/>
          <w:bCs/>
          <w:u w:val="single"/>
        </w:rPr>
      </w:pPr>
    </w:p>
    <w:p w:rsidR="0069403B" w:rsidP="00F06866" w:rsidRDefault="00ED6492" w14:paraId="31EFB4F2"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53FD6727" w14:textId="77777777">
      <w:pPr>
        <w:rPr>
          <w:b/>
        </w:rPr>
      </w:pPr>
    </w:p>
    <w:p w:rsidR="00F06866" w:rsidP="00F06866" w:rsidRDefault="00636621" w14:paraId="3B6B28B2" w14:textId="77777777">
      <w:pPr>
        <w:rPr>
          <w:b/>
        </w:rPr>
      </w:pPr>
      <w:r>
        <w:rPr>
          <w:b/>
        </w:rPr>
        <w:t>The</w:t>
      </w:r>
      <w:r w:rsidR="0069403B">
        <w:rPr>
          <w:b/>
        </w:rPr>
        <w:t xml:space="preserve"> select</w:t>
      </w:r>
      <w:r>
        <w:rPr>
          <w:b/>
        </w:rPr>
        <w:t>ion of your targeted respondents</w:t>
      </w:r>
    </w:p>
    <w:p w:rsidR="0069403B" w:rsidP="0069403B" w:rsidRDefault="0069403B" w14:paraId="1905133A" w14:textId="25CB65A0">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A24E6F">
        <w:t>X</w:t>
      </w:r>
      <w:r>
        <w:t>] No</w:t>
      </w:r>
    </w:p>
    <w:p w:rsidR="00636621" w:rsidP="00636621" w:rsidRDefault="00636621" w14:paraId="72BF5463" w14:textId="77777777">
      <w:pPr>
        <w:pStyle w:val="ListParagraph"/>
      </w:pPr>
    </w:p>
    <w:p w:rsidR="00636621" w:rsidP="001B0AAA" w:rsidRDefault="00636621" w14:paraId="31153C46"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6B608E6" w14:textId="77777777">
      <w:pPr>
        <w:pStyle w:val="ListParagraph"/>
      </w:pPr>
    </w:p>
    <w:p w:rsidR="00C70DA2" w:rsidP="00C70DA2" w:rsidRDefault="00C70DA2" w14:paraId="2189C69B" w14:textId="1743B6DC">
      <w:pPr>
        <w:rPr>
          <w:rFonts w:ascii="Century Gothic" w:hAnsi="Century Gothic"/>
        </w:rPr>
      </w:pPr>
      <w:r w:rsidRPr="00C70DA2">
        <w:rPr>
          <w:rFonts w:ascii="Century Gothic" w:hAnsi="Century Gothic"/>
        </w:rPr>
        <w:t xml:space="preserve">Sampling will correspond with the two data collection modes (online </w:t>
      </w:r>
      <w:r>
        <w:rPr>
          <w:rFonts w:ascii="Century Gothic" w:hAnsi="Century Gothic"/>
        </w:rPr>
        <w:t xml:space="preserve">and </w:t>
      </w:r>
      <w:r w:rsidRPr="00C70DA2">
        <w:rPr>
          <w:rFonts w:ascii="Century Gothic" w:hAnsi="Century Gothic"/>
        </w:rPr>
        <w:t>intercept).</w:t>
      </w:r>
      <w:r w:rsidR="00305362">
        <w:rPr>
          <w:rFonts w:ascii="Century Gothic" w:hAnsi="Century Gothic"/>
        </w:rPr>
        <w:t xml:space="preserve"> </w:t>
      </w:r>
      <w:r>
        <w:rPr>
          <w:rFonts w:ascii="Century Gothic" w:hAnsi="Century Gothic"/>
        </w:rPr>
        <w:t xml:space="preserve">Online data collection will occur prior to intercept data collection. It is anticipated that this will occur late spring and summer 2022 once OMB approval is finalized and surveys are translated. There will be two mechanisms for online data collection: </w:t>
      </w:r>
    </w:p>
    <w:p w:rsidR="00C70DA2" w:rsidP="00C70DA2" w:rsidRDefault="00C70DA2" w14:paraId="3D94F975" w14:textId="77777777">
      <w:pPr>
        <w:pStyle w:val="ListParagraph"/>
        <w:numPr>
          <w:ilvl w:val="0"/>
          <w:numId w:val="21"/>
        </w:numPr>
        <w:spacing w:after="200" w:line="276" w:lineRule="auto"/>
        <w:rPr>
          <w:rFonts w:ascii="Century Gothic" w:hAnsi="Century Gothic"/>
        </w:rPr>
      </w:pPr>
      <w:r>
        <w:rPr>
          <w:rFonts w:ascii="Century Gothic" w:hAnsi="Century Gothic"/>
        </w:rPr>
        <w:t xml:space="preserve">An online survey meant to be accessed by current visitors on-site or shortly thereafter </w:t>
      </w:r>
    </w:p>
    <w:p w:rsidR="00C70DA2" w:rsidP="00C70DA2" w:rsidRDefault="00C70DA2" w14:paraId="1732CC7B" w14:textId="77777777">
      <w:pPr>
        <w:pStyle w:val="ListParagraph"/>
        <w:numPr>
          <w:ilvl w:val="0"/>
          <w:numId w:val="21"/>
        </w:numPr>
        <w:spacing w:after="200" w:line="276" w:lineRule="auto"/>
        <w:rPr>
          <w:rFonts w:ascii="Century Gothic" w:hAnsi="Century Gothic"/>
        </w:rPr>
      </w:pPr>
      <w:r>
        <w:rPr>
          <w:rFonts w:ascii="Century Gothic" w:hAnsi="Century Gothic"/>
        </w:rPr>
        <w:t>An online survey distributed to previous ABMC visitors or visitor groups</w:t>
      </w:r>
    </w:p>
    <w:p w:rsidR="00C70DA2" w:rsidP="00C70DA2" w:rsidRDefault="00C70DA2" w14:paraId="12DB4F65" w14:textId="067E0D43">
      <w:pPr>
        <w:rPr>
          <w:rFonts w:ascii="Century Gothic" w:hAnsi="Century Gothic"/>
        </w:rPr>
      </w:pPr>
      <w:r>
        <w:rPr>
          <w:rFonts w:ascii="Century Gothic" w:hAnsi="Century Gothic"/>
        </w:rPr>
        <w:t xml:space="preserve">The first system will be implemented via signs and flyers that will be developed for printing and site staff posting on-site. The sign will feature high-level information about the survey and provide a QR code for survey access; </w:t>
      </w:r>
      <w:r w:rsidR="00A8585C">
        <w:rPr>
          <w:rFonts w:ascii="Century Gothic" w:hAnsi="Century Gothic"/>
        </w:rPr>
        <w:t>it will</w:t>
      </w:r>
      <w:r>
        <w:rPr>
          <w:rFonts w:ascii="Century Gothic" w:hAnsi="Century Gothic"/>
        </w:rPr>
        <w:t xml:space="preserve"> be placed in a visible and easily accessed location on site. Individual flyers (with QR code and web URL link) will also be available if visitors prefer to take the information to complete the survey elsewhere, such as their home or hotel. </w:t>
      </w:r>
    </w:p>
    <w:p w:rsidR="00C70DA2" w:rsidP="00C70DA2" w:rsidRDefault="00C70DA2" w14:paraId="41B6C2EB" w14:textId="540B95C8">
      <w:pPr>
        <w:rPr>
          <w:rFonts w:ascii="Century Gothic" w:hAnsi="Century Gothic"/>
          <w:b/>
          <w:bCs/>
        </w:rPr>
      </w:pPr>
    </w:p>
    <w:p w:rsidRPr="00305362" w:rsidR="00A403BB" w:rsidP="00C70DA2" w:rsidRDefault="00C70DA2" w14:paraId="583A8C93" w14:textId="7B97004E">
      <w:pPr>
        <w:rPr>
          <w:rFonts w:ascii="Century Gothic" w:hAnsi="Century Gothic"/>
        </w:rPr>
      </w:pPr>
      <w:r>
        <w:rPr>
          <w:rFonts w:ascii="Century Gothic" w:hAnsi="Century Gothic"/>
        </w:rPr>
        <w:t>The in-person intercept survey will be administered on site by two-person teams. Most data collection is planned to occur summer (likely August) 2022. This time period is a prime time of the year to collect data in Europe, given that approximately 70% of visitation at these sites occurs during July-September. Data collection at Manila American Cemetery is anticipated to occur either early or late 2022, to avoid the monsoon season</w:t>
      </w:r>
      <w:r w:rsidR="00305362">
        <w:rPr>
          <w:rFonts w:ascii="Century Gothic" w:hAnsi="Century Gothic"/>
        </w:rPr>
        <w:t>.</w:t>
      </w:r>
      <w:r>
        <w:rPr>
          <w:rFonts w:ascii="Century Gothic" w:hAnsi="Century Gothic"/>
        </w:rPr>
        <w:t xml:space="preserve"> The team will choose data collection locations based on high visitation areas as suggested by the ABMC site lead. The team will collect data for at least three days at each site, from 9:00 am to 5:00 pm.</w:t>
      </w:r>
      <w:r w:rsidR="00305362">
        <w:rPr>
          <w:rFonts w:ascii="Century Gothic" w:hAnsi="Century Gothic"/>
        </w:rPr>
        <w:t xml:space="preserve"> It is assumed that </w:t>
      </w:r>
      <w:r>
        <w:rPr>
          <w:rFonts w:ascii="Century Gothic" w:hAnsi="Century Gothic"/>
        </w:rPr>
        <w:t xml:space="preserve">survey administration </w:t>
      </w:r>
      <w:r w:rsidR="00305362">
        <w:rPr>
          <w:rFonts w:ascii="Century Gothic" w:hAnsi="Century Gothic"/>
        </w:rPr>
        <w:t>will take</w:t>
      </w:r>
      <w:r>
        <w:rPr>
          <w:rFonts w:ascii="Century Gothic" w:hAnsi="Century Gothic"/>
        </w:rPr>
        <w:t xml:space="preserve"> 10 minutes total</w:t>
      </w:r>
      <w:r w:rsidR="00305362">
        <w:rPr>
          <w:rFonts w:ascii="Century Gothic" w:hAnsi="Century Gothic"/>
        </w:rPr>
        <w:t xml:space="preserve">. </w:t>
      </w:r>
      <w:r>
        <w:rPr>
          <w:rFonts w:ascii="Century Gothic" w:hAnsi="Century Gothic"/>
        </w:rPr>
        <w:t xml:space="preserve">During data collection, the project team members will intercept groups and </w:t>
      </w:r>
      <w:r>
        <w:rPr>
          <w:rFonts w:ascii="Century Gothic" w:hAnsi="Century Gothic"/>
        </w:rPr>
        <w:lastRenderedPageBreak/>
        <w:t xml:space="preserve">share the purpose of the research project. A detailed script outlining the in-person data collection procedure is provided </w:t>
      </w:r>
      <w:r w:rsidR="00A8585C">
        <w:rPr>
          <w:rFonts w:ascii="Century Gothic" w:hAnsi="Century Gothic"/>
        </w:rPr>
        <w:t>as an attachment</w:t>
      </w:r>
      <w:r>
        <w:rPr>
          <w:rFonts w:ascii="Century Gothic" w:hAnsi="Century Gothic"/>
        </w:rPr>
        <w:t>. The team members will ask for the group member with the next upcoming birthday, a methodological approach used to randomly select a member of a group</w:t>
      </w:r>
      <w:r>
        <w:rPr>
          <w:rFonts w:ascii="Century Gothic" w:hAnsi="Century Gothic"/>
        </w:rPr>
        <w:fldChar w:fldCharType="begin"/>
      </w:r>
      <w:r>
        <w:rPr>
          <w:rFonts w:ascii="Century Gothic" w:hAnsi="Century Gothic"/>
        </w:rPr>
        <w:instrText xml:space="preserve"> ADDIN EN.CITE &lt;EndNote&gt;&lt;Cite&gt;&lt;Author&gt;Guo&lt;/Author&gt;&lt;Year&gt;2016&lt;/Year&gt;&lt;RecNum&gt;1892&lt;/RecNum&gt;&lt;DisplayText&gt;(Guo, Kopec, Cibere, Li, &amp;amp; Goldsmith, 2016)&lt;/DisplayText&gt;&lt;record&gt;&lt;rec-number&gt;1892&lt;/rec-number&gt;&lt;foreign-keys&gt;&lt;key app="EN" db-id="expss92tna2pdee0fr45zpaj9s5ddd9drve5" timestamp="1631639185"&gt;1892&lt;/key&gt;&lt;/foreign-keys&gt;&lt;ref-type name="Journal Article"&gt;17&lt;/ref-type&gt;&lt;contributors&gt;&lt;authors&gt;&lt;author&gt;Guo, Yimeng&lt;/author&gt;&lt;author&gt;Kopec, Jacek A&lt;/author&gt;&lt;author&gt;Cibere, Jolanda&lt;/author&gt;&lt;author&gt;Li, Linda C&lt;/author&gt;&lt;author&gt;Goldsmith, Charles H&lt;/author&gt;&lt;/authors&gt;&lt;/contributors&gt;&lt;titles&gt;&lt;title&gt;Population survey features and response rates: a randomized experiment&lt;/title&gt;&lt;secondary-title&gt;American Journal of Public Health&lt;/secondary-title&gt;&lt;/titles&gt;&lt;periodical&gt;&lt;full-title&gt;American Journal of Public Health&lt;/full-title&gt;&lt;/periodical&gt;&lt;pages&gt;1422-1426&lt;/pages&gt;&lt;volume&gt;106&lt;/volume&gt;&lt;number&gt;8&lt;/number&gt;&lt;dates&gt;&lt;year&gt;2016&lt;/year&gt;&lt;/dates&gt;&lt;isbn&gt;1541-0048&lt;/isbn&gt;&lt;urls&gt;&lt;/urls&gt;&lt;electronic-resource-num&gt;10.2105/AJPH.2016.303198&lt;/electronic-resource-num&gt;&lt;/record&gt;&lt;/Cite&gt;&lt;/EndNote&gt;</w:instrText>
      </w:r>
      <w:r>
        <w:rPr>
          <w:rFonts w:ascii="Century Gothic" w:hAnsi="Century Gothic"/>
        </w:rPr>
        <w:fldChar w:fldCharType="end"/>
      </w:r>
      <w:r>
        <w:rPr>
          <w:rFonts w:ascii="Century Gothic" w:hAnsi="Century Gothic"/>
        </w:rPr>
        <w:t>. This person will be asked if they are 18 or older, exiting the site, and willing to participate in the study. If the person is not willing or does not meet the inclusion criteria, the person in the group with the next birthday will be approached.</w:t>
      </w:r>
    </w:p>
    <w:p w:rsidR="004D6E14" w:rsidP="00A403BB" w:rsidRDefault="004D6E14" w14:paraId="7295539D" w14:textId="77777777">
      <w:pPr>
        <w:rPr>
          <w:b/>
        </w:rPr>
      </w:pPr>
    </w:p>
    <w:p w:rsidR="00A403BB" w:rsidP="00A403BB" w:rsidRDefault="00A403BB" w14:paraId="65B59822" w14:textId="77777777">
      <w:pPr>
        <w:rPr>
          <w:b/>
        </w:rPr>
      </w:pPr>
      <w:r>
        <w:rPr>
          <w:b/>
        </w:rPr>
        <w:t>Administration of the Instrument</w:t>
      </w:r>
    </w:p>
    <w:p w:rsidR="00A403BB" w:rsidP="00A403BB" w:rsidRDefault="001B0AAA" w14:paraId="029A31FD" w14:textId="77777777">
      <w:pPr>
        <w:pStyle w:val="ListParagraph"/>
        <w:numPr>
          <w:ilvl w:val="0"/>
          <w:numId w:val="17"/>
        </w:numPr>
      </w:pPr>
      <w:r>
        <w:t>H</w:t>
      </w:r>
      <w:r w:rsidR="00A403BB">
        <w:t>ow will you collect the information? (Check all that apply)</w:t>
      </w:r>
    </w:p>
    <w:p w:rsidR="001B0AAA" w:rsidP="001B0AAA" w:rsidRDefault="00A403BB" w14:paraId="707C5E05" w14:textId="7DB3B527">
      <w:pPr>
        <w:ind w:left="720"/>
      </w:pPr>
      <w:r>
        <w:t xml:space="preserve">[ </w:t>
      </w:r>
      <w:r w:rsidR="0027428C">
        <w:t xml:space="preserve">X </w:t>
      </w:r>
      <w:r>
        <w:t>] Web-based</w:t>
      </w:r>
      <w:r w:rsidR="001B0AAA">
        <w:t xml:space="preserve"> or other forms of Social Media </w:t>
      </w:r>
    </w:p>
    <w:p w:rsidR="001B0AAA" w:rsidP="001B0AAA" w:rsidRDefault="00A403BB" w14:paraId="6E2FDEFA" w14:textId="77777777">
      <w:pPr>
        <w:ind w:left="720"/>
      </w:pPr>
      <w:r>
        <w:t xml:space="preserve">[ </w:t>
      </w:r>
      <w:r w:rsidR="001B0AAA">
        <w:t xml:space="preserve"> </w:t>
      </w:r>
      <w:r>
        <w:t>] Telephone</w:t>
      </w:r>
      <w:r>
        <w:tab/>
      </w:r>
    </w:p>
    <w:p w:rsidR="001B0AAA" w:rsidP="001B0AAA" w:rsidRDefault="00A403BB" w14:paraId="3D8A02A6" w14:textId="7239A222">
      <w:pPr>
        <w:ind w:left="720"/>
      </w:pPr>
      <w:r>
        <w:t>[</w:t>
      </w:r>
      <w:r w:rsidR="001B0AAA">
        <w:t xml:space="preserve"> </w:t>
      </w:r>
      <w:r w:rsidR="0027428C">
        <w:t>X</w:t>
      </w:r>
      <w:r>
        <w:t xml:space="preserve"> ] In-person</w:t>
      </w:r>
      <w:r>
        <w:tab/>
      </w:r>
    </w:p>
    <w:p w:rsidR="001B0AAA" w:rsidP="001B0AAA" w:rsidRDefault="00A403BB" w14:paraId="72946E72" w14:textId="77777777">
      <w:pPr>
        <w:ind w:left="720"/>
      </w:pPr>
      <w:r>
        <w:t xml:space="preserve">[ </w:t>
      </w:r>
      <w:r w:rsidR="001B0AAA">
        <w:t xml:space="preserve"> </w:t>
      </w:r>
      <w:r>
        <w:t>] Mail</w:t>
      </w:r>
      <w:r w:rsidR="001B0AAA">
        <w:t xml:space="preserve"> </w:t>
      </w:r>
    </w:p>
    <w:p w:rsidR="001B0AAA" w:rsidP="001B0AAA" w:rsidRDefault="00A403BB" w14:paraId="435E0AF1" w14:textId="77777777">
      <w:pPr>
        <w:ind w:left="720"/>
      </w:pPr>
      <w:r>
        <w:t xml:space="preserve">[ </w:t>
      </w:r>
      <w:r w:rsidR="001B0AAA">
        <w:t xml:space="preserve"> </w:t>
      </w:r>
      <w:r>
        <w:t>] Other, Explain</w:t>
      </w:r>
    </w:p>
    <w:p w:rsidR="00F24CFC" w:rsidP="00F24CFC" w:rsidRDefault="00F24CFC" w14:paraId="09D69F63" w14:textId="46A66132">
      <w:pPr>
        <w:pStyle w:val="ListParagraph"/>
        <w:numPr>
          <w:ilvl w:val="0"/>
          <w:numId w:val="17"/>
        </w:numPr>
      </w:pPr>
      <w:r>
        <w:t>Will interviewers or facilitators be used?  [  ] Yes [</w:t>
      </w:r>
      <w:r w:rsidR="005826D4">
        <w:t>X</w:t>
      </w:r>
      <w:r>
        <w:t xml:space="preserve"> ] No</w:t>
      </w:r>
    </w:p>
    <w:p w:rsidR="00F24CFC" w:rsidP="00F24CFC" w:rsidRDefault="00F24CFC" w14:paraId="09AD58A8" w14:textId="77777777">
      <w:pPr>
        <w:pStyle w:val="ListParagraph"/>
        <w:ind w:left="360"/>
      </w:pPr>
      <w:r>
        <w:t xml:space="preserve"> </w:t>
      </w:r>
    </w:p>
    <w:p w:rsidRPr="00F24CFC" w:rsidR="0024521E" w:rsidP="0024521E" w:rsidRDefault="00F24CFC" w14:paraId="5A2EE7A4" w14:textId="77777777">
      <w:pPr>
        <w:rPr>
          <w:b/>
        </w:rPr>
      </w:pPr>
      <w:r w:rsidRPr="00F24CFC">
        <w:rPr>
          <w:b/>
        </w:rPr>
        <w:t xml:space="preserve">Please make sure that all </w:t>
      </w:r>
      <w:r w:rsidRPr="00211BF6">
        <w:rPr>
          <w:b/>
        </w:rPr>
        <w:t>instruments, instructions, and scripts</w:t>
      </w:r>
      <w:r w:rsidRPr="00F24CFC">
        <w:rPr>
          <w:b/>
        </w:rPr>
        <w:t xml:space="preserve"> are submitted with the request.</w:t>
      </w:r>
    </w:p>
    <w:p w:rsidR="00F24CFC" w:rsidP="00F24CFC" w:rsidRDefault="00F24CFC" w14:paraId="54796AC6"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510212DB" w14:textId="77777777">
      <w:pPr>
        <w:rPr>
          <w:b/>
        </w:rPr>
      </w:pPr>
    </w:p>
    <w:p w:rsidR="00F24CFC" w:rsidP="00F24CFC" w:rsidRDefault="00D96C53" w14:paraId="579A4F19" w14:textId="3C843508">
      <w:pPr>
        <w:rPr>
          <w:b/>
        </w:rPr>
      </w:pPr>
      <w:r>
        <w:rPr>
          <w:b/>
          <w:noProof/>
        </w:rPr>
        <mc:AlternateContent>
          <mc:Choice Requires="wps">
            <w:drawing>
              <wp:anchor distT="0" distB="0" distL="114300" distR="114300" simplePos="0" relativeHeight="251660288" behindDoc="0" locked="0" layoutInCell="0" allowOverlap="1" wp14:editId="038265B3" wp14:anchorId="1F449223">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C40B4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8F50D4" w:rsidR="00F24CFC" w:rsidP="00F24CFC" w:rsidRDefault="00F24CFC" w14:paraId="55D94F5E"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Pr="00BC039F" w:rsidR="00CB1078">
        <w:t>xxxx</w:t>
      </w:r>
      <w:proofErr w:type="spellEnd"/>
      <w:r w:rsidR="00CB1078">
        <w:t>)</w:t>
      </w:r>
    </w:p>
    <w:p w:rsidRPr="008F50D4" w:rsidR="00F24CFC" w:rsidP="00F24CFC" w:rsidRDefault="00F24CFC" w14:paraId="0CC6A876" w14:textId="77777777"/>
    <w:p w:rsidRPr="008F50D4" w:rsidR="00F24CFC" w:rsidP="00F24CFC" w:rsidRDefault="00F24CFC" w14:paraId="3C396C24"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01F6808A" w14:textId="77777777">
      <w:pPr>
        <w:pStyle w:val="Header"/>
        <w:tabs>
          <w:tab w:val="clear" w:pos="4320"/>
          <w:tab w:val="clear" w:pos="8640"/>
        </w:tabs>
        <w:rPr>
          <w:b/>
        </w:rPr>
      </w:pPr>
    </w:p>
    <w:p w:rsidRPr="008F50D4" w:rsidR="00F24CFC" w:rsidP="00F24CFC" w:rsidRDefault="00F24CFC" w14:paraId="68ADF157"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7410942F" w14:textId="77777777">
      <w:pPr>
        <w:rPr>
          <w:b/>
        </w:rPr>
      </w:pPr>
    </w:p>
    <w:p w:rsidRPr="008F50D4" w:rsidR="00F24CFC" w:rsidP="00F24CFC" w:rsidRDefault="00F24CFC" w14:paraId="3B11D067"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3574C6AD" w14:textId="77777777">
      <w:pPr>
        <w:pStyle w:val="BodyTextIndent"/>
        <w:tabs>
          <w:tab w:val="left" w:pos="360"/>
        </w:tabs>
        <w:ind w:left="0"/>
        <w:rPr>
          <w:bCs/>
          <w:sz w:val="24"/>
          <w:szCs w:val="24"/>
        </w:rPr>
      </w:pPr>
    </w:p>
    <w:p w:rsidRPr="008F50D4" w:rsidR="00F24CFC" w:rsidP="00F24CFC" w:rsidRDefault="00F24CFC" w14:paraId="5BF6AAB8"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210046D0" w14:textId="77777777">
      <w:pPr>
        <w:rPr>
          <w:sz w:val="16"/>
          <w:szCs w:val="16"/>
        </w:rPr>
      </w:pPr>
    </w:p>
    <w:p w:rsidR="00F24CFC" w:rsidP="00F24CFC" w:rsidRDefault="00F24CFC" w14:paraId="22A9579B" w14:textId="77777777">
      <w:r w:rsidRPr="00C86E91">
        <w:rPr>
          <w:b/>
        </w:rPr>
        <w:t>Personally Identifiable Information:</w:t>
      </w:r>
      <w:r w:rsidR="008F50D4">
        <w:rPr>
          <w:b/>
        </w:rPr>
        <w:t xml:space="preserve">  </w:t>
      </w:r>
      <w:r w:rsidR="008F50D4">
        <w:t xml:space="preserve">Provide answers to the questions.  </w:t>
      </w:r>
    </w:p>
    <w:p w:rsidRPr="008F50D4" w:rsidR="008F50D4" w:rsidP="00F24CFC" w:rsidRDefault="008F50D4" w14:paraId="55929812" w14:textId="77777777"/>
    <w:p w:rsidRPr="008F50D4" w:rsidR="00F24CFC" w:rsidP="008F50D4" w:rsidRDefault="00CB1078" w14:paraId="73E0BE4E"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0FF1B964" w14:textId="77777777">
      <w:pPr>
        <w:rPr>
          <w:b/>
        </w:rPr>
      </w:pPr>
    </w:p>
    <w:p w:rsidR="008F50D4" w:rsidP="00F24CFC" w:rsidRDefault="00F24CFC" w14:paraId="4761D8F7" w14:textId="77777777">
      <w:pPr>
        <w:rPr>
          <w:b/>
        </w:rPr>
      </w:pPr>
      <w:r>
        <w:rPr>
          <w:b/>
        </w:rPr>
        <w:t>BURDEN HOURS</w:t>
      </w:r>
      <w:r w:rsidR="008F50D4">
        <w:rPr>
          <w:b/>
        </w:rPr>
        <w:t>:</w:t>
      </w:r>
    </w:p>
    <w:p w:rsidR="008F50D4" w:rsidP="00F24CFC" w:rsidRDefault="008F50D4" w14:paraId="0FCD58F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rsidRDefault="008F50D4" w14:paraId="53D9EDE4"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6A882396" w14:textId="77777777">
      <w:r>
        <w:rPr>
          <w:b/>
        </w:rPr>
        <w:lastRenderedPageBreak/>
        <w:t xml:space="preserve">Participation Time:  </w:t>
      </w:r>
      <w:r>
        <w:t>Provide an estimate of the amount of time required for a respondent to participate (e.g. fill out a survey or participate in a focus group)</w:t>
      </w:r>
    </w:p>
    <w:p w:rsidRPr="008F50D4" w:rsidR="00F24CFC" w:rsidP="00F24CFC" w:rsidRDefault="008F50D4" w14:paraId="03CA1095"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79EAC47F" w14:textId="77777777">
      <w:pPr>
        <w:keepNext/>
        <w:keepLines/>
        <w:rPr>
          <w:b/>
        </w:rPr>
      </w:pPr>
    </w:p>
    <w:p w:rsidR="00F24CFC" w:rsidP="00F24CFC" w:rsidRDefault="00F24CFC" w14:paraId="3E8127F5"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7BE6CA87" w14:textId="77777777">
      <w:pPr>
        <w:rPr>
          <w:b/>
          <w:bCs/>
          <w:u w:val="single"/>
        </w:rPr>
      </w:pPr>
    </w:p>
    <w:p w:rsidR="00F24CFC" w:rsidP="00F24CFC" w:rsidRDefault="00F24CFC" w14:paraId="5FF485CB" w14:textId="77777777">
      <w:pPr>
        <w:rPr>
          <w:b/>
        </w:rPr>
      </w:pPr>
      <w:r>
        <w:rPr>
          <w:b/>
          <w:bCs/>
          <w:u w:val="single"/>
        </w:rPr>
        <w:t>If you are conducting a focus group, survey, or plan to employ statistical methods, please  provide answers to the following questions:</w:t>
      </w:r>
    </w:p>
    <w:p w:rsidR="00F24CFC" w:rsidP="00F24CFC" w:rsidRDefault="00F24CFC" w14:paraId="42BD9430" w14:textId="77777777">
      <w:pPr>
        <w:rPr>
          <w:b/>
        </w:rPr>
      </w:pPr>
    </w:p>
    <w:p w:rsidR="00F24CFC" w:rsidP="00F24CFC" w:rsidRDefault="00F24CFC" w14:paraId="7DEACE4D"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33F94A26" w14:textId="77777777">
      <w:pPr>
        <w:rPr>
          <w:b/>
        </w:rPr>
      </w:pPr>
    </w:p>
    <w:p w:rsidRPr="003F1C5B" w:rsidR="00F24CFC" w:rsidP="00F24CFC" w:rsidRDefault="00F24CFC" w14:paraId="7D9E561D"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3E5A8D39" w14:textId="77777777">
      <w:pPr>
        <w:pStyle w:val="ListParagraph"/>
        <w:ind w:left="360"/>
      </w:pPr>
    </w:p>
    <w:p w:rsidRPr="00F24CFC" w:rsidR="00F24CFC" w:rsidP="00F24CFC" w:rsidRDefault="00F24CFC" w14:paraId="32E892C2" w14:textId="77777777">
      <w:pPr>
        <w:rPr>
          <w:b/>
        </w:rPr>
      </w:pPr>
      <w:r w:rsidRPr="00F24CFC">
        <w:rPr>
          <w:b/>
        </w:rPr>
        <w:t>Please make sure that all instruments, instructions, and scripts are submitted with the request.</w:t>
      </w:r>
    </w:p>
    <w:p w:rsidR="005E714A" w:rsidP="00F24CFC" w:rsidRDefault="005E714A" w14:paraId="1F52E828" w14:textId="77777777">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822B5" w14:textId="77777777" w:rsidR="002C6336" w:rsidRDefault="002C6336">
      <w:r>
        <w:separator/>
      </w:r>
    </w:p>
  </w:endnote>
  <w:endnote w:type="continuationSeparator" w:id="0">
    <w:p w14:paraId="7AC81705" w14:textId="77777777" w:rsidR="002C6336" w:rsidRDefault="002C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D4C2" w14:textId="77777777"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D5BB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F648C" w14:textId="77777777" w:rsidR="002C6336" w:rsidRDefault="002C6336">
      <w:r>
        <w:separator/>
      </w:r>
    </w:p>
  </w:footnote>
  <w:footnote w:type="continuationSeparator" w:id="0">
    <w:p w14:paraId="29A6574A" w14:textId="77777777" w:rsidR="002C6336" w:rsidRDefault="002C6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1717" w14:textId="38DFB281"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865F6"/>
    <w:multiLevelType w:val="hybridMultilevel"/>
    <w:tmpl w:val="09D204FE"/>
    <w:lvl w:ilvl="0" w:tplc="1B32D6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F12D4"/>
    <w:multiLevelType w:val="hybridMultilevel"/>
    <w:tmpl w:val="FE627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F51BBC"/>
    <w:multiLevelType w:val="hybridMultilevel"/>
    <w:tmpl w:val="7DE41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7"/>
  </w:num>
  <w:num w:numId="15">
    <w:abstractNumId w:val="15"/>
  </w:num>
  <w:num w:numId="16">
    <w:abstractNumId w:val="13"/>
  </w:num>
  <w:num w:numId="17">
    <w:abstractNumId w:val="5"/>
  </w:num>
  <w:num w:numId="18">
    <w:abstractNumId w:val="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7BA2"/>
    <w:rsid w:val="00023A57"/>
    <w:rsid w:val="00047A64"/>
    <w:rsid w:val="00067329"/>
    <w:rsid w:val="000B2838"/>
    <w:rsid w:val="000D44CA"/>
    <w:rsid w:val="000E200B"/>
    <w:rsid w:val="000F68BE"/>
    <w:rsid w:val="001927A4"/>
    <w:rsid w:val="00194AC6"/>
    <w:rsid w:val="001A23B0"/>
    <w:rsid w:val="001A25CC"/>
    <w:rsid w:val="001B0AAA"/>
    <w:rsid w:val="001C39F7"/>
    <w:rsid w:val="00211BF6"/>
    <w:rsid w:val="0021516D"/>
    <w:rsid w:val="00237B48"/>
    <w:rsid w:val="0024521E"/>
    <w:rsid w:val="00263C3D"/>
    <w:rsid w:val="0027428C"/>
    <w:rsid w:val="00274D0B"/>
    <w:rsid w:val="002B3C95"/>
    <w:rsid w:val="002C6336"/>
    <w:rsid w:val="002D0B92"/>
    <w:rsid w:val="003044EF"/>
    <w:rsid w:val="00305362"/>
    <w:rsid w:val="0032321D"/>
    <w:rsid w:val="003D5BBE"/>
    <w:rsid w:val="003E3C61"/>
    <w:rsid w:val="003F1C5B"/>
    <w:rsid w:val="00434E33"/>
    <w:rsid w:val="00441434"/>
    <w:rsid w:val="00451E50"/>
    <w:rsid w:val="0045264C"/>
    <w:rsid w:val="00477624"/>
    <w:rsid w:val="004876EC"/>
    <w:rsid w:val="004D6E14"/>
    <w:rsid w:val="005009B0"/>
    <w:rsid w:val="005252BE"/>
    <w:rsid w:val="00535D4C"/>
    <w:rsid w:val="005826D4"/>
    <w:rsid w:val="005A1006"/>
    <w:rsid w:val="005B5E40"/>
    <w:rsid w:val="005D1355"/>
    <w:rsid w:val="005E714A"/>
    <w:rsid w:val="00601D44"/>
    <w:rsid w:val="006140A0"/>
    <w:rsid w:val="00636621"/>
    <w:rsid w:val="00642B49"/>
    <w:rsid w:val="0066030B"/>
    <w:rsid w:val="006832D9"/>
    <w:rsid w:val="0069403B"/>
    <w:rsid w:val="006F3DDE"/>
    <w:rsid w:val="00704678"/>
    <w:rsid w:val="007425E7"/>
    <w:rsid w:val="00770CBA"/>
    <w:rsid w:val="007B7F36"/>
    <w:rsid w:val="007C1F2E"/>
    <w:rsid w:val="00802607"/>
    <w:rsid w:val="008101A5"/>
    <w:rsid w:val="00815FB8"/>
    <w:rsid w:val="00822664"/>
    <w:rsid w:val="00830691"/>
    <w:rsid w:val="00843796"/>
    <w:rsid w:val="00857499"/>
    <w:rsid w:val="00895229"/>
    <w:rsid w:val="008A5960"/>
    <w:rsid w:val="008A6D68"/>
    <w:rsid w:val="008C48B0"/>
    <w:rsid w:val="008F0203"/>
    <w:rsid w:val="008F50D4"/>
    <w:rsid w:val="00914208"/>
    <w:rsid w:val="009239AA"/>
    <w:rsid w:val="00935ADA"/>
    <w:rsid w:val="00946B6C"/>
    <w:rsid w:val="00955A71"/>
    <w:rsid w:val="0096108F"/>
    <w:rsid w:val="009C13B9"/>
    <w:rsid w:val="009D01A2"/>
    <w:rsid w:val="009F5923"/>
    <w:rsid w:val="00A24E6F"/>
    <w:rsid w:val="00A403BB"/>
    <w:rsid w:val="00A4756B"/>
    <w:rsid w:val="00A61FA6"/>
    <w:rsid w:val="00A674DF"/>
    <w:rsid w:val="00A83AA6"/>
    <w:rsid w:val="00A8585C"/>
    <w:rsid w:val="00AE1809"/>
    <w:rsid w:val="00B12389"/>
    <w:rsid w:val="00B34B3E"/>
    <w:rsid w:val="00B62AE3"/>
    <w:rsid w:val="00B80D76"/>
    <w:rsid w:val="00BA2105"/>
    <w:rsid w:val="00BA7E06"/>
    <w:rsid w:val="00BB2D31"/>
    <w:rsid w:val="00BB43B5"/>
    <w:rsid w:val="00BB6219"/>
    <w:rsid w:val="00BC039F"/>
    <w:rsid w:val="00BD290F"/>
    <w:rsid w:val="00C14CC4"/>
    <w:rsid w:val="00C33C52"/>
    <w:rsid w:val="00C40D8B"/>
    <w:rsid w:val="00C65D78"/>
    <w:rsid w:val="00C70DA2"/>
    <w:rsid w:val="00C72EF4"/>
    <w:rsid w:val="00C8407A"/>
    <w:rsid w:val="00C8488C"/>
    <w:rsid w:val="00C86E91"/>
    <w:rsid w:val="00CA2650"/>
    <w:rsid w:val="00CB1078"/>
    <w:rsid w:val="00CC3A34"/>
    <w:rsid w:val="00CC6FAF"/>
    <w:rsid w:val="00D24698"/>
    <w:rsid w:val="00D6383F"/>
    <w:rsid w:val="00D96C53"/>
    <w:rsid w:val="00DA7B0E"/>
    <w:rsid w:val="00DB59D0"/>
    <w:rsid w:val="00DC1FDF"/>
    <w:rsid w:val="00DC33D3"/>
    <w:rsid w:val="00E26329"/>
    <w:rsid w:val="00E40B50"/>
    <w:rsid w:val="00E50293"/>
    <w:rsid w:val="00E65FFC"/>
    <w:rsid w:val="00E7598D"/>
    <w:rsid w:val="00E80951"/>
    <w:rsid w:val="00E86CC6"/>
    <w:rsid w:val="00EB56B3"/>
    <w:rsid w:val="00ED6492"/>
    <w:rsid w:val="00EF2095"/>
    <w:rsid w:val="00F06866"/>
    <w:rsid w:val="00F15956"/>
    <w:rsid w:val="00F24CFC"/>
    <w:rsid w:val="00F3170F"/>
    <w:rsid w:val="00F976B0"/>
    <w:rsid w:val="00FA6DE7"/>
    <w:rsid w:val="00FC0A8E"/>
    <w:rsid w:val="00FC3E21"/>
    <w:rsid w:val="00FD34E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DB637"/>
  <w15:docId w15:val="{206B164E-1B9F-48CA-9A29-434F1547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ing2Char">
    <w:name w:val="Heading 2 Char"/>
    <w:basedOn w:val="DefaultParagraphFont"/>
    <w:link w:val="Heading2"/>
    <w:rsid w:val="00815FB8"/>
    <w:rPr>
      <w:b/>
      <w:bCs/>
      <w:sz w:val="24"/>
      <w:szCs w:val="24"/>
    </w:rPr>
  </w:style>
  <w:style w:type="paragraph" w:customStyle="1" w:styleId="NormalLPTable">
    <w:name w:val="Normal LP Table"/>
    <w:autoRedefine/>
    <w:qFormat/>
    <w:rsid w:val="00E7598D"/>
    <w:rPr>
      <w:rFonts w:ascii="Century Gothic" w:hAnsi="Century Gothic" w:cs="Arial"/>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36500">
      <w:bodyDiv w:val="1"/>
      <w:marLeft w:val="0"/>
      <w:marRight w:val="0"/>
      <w:marTop w:val="0"/>
      <w:marBottom w:val="0"/>
      <w:divBdr>
        <w:top w:val="none" w:sz="0" w:space="0" w:color="auto"/>
        <w:left w:val="none" w:sz="0" w:space="0" w:color="auto"/>
        <w:bottom w:val="none" w:sz="0" w:space="0" w:color="auto"/>
        <w:right w:val="none" w:sz="0" w:space="0" w:color="auto"/>
      </w:divBdr>
    </w:div>
    <w:div w:id="610547718">
      <w:bodyDiv w:val="1"/>
      <w:marLeft w:val="0"/>
      <w:marRight w:val="0"/>
      <w:marTop w:val="0"/>
      <w:marBottom w:val="0"/>
      <w:divBdr>
        <w:top w:val="none" w:sz="0" w:space="0" w:color="auto"/>
        <w:left w:val="none" w:sz="0" w:space="0" w:color="auto"/>
        <w:bottom w:val="none" w:sz="0" w:space="0" w:color="auto"/>
        <w:right w:val="none" w:sz="0" w:space="0" w:color="auto"/>
      </w:divBdr>
    </w:div>
    <w:div w:id="615405690">
      <w:bodyDiv w:val="1"/>
      <w:marLeft w:val="0"/>
      <w:marRight w:val="0"/>
      <w:marTop w:val="0"/>
      <w:marBottom w:val="0"/>
      <w:divBdr>
        <w:top w:val="none" w:sz="0" w:space="0" w:color="auto"/>
        <w:left w:val="none" w:sz="0" w:space="0" w:color="auto"/>
        <w:bottom w:val="none" w:sz="0" w:space="0" w:color="auto"/>
        <w:right w:val="none" w:sz="0" w:space="0" w:color="auto"/>
      </w:divBdr>
    </w:div>
    <w:div w:id="716663794">
      <w:bodyDiv w:val="1"/>
      <w:marLeft w:val="0"/>
      <w:marRight w:val="0"/>
      <w:marTop w:val="0"/>
      <w:marBottom w:val="0"/>
      <w:divBdr>
        <w:top w:val="none" w:sz="0" w:space="0" w:color="auto"/>
        <w:left w:val="none" w:sz="0" w:space="0" w:color="auto"/>
        <w:bottom w:val="none" w:sz="0" w:space="0" w:color="auto"/>
        <w:right w:val="none" w:sz="0" w:space="0" w:color="auto"/>
      </w:divBdr>
    </w:div>
    <w:div w:id="1404256334">
      <w:bodyDiv w:val="1"/>
      <w:marLeft w:val="0"/>
      <w:marRight w:val="0"/>
      <w:marTop w:val="0"/>
      <w:marBottom w:val="0"/>
      <w:divBdr>
        <w:top w:val="none" w:sz="0" w:space="0" w:color="auto"/>
        <w:left w:val="none" w:sz="0" w:space="0" w:color="auto"/>
        <w:bottom w:val="none" w:sz="0" w:space="0" w:color="auto"/>
        <w:right w:val="none" w:sz="0" w:space="0" w:color="auto"/>
      </w:divBdr>
    </w:div>
    <w:div w:id="1535924799">
      <w:bodyDiv w:val="1"/>
      <w:marLeft w:val="0"/>
      <w:marRight w:val="0"/>
      <w:marTop w:val="0"/>
      <w:marBottom w:val="0"/>
      <w:divBdr>
        <w:top w:val="none" w:sz="0" w:space="0" w:color="auto"/>
        <w:left w:val="none" w:sz="0" w:space="0" w:color="auto"/>
        <w:bottom w:val="none" w:sz="0" w:space="0" w:color="auto"/>
        <w:right w:val="none" w:sz="0" w:space="0" w:color="auto"/>
      </w:divBdr>
    </w:div>
    <w:div w:id="1631865526">
      <w:bodyDiv w:val="1"/>
      <w:marLeft w:val="0"/>
      <w:marRight w:val="0"/>
      <w:marTop w:val="0"/>
      <w:marBottom w:val="0"/>
      <w:divBdr>
        <w:top w:val="none" w:sz="0" w:space="0" w:color="auto"/>
        <w:left w:val="none" w:sz="0" w:space="0" w:color="auto"/>
        <w:bottom w:val="none" w:sz="0" w:space="0" w:color="auto"/>
        <w:right w:val="none" w:sz="0" w:space="0" w:color="auto"/>
      </w:divBdr>
    </w:div>
    <w:div w:id="187546075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Karen Wurzburger</cp:lastModifiedBy>
  <cp:revision>3</cp:revision>
  <cp:lastPrinted>2010-10-04T16:59:00Z</cp:lastPrinted>
  <dcterms:created xsi:type="dcterms:W3CDTF">2022-03-23T16:26:00Z</dcterms:created>
  <dcterms:modified xsi:type="dcterms:W3CDTF">2022-03-23T16:27:00Z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