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3735" w:rsidR="00532F98" w:rsidP="00532F98" w:rsidRDefault="00E41595" w14:paraId="31736ADB" w14:textId="3578A099">
      <w:pPr>
        <w:pStyle w:val="Heading"/>
        <w:spacing w:before="480"/>
        <w:rPr>
          <w:rFonts w:ascii="Times New Roman" w:hAnsi="Times New Roman"/>
          <w:sz w:val="24"/>
        </w:rPr>
      </w:pPr>
      <w:r w:rsidRPr="0079649A">
        <w:rPr>
          <w:rFonts w:cs="Arial"/>
          <w:b/>
          <w:szCs w:val="20"/>
        </w:rPr>
        <w:t>To:</w:t>
      </w:r>
      <w:r w:rsidRPr="00400225">
        <w:rPr>
          <w:rFonts w:ascii="Times New Roman" w:hAnsi="Times New Roman"/>
          <w:b/>
          <w:sz w:val="24"/>
        </w:rPr>
        <w:tab/>
      </w:r>
      <w:r w:rsidRPr="008B3735" w:rsidR="00DE54CE">
        <w:rPr>
          <w:rFonts w:ascii="Times New Roman" w:hAnsi="Times New Roman"/>
          <w:bCs/>
          <w:sz w:val="24"/>
        </w:rPr>
        <w:t>Anthony Nerino</w:t>
      </w:r>
      <w:r w:rsidRPr="008B3735" w:rsidR="00532F98">
        <w:rPr>
          <w:rFonts w:ascii="Times New Roman" w:hAnsi="Times New Roman"/>
          <w:bCs/>
          <w:sz w:val="24"/>
        </w:rPr>
        <w:t>,</w:t>
      </w:r>
      <w:r w:rsidRPr="008B3735" w:rsidR="00532F98">
        <w:rPr>
          <w:rFonts w:ascii="Times New Roman" w:hAnsi="Times New Roman"/>
          <w:sz w:val="24"/>
        </w:rPr>
        <w:t xml:space="preserve"> Desk Officer, Office of Management and Budget</w:t>
      </w:r>
    </w:p>
    <w:p w:rsidRPr="008B3735" w:rsidR="00E41595" w:rsidP="00532F98" w:rsidRDefault="00E41595" w14:paraId="6430673F" w14:textId="7B985B2C">
      <w:pPr>
        <w:pStyle w:val="Heading"/>
        <w:spacing w:before="480"/>
        <w:rPr>
          <w:rFonts w:ascii="Times New Roman" w:hAnsi="Times New Roman"/>
          <w:sz w:val="24"/>
        </w:rPr>
      </w:pPr>
      <w:r w:rsidRPr="00E10871">
        <w:rPr>
          <w:rFonts w:cs="Arial"/>
          <w:b/>
          <w:szCs w:val="20"/>
        </w:rPr>
        <w:t>From</w:t>
      </w:r>
      <w:r w:rsidRPr="000F77D9">
        <w:rPr>
          <w:rFonts w:ascii="Times New Roman" w:hAnsi="Times New Roman"/>
          <w:b/>
          <w:sz w:val="24"/>
        </w:rPr>
        <w:t>:</w:t>
      </w:r>
      <w:r w:rsidRPr="008B3735">
        <w:rPr>
          <w:rFonts w:ascii="Times New Roman" w:hAnsi="Times New Roman"/>
          <w:b/>
          <w:sz w:val="24"/>
        </w:rPr>
        <w:tab/>
      </w:r>
      <w:r w:rsidRPr="008B3735" w:rsidR="00532F98">
        <w:rPr>
          <w:rFonts w:ascii="Times New Roman" w:hAnsi="Times New Roman"/>
          <w:sz w:val="24"/>
        </w:rPr>
        <w:t>Linda Kantor, U.S. Department of Agriculture, Economic Research Service</w:t>
      </w:r>
    </w:p>
    <w:p w:rsidRPr="008B3735" w:rsidR="00532F98" w:rsidP="00532F98" w:rsidRDefault="00532F98" w14:paraId="1EEEAEE8" w14:textId="3F4AB8AE">
      <w:pPr>
        <w:pStyle w:val="Heading"/>
        <w:spacing w:before="480"/>
        <w:rPr>
          <w:rFonts w:ascii="Times New Roman" w:hAnsi="Times New Roman"/>
          <w:b/>
          <w:sz w:val="24"/>
        </w:rPr>
      </w:pPr>
      <w:r w:rsidRPr="00E10871">
        <w:rPr>
          <w:rFonts w:cs="Arial"/>
          <w:b/>
          <w:szCs w:val="20"/>
        </w:rPr>
        <w:t>Via</w:t>
      </w:r>
      <w:r w:rsidRPr="008B3735">
        <w:rPr>
          <w:rFonts w:ascii="Times New Roman" w:hAnsi="Times New Roman"/>
          <w:b/>
          <w:sz w:val="24"/>
        </w:rPr>
        <w:t xml:space="preserve">: </w:t>
      </w:r>
      <w:r w:rsidRPr="008B3735">
        <w:rPr>
          <w:rFonts w:ascii="Times New Roman" w:hAnsi="Times New Roman"/>
          <w:b/>
          <w:sz w:val="24"/>
        </w:rPr>
        <w:tab/>
      </w:r>
      <w:r w:rsidRPr="003B6705" w:rsidR="003B6705">
        <w:rPr>
          <w:rFonts w:ascii="Times New Roman" w:hAnsi="Times New Roman"/>
          <w:bCs/>
          <w:sz w:val="24"/>
        </w:rPr>
        <w:t>Trina Weilert</w:t>
      </w:r>
      <w:r w:rsidRPr="008B3735">
        <w:rPr>
          <w:rFonts w:ascii="Times New Roman" w:hAnsi="Times New Roman"/>
          <w:sz w:val="24"/>
        </w:rPr>
        <w:t>, Clearance Officer, U.S. Department of Agriculture, Economic Research Service</w:t>
      </w:r>
    </w:p>
    <w:p w:rsidRPr="009D7080" w:rsidR="00E41595" w:rsidP="00E41595" w:rsidRDefault="00E41595" w14:paraId="2FF5BD4B" w14:textId="09E80527">
      <w:pPr>
        <w:pStyle w:val="Heading"/>
        <w:rPr>
          <w:rFonts w:ascii="Times New Roman" w:hAnsi="Times New Roman"/>
          <w:bCs/>
          <w:sz w:val="24"/>
        </w:rPr>
      </w:pPr>
      <w:r w:rsidRPr="00E10871">
        <w:rPr>
          <w:rFonts w:cs="Arial"/>
          <w:b/>
          <w:szCs w:val="20"/>
        </w:rPr>
        <w:t>Date</w:t>
      </w:r>
      <w:r w:rsidRPr="008B3735">
        <w:rPr>
          <w:rFonts w:ascii="Times New Roman" w:hAnsi="Times New Roman"/>
          <w:b/>
          <w:sz w:val="24"/>
        </w:rPr>
        <w:t>:</w:t>
      </w:r>
      <w:r w:rsidRPr="008B3735">
        <w:rPr>
          <w:rFonts w:ascii="Times New Roman" w:hAnsi="Times New Roman"/>
          <w:b/>
          <w:sz w:val="24"/>
        </w:rPr>
        <w:tab/>
      </w:r>
      <w:r w:rsidRPr="009D7080" w:rsidR="009D7080">
        <w:rPr>
          <w:rFonts w:ascii="Times New Roman" w:hAnsi="Times New Roman"/>
          <w:bCs/>
          <w:sz w:val="24"/>
        </w:rPr>
        <w:t>May 26, 2022</w:t>
      </w:r>
      <w:r w:rsidRPr="009D7080" w:rsidR="007735FD">
        <w:rPr>
          <w:rFonts w:ascii="Times New Roman" w:hAnsi="Times New Roman"/>
          <w:bCs/>
          <w:sz w:val="24"/>
        </w:rPr>
        <w:t xml:space="preserve"> </w:t>
      </w:r>
    </w:p>
    <w:p w:rsidRPr="008B3735" w:rsidR="00E41595" w:rsidP="00E41595" w:rsidRDefault="00E41595" w14:paraId="016BC52F" w14:textId="14161E42">
      <w:pPr>
        <w:pStyle w:val="Heading"/>
        <w:rPr>
          <w:rFonts w:ascii="Times New Roman" w:hAnsi="Times New Roman"/>
          <w:b/>
          <w:bCs/>
          <w:sz w:val="24"/>
        </w:rPr>
      </w:pPr>
      <w:r w:rsidRPr="00E10871">
        <w:rPr>
          <w:rFonts w:cs="Arial"/>
          <w:b/>
          <w:szCs w:val="20"/>
        </w:rPr>
        <w:t>Subject</w:t>
      </w:r>
      <w:r w:rsidRPr="008B3735">
        <w:rPr>
          <w:rFonts w:ascii="Times New Roman" w:hAnsi="Times New Roman"/>
          <w:b/>
          <w:sz w:val="24"/>
        </w:rPr>
        <w:t>:</w:t>
      </w:r>
      <w:r w:rsidRPr="008B3735">
        <w:rPr>
          <w:rFonts w:ascii="Times New Roman" w:hAnsi="Times New Roman"/>
          <w:b/>
          <w:sz w:val="24"/>
        </w:rPr>
        <w:tab/>
      </w:r>
      <w:r w:rsidRPr="008B3735" w:rsidR="00532F98">
        <w:rPr>
          <w:rFonts w:ascii="Times New Roman" w:hAnsi="Times New Roman"/>
          <w:sz w:val="24"/>
        </w:rPr>
        <w:t xml:space="preserve">Request to </w:t>
      </w:r>
      <w:r w:rsidRPr="008B3735" w:rsidR="0082341C">
        <w:rPr>
          <w:rFonts w:ascii="Times New Roman" w:hAnsi="Times New Roman"/>
          <w:sz w:val="24"/>
        </w:rPr>
        <w:t xml:space="preserve">Conduct </w:t>
      </w:r>
      <w:r w:rsidR="00F97AA8">
        <w:rPr>
          <w:rFonts w:ascii="Times New Roman" w:hAnsi="Times New Roman"/>
          <w:sz w:val="24"/>
        </w:rPr>
        <w:t xml:space="preserve">Exploratory </w:t>
      </w:r>
      <w:r w:rsidRPr="008B3735" w:rsidR="0082341C">
        <w:rPr>
          <w:rFonts w:ascii="Times New Roman" w:hAnsi="Times New Roman"/>
          <w:sz w:val="24"/>
        </w:rPr>
        <w:t>Semi</w:t>
      </w:r>
      <w:r w:rsidRPr="008B3735" w:rsidR="00532F98">
        <w:rPr>
          <w:rFonts w:ascii="Times New Roman" w:hAnsi="Times New Roman"/>
          <w:sz w:val="24"/>
        </w:rPr>
        <w:t>-</w:t>
      </w:r>
      <w:r w:rsidR="00C4544F">
        <w:rPr>
          <w:rFonts w:ascii="Times New Roman" w:hAnsi="Times New Roman"/>
          <w:sz w:val="24"/>
        </w:rPr>
        <w:t>S</w:t>
      </w:r>
      <w:r w:rsidRPr="008B3735" w:rsidR="00532F98">
        <w:rPr>
          <w:rFonts w:ascii="Times New Roman" w:hAnsi="Times New Roman"/>
          <w:sz w:val="24"/>
        </w:rPr>
        <w:t xml:space="preserve">tructured </w:t>
      </w:r>
      <w:r w:rsidRPr="008B3735" w:rsidR="0082341C">
        <w:rPr>
          <w:rFonts w:ascii="Times New Roman" w:hAnsi="Times New Roman"/>
          <w:sz w:val="24"/>
        </w:rPr>
        <w:t xml:space="preserve">Interviews </w:t>
      </w:r>
      <w:r w:rsidR="00F97AA8">
        <w:rPr>
          <w:rFonts w:ascii="Times New Roman" w:hAnsi="Times New Roman"/>
          <w:sz w:val="24"/>
        </w:rPr>
        <w:t xml:space="preserve">on Retail Food Loss </w:t>
      </w:r>
      <w:r w:rsidRPr="008B3735" w:rsidR="00532F98">
        <w:rPr>
          <w:rFonts w:ascii="Times New Roman" w:hAnsi="Times New Roman"/>
          <w:sz w:val="24"/>
        </w:rPr>
        <w:t xml:space="preserve">under </w:t>
      </w:r>
      <w:r w:rsidRPr="008B3735" w:rsidR="0082341C">
        <w:rPr>
          <w:rFonts w:ascii="Times New Roman" w:hAnsi="Times New Roman"/>
          <w:sz w:val="24"/>
        </w:rPr>
        <w:t xml:space="preserve">Generic Clearance </w:t>
      </w:r>
      <w:r w:rsidRPr="008B3735" w:rsidR="00532F98">
        <w:rPr>
          <w:rFonts w:ascii="Times New Roman" w:hAnsi="Times New Roman"/>
          <w:sz w:val="24"/>
        </w:rPr>
        <w:t xml:space="preserve">for </w:t>
      </w:r>
      <w:r w:rsidRPr="008B3735" w:rsidR="0082341C">
        <w:rPr>
          <w:rFonts w:ascii="Times New Roman" w:hAnsi="Times New Roman"/>
          <w:sz w:val="24"/>
        </w:rPr>
        <w:t xml:space="preserve">Survey Research Studies </w:t>
      </w:r>
      <w:r w:rsidRPr="008B3735" w:rsidR="00532F98">
        <w:rPr>
          <w:rFonts w:ascii="Times New Roman" w:hAnsi="Times New Roman"/>
          <w:sz w:val="24"/>
        </w:rPr>
        <w:t>(</w:t>
      </w:r>
      <w:bookmarkStart w:name="_Hlk97555391" w:id="0"/>
      <w:r w:rsidRPr="008B3735" w:rsidR="00532F98">
        <w:rPr>
          <w:rFonts w:ascii="Times New Roman" w:hAnsi="Times New Roman"/>
          <w:sz w:val="24"/>
        </w:rPr>
        <w:t>OMB Control #0536-0073</w:t>
      </w:r>
      <w:bookmarkEnd w:id="0"/>
      <w:r w:rsidRPr="008B3735" w:rsidR="00532F98">
        <w:rPr>
          <w:rFonts w:ascii="Times New Roman" w:hAnsi="Times New Roman"/>
          <w:sz w:val="24"/>
        </w:rPr>
        <w:t>)</w:t>
      </w:r>
    </w:p>
    <w:p w:rsidRPr="0084233D" w:rsidR="00532F98" w:rsidP="0084233D" w:rsidRDefault="00532F98" w14:paraId="09A6E1C5" w14:textId="6BFB98D2">
      <w:pPr>
        <w:pStyle w:val="BodyText"/>
      </w:pPr>
      <w:bookmarkStart w:name="_Hlk536538183" w:id="1"/>
      <w:r w:rsidRPr="0084233D">
        <w:t xml:space="preserve">The purpose of this memorandum is to obtain Office of Management and Budget (OMB) clearance for </w:t>
      </w:r>
      <w:r w:rsidRPr="0084233D" w:rsidR="008452FE">
        <w:t xml:space="preserve">the first of two waves of </w:t>
      </w:r>
      <w:r w:rsidRPr="0084233D">
        <w:t>semi-structured</w:t>
      </w:r>
      <w:r w:rsidRPr="0084233D" w:rsidR="008452FE">
        <w:t>, exploratory</w:t>
      </w:r>
      <w:r w:rsidRPr="0084233D">
        <w:t xml:space="preserve"> interviews with </w:t>
      </w:r>
      <w:r w:rsidRPr="0084233D" w:rsidR="00095D12">
        <w:t xml:space="preserve">food retailers </w:t>
      </w:r>
      <w:r w:rsidRPr="0084233D">
        <w:t xml:space="preserve">to inform the design </w:t>
      </w:r>
      <w:r w:rsidRPr="0084233D" w:rsidR="00FB0972">
        <w:t xml:space="preserve">of </w:t>
      </w:r>
      <w:r w:rsidRPr="0084233D">
        <w:t>a national</w:t>
      </w:r>
      <w:r w:rsidRPr="0084233D" w:rsidR="00616123">
        <w:t>ly</w:t>
      </w:r>
      <w:r w:rsidRPr="0084233D" w:rsidR="004A0AD3">
        <w:t xml:space="preserve"> </w:t>
      </w:r>
      <w:r w:rsidRPr="0084233D" w:rsidR="00616123">
        <w:t>representative</w:t>
      </w:r>
      <w:r w:rsidRPr="0084233D">
        <w:t xml:space="preserve"> study on retail-level food loss. </w:t>
      </w:r>
      <w:r w:rsidRPr="0084233D" w:rsidR="00EE3AF7">
        <w:t>The memorandum begins by providing information on the background and purpose for the proposed data collection</w:t>
      </w:r>
      <w:r w:rsidRPr="0084233D" w:rsidR="009470A7">
        <w:t xml:space="preserve">, including details on prior communications with OMB, the U.S. Census Bureau, and other organizations regarding the study. Next, we provide a </w:t>
      </w:r>
      <w:r w:rsidRPr="0084233D" w:rsidR="00EE3AF7">
        <w:t>description of the research plan for the semi-structured interviews.</w:t>
      </w:r>
      <w:r w:rsidRPr="0084233D" w:rsidR="009470A7">
        <w:t xml:space="preserve"> The memorandum concludes with the </w:t>
      </w:r>
      <w:r w:rsidR="00F52620">
        <w:t>burden estimate.</w:t>
      </w:r>
    </w:p>
    <w:p w:rsidRPr="00E10871" w:rsidR="00532F98" w:rsidP="00E10871" w:rsidRDefault="00532F98" w14:paraId="622FF18B" w14:textId="77777777">
      <w:pPr>
        <w:pStyle w:val="Heading1"/>
      </w:pPr>
      <w:r w:rsidRPr="00E10871">
        <w:t>Background and Purpose</w:t>
      </w:r>
    </w:p>
    <w:p w:rsidRPr="000F77D9" w:rsidR="00DE5F14" w:rsidP="0084233D" w:rsidRDefault="00DE5F14" w14:paraId="3013F945" w14:textId="1D0C77D5">
      <w:pPr>
        <w:pStyle w:val="BodyText"/>
      </w:pPr>
      <w:r w:rsidRPr="000F77D9">
        <w:rPr>
          <w:rFonts w:eastAsiaTheme="minorEastAsia"/>
          <w:color w:val="000000"/>
          <w:lang w:val="en-GB"/>
        </w:rPr>
        <w:t xml:space="preserve">Food loss is </w:t>
      </w:r>
      <w:r w:rsidRPr="000F77D9">
        <w:rPr>
          <w:rFonts w:eastAsiaTheme="minorEastAsia"/>
        </w:rPr>
        <w:t>an issue of national and global importance with implications for nutrition security, environmental sustainability</w:t>
      </w:r>
      <w:r w:rsidRPr="000F77D9" w:rsidR="004A0AD3">
        <w:rPr>
          <w:rFonts w:eastAsiaTheme="minorEastAsia"/>
        </w:rPr>
        <w:t>,</w:t>
      </w:r>
      <w:r w:rsidRPr="000F77D9">
        <w:rPr>
          <w:rFonts w:eastAsiaTheme="minorEastAsia"/>
        </w:rPr>
        <w:t xml:space="preserve"> and economic growth. In 2015, t</w:t>
      </w:r>
      <w:r w:rsidRPr="000F77D9">
        <w:rPr>
          <w:rFonts w:eastAsiaTheme="minorEastAsia"/>
          <w:color w:val="000000"/>
          <w:lang w:val="en-GB"/>
        </w:rPr>
        <w:t>he U.S. Department of Agriculture (</w:t>
      </w:r>
      <w:r w:rsidRPr="000F77D9">
        <w:rPr>
          <w:rFonts w:eastAsiaTheme="minorEastAsia"/>
          <w:lang w:val="en-GB"/>
        </w:rPr>
        <w:t xml:space="preserve">USDA) and the U.S. Environmental Protection Agency (EPA) jointly announced a goal to reduce </w:t>
      </w:r>
      <w:r w:rsidRPr="000F77D9">
        <w:rPr>
          <w:rFonts w:eastAsiaTheme="minorEastAsia"/>
          <w:color w:val="000000"/>
          <w:shd w:val="clear" w:color="auto" w:fill="FFFFFF"/>
        </w:rPr>
        <w:t>U.S. national food loss and waste by 50</w:t>
      </w:r>
      <w:r w:rsidRPr="000F77D9" w:rsidR="00F6582F">
        <w:rPr>
          <w:rFonts w:eastAsiaTheme="minorEastAsia"/>
          <w:color w:val="000000"/>
          <w:shd w:val="clear" w:color="auto" w:fill="FFFFFF"/>
        </w:rPr>
        <w:t>%</w:t>
      </w:r>
      <w:r w:rsidRPr="000F77D9">
        <w:rPr>
          <w:rFonts w:eastAsiaTheme="minorEastAsia"/>
          <w:color w:val="000000"/>
          <w:shd w:val="clear" w:color="auto" w:fill="FFFFFF"/>
        </w:rPr>
        <w:t xml:space="preserve"> by 2030 from a 2010 baseline.</w:t>
      </w:r>
      <w:r w:rsidRPr="000F77D9" w:rsidR="00FB0972">
        <w:rPr>
          <w:rFonts w:eastAsiaTheme="minorEastAsia"/>
          <w:color w:val="000000"/>
          <w:shd w:val="clear" w:color="auto" w:fill="FFFFFF"/>
        </w:rPr>
        <w:t xml:space="preserve"> USDA needs </w:t>
      </w:r>
      <w:r w:rsidRPr="000F77D9" w:rsidR="00CC255B">
        <w:rPr>
          <w:rFonts w:eastAsiaTheme="minorEastAsia"/>
          <w:color w:val="000000"/>
          <w:shd w:val="clear" w:color="auto" w:fill="FFFFFF"/>
        </w:rPr>
        <w:t>rigorously derived</w:t>
      </w:r>
      <w:r w:rsidRPr="000F77D9" w:rsidR="00FB0972">
        <w:rPr>
          <w:rFonts w:eastAsiaTheme="minorEastAsia"/>
          <w:color w:val="000000"/>
          <w:shd w:val="clear" w:color="auto" w:fill="FFFFFF"/>
        </w:rPr>
        <w:t>, nationally</w:t>
      </w:r>
      <w:r w:rsidRPr="000F77D9" w:rsidR="00F6582F">
        <w:rPr>
          <w:rFonts w:eastAsiaTheme="minorEastAsia"/>
          <w:color w:val="000000"/>
          <w:shd w:val="clear" w:color="auto" w:fill="FFFFFF"/>
        </w:rPr>
        <w:t xml:space="preserve"> </w:t>
      </w:r>
      <w:r w:rsidRPr="000F77D9" w:rsidR="00FB0972">
        <w:rPr>
          <w:rFonts w:eastAsiaTheme="minorEastAsia"/>
          <w:color w:val="000000"/>
          <w:shd w:val="clear" w:color="auto" w:fill="FFFFFF"/>
        </w:rPr>
        <w:t xml:space="preserve">representative </w:t>
      </w:r>
      <w:r w:rsidRPr="000F77D9">
        <w:rPr>
          <w:rFonts w:eastAsiaTheme="minorEastAsia"/>
          <w:color w:val="000000"/>
          <w:lang w:val="en-GB"/>
        </w:rPr>
        <w:t>estimates of food loss and waste over time to document progress toward the 2030 goal.</w:t>
      </w:r>
      <w:r w:rsidRPr="000F77D9">
        <w:rPr>
          <w:rFonts w:eastAsiaTheme="minorEastAsia"/>
          <w:color w:val="000000"/>
          <w:shd w:val="clear" w:color="auto" w:fill="FFFFFF"/>
        </w:rPr>
        <w:t xml:space="preserve"> </w:t>
      </w:r>
      <w:r w:rsidRPr="000F77D9">
        <w:t>In a 2019 report, the U.S. Government Accountability Office identified limited data and information about food loss and waste as one of three key challenges to reducing food loss and waste in the U</w:t>
      </w:r>
      <w:r w:rsidRPr="000F77D9" w:rsidR="00CC255B">
        <w:t>nited States</w:t>
      </w:r>
      <w:r w:rsidRPr="000F77D9">
        <w:t>.</w:t>
      </w:r>
      <w:r w:rsidRPr="000F77D9" w:rsidR="00CC255B">
        <w:rPr>
          <w:rStyle w:val="FootnoteReference"/>
        </w:rPr>
        <w:footnoteReference w:id="1"/>
      </w:r>
      <w:r w:rsidRPr="000F77D9">
        <w:rPr>
          <w:vertAlign w:val="superscript"/>
        </w:rPr>
        <w:t xml:space="preserve"> </w:t>
      </w:r>
    </w:p>
    <w:p w:rsidR="008553D0" w:rsidRDefault="008553D0" w14:paraId="27339584" w14:textId="77777777">
      <w:pPr>
        <w:rPr>
          <w:rFonts w:eastAsia="Times New Roman" w:cs="Times New Roman"/>
          <w:sz w:val="24"/>
        </w:rPr>
      </w:pPr>
      <w:r>
        <w:br w:type="page"/>
      </w:r>
    </w:p>
    <w:p w:rsidR="00D950FE" w:rsidP="0084233D" w:rsidRDefault="00F6582F" w14:paraId="076BCB4E" w14:textId="43FEF616">
      <w:pPr>
        <w:pStyle w:val="BodyText"/>
        <w:rPr>
          <w:rFonts w:eastAsiaTheme="minorEastAsia"/>
        </w:rPr>
      </w:pPr>
      <w:r w:rsidRPr="000F77D9">
        <w:lastRenderedPageBreak/>
        <w:t>The Economic Research Service’s (</w:t>
      </w:r>
      <w:r w:rsidRPr="000F77D9" w:rsidR="00DE5F14">
        <w:t>ERS’s</w:t>
      </w:r>
      <w:r w:rsidRPr="000F77D9">
        <w:t>)</w:t>
      </w:r>
      <w:r w:rsidRPr="000F77D9" w:rsidR="00DE5F14">
        <w:t xml:space="preserve"> Loss-Adjusted Food Availability (LAFA) </w:t>
      </w:r>
      <w:r w:rsidR="009470A7">
        <w:t xml:space="preserve">data </w:t>
      </w:r>
      <w:r w:rsidRPr="000F77D9" w:rsidR="00DE5F14">
        <w:t>series is one of two federal government sources of food loss data</w:t>
      </w:r>
      <w:r w:rsidRPr="000F77D9" w:rsidR="00BF5056">
        <w:t>,</w:t>
      </w:r>
      <w:r w:rsidRPr="000F77D9" w:rsidR="008514C1">
        <w:rPr>
          <w:rStyle w:val="FootnoteReference"/>
        </w:rPr>
        <w:footnoteReference w:id="2"/>
      </w:r>
      <w:r w:rsidRPr="000F77D9" w:rsidR="00DE5F14">
        <w:t xml:space="preserve"> along with EPA</w:t>
      </w:r>
      <w:r w:rsidRPr="000F77D9" w:rsidR="00BF5056">
        <w:t>.</w:t>
      </w:r>
      <w:r w:rsidRPr="000F77D9" w:rsidR="008514C1">
        <w:rPr>
          <w:rStyle w:val="FootnoteReference"/>
        </w:rPr>
        <w:footnoteReference w:id="3"/>
      </w:r>
      <w:r w:rsidRPr="000F77D9" w:rsidR="00DE5F14">
        <w:t xml:space="preserve"> </w:t>
      </w:r>
      <w:r w:rsidRPr="000F77D9" w:rsidR="00DE5F14">
        <w:rPr>
          <w:rFonts w:eastAsiaTheme="minorHAnsi"/>
        </w:rPr>
        <w:t xml:space="preserve">The LAFA </w:t>
      </w:r>
      <w:r w:rsidR="009470A7">
        <w:rPr>
          <w:rFonts w:eastAsiaTheme="minorHAnsi"/>
        </w:rPr>
        <w:t xml:space="preserve">data </w:t>
      </w:r>
      <w:r w:rsidRPr="000F77D9" w:rsidR="00DE5F14">
        <w:rPr>
          <w:rFonts w:eastAsiaTheme="minorHAnsi"/>
        </w:rPr>
        <w:t xml:space="preserve">series provides the loss-adjusted per capita amount of food, calories, and Food Pattern Equivalents (aka “servings”) available for consumption in the </w:t>
      </w:r>
      <w:r w:rsidRPr="000F77D9">
        <w:t>United States</w:t>
      </w:r>
      <w:r w:rsidRPr="000F77D9" w:rsidDel="00F6582F">
        <w:rPr>
          <w:rFonts w:eastAsiaTheme="minorHAnsi"/>
        </w:rPr>
        <w:t xml:space="preserve"> </w:t>
      </w:r>
      <w:r w:rsidRPr="000F77D9" w:rsidR="00DE5F14">
        <w:rPr>
          <w:rFonts w:eastAsiaTheme="minorHAnsi"/>
        </w:rPr>
        <w:t>for 215 commodities and estimate</w:t>
      </w:r>
      <w:r w:rsidRPr="000F77D9" w:rsidR="00995611">
        <w:rPr>
          <w:rFonts w:eastAsiaTheme="minorHAnsi"/>
        </w:rPr>
        <w:t>s</w:t>
      </w:r>
      <w:r w:rsidRPr="000F77D9" w:rsidR="00DE5F14">
        <w:rPr>
          <w:rFonts w:eastAsiaTheme="minorHAnsi"/>
        </w:rPr>
        <w:t xml:space="preserve"> the amount of food loss at retail and consumer levels nationwide. Since LAFA’s creation in 1997, ERS has undertaken a series of initiatives to update the </w:t>
      </w:r>
      <w:r w:rsidRPr="000F77D9" w:rsidR="0012449E">
        <w:rPr>
          <w:rFonts w:eastAsiaTheme="minorHAnsi"/>
        </w:rPr>
        <w:t xml:space="preserve">original </w:t>
      </w:r>
      <w:r w:rsidRPr="000F77D9" w:rsidR="00DE5F14">
        <w:rPr>
          <w:rFonts w:eastAsiaTheme="minorHAnsi"/>
        </w:rPr>
        <w:t>underlying loss factors, many of which were from the 1970s or earlier. ERS estimated</w:t>
      </w:r>
      <w:r w:rsidRPr="006C1F77" w:rsidR="00DE5F14">
        <w:rPr>
          <w:rFonts w:eastAsiaTheme="minorHAnsi"/>
        </w:rPr>
        <w:t xml:space="preserve"> </w:t>
      </w:r>
      <w:r w:rsidRPr="000F77D9" w:rsidR="00DE5F14">
        <w:rPr>
          <w:rFonts w:eastAsiaTheme="minorHAnsi"/>
        </w:rPr>
        <w:t xml:space="preserve">new </w:t>
      </w:r>
      <w:r w:rsidRPr="000F77D9" w:rsidR="00DE5F14">
        <w:rPr>
          <w:rFonts w:eastAsiaTheme="minorEastAsia"/>
        </w:rPr>
        <w:t>retail-level loss shares for fresh fruits and vegetables and some meat and poultry products in 20</w:t>
      </w:r>
      <w:r w:rsidRPr="000F77D9" w:rsidR="006C24DD">
        <w:rPr>
          <w:rFonts w:eastAsiaTheme="minorEastAsia"/>
        </w:rPr>
        <w:t>09</w:t>
      </w:r>
      <w:r w:rsidRPr="000F77D9" w:rsidR="008514C1">
        <w:rPr>
          <w:rStyle w:val="FootnoteReference"/>
          <w:rFonts w:eastAsiaTheme="minorEastAsia"/>
        </w:rPr>
        <w:footnoteReference w:id="4"/>
      </w:r>
      <w:r w:rsidRPr="000F77D9" w:rsidR="00DE5F14">
        <w:rPr>
          <w:rFonts w:eastAsiaTheme="minorEastAsia"/>
        </w:rPr>
        <w:t xml:space="preserve"> and 2016</w:t>
      </w:r>
      <w:r w:rsidRPr="000F77D9" w:rsidR="008514C1">
        <w:rPr>
          <w:rStyle w:val="FootnoteReference"/>
          <w:rFonts w:eastAsiaTheme="minorEastAsia"/>
        </w:rPr>
        <w:footnoteReference w:id="5"/>
      </w:r>
      <w:r w:rsidRPr="000F77D9" w:rsidR="00DE5F14">
        <w:rPr>
          <w:rFonts w:eastAsiaTheme="minorEastAsia"/>
        </w:rPr>
        <w:t xml:space="preserve"> by calculating the differen</w:t>
      </w:r>
      <w:r w:rsidRPr="000F77D9" w:rsidR="00995611">
        <w:rPr>
          <w:rFonts w:eastAsiaTheme="minorEastAsia"/>
        </w:rPr>
        <w:t>ce</w:t>
      </w:r>
      <w:r w:rsidRPr="000F77D9" w:rsidR="00DE5F14">
        <w:rPr>
          <w:rFonts w:eastAsiaTheme="minorEastAsia"/>
        </w:rPr>
        <w:t xml:space="preserve"> in sales and shipment </w:t>
      </w:r>
      <w:r w:rsidRPr="000F77D9" w:rsidR="003C322A">
        <w:rPr>
          <w:rFonts w:eastAsiaTheme="minorEastAsia"/>
        </w:rPr>
        <w:t xml:space="preserve">weights </w:t>
      </w:r>
      <w:r w:rsidRPr="000F77D9" w:rsidR="00DE5F14">
        <w:rPr>
          <w:rFonts w:eastAsiaTheme="minorEastAsia"/>
        </w:rPr>
        <w:t xml:space="preserve">for </w:t>
      </w:r>
      <w:r w:rsidRPr="000F77D9" w:rsidR="003C322A">
        <w:rPr>
          <w:rFonts w:eastAsiaTheme="minorEastAsia"/>
        </w:rPr>
        <w:t>the selected foods</w:t>
      </w:r>
      <w:r w:rsidR="00D950FE">
        <w:rPr>
          <w:rFonts w:eastAsiaTheme="minorEastAsia"/>
        </w:rPr>
        <w:t>.</w:t>
      </w:r>
      <w:r w:rsidR="00F0534B">
        <w:rPr>
          <w:rFonts w:eastAsiaTheme="minorEastAsia"/>
        </w:rPr>
        <w:t xml:space="preserve"> </w:t>
      </w:r>
    </w:p>
    <w:p w:rsidR="00713C84" w:rsidP="0084233D" w:rsidRDefault="00D950FE" w14:paraId="73D5D7A2" w14:textId="33C513A0">
      <w:pPr>
        <w:pStyle w:val="BodyText"/>
      </w:pPr>
      <w:r w:rsidRPr="003750BA">
        <w:t xml:space="preserve">For the 2009 study, ERS obtained updated food loss </w:t>
      </w:r>
      <w:r w:rsidRPr="003750BA" w:rsidR="00B71595">
        <w:t xml:space="preserve">coefficients </w:t>
      </w:r>
      <w:r w:rsidR="00FB467B">
        <w:t xml:space="preserve">(i.e., loss factors) </w:t>
      </w:r>
      <w:r w:rsidRPr="003750BA">
        <w:t xml:space="preserve">at the retail level for individual fresh fruits, vegetables, </w:t>
      </w:r>
      <w:r w:rsidR="008B40DD">
        <w:t xml:space="preserve">and </w:t>
      </w:r>
      <w:r w:rsidRPr="003750BA">
        <w:t xml:space="preserve">meat and poultry </w:t>
      </w:r>
      <w:r w:rsidRPr="003750BA" w:rsidR="00B71595">
        <w:t xml:space="preserve">products </w:t>
      </w:r>
      <w:r w:rsidRPr="003750BA">
        <w:t xml:space="preserve">and aggregate </w:t>
      </w:r>
      <w:r w:rsidRPr="003750BA" w:rsidR="00B71595">
        <w:t xml:space="preserve">coefficients </w:t>
      </w:r>
      <w:r w:rsidRPr="003750BA">
        <w:t xml:space="preserve">for all fish and all shellfish from the </w:t>
      </w:r>
      <w:r w:rsidR="004B5571">
        <w:t xml:space="preserve">Nielsen </w:t>
      </w:r>
      <w:r w:rsidRPr="003750BA">
        <w:t>P</w:t>
      </w:r>
      <w:r w:rsidRPr="003750BA" w:rsidR="000D54A9">
        <w:t xml:space="preserve">erishables </w:t>
      </w:r>
      <w:r w:rsidRPr="003750BA">
        <w:t>Group, Inc.</w:t>
      </w:r>
      <w:r w:rsidR="008B40DD">
        <w:t>,</w:t>
      </w:r>
      <w:r w:rsidRPr="003750BA" w:rsidR="0097174E">
        <w:t xml:space="preserve"> an independent consulting firm</w:t>
      </w:r>
      <w:r w:rsidRPr="003750BA" w:rsidR="00B71595">
        <w:t xml:space="preserve">. </w:t>
      </w:r>
      <w:r w:rsidR="00F52620">
        <w:t xml:space="preserve">The Perishables Group </w:t>
      </w:r>
      <w:r w:rsidRPr="003750BA">
        <w:t xml:space="preserve">used </w:t>
      </w:r>
      <w:r w:rsidR="008A1F77">
        <w:t>2005</w:t>
      </w:r>
      <w:r w:rsidR="008B40DD">
        <w:t>–</w:t>
      </w:r>
      <w:r w:rsidR="008A1F77">
        <w:t xml:space="preserve">2006 </w:t>
      </w:r>
      <w:r w:rsidRPr="003750BA" w:rsidR="00321BDA">
        <w:t>dat</w:t>
      </w:r>
      <w:r w:rsidRPr="003750BA" w:rsidR="00B71595">
        <w:t>a</w:t>
      </w:r>
      <w:r w:rsidRPr="003750BA" w:rsidR="00321BDA">
        <w:t xml:space="preserve"> from a convenience </w:t>
      </w:r>
      <w:r w:rsidRPr="003750BA">
        <w:t xml:space="preserve">sample of six large national and regional supermarket retailers from their proprietary database. </w:t>
      </w:r>
      <w:r w:rsidRPr="008A1F77" w:rsidR="0039766F">
        <w:t>The proprietary data represented point-of-sale data collected from conventional U.S. grocery store chains that had more than $2 million in sales annually.</w:t>
      </w:r>
      <w:r w:rsidRPr="003750BA" w:rsidR="0039766F">
        <w:t xml:space="preserve"> </w:t>
      </w:r>
    </w:p>
    <w:p w:rsidRPr="008A1F77" w:rsidR="00D45650" w:rsidP="0084233D" w:rsidRDefault="00696886" w14:paraId="48CB0BE5" w14:textId="6B49BE1E">
      <w:pPr>
        <w:pStyle w:val="BodyText"/>
      </w:pPr>
      <w:r w:rsidRPr="008A1F77">
        <w:t xml:space="preserve">The data sample included information from over 600 stores from six large national and regional food retail chains located in all four U.S. regions—East, South, Central, and West. Data were collected for 2005 and 2006 full calendar years. </w:t>
      </w:r>
      <w:r w:rsidRPr="003750BA" w:rsidR="00D950FE">
        <w:t>The sample did not include convenience stores</w:t>
      </w:r>
      <w:r w:rsidR="008B40DD">
        <w:t>;</w:t>
      </w:r>
      <w:r w:rsidRPr="003750BA" w:rsidR="008B40DD">
        <w:t xml:space="preserve"> </w:t>
      </w:r>
      <w:r w:rsidRPr="003750BA" w:rsidR="00D950FE">
        <w:t>megastores</w:t>
      </w:r>
      <w:r w:rsidR="008B40DD">
        <w:t>;</w:t>
      </w:r>
      <w:r w:rsidRPr="003750BA" w:rsidR="008B40DD">
        <w:t xml:space="preserve"> </w:t>
      </w:r>
      <w:r w:rsidRPr="003750BA" w:rsidR="00D950FE">
        <w:t>club stores</w:t>
      </w:r>
      <w:r w:rsidR="008B40DD">
        <w:t>;</w:t>
      </w:r>
      <w:r w:rsidRPr="003750BA" w:rsidR="008B40DD">
        <w:t xml:space="preserve"> </w:t>
      </w:r>
      <w:r w:rsidRPr="003750BA" w:rsidR="00D950FE">
        <w:t xml:space="preserve">and </w:t>
      </w:r>
      <w:r w:rsidRPr="003750BA" w:rsidR="009A6AB7">
        <w:t>small, family-owned, independent “</w:t>
      </w:r>
      <w:r w:rsidRPr="003750BA" w:rsidR="007458EF">
        <w:t>mom</w:t>
      </w:r>
      <w:r w:rsidR="007458EF">
        <w:t>-</w:t>
      </w:r>
      <w:r w:rsidRPr="003750BA" w:rsidR="007458EF">
        <w:t>and</w:t>
      </w:r>
      <w:r w:rsidR="007458EF">
        <w:t>-</w:t>
      </w:r>
      <w:r w:rsidRPr="003750BA" w:rsidR="009A6AB7">
        <w:t>pop”</w:t>
      </w:r>
      <w:r w:rsidR="008B40DD">
        <w:t>–</w:t>
      </w:r>
      <w:r w:rsidRPr="003750BA" w:rsidR="009A6AB7">
        <w:t>type grocery stores.</w:t>
      </w:r>
      <w:r w:rsidRPr="003750BA" w:rsidR="00D950FE">
        <w:t xml:space="preserve"> </w:t>
      </w:r>
      <w:r w:rsidRPr="003750BA" w:rsidR="00A75233">
        <w:t>T</w:t>
      </w:r>
      <w:r w:rsidRPr="008A1F77" w:rsidR="00A75233">
        <w:t>o be used in the analysis sample, data from each store under consideration had to have both weekly shipment data on a particular food commodity (e.g., actual purchases, measured in pounds, of fresh boneless chicken breast shipments sent from a supplier to the store) and point-of-sale data on consumer purchases (e.g., scanner data showing the</w:t>
      </w:r>
      <w:r w:rsidRPr="00E16A04" w:rsidR="00A75233">
        <w:t xml:space="preserve"> pounds of fresh boneless chicken </w:t>
      </w:r>
      <w:r w:rsidRPr="008A1F77" w:rsidR="00A75233">
        <w:t xml:space="preserve">breasts sold). </w:t>
      </w:r>
      <w:r w:rsidR="00F52620">
        <w:t xml:space="preserve">The Perishables Group </w:t>
      </w:r>
      <w:r w:rsidRPr="008A1F77" w:rsidR="00A75233">
        <w:t>used these two types of information to match shipment data to purchase data so that loss coefficients could be calculated as the residual for each fresh food commodity in the study.</w:t>
      </w:r>
      <w:r w:rsidRPr="008A1F77" w:rsidR="00D950FE">
        <w:t xml:space="preserve"> </w:t>
      </w:r>
    </w:p>
    <w:p w:rsidRPr="00AC2CF9" w:rsidR="00D950FE" w:rsidP="0084233D" w:rsidRDefault="00F52620" w14:paraId="6C97D5A0" w14:textId="1E8B8012">
      <w:pPr>
        <w:pStyle w:val="BodyText"/>
        <w:rPr>
          <w:rFonts w:eastAsiaTheme="minorEastAsia"/>
        </w:rPr>
      </w:pPr>
      <w:r>
        <w:lastRenderedPageBreak/>
        <w:t>The Perishables Group</w:t>
      </w:r>
      <w:r w:rsidRPr="00713C84" w:rsidR="00A70973">
        <w:t xml:space="preserve"> solicited additional qualitative loss and shipment</w:t>
      </w:r>
      <w:r w:rsidRPr="00BC152D" w:rsidR="00A70973">
        <w:t xml:space="preserve"> data and insights for meat, poultry, and seafood (i.e., fish and shellfish, both </w:t>
      </w:r>
      <w:proofErr w:type="gramStart"/>
      <w:r w:rsidRPr="00BC152D" w:rsidR="00A70973">
        <w:t>farm</w:t>
      </w:r>
      <w:proofErr w:type="gramEnd"/>
      <w:r w:rsidR="00A81F3C">
        <w:t xml:space="preserve"> </w:t>
      </w:r>
      <w:r w:rsidRPr="00BC152D" w:rsidR="00A70973">
        <w:t>raised and wild</w:t>
      </w:r>
      <w:r w:rsidR="00A81F3C">
        <w:t xml:space="preserve"> </w:t>
      </w:r>
      <w:r w:rsidRPr="00BC152D" w:rsidR="00A70973">
        <w:t>caught) from more than 10 retailers</w:t>
      </w:r>
      <w:r w:rsidR="00BC152D">
        <w:t>’</w:t>
      </w:r>
      <w:r w:rsidRPr="00BC152D" w:rsidR="00A70973">
        <w:t xml:space="preserve"> supermarket executives. Retailers did not track meat, poultry, and seafood shipment data as effectively as they tracked produce shipment data</w:t>
      </w:r>
      <w:r>
        <w:t xml:space="preserve"> so detailed </w:t>
      </w:r>
      <w:r w:rsidRPr="00BC152D" w:rsidR="00A70973">
        <w:t xml:space="preserve">shipment data </w:t>
      </w:r>
      <w:r>
        <w:t xml:space="preserve">were not </w:t>
      </w:r>
      <w:r w:rsidRPr="00BC152D" w:rsidR="00A70973">
        <w:t xml:space="preserve">available </w:t>
      </w:r>
      <w:r>
        <w:t>for these d</w:t>
      </w:r>
      <w:r w:rsidRPr="00BC152D" w:rsidR="00A70973">
        <w:t xml:space="preserve">epartments. </w:t>
      </w:r>
      <w:r>
        <w:t>The Perishables Group</w:t>
      </w:r>
      <w:r w:rsidRPr="00713C84">
        <w:t xml:space="preserve"> </w:t>
      </w:r>
      <w:r w:rsidRPr="00BC152D" w:rsidR="00A70973">
        <w:t xml:space="preserve">developed and distributed a supporting study among their retail contacts to obtain additional insight </w:t>
      </w:r>
      <w:r w:rsidRPr="00BC152D" w:rsidR="004A0219">
        <w:t xml:space="preserve">about loss rates for </w:t>
      </w:r>
      <w:r w:rsidRPr="00BC152D" w:rsidR="00A70973">
        <w:t>meat, poultry, and seafood.</w:t>
      </w:r>
      <w:r w:rsidRPr="00BC152D" w:rsidR="004A0219">
        <w:t xml:space="preserve"> </w:t>
      </w:r>
      <w:r w:rsidRPr="00BC152D" w:rsidR="0097174E">
        <w:t>The new coefficients</w:t>
      </w:r>
      <w:r w:rsidRPr="00BC152D" w:rsidR="004848BA">
        <w:t xml:space="preserve"> </w:t>
      </w:r>
      <w:r w:rsidR="00D45650">
        <w:t>for both fresh fruits and vegetables and meat, poultry</w:t>
      </w:r>
      <w:r w:rsidR="00A81F3C">
        <w:t>,</w:t>
      </w:r>
      <w:r w:rsidR="00D45650">
        <w:t xml:space="preserve"> and seafood </w:t>
      </w:r>
      <w:r w:rsidRPr="00BC152D" w:rsidR="004848BA">
        <w:t xml:space="preserve">were </w:t>
      </w:r>
      <w:r w:rsidRPr="00BC152D" w:rsidR="0097174E">
        <w:t xml:space="preserve">incorporated into the </w:t>
      </w:r>
      <w:r w:rsidRPr="00BC152D" w:rsidR="004848BA">
        <w:t>LAFA data series for the study commodities but</w:t>
      </w:r>
      <w:r w:rsidRPr="00BC152D" w:rsidR="0097174E">
        <w:t xml:space="preserve"> had little impact on aggregate per capita </w:t>
      </w:r>
      <w:r w:rsidRPr="00BC152D" w:rsidR="004848BA">
        <w:t xml:space="preserve">availability </w:t>
      </w:r>
      <w:r w:rsidRPr="00BC152D" w:rsidR="0097174E">
        <w:t>because the new coefficients were, on average, close to the existing estimates.</w:t>
      </w:r>
      <w:r w:rsidR="00F0534B">
        <w:t xml:space="preserve"> </w:t>
      </w:r>
    </w:p>
    <w:p w:rsidR="00713C84" w:rsidP="0084233D" w:rsidRDefault="008A1F77" w14:paraId="4964492C" w14:textId="302C7880">
      <w:pPr>
        <w:pStyle w:val="BodyText"/>
      </w:pPr>
      <w:r>
        <w:t xml:space="preserve">In 2016, </w:t>
      </w:r>
      <w:r w:rsidRPr="008A1F77" w:rsidR="00321BDA">
        <w:t xml:space="preserve">ERS commissioned </w:t>
      </w:r>
      <w:r w:rsidR="00F52620">
        <w:t>the Perishables Group</w:t>
      </w:r>
      <w:r w:rsidRPr="00713C84" w:rsidR="00F52620">
        <w:t xml:space="preserve"> </w:t>
      </w:r>
      <w:r w:rsidRPr="008A1F77" w:rsidR="00321BDA">
        <w:t>to update the 2009 coefficients with 2011</w:t>
      </w:r>
      <w:r w:rsidR="00A81F3C">
        <w:t>–</w:t>
      </w:r>
      <w:r w:rsidR="007458EF">
        <w:t>20</w:t>
      </w:r>
      <w:r w:rsidRPr="008A1F77" w:rsidR="00321BDA">
        <w:t xml:space="preserve">12 data for fresh fruits, vegetables, meat, poultry, and seafood. The convenience sample included </w:t>
      </w:r>
      <w:r w:rsidR="007458EF">
        <w:t>one</w:t>
      </w:r>
      <w:r w:rsidRPr="008A1F77" w:rsidR="007458EF">
        <w:t xml:space="preserve"> </w:t>
      </w:r>
      <w:r w:rsidRPr="008A1F77" w:rsidR="00321BDA">
        <w:t xml:space="preserve">large national and </w:t>
      </w:r>
      <w:r w:rsidR="007458EF">
        <w:t>four</w:t>
      </w:r>
      <w:r w:rsidRPr="008A1F77" w:rsidR="007458EF">
        <w:t xml:space="preserve"> </w:t>
      </w:r>
      <w:r w:rsidRPr="008A1F77" w:rsidR="00321BDA">
        <w:t xml:space="preserve">regional supermarket retailers from </w:t>
      </w:r>
      <w:r w:rsidR="00F52620">
        <w:t>their</w:t>
      </w:r>
      <w:r w:rsidRPr="008A1F77" w:rsidR="00321BDA">
        <w:t xml:space="preserve"> proprietary database, which provided data from roughly 2,900 stores in 45 </w:t>
      </w:r>
      <w:r w:rsidR="00AB517F">
        <w:t>s</w:t>
      </w:r>
      <w:r w:rsidRPr="008A1F77" w:rsidR="00321BDA">
        <w:t xml:space="preserve">tates and the District of Columbia. The sample did not include convenience stores, </w:t>
      </w:r>
      <w:r>
        <w:t>supercenters</w:t>
      </w:r>
      <w:r w:rsidRPr="008A1F77" w:rsidR="00321BDA">
        <w:t xml:space="preserve">, club stores, </w:t>
      </w:r>
      <w:r>
        <w:t>or</w:t>
      </w:r>
      <w:r w:rsidRPr="008A1F77" w:rsidR="00321BDA">
        <w:t xml:space="preserve"> mom-and-pop grocery stores. To identify a loss coefficient for each retailer, commodity, and study year (2011 and 2012), total supplier shipment data were paired with corresponding total point-of-sale data (aggregated across all stores for each retailer in the sample</w:t>
      </w:r>
      <w:r w:rsidR="00AC2CF9">
        <w:t>)</w:t>
      </w:r>
      <w:r w:rsidRPr="008A1F77" w:rsidR="00321BDA">
        <w:t xml:space="preserve">. </w:t>
      </w:r>
    </w:p>
    <w:p w:rsidRPr="00C845CA" w:rsidR="00D950FE" w:rsidP="0084233D" w:rsidRDefault="00321BDA" w14:paraId="4A86A0D3" w14:textId="7FE550E5">
      <w:pPr>
        <w:pStyle w:val="BodyText"/>
        <w:rPr>
          <w:rFonts w:eastAsiaTheme="minorEastAsia"/>
        </w:rPr>
      </w:pPr>
      <w:r w:rsidRPr="008A1F77">
        <w:t xml:space="preserve">Average </w:t>
      </w:r>
      <w:r>
        <w:t xml:space="preserve">loss coefficients </w:t>
      </w:r>
      <w:r w:rsidRPr="00321BDA">
        <w:t xml:space="preserve">were then calculated for each commodity by </w:t>
      </w:r>
      <w:r>
        <w:t xml:space="preserve">equally </w:t>
      </w:r>
      <w:r w:rsidRPr="00321BDA">
        <w:t xml:space="preserve">weighting the </w:t>
      </w:r>
      <w:r>
        <w:t xml:space="preserve">coefficients </w:t>
      </w:r>
      <w:r w:rsidRPr="00321BDA">
        <w:t>by retailers providing estimates for that commodity</w:t>
      </w:r>
      <w:r w:rsidR="00507310">
        <w:t xml:space="preserve">. </w:t>
      </w:r>
      <w:r w:rsidR="005B6934">
        <w:t>Because of the omission in the retailer calculations of random-weight meat, poultry, and seafood, the updated shrink estimates were not appropriate for updating food loss estimates at the retail level for these commodities.</w:t>
      </w:r>
    </w:p>
    <w:p w:rsidRPr="00E16A04" w:rsidR="00507310" w:rsidP="0084233D" w:rsidRDefault="00C845CA" w14:paraId="0946EBFF" w14:textId="15745402">
      <w:pPr>
        <w:pStyle w:val="BodyText"/>
        <w:rPr>
          <w:rFonts w:eastAsiaTheme="minorEastAsia"/>
        </w:rPr>
      </w:pPr>
      <w:r w:rsidRPr="00321BDA">
        <w:t xml:space="preserve">ERS then </w:t>
      </w:r>
      <w:r>
        <w:t xml:space="preserve">used the new loss coefficients to </w:t>
      </w:r>
      <w:r w:rsidRPr="00321BDA">
        <w:t xml:space="preserve">analyze how the </w:t>
      </w:r>
      <w:r>
        <w:t xml:space="preserve">loss-adjusted </w:t>
      </w:r>
      <w:r w:rsidRPr="00B3212B">
        <w:t>per capita availability for the study commodities would change if the 2011</w:t>
      </w:r>
      <w:r w:rsidRPr="00B3212B" w:rsidR="007B7245">
        <w:t>–20</w:t>
      </w:r>
      <w:r w:rsidRPr="00B3212B">
        <w:t>12 coefficients were used.</w:t>
      </w:r>
      <w:r w:rsidRPr="00B3212B" w:rsidR="00894338">
        <w:t xml:space="preserve"> The updated estimates for fruits and vegetables</w:t>
      </w:r>
      <w:r w:rsidRPr="00B3212B" w:rsidR="000062B1">
        <w:t>, which included both UPC-coded and random-weight items,</w:t>
      </w:r>
      <w:r w:rsidRPr="00B3212B" w:rsidR="00894338">
        <w:t xml:space="preserve"> were found to be generally close to the current loss assumptions, but there would be greater impacts for fresh meat, poultry, and seafood if the new estimates were used. </w:t>
      </w:r>
      <w:r w:rsidRPr="00B3212B" w:rsidR="00507310">
        <w:t>For fresh meat, poultry, and seafood, data were only available for case-ready items with a UPC</w:t>
      </w:r>
      <w:r w:rsidRPr="00B3212B" w:rsidR="007B7245">
        <w:t>,</w:t>
      </w:r>
      <w:r w:rsidRPr="00B3212B" w:rsidR="00507310">
        <w:t xml:space="preserve"> or roughly two-thirds of that market, but not for random-weight items (i.e., loose items sold by weight, roughly one-third of that market).</w:t>
      </w:r>
      <w:r w:rsidRPr="00B3212B" w:rsidR="00F0534B">
        <w:t xml:space="preserve"> </w:t>
      </w:r>
      <w:r w:rsidRPr="00B3212B" w:rsidR="000062B1">
        <w:t>Based on recommendations from an ERS-sponsored expert panel, ERS incorporated the updated 2011</w:t>
      </w:r>
      <w:r w:rsidRPr="00B3212B" w:rsidR="007B7245">
        <w:t>–20</w:t>
      </w:r>
      <w:r w:rsidRPr="00B3212B" w:rsidR="000062B1">
        <w:t>12 fresh fruit and vegetable loss factors from 2011 to the current year and used linear interpolation for the years 2007</w:t>
      </w:r>
      <w:r w:rsidRPr="00B3212B" w:rsidR="007B7245">
        <w:t>–20</w:t>
      </w:r>
      <w:r w:rsidRPr="00B3212B" w:rsidR="000062B1">
        <w:t xml:space="preserve">10. </w:t>
      </w:r>
    </w:p>
    <w:p w:rsidRPr="00F37B13" w:rsidR="00DE5F14" w:rsidP="0084233D" w:rsidRDefault="00DE5F14" w14:paraId="094E8EFC" w14:textId="037A3E36">
      <w:pPr>
        <w:pStyle w:val="BodyText"/>
        <w:rPr>
          <w:rFonts w:eastAsiaTheme="minorHAnsi"/>
        </w:rPr>
      </w:pPr>
      <w:r w:rsidRPr="000F77D9">
        <w:rPr>
          <w:rFonts w:eastAsiaTheme="minorEastAsia"/>
        </w:rPr>
        <w:t>I</w:t>
      </w:r>
      <w:r w:rsidRPr="000F77D9">
        <w:rPr>
          <w:rFonts w:eastAsiaTheme="minorHAnsi"/>
        </w:rPr>
        <w:t>n 2017, an ERS</w:t>
      </w:r>
      <w:r w:rsidRPr="000F77D9" w:rsidR="00995611">
        <w:rPr>
          <w:rFonts w:eastAsiaTheme="minorHAnsi"/>
        </w:rPr>
        <w:t>-</w:t>
      </w:r>
      <w:r w:rsidRPr="000F77D9">
        <w:rPr>
          <w:rFonts w:eastAsiaTheme="minorHAnsi"/>
        </w:rPr>
        <w:t>sponsored expert panel, charged with identifying data gaps and technical weaknesses</w:t>
      </w:r>
      <w:r w:rsidR="00DB58C2">
        <w:rPr>
          <w:rFonts w:eastAsiaTheme="minorHAnsi"/>
        </w:rPr>
        <w:t xml:space="preserve"> in the LAFA data series</w:t>
      </w:r>
      <w:r w:rsidRPr="000F77D9">
        <w:rPr>
          <w:rFonts w:eastAsiaTheme="minorHAnsi"/>
        </w:rPr>
        <w:t xml:space="preserve">, recommended that ERS develop updated and nationally representative retail-level loss </w:t>
      </w:r>
      <w:r w:rsidR="00FB467B">
        <w:rPr>
          <w:rFonts w:eastAsiaTheme="minorHAnsi"/>
        </w:rPr>
        <w:t xml:space="preserve">factors </w:t>
      </w:r>
      <w:r w:rsidRPr="000F77D9">
        <w:rPr>
          <w:rFonts w:eastAsiaTheme="minorHAnsi"/>
        </w:rPr>
        <w:t>for all LAFA commodities</w:t>
      </w:r>
      <w:r w:rsidR="00694353">
        <w:rPr>
          <w:rFonts w:eastAsiaTheme="minorHAnsi"/>
        </w:rPr>
        <w:t xml:space="preserve">, beyond just fruits and </w:t>
      </w:r>
      <w:r w:rsidR="00694353">
        <w:rPr>
          <w:rFonts w:eastAsiaTheme="minorHAnsi"/>
        </w:rPr>
        <w:lastRenderedPageBreak/>
        <w:t>vegetables</w:t>
      </w:r>
      <w:r w:rsidRPr="000F77D9" w:rsidR="003C4E92">
        <w:rPr>
          <w:rFonts w:eastAsiaTheme="minorHAnsi"/>
        </w:rPr>
        <w:t>.</w:t>
      </w:r>
      <w:r w:rsidRPr="000F77D9" w:rsidR="008514C1">
        <w:rPr>
          <w:rStyle w:val="FootnoteReference"/>
          <w:rFonts w:eastAsiaTheme="minorHAnsi"/>
        </w:rPr>
        <w:footnoteReference w:id="6"/>
      </w:r>
      <w:r w:rsidR="004B5571">
        <w:rPr>
          <w:rFonts w:eastAsiaTheme="minorHAnsi"/>
        </w:rPr>
        <w:t xml:space="preserve"> </w:t>
      </w:r>
      <w:r w:rsidRPr="00AE0C05" w:rsidR="00694353">
        <w:rPr>
          <w:rFonts w:eastAsiaTheme="minorHAnsi"/>
        </w:rPr>
        <w:t xml:space="preserve">In addition, the panel recommended that </w:t>
      </w:r>
      <w:r w:rsidRPr="00AE0C05" w:rsidR="00F52620">
        <w:rPr>
          <w:rFonts w:eastAsiaTheme="minorHAnsi"/>
        </w:rPr>
        <w:t>ERS</w:t>
      </w:r>
      <w:r w:rsidRPr="00AE0C05" w:rsidR="00694353">
        <w:rPr>
          <w:rFonts w:eastAsiaTheme="minorHAnsi"/>
        </w:rPr>
        <w:t xml:space="preserve"> collect</w:t>
      </w:r>
      <w:r w:rsidRPr="00AE0C05" w:rsidR="00AD6109">
        <w:rPr>
          <w:rFonts w:eastAsiaTheme="minorHAnsi"/>
        </w:rPr>
        <w:t xml:space="preserve"> data</w:t>
      </w:r>
      <w:r w:rsidRPr="00AE0C05" w:rsidR="00694353">
        <w:rPr>
          <w:rFonts w:eastAsiaTheme="minorHAnsi"/>
        </w:rPr>
        <w:t xml:space="preserve"> for the estimation from </w:t>
      </w:r>
      <w:r w:rsidRPr="00AE0C05" w:rsidR="00AD6109">
        <w:rPr>
          <w:rFonts w:eastAsiaTheme="minorHAnsi"/>
        </w:rPr>
        <w:t xml:space="preserve">a </w:t>
      </w:r>
      <w:r w:rsidRPr="00AE0C05" w:rsidR="00694353">
        <w:t>wider range of grocery retailers, including supercenters</w:t>
      </w:r>
      <w:r w:rsidRPr="00AE0C05" w:rsidR="00A21C46">
        <w:t xml:space="preserve"> and </w:t>
      </w:r>
      <w:r w:rsidRPr="00AE0C05" w:rsidR="00694353">
        <w:t>independent grocers</w:t>
      </w:r>
      <w:r w:rsidRPr="00AE0C05" w:rsidR="00A21C46">
        <w:t>.</w:t>
      </w:r>
      <w:r w:rsidRPr="00AE0C05" w:rsidR="00694353">
        <w:t>to improve generalizability</w:t>
      </w:r>
      <w:r w:rsidRPr="00AE0C05" w:rsidR="00F37B13">
        <w:t>.</w:t>
      </w:r>
    </w:p>
    <w:p w:rsidRPr="00FB467B" w:rsidR="00532F98" w:rsidP="0084233D" w:rsidRDefault="00E064C0" w14:paraId="56A8208A" w14:textId="3F092489">
      <w:pPr>
        <w:pStyle w:val="BodyText"/>
      </w:pPr>
      <w:r w:rsidRPr="000F77D9">
        <w:t>In September 2018,</w:t>
      </w:r>
      <w:r w:rsidRPr="000F77D9" w:rsidR="008514C1">
        <w:t xml:space="preserve"> </w:t>
      </w:r>
      <w:r w:rsidRPr="000F77D9" w:rsidR="00532F98">
        <w:t xml:space="preserve">ERS </w:t>
      </w:r>
      <w:r w:rsidRPr="000F77D9" w:rsidR="006C24DD">
        <w:t xml:space="preserve">contracted </w:t>
      </w:r>
      <w:r w:rsidRPr="000F77D9" w:rsidR="00532F98">
        <w:t>with RTI International to develop updated, nationally</w:t>
      </w:r>
      <w:r w:rsidRPr="000F77D9" w:rsidR="003C4E92">
        <w:t xml:space="preserve"> </w:t>
      </w:r>
      <w:r w:rsidRPr="000F77D9" w:rsidR="00532F98">
        <w:t xml:space="preserve">representative, and fully documented estimates of retail food loss in the </w:t>
      </w:r>
      <w:r w:rsidRPr="000F77D9" w:rsidR="00F6582F">
        <w:t>United States</w:t>
      </w:r>
      <w:r w:rsidRPr="000F77D9" w:rsidDel="00F6582F" w:rsidR="00F6582F">
        <w:t xml:space="preserve"> </w:t>
      </w:r>
      <w:r w:rsidR="00AE0C05">
        <w:t>for more than 200 L</w:t>
      </w:r>
      <w:r w:rsidRPr="00FB467B" w:rsidR="00B8067F">
        <w:t>AFA commodities</w:t>
      </w:r>
      <w:r w:rsidRPr="00173398" w:rsidR="00C2718C">
        <w:t xml:space="preserve"> </w:t>
      </w:r>
      <w:r w:rsidRPr="00FB467B" w:rsidR="00532F98">
        <w:t xml:space="preserve">and to answer the following questions: </w:t>
      </w:r>
    </w:p>
    <w:p w:rsidRPr="0084233D" w:rsidR="00532F98" w:rsidP="00F0534B" w:rsidRDefault="00532F98" w14:paraId="0AF522CE" w14:textId="6E41397B">
      <w:pPr>
        <w:pStyle w:val="ListBullet"/>
      </w:pPr>
      <w:r w:rsidRPr="0084233D">
        <w:t>What is the amount of the available U.S. food supply at the retail level that goes uneaten</w:t>
      </w:r>
      <w:r w:rsidRPr="0084233D" w:rsidR="00B032CF">
        <w:t xml:space="preserve"> </w:t>
      </w:r>
      <w:r w:rsidRPr="0084233D" w:rsidR="00F80FAA">
        <w:t xml:space="preserve">in total and </w:t>
      </w:r>
      <w:r w:rsidRPr="0084233D" w:rsidR="00B032CF">
        <w:t>for each LAFA commodity or commodity group</w:t>
      </w:r>
      <w:r w:rsidRPr="0084233D">
        <w:t xml:space="preserve">? </w:t>
      </w:r>
    </w:p>
    <w:p w:rsidRPr="000F77D9" w:rsidR="00532F98" w:rsidP="00F0534B" w:rsidRDefault="00532F98" w14:paraId="7944F60D" w14:textId="54E5666C">
      <w:pPr>
        <w:pStyle w:val="ListBullet"/>
      </w:pPr>
      <w:r w:rsidRPr="000F77D9">
        <w:t xml:space="preserve">What are the major drivers of food loss at the retail level and how do these drivers differ across retail commodities (e.g., fresh produce, dairy, meats and poultry, and frozen foods)? </w:t>
      </w:r>
    </w:p>
    <w:p w:rsidRPr="000F77D9" w:rsidR="00532F98" w:rsidP="0084233D" w:rsidRDefault="00F6582F" w14:paraId="65A039EC" w14:textId="09D455BC">
      <w:pPr>
        <w:pStyle w:val="BodyText"/>
      </w:pPr>
      <w:r w:rsidRPr="000F77D9">
        <w:t>Before</w:t>
      </w:r>
      <w:r w:rsidRPr="000F77D9" w:rsidR="00F80FAA">
        <w:t xml:space="preserve"> filing a clearance package for </w:t>
      </w:r>
      <w:r w:rsidRPr="000F77D9" w:rsidR="00A71B3C">
        <w:t xml:space="preserve">the </w:t>
      </w:r>
      <w:r w:rsidRPr="000F77D9" w:rsidR="00F80FAA">
        <w:t xml:space="preserve">planned </w:t>
      </w:r>
      <w:r w:rsidRPr="000F77D9" w:rsidR="00CE06C4">
        <w:t>F</w:t>
      </w:r>
      <w:r w:rsidRPr="000F77D9" w:rsidR="00F80FAA">
        <w:t xml:space="preserve">ield </w:t>
      </w:r>
      <w:r w:rsidRPr="000F77D9" w:rsidR="00CE06C4">
        <w:t>T</w:t>
      </w:r>
      <w:r w:rsidRPr="000F77D9" w:rsidR="00F80FAA">
        <w:t>est</w:t>
      </w:r>
      <w:r w:rsidR="00AC39D6">
        <w:t>,</w:t>
      </w:r>
      <w:r w:rsidR="00DC670C">
        <w:t xml:space="preserve"> </w:t>
      </w:r>
      <w:r w:rsidR="00173398">
        <w:t xml:space="preserve">which was to take place before </w:t>
      </w:r>
      <w:r w:rsidR="004B5571">
        <w:t xml:space="preserve">conducting </w:t>
      </w:r>
      <w:r w:rsidR="00DC670C">
        <w:t xml:space="preserve">a full </w:t>
      </w:r>
      <w:r w:rsidR="004B5571">
        <w:t>nationally representative</w:t>
      </w:r>
      <w:r w:rsidR="00DC670C">
        <w:t xml:space="preserve"> data collection</w:t>
      </w:r>
      <w:r w:rsidRPr="000F77D9" w:rsidR="00F80FAA">
        <w:t xml:space="preserve">, </w:t>
      </w:r>
      <w:r w:rsidRPr="000F77D9" w:rsidR="00532F98">
        <w:t>ERS</w:t>
      </w:r>
      <w:r w:rsidRPr="000F77D9" w:rsidR="001B7313">
        <w:t xml:space="preserve"> </w:t>
      </w:r>
      <w:r w:rsidRPr="000F77D9" w:rsidR="00532F98">
        <w:t xml:space="preserve">met with OMB in May 2019 to discuss the </w:t>
      </w:r>
      <w:r w:rsidRPr="000F77D9" w:rsidR="009B05AD">
        <w:t xml:space="preserve">proposed </w:t>
      </w:r>
      <w:r w:rsidRPr="000F77D9" w:rsidR="00532F98">
        <w:t xml:space="preserve">study design. </w:t>
      </w:r>
      <w:r w:rsidRPr="000F77D9" w:rsidR="009B05AD">
        <w:t xml:space="preserve">Under the original plan, </w:t>
      </w:r>
      <w:r w:rsidRPr="000F77D9" w:rsidR="00DC670C">
        <w:t xml:space="preserve">RTI would </w:t>
      </w:r>
      <w:r w:rsidR="00DA0DCC">
        <w:t xml:space="preserve">develop loss coefficients for LAFA commodities </w:t>
      </w:r>
      <w:r w:rsidR="00C87B71">
        <w:t xml:space="preserve">as the difference </w:t>
      </w:r>
      <w:r w:rsidRPr="000F77D9" w:rsidR="00C87B71">
        <w:t>between the total annual weight of product sold in stores and the total annual weight of product shipped to stores expressed as a percentage of the shipment weight for the most recent year available</w:t>
      </w:r>
      <w:r w:rsidR="00C87B71">
        <w:t xml:space="preserve">. </w:t>
      </w:r>
      <w:r w:rsidR="00157861">
        <w:t>For the Field Test, RTI would collect</w:t>
      </w:r>
      <w:r w:rsidRPr="000F77D9" w:rsidR="00DC670C">
        <w:t xml:space="preserve"> detailed product-level shipment and sales data from </w:t>
      </w:r>
      <w:r w:rsidR="00DC670C">
        <w:t xml:space="preserve">a sample of 20 </w:t>
      </w:r>
      <w:r w:rsidR="0004052C">
        <w:t xml:space="preserve">retail </w:t>
      </w:r>
      <w:r w:rsidR="00DC670C">
        <w:t>stores</w:t>
      </w:r>
      <w:r w:rsidR="0004052C">
        <w:t xml:space="preserve"> (e.g., grocery stores)</w:t>
      </w:r>
      <w:r w:rsidRPr="000F77D9" w:rsidR="00DC670C">
        <w:t xml:space="preserve">, along with data on intra-store transfers of food (i.e., products used to prepare foods on site) and charitable food donations, if available. Product donations and intra-store transfers would be reflected in shipments into the store but would not be included in sales data because they are not sold directly to customers. These data would be needed to adjust the calculations so that they would not be included in the loss </w:t>
      </w:r>
      <w:r w:rsidR="00173398">
        <w:t xml:space="preserve">factor </w:t>
      </w:r>
      <w:r w:rsidRPr="000F77D9" w:rsidR="00DC670C">
        <w:t>estimates.</w:t>
      </w:r>
      <w:r w:rsidR="004B5571">
        <w:t xml:space="preserve"> </w:t>
      </w:r>
      <w:r w:rsidRPr="00E1399B" w:rsidR="0004052C">
        <w:t xml:space="preserve">The plan was to collect store-level data from the corporate headquarters and provide an electronic template </w:t>
      </w:r>
      <w:r w:rsidR="0004052C">
        <w:t xml:space="preserve">that could be used to </w:t>
      </w:r>
      <w:r w:rsidRPr="00E1399B" w:rsidR="0004052C">
        <w:t>provide data in a standardized format</w:t>
      </w:r>
      <w:r w:rsidR="0004052C">
        <w:t xml:space="preserve"> for each sampled store</w:t>
      </w:r>
      <w:proofErr w:type="gramStart"/>
      <w:r w:rsidRPr="00E1399B" w:rsidR="0004052C">
        <w:t>.</w:t>
      </w:r>
      <w:r w:rsidR="0004052C">
        <w:t xml:space="preserve"> </w:t>
      </w:r>
      <w:r w:rsidRPr="000F77D9" w:rsidR="00912582">
        <w:t>.</w:t>
      </w:r>
      <w:proofErr w:type="gramEnd"/>
      <w:r w:rsidRPr="000F77D9" w:rsidR="00A71B3C">
        <w:t xml:space="preserve"> </w:t>
      </w:r>
      <w:r w:rsidRPr="008D5FA7" w:rsidR="00532F98">
        <w:t xml:space="preserve">Each </w:t>
      </w:r>
      <w:r w:rsidR="0004052C">
        <w:t xml:space="preserve">sampled store </w:t>
      </w:r>
      <w:r w:rsidRPr="004B5571" w:rsidR="00537A55">
        <w:t xml:space="preserve">would also </w:t>
      </w:r>
      <w:r w:rsidRPr="004B5571" w:rsidR="00A25828">
        <w:t xml:space="preserve">be asked to </w:t>
      </w:r>
      <w:r w:rsidRPr="004B5571" w:rsidR="00532F98">
        <w:t xml:space="preserve">complete a short survey on </w:t>
      </w:r>
      <w:r w:rsidRPr="004B5571" w:rsidR="007E4A6A">
        <w:t xml:space="preserve">the </w:t>
      </w:r>
      <w:r w:rsidRPr="004B5571" w:rsidR="00532F98">
        <w:t>drivers of food loss</w:t>
      </w:r>
      <w:r w:rsidRPr="004B5571" w:rsidR="00904631">
        <w:t xml:space="preserve"> in the</w:t>
      </w:r>
      <w:r w:rsidRPr="004B5571" w:rsidR="007D2F4B">
        <w:t xml:space="preserve"> sampled </w:t>
      </w:r>
      <w:r w:rsidRPr="004B5571" w:rsidR="00904631">
        <w:t>store</w:t>
      </w:r>
      <w:r w:rsidRPr="004B5571" w:rsidR="00B43D8D">
        <w:t xml:space="preserve">, </w:t>
      </w:r>
      <w:r w:rsidRPr="004B5571" w:rsidR="00532F98">
        <w:t xml:space="preserve">that is, why food is unable to be sold (e.g., spoilage, theft, product recalls). </w:t>
      </w:r>
    </w:p>
    <w:p w:rsidRPr="000F77D9" w:rsidR="00532F98" w:rsidP="0084233D" w:rsidRDefault="00CF77C3" w14:paraId="4EDAED79" w14:textId="2FC1B2E7">
      <w:pPr>
        <w:pStyle w:val="BodyText"/>
      </w:pPr>
      <w:r w:rsidRPr="000F77D9">
        <w:t xml:space="preserve">ERS’s </w:t>
      </w:r>
      <w:r w:rsidRPr="000F77D9" w:rsidR="00532F98">
        <w:t>OMB</w:t>
      </w:r>
      <w:r w:rsidRPr="000F77D9">
        <w:t xml:space="preserve"> desk officer and other staff</w:t>
      </w:r>
      <w:r w:rsidRPr="000F77D9" w:rsidR="00532F98">
        <w:t xml:space="preserve"> expressed concerns about the coverage of </w:t>
      </w:r>
      <w:r w:rsidRPr="000F77D9" w:rsidR="006F505B">
        <w:t>Nielsen TDLinx</w:t>
      </w:r>
      <w:r w:rsidR="006F505B">
        <w:t xml:space="preserve">, </w:t>
      </w:r>
      <w:r w:rsidRPr="00BB18E1" w:rsidR="00F2572F">
        <w:t>a proprietary commercial database</w:t>
      </w:r>
      <w:r w:rsidR="00F2572F">
        <w:t xml:space="preserve"> that was </w:t>
      </w:r>
      <w:r w:rsidRPr="000F77D9" w:rsidR="005209F2">
        <w:t xml:space="preserve">proposed </w:t>
      </w:r>
      <w:r w:rsidR="00F2572F">
        <w:t xml:space="preserve">as the </w:t>
      </w:r>
      <w:r w:rsidRPr="000F77D9" w:rsidR="00532F98">
        <w:t>sample frame</w:t>
      </w:r>
      <w:r w:rsidR="0004052C">
        <w:t xml:space="preserve"> </w:t>
      </w:r>
      <w:r w:rsidR="006F505B">
        <w:t xml:space="preserve">for the Field Test and </w:t>
      </w:r>
      <w:r w:rsidR="00F2572F">
        <w:t>subsequent full data collection</w:t>
      </w:r>
      <w:r w:rsidR="00365F88">
        <w:t>.</w:t>
      </w:r>
      <w:r w:rsidR="00F0534B">
        <w:t xml:space="preserve"> </w:t>
      </w:r>
      <w:r w:rsidR="00365F88">
        <w:t xml:space="preserve">For example, </w:t>
      </w:r>
      <w:r w:rsidR="0004052C">
        <w:t>because</w:t>
      </w:r>
      <w:r w:rsidR="00365F88">
        <w:t xml:space="preserve"> TDL</w:t>
      </w:r>
      <w:r w:rsidR="008226AC">
        <w:t>inx</w:t>
      </w:r>
      <w:r w:rsidR="00365F88">
        <w:t xml:space="preserve"> </w:t>
      </w:r>
      <w:r w:rsidR="001C313A">
        <w:t xml:space="preserve">excludes grocery stores with less than $1 million in annual sales </w:t>
      </w:r>
      <w:r w:rsidR="00B3212B">
        <w:t xml:space="preserve">(e.g., </w:t>
      </w:r>
      <w:r w:rsidR="00C60F8E">
        <w:t xml:space="preserve">small </w:t>
      </w:r>
      <w:r w:rsidR="00B3212B">
        <w:t>Mom &amp; Pop</w:t>
      </w:r>
      <w:r w:rsidR="00C60F8E">
        <w:t>/corner grocery</w:t>
      </w:r>
      <w:r w:rsidR="00B3212B">
        <w:t xml:space="preserve"> stores) </w:t>
      </w:r>
      <w:r w:rsidR="001C313A">
        <w:t xml:space="preserve">in its grocery trade classification, </w:t>
      </w:r>
      <w:r w:rsidR="00365F88">
        <w:t>OMB was concerned that smaller stores</w:t>
      </w:r>
      <w:r w:rsidR="008226AC">
        <w:t xml:space="preserve"> t</w:t>
      </w:r>
      <w:r w:rsidR="0004052C">
        <w:t xml:space="preserve">hat </w:t>
      </w:r>
      <w:r w:rsidR="00365F88">
        <w:t xml:space="preserve">may have different </w:t>
      </w:r>
      <w:r w:rsidR="0004052C">
        <w:t xml:space="preserve">food </w:t>
      </w:r>
      <w:r w:rsidR="00365F88">
        <w:t xml:space="preserve">loss patterns </w:t>
      </w:r>
      <w:r w:rsidR="008226AC">
        <w:t xml:space="preserve">might </w:t>
      </w:r>
      <w:r w:rsidR="0004052C">
        <w:t>be excluded from the data collection</w:t>
      </w:r>
      <w:r w:rsidR="00365F88">
        <w:t xml:space="preserve">. In addition, OMB expressed doubts about the willingness of food retailers to </w:t>
      </w:r>
      <w:r w:rsidR="0004052C">
        <w:t xml:space="preserve">share </w:t>
      </w:r>
      <w:r w:rsidR="00365F88">
        <w:t xml:space="preserve">their confidential data </w:t>
      </w:r>
      <w:r w:rsidR="0004052C">
        <w:t xml:space="preserve">with </w:t>
      </w:r>
      <w:r w:rsidR="00365F88">
        <w:t xml:space="preserve">a government agency, </w:t>
      </w:r>
      <w:r w:rsidR="00365F88">
        <w:lastRenderedPageBreak/>
        <w:t xml:space="preserve">which </w:t>
      </w:r>
      <w:r w:rsidR="0004052C">
        <w:t xml:space="preserve">would </w:t>
      </w:r>
      <w:r w:rsidR="00365F88">
        <w:t xml:space="preserve">negatively </w:t>
      </w:r>
      <w:r w:rsidR="008226AC">
        <w:t xml:space="preserve">affect </w:t>
      </w:r>
      <w:r w:rsidR="00365F88">
        <w:t>response rates</w:t>
      </w:r>
      <w:r w:rsidR="00212A33">
        <w:t xml:space="preserve">.  They were also </w:t>
      </w:r>
      <w:r w:rsidR="00441144">
        <w:t>concern</w:t>
      </w:r>
      <w:r w:rsidR="00212A33">
        <w:t>ed</w:t>
      </w:r>
      <w:r w:rsidR="00441144">
        <w:t xml:space="preserve"> about </w:t>
      </w:r>
      <w:r w:rsidR="00212A33">
        <w:t xml:space="preserve">asking companies to use </w:t>
      </w:r>
      <w:r w:rsidR="00441144">
        <w:t xml:space="preserve">a standardized electronic template for data capture </w:t>
      </w:r>
      <w:r w:rsidR="008226AC">
        <w:t xml:space="preserve">that </w:t>
      </w:r>
      <w:r w:rsidR="00441144">
        <w:t>may not be compatible with how some retailers store and maintain their data</w:t>
      </w:r>
      <w:r w:rsidR="00365F88">
        <w:t>.</w:t>
      </w:r>
      <w:r w:rsidR="00F0534B">
        <w:t xml:space="preserve"> </w:t>
      </w:r>
      <w:r w:rsidRPr="000F77D9" w:rsidR="00532F98">
        <w:t xml:space="preserve">To address these concerns, OMB </w:t>
      </w:r>
      <w:r w:rsidRPr="000F77D9" w:rsidR="005837DF">
        <w:t xml:space="preserve">asked </w:t>
      </w:r>
      <w:r w:rsidRPr="000F77D9" w:rsidR="00532F98">
        <w:t>ERS</w:t>
      </w:r>
      <w:r w:rsidRPr="000F77D9" w:rsidR="005209F2">
        <w:t>/RTI</w:t>
      </w:r>
      <w:r w:rsidRPr="000F77D9" w:rsidR="00532F98">
        <w:t xml:space="preserve"> </w:t>
      </w:r>
      <w:r w:rsidRPr="000F77D9" w:rsidR="005837DF">
        <w:t xml:space="preserve">to </w:t>
      </w:r>
      <w:r w:rsidRPr="000F77D9" w:rsidR="00532F98">
        <w:t>consult with the U.S. Census Bureau to see if</w:t>
      </w:r>
      <w:r w:rsidRPr="004D7A38" w:rsidR="00532F98">
        <w:t xml:space="preserve"> </w:t>
      </w:r>
      <w:r w:rsidRPr="000F77D9" w:rsidR="00532F98">
        <w:t>the</w:t>
      </w:r>
      <w:r w:rsidRPr="000F77D9" w:rsidR="00912582">
        <w:t>y</w:t>
      </w:r>
      <w:r w:rsidRPr="000F77D9" w:rsidR="00532F98">
        <w:t xml:space="preserve"> might have a lower cost</w:t>
      </w:r>
      <w:r w:rsidRPr="000F77D9" w:rsidR="001B7313">
        <w:t xml:space="preserve"> and</w:t>
      </w:r>
      <w:r w:rsidRPr="000F77D9" w:rsidR="00532F98">
        <w:t xml:space="preserve"> lower burden mandatory survey vehicle that would accomplish the study goals</w:t>
      </w:r>
      <w:r w:rsidRPr="000F77D9" w:rsidR="007A6016">
        <w:t xml:space="preserve">. </w:t>
      </w:r>
      <w:r w:rsidRPr="000F77D9" w:rsidR="00EC370F">
        <w:t>T</w:t>
      </w:r>
      <w:r w:rsidRPr="000F77D9" w:rsidR="006A7726">
        <w:t>his approach</w:t>
      </w:r>
      <w:r w:rsidRPr="000F77D9" w:rsidR="007A6016">
        <w:t xml:space="preserve"> would give RTI </w:t>
      </w:r>
      <w:r w:rsidRPr="000F77D9" w:rsidR="00532F98">
        <w:t xml:space="preserve">access to </w:t>
      </w:r>
      <w:r w:rsidRPr="000F77D9" w:rsidR="00673383">
        <w:t xml:space="preserve">the </w:t>
      </w:r>
      <w:r w:rsidRPr="000F77D9">
        <w:t>Census</w:t>
      </w:r>
      <w:r w:rsidRPr="000F77D9" w:rsidR="00673383">
        <w:t xml:space="preserve"> Bureau</w:t>
      </w:r>
      <w:r w:rsidRPr="000F77D9">
        <w:t xml:space="preserve">’s larger and more </w:t>
      </w:r>
      <w:r w:rsidRPr="000F77D9" w:rsidR="00532F98">
        <w:t xml:space="preserve">complete sample frame and </w:t>
      </w:r>
      <w:r w:rsidRPr="000F77D9">
        <w:t xml:space="preserve">increase the likelihood of survey response by leveraging </w:t>
      </w:r>
      <w:r w:rsidRPr="000F77D9" w:rsidR="00673383">
        <w:t xml:space="preserve">the </w:t>
      </w:r>
      <w:r w:rsidRPr="000F77D9">
        <w:t>Census</w:t>
      </w:r>
      <w:r w:rsidRPr="000F77D9" w:rsidR="00673383">
        <w:t xml:space="preserve"> Bureau</w:t>
      </w:r>
      <w:r w:rsidRPr="000F77D9">
        <w:t xml:space="preserve">’s </w:t>
      </w:r>
      <w:r w:rsidRPr="000F77D9" w:rsidR="00532F98">
        <w:t xml:space="preserve">preexisting relationships with corporate entities. </w:t>
      </w:r>
    </w:p>
    <w:p w:rsidRPr="000F77D9" w:rsidR="00974212" w:rsidP="0084233D" w:rsidRDefault="00532F98" w14:paraId="341DC6E8" w14:textId="1758285A">
      <w:pPr>
        <w:pStyle w:val="BodyText"/>
      </w:pPr>
      <w:r w:rsidRPr="000F77D9">
        <w:t>In July 2019, ERS</w:t>
      </w:r>
      <w:r w:rsidRPr="000F77D9" w:rsidR="002A0D9B">
        <w:t xml:space="preserve"> and</w:t>
      </w:r>
      <w:r w:rsidRPr="000F77D9">
        <w:t xml:space="preserve"> RTI began a series of meetings with staff from the Census Bureau’s Economic Reimbursable Surveys Division </w:t>
      </w:r>
      <w:r w:rsidRPr="000F77D9" w:rsidR="00550330">
        <w:t xml:space="preserve">(ERSD) </w:t>
      </w:r>
      <w:r w:rsidRPr="000F77D9">
        <w:t xml:space="preserve">to discuss how ERS and Census might work together </w:t>
      </w:r>
      <w:r w:rsidR="006F505B">
        <w:t>to</w:t>
      </w:r>
      <w:r w:rsidR="00414D71">
        <w:t xml:space="preserve"> </w:t>
      </w:r>
      <w:r w:rsidR="006F505B">
        <w:t xml:space="preserve">collect the data that RTI would need to calculate loss </w:t>
      </w:r>
      <w:r w:rsidR="003F0CAD">
        <w:t>factors f</w:t>
      </w:r>
      <w:r w:rsidR="006F505B">
        <w:t>or LAFA commodities</w:t>
      </w:r>
      <w:r w:rsidR="00414D71">
        <w:t>, starting with a Field Tes</w:t>
      </w:r>
      <w:r w:rsidR="0004052C">
        <w:t>t</w:t>
      </w:r>
      <w:r w:rsidRPr="000F77D9">
        <w:t xml:space="preserve">. </w:t>
      </w:r>
      <w:r w:rsidR="008226AC">
        <w:t>F</w:t>
      </w:r>
      <w:r w:rsidRPr="000F77D9" w:rsidR="00B43D8D">
        <w:t xml:space="preserve">ive </w:t>
      </w:r>
      <w:r w:rsidRPr="000F77D9">
        <w:t xml:space="preserve">in-person meetings </w:t>
      </w:r>
      <w:r w:rsidRPr="000F77D9" w:rsidR="006A7726">
        <w:t xml:space="preserve">or </w:t>
      </w:r>
      <w:r w:rsidRPr="000F77D9">
        <w:t xml:space="preserve">conference calls </w:t>
      </w:r>
      <w:r w:rsidR="008226AC">
        <w:t xml:space="preserve">were held </w:t>
      </w:r>
      <w:r w:rsidRPr="000F77D9">
        <w:t>between July 2019 and January 2020</w:t>
      </w:r>
      <w:r w:rsidRPr="000F77D9" w:rsidR="007469F4">
        <w:t xml:space="preserve">. </w:t>
      </w:r>
      <w:r w:rsidRPr="000F77D9" w:rsidR="007A6016">
        <w:t xml:space="preserve">Our initial discussions focused on </w:t>
      </w:r>
      <w:r w:rsidRPr="000F77D9">
        <w:t xml:space="preserve">the suitability of different survey vehicles for collecting the </w:t>
      </w:r>
      <w:r w:rsidRPr="000F77D9" w:rsidR="007469F4">
        <w:t xml:space="preserve">study </w:t>
      </w:r>
      <w:r w:rsidRPr="000F77D9">
        <w:t>data</w:t>
      </w:r>
      <w:r w:rsidRPr="000F77D9" w:rsidR="001B29F9">
        <w:t>,</w:t>
      </w:r>
      <w:r w:rsidRPr="000F77D9">
        <w:t xml:space="preserve"> including the Commodity Flows Survey</w:t>
      </w:r>
      <w:r w:rsidRPr="000F77D9" w:rsidR="00A25828">
        <w:t xml:space="preserve"> (CFS)</w:t>
      </w:r>
      <w:r w:rsidRPr="000F77D9">
        <w:t xml:space="preserve">, the Annual Retail Trade Survey (ARTS), and the Annual Business Survey (ABS). The </w:t>
      </w:r>
      <w:r w:rsidRPr="000F77D9" w:rsidR="00A25828">
        <w:t>CFS</w:t>
      </w:r>
      <w:r w:rsidRPr="000F77D9">
        <w:t xml:space="preserve"> collects data from wholesalers rather than retailers and was deemed unsuitable. </w:t>
      </w:r>
      <w:r w:rsidRPr="000F77D9" w:rsidR="002870DB">
        <w:t>T</w:t>
      </w:r>
      <w:r w:rsidRPr="000F77D9">
        <w:t xml:space="preserve">he </w:t>
      </w:r>
      <w:r w:rsidRPr="000F77D9" w:rsidR="00B43D8D">
        <w:t>ARTS</w:t>
      </w:r>
      <w:r w:rsidRPr="000F77D9" w:rsidDel="00B43D8D" w:rsidR="00B43D8D">
        <w:t xml:space="preserve"> </w:t>
      </w:r>
      <w:r w:rsidRPr="000F77D9">
        <w:t xml:space="preserve">could </w:t>
      </w:r>
      <w:r w:rsidRPr="000F77D9" w:rsidR="002870DB">
        <w:t xml:space="preserve">have </w:t>
      </w:r>
      <w:r w:rsidRPr="000F77D9">
        <w:t>potentially be</w:t>
      </w:r>
      <w:r w:rsidRPr="000F77D9" w:rsidR="002870DB">
        <w:t>en</w:t>
      </w:r>
      <w:r w:rsidRPr="000F77D9">
        <w:t xml:space="preserve"> a good fit</w:t>
      </w:r>
      <w:r w:rsidRPr="000F77D9" w:rsidR="007469F4">
        <w:t xml:space="preserve"> for the data collection</w:t>
      </w:r>
      <w:r w:rsidRPr="000F77D9">
        <w:t xml:space="preserve"> but </w:t>
      </w:r>
      <w:r w:rsidR="00042B87">
        <w:t>was</w:t>
      </w:r>
      <w:r w:rsidRPr="000F77D9">
        <w:t xml:space="preserve"> unavailable </w:t>
      </w:r>
      <w:r w:rsidRPr="000F77D9" w:rsidR="00974212">
        <w:t>as</w:t>
      </w:r>
      <w:r w:rsidRPr="000F77D9" w:rsidR="001B29F9">
        <w:t xml:space="preserve"> </w:t>
      </w:r>
      <w:r w:rsidRPr="000F77D9">
        <w:t xml:space="preserve">it </w:t>
      </w:r>
      <w:r w:rsidR="00042B87">
        <w:t xml:space="preserve">was </w:t>
      </w:r>
      <w:r w:rsidRPr="000F77D9">
        <w:t>undergo</w:t>
      </w:r>
      <w:r w:rsidR="00042B87">
        <w:t>ing</w:t>
      </w:r>
      <w:r w:rsidRPr="000F77D9">
        <w:t xml:space="preserve"> methodological redesign and testing. The ABS was</w:t>
      </w:r>
      <w:r w:rsidRPr="000F77D9" w:rsidR="001B29F9">
        <w:t>,</w:t>
      </w:r>
      <w:r w:rsidRPr="000F77D9">
        <w:t xml:space="preserve"> therefore</w:t>
      </w:r>
      <w:r w:rsidRPr="000F77D9" w:rsidR="001B29F9">
        <w:t>,</w:t>
      </w:r>
      <w:r w:rsidRPr="000F77D9">
        <w:t xml:space="preserve"> the only remaining survey vehicle available for the study.</w:t>
      </w:r>
      <w:r w:rsidR="00441144">
        <w:rPr>
          <w:rStyle w:val="FootnoteReference"/>
        </w:rPr>
        <w:footnoteReference w:id="7"/>
      </w:r>
      <w:r w:rsidRPr="000F77D9">
        <w:t xml:space="preserve"> </w:t>
      </w:r>
    </w:p>
    <w:p w:rsidRPr="000F77D9" w:rsidR="00532F98" w:rsidP="0084233D" w:rsidRDefault="00532F98" w14:paraId="09A8B024" w14:textId="1C43C945">
      <w:pPr>
        <w:pStyle w:val="BodyText"/>
      </w:pPr>
      <w:r w:rsidRPr="000F77D9">
        <w:t xml:space="preserve">The ABS collects firm-level data from all nonfarm employer businesses filing </w:t>
      </w:r>
      <w:r w:rsidRPr="000F77D9" w:rsidR="00B43D8D">
        <w:t xml:space="preserve">Internal Revenue Service </w:t>
      </w:r>
      <w:r w:rsidRPr="000F77D9">
        <w:t xml:space="preserve">tax returns with receipts of $1,000 or more. About 300,000 total employer businesses across all industries were surveyed (at the </w:t>
      </w:r>
      <w:r w:rsidR="00B46565">
        <w:t xml:space="preserve">establishment </w:t>
      </w:r>
      <w:r w:rsidRPr="000F77D9">
        <w:t>level) in 2018 and 2019. Estimates generated from the survey include number of employer firms</w:t>
      </w:r>
      <w:r w:rsidRPr="000F77D9" w:rsidR="00B43D8D">
        <w:t xml:space="preserve">; </w:t>
      </w:r>
      <w:r w:rsidRPr="000F77D9">
        <w:t>sales and receipts</w:t>
      </w:r>
      <w:r w:rsidRPr="000F77D9" w:rsidR="00B43D8D">
        <w:t xml:space="preserve">; </w:t>
      </w:r>
      <w:r w:rsidRPr="000F77D9">
        <w:t>annual payroll</w:t>
      </w:r>
      <w:r w:rsidRPr="000F77D9" w:rsidR="00B43D8D">
        <w:t xml:space="preserve">; </w:t>
      </w:r>
      <w:r w:rsidRPr="000F77D9">
        <w:t xml:space="preserve">and employment by sex, ethnicity, race, and veteran status and </w:t>
      </w:r>
      <w:r w:rsidRPr="000F77D9" w:rsidR="00E23CC4">
        <w:t xml:space="preserve">are </w:t>
      </w:r>
      <w:r w:rsidRPr="000F77D9">
        <w:t xml:space="preserve">available at the </w:t>
      </w:r>
      <w:r w:rsidRPr="000F77D9" w:rsidR="00E23CC4">
        <w:t>national</w:t>
      </w:r>
      <w:r w:rsidRPr="000F77D9">
        <w:t xml:space="preserve">, state, metropolitan statistical area, </w:t>
      </w:r>
      <w:r w:rsidRPr="000F77D9" w:rsidR="00D02600">
        <w:t>county,</w:t>
      </w:r>
      <w:r w:rsidRPr="000F77D9">
        <w:t xml:space="preserve"> and economic place levels. Estimates are also available by North American Industry Classification System sector. Additionally, the ABS is designed to incorporate new content each survey year based on topics of relevance, thus making it potentially suitable to add new content for </w:t>
      </w:r>
      <w:r w:rsidR="00F2572F">
        <w:t xml:space="preserve">a nationally representative data collection on </w:t>
      </w:r>
      <w:r w:rsidRPr="000F77D9">
        <w:t xml:space="preserve">retail </w:t>
      </w:r>
      <w:r w:rsidR="00F2572F">
        <w:t xml:space="preserve">food </w:t>
      </w:r>
      <w:r w:rsidRPr="000F77D9">
        <w:t>lo</w:t>
      </w:r>
      <w:r w:rsidR="00441144">
        <w:t>ss</w:t>
      </w:r>
      <w:r w:rsidRPr="000F77D9" w:rsidR="00EC370F">
        <w:t>.</w:t>
      </w:r>
      <w:r w:rsidR="00F0534B">
        <w:t xml:space="preserve"> </w:t>
      </w:r>
      <w:r w:rsidRPr="000F77D9">
        <w:t>New questions are submitted to OMB each year for approval.</w:t>
      </w:r>
    </w:p>
    <w:p w:rsidRPr="00520B57" w:rsidR="00532F98" w:rsidP="0084233D" w:rsidRDefault="00532F98" w14:paraId="2869776F" w14:textId="1CB2B829">
      <w:pPr>
        <w:pStyle w:val="BodyText"/>
      </w:pPr>
      <w:r w:rsidRPr="000F77D9">
        <w:t xml:space="preserve">However, as we progressed through our meetings </w:t>
      </w:r>
      <w:r w:rsidRPr="000F77D9" w:rsidR="00DC1BB2">
        <w:t xml:space="preserve">with </w:t>
      </w:r>
      <w:r w:rsidRPr="000F77D9">
        <w:t>Census</w:t>
      </w:r>
      <w:r w:rsidRPr="000F77D9" w:rsidR="003F21D9">
        <w:t>/</w:t>
      </w:r>
      <w:r w:rsidR="00C01BC6">
        <w:t>ERSD</w:t>
      </w:r>
      <w:r w:rsidRPr="000F77D9" w:rsidR="003F21D9">
        <w:t xml:space="preserve"> </w:t>
      </w:r>
      <w:r w:rsidRPr="000F77D9" w:rsidR="00DC1BB2">
        <w:t xml:space="preserve">and </w:t>
      </w:r>
      <w:r w:rsidRPr="000F77D9" w:rsidR="00C56985">
        <w:t xml:space="preserve">they </w:t>
      </w:r>
      <w:r w:rsidRPr="000F77D9">
        <w:t xml:space="preserve">learned more about the </w:t>
      </w:r>
      <w:r w:rsidRPr="000F77D9" w:rsidR="000A0BB5">
        <w:t xml:space="preserve">detailed </w:t>
      </w:r>
      <w:r w:rsidRPr="000F77D9" w:rsidR="009F7EAB">
        <w:t xml:space="preserve">type </w:t>
      </w:r>
      <w:r w:rsidRPr="000F77D9">
        <w:t xml:space="preserve">of </w:t>
      </w:r>
      <w:r w:rsidRPr="000F77D9" w:rsidR="00E21326">
        <w:t xml:space="preserve">data </w:t>
      </w:r>
      <w:r w:rsidRPr="000F77D9">
        <w:t xml:space="preserve">that we </w:t>
      </w:r>
      <w:r w:rsidRPr="000F77D9" w:rsidR="006220BD">
        <w:t xml:space="preserve">planned </w:t>
      </w:r>
      <w:r w:rsidRPr="000F77D9" w:rsidR="00DC1BB2">
        <w:t xml:space="preserve">to </w:t>
      </w:r>
      <w:r w:rsidRPr="000F77D9" w:rsidR="000A0BB5">
        <w:t xml:space="preserve">request </w:t>
      </w:r>
      <w:r w:rsidRPr="000F77D9">
        <w:t xml:space="preserve">from retailers, </w:t>
      </w:r>
      <w:r w:rsidRPr="000F77D9" w:rsidR="0012740C">
        <w:t xml:space="preserve">significant </w:t>
      </w:r>
      <w:r w:rsidRPr="000F77D9">
        <w:t>obstacles</w:t>
      </w:r>
      <w:r w:rsidRPr="000F77D9" w:rsidR="00E21326">
        <w:t xml:space="preserve"> were identified</w:t>
      </w:r>
      <w:r w:rsidRPr="000F77D9">
        <w:t xml:space="preserve">. </w:t>
      </w:r>
      <w:r w:rsidR="00F0392E">
        <w:t xml:space="preserve">The </w:t>
      </w:r>
      <w:r w:rsidRPr="000F77D9">
        <w:t>ABS do</w:t>
      </w:r>
      <w:r w:rsidR="003F0CAD">
        <w:t>es</w:t>
      </w:r>
      <w:r w:rsidRPr="000F77D9">
        <w:t xml:space="preserve"> not ask </w:t>
      </w:r>
      <w:r w:rsidR="00F2572F">
        <w:t xml:space="preserve">responding </w:t>
      </w:r>
      <w:r w:rsidR="00EE3AF7">
        <w:t xml:space="preserve">businesses </w:t>
      </w:r>
      <w:r w:rsidRPr="000F77D9">
        <w:t xml:space="preserve">to upload data, although technically </w:t>
      </w:r>
      <w:r w:rsidR="00EE3AF7">
        <w:t>they</w:t>
      </w:r>
      <w:r w:rsidRPr="000F77D9">
        <w:t xml:space="preserve"> could be asked to </w:t>
      </w:r>
      <w:r w:rsidRPr="000F77D9" w:rsidR="00E14417">
        <w:t>do this</w:t>
      </w:r>
      <w:r w:rsidRPr="000F77D9" w:rsidR="0071383C">
        <w:t xml:space="preserve">. In addition, </w:t>
      </w:r>
      <w:r w:rsidRPr="000F77D9" w:rsidR="00222355">
        <w:t xml:space="preserve">the </w:t>
      </w:r>
      <w:r w:rsidR="00C01BC6">
        <w:t>ERSD</w:t>
      </w:r>
      <w:r w:rsidRPr="000F77D9">
        <w:t xml:space="preserve"> is not familiar with collecting </w:t>
      </w:r>
      <w:r w:rsidR="00441144">
        <w:t xml:space="preserve">product-level </w:t>
      </w:r>
      <w:r w:rsidRPr="000F77D9">
        <w:t xml:space="preserve">data at the level of detail that ERS </w:t>
      </w:r>
      <w:r w:rsidRPr="000F77D9" w:rsidR="00D635DE">
        <w:t xml:space="preserve">would </w:t>
      </w:r>
      <w:r w:rsidRPr="000F77D9">
        <w:t>need</w:t>
      </w:r>
      <w:r w:rsidR="003D0464">
        <w:t xml:space="preserve"> (e.g.</w:t>
      </w:r>
      <w:r w:rsidR="0004052C">
        <w:t>,</w:t>
      </w:r>
      <w:r w:rsidR="003D0464">
        <w:t xml:space="preserve"> UPC and </w:t>
      </w:r>
      <w:r w:rsidR="00C01BC6">
        <w:t>random-</w:t>
      </w:r>
      <w:r w:rsidR="003D0464">
        <w:t xml:space="preserve">weight level </w:t>
      </w:r>
      <w:r w:rsidR="003D0464">
        <w:lastRenderedPageBreak/>
        <w:t>for LAFA commodities, like beef, cheese</w:t>
      </w:r>
      <w:r w:rsidR="00F2572F">
        <w:t>,</w:t>
      </w:r>
      <w:r w:rsidR="003D0464">
        <w:t xml:space="preserve"> and eggs)</w:t>
      </w:r>
      <w:r w:rsidRPr="000F77D9">
        <w:t xml:space="preserve">. </w:t>
      </w:r>
      <w:r w:rsidR="00C01BC6">
        <w:t>ERSD</w:t>
      </w:r>
      <w:r w:rsidRPr="000F77D9">
        <w:t xml:space="preserve"> </w:t>
      </w:r>
      <w:r w:rsidRPr="000F77D9" w:rsidR="0071383C">
        <w:t xml:space="preserve">staff </w:t>
      </w:r>
      <w:r w:rsidRPr="000F77D9" w:rsidR="00881322">
        <w:t>suggested</w:t>
      </w:r>
      <w:r w:rsidRPr="000F77D9">
        <w:t xml:space="preserve"> using </w:t>
      </w:r>
      <w:r w:rsidRPr="000F77D9" w:rsidR="00E14417">
        <w:t xml:space="preserve">the </w:t>
      </w:r>
      <w:r w:rsidRPr="000F77D9">
        <w:t xml:space="preserve">ABS to pilot test a method for </w:t>
      </w:r>
      <w:r w:rsidRPr="000F77D9" w:rsidR="006A7726">
        <w:t>collecti</w:t>
      </w:r>
      <w:r w:rsidRPr="000F77D9" w:rsidR="006651FE">
        <w:t>ng</w:t>
      </w:r>
      <w:r w:rsidRPr="000F77D9" w:rsidR="006A7726">
        <w:t xml:space="preserve"> </w:t>
      </w:r>
      <w:r w:rsidR="00F2572F">
        <w:t>store-level data on shipment</w:t>
      </w:r>
      <w:r w:rsidR="00C01BC6">
        <w:t>s</w:t>
      </w:r>
      <w:r w:rsidR="00F2572F">
        <w:t xml:space="preserve"> and sales</w:t>
      </w:r>
      <w:r w:rsidRPr="000F77D9">
        <w:t xml:space="preserve">. For example, one test could ask </w:t>
      </w:r>
      <w:r w:rsidR="00F2572F">
        <w:t xml:space="preserve">respondents </w:t>
      </w:r>
      <w:r w:rsidRPr="000F77D9">
        <w:t xml:space="preserve">to </w:t>
      </w:r>
      <w:r w:rsidR="00F2572F">
        <w:t xml:space="preserve">input the requested data into a </w:t>
      </w:r>
      <w:r w:rsidRPr="000F77D9">
        <w:t>preformatted spreadsheet</w:t>
      </w:r>
      <w:r w:rsidRPr="000F77D9" w:rsidR="00B43D8D">
        <w:t>,</w:t>
      </w:r>
      <w:r w:rsidRPr="000F77D9">
        <w:t xml:space="preserve"> while another </w:t>
      </w:r>
      <w:r w:rsidRPr="000F77D9" w:rsidR="00B43D8D">
        <w:t xml:space="preserve">could </w:t>
      </w:r>
      <w:r w:rsidRPr="000F77D9">
        <w:t xml:space="preserve">test a questionnaire format. Another test could assess </w:t>
      </w:r>
      <w:r w:rsidRPr="000F77D9" w:rsidR="00B43D8D">
        <w:t xml:space="preserve">respondents’ </w:t>
      </w:r>
      <w:r w:rsidRPr="000F77D9">
        <w:t xml:space="preserve">ability to attach a large dataset to the </w:t>
      </w:r>
      <w:r w:rsidR="00EE3AF7">
        <w:t xml:space="preserve">online </w:t>
      </w:r>
      <w:r w:rsidRPr="000F77D9">
        <w:t>survey. The earliest that Census could conduct such a test would be 2022 with a minimum of two rounds of testing anticipated.</w:t>
      </w:r>
      <w:r w:rsidRPr="000F77D9" w:rsidR="00946EB8">
        <w:t xml:space="preserve"> </w:t>
      </w:r>
      <w:r w:rsidRPr="000F77D9" w:rsidR="009F7EAB">
        <w:t xml:space="preserve">This would have taken us past </w:t>
      </w:r>
      <w:r w:rsidRPr="000F77D9" w:rsidR="00617D2F">
        <w:t xml:space="preserve">the period of performance </w:t>
      </w:r>
      <w:r w:rsidRPr="000F77D9" w:rsidR="009F7EAB">
        <w:t>of the RTI contract, which end</w:t>
      </w:r>
      <w:r w:rsidR="00C01BC6">
        <w:t>s</w:t>
      </w:r>
      <w:r w:rsidRPr="000F77D9" w:rsidR="009F7EAB">
        <w:t xml:space="preserve"> in September 2022 (the contract has subsequently been extended by </w:t>
      </w:r>
      <w:r w:rsidR="00C01BC6">
        <w:t>1</w:t>
      </w:r>
      <w:r w:rsidRPr="000F77D9" w:rsidR="00C01BC6">
        <w:t xml:space="preserve"> </w:t>
      </w:r>
      <w:r w:rsidRPr="000F77D9" w:rsidR="009F7EAB">
        <w:t>year</w:t>
      </w:r>
      <w:r w:rsidR="00E67C37">
        <w:t xml:space="preserve"> to September 2023</w:t>
      </w:r>
      <w:r w:rsidRPr="000F77D9" w:rsidR="009F7EAB">
        <w:t xml:space="preserve">). </w:t>
      </w:r>
      <w:r w:rsidRPr="000F77D9">
        <w:t xml:space="preserve">During </w:t>
      </w:r>
      <w:r w:rsidRPr="000F77D9" w:rsidR="00660AEE">
        <w:t xml:space="preserve">our final </w:t>
      </w:r>
      <w:r w:rsidRPr="000F77D9">
        <w:t xml:space="preserve">meeting in January 2020, </w:t>
      </w:r>
      <w:r w:rsidRPr="000F77D9" w:rsidR="00E14417">
        <w:t>Census</w:t>
      </w:r>
      <w:r w:rsidRPr="000F77D9" w:rsidR="003F21D9">
        <w:t>/ERSD</w:t>
      </w:r>
      <w:r w:rsidRPr="000F77D9" w:rsidR="00E14417">
        <w:t>, RTI</w:t>
      </w:r>
      <w:r w:rsidRPr="000F77D9" w:rsidR="00881322">
        <w:t>,</w:t>
      </w:r>
      <w:r w:rsidRPr="000F77D9" w:rsidR="00E14417">
        <w:t xml:space="preserve"> and ERS jointly</w:t>
      </w:r>
      <w:r w:rsidRPr="000F77D9" w:rsidR="00946EB8">
        <w:t xml:space="preserve"> </w:t>
      </w:r>
      <w:r w:rsidRPr="000F77D9" w:rsidR="00222355">
        <w:t xml:space="preserve">decided to abandon </w:t>
      </w:r>
      <w:r w:rsidRPr="000F77D9" w:rsidR="00F0631B">
        <w:t xml:space="preserve">the </w:t>
      </w:r>
      <w:r w:rsidRPr="000F77D9" w:rsidR="006220BD">
        <w:t xml:space="preserve">ABS </w:t>
      </w:r>
      <w:r w:rsidRPr="000F77D9" w:rsidR="00F0631B">
        <w:t xml:space="preserve">approach </w:t>
      </w:r>
      <w:r w:rsidRPr="000F77D9" w:rsidR="0069399D">
        <w:t xml:space="preserve">and </w:t>
      </w:r>
      <w:r w:rsidRPr="000F77D9" w:rsidR="006220BD">
        <w:t xml:space="preserve">replace it with </w:t>
      </w:r>
      <w:r w:rsidRPr="000F77D9">
        <w:t xml:space="preserve">additional exploratory work </w:t>
      </w:r>
      <w:r w:rsidRPr="000F77D9" w:rsidR="00222355">
        <w:t>that would inform the appropriate method</w:t>
      </w:r>
      <w:r w:rsidRPr="000F77D9" w:rsidR="007E0772">
        <w:t>ology</w:t>
      </w:r>
      <w:r w:rsidRPr="000F77D9" w:rsidR="00222355">
        <w:t xml:space="preserve"> for </w:t>
      </w:r>
      <w:r w:rsidRPr="000F77D9" w:rsidR="007E0772">
        <w:t xml:space="preserve">a </w:t>
      </w:r>
      <w:r w:rsidR="00E67C37">
        <w:t xml:space="preserve">Field Test and ultimately for a </w:t>
      </w:r>
      <w:r w:rsidR="00F2572F">
        <w:t xml:space="preserve">full </w:t>
      </w:r>
      <w:r w:rsidRPr="000F77D9" w:rsidR="007E0772">
        <w:t>nationally</w:t>
      </w:r>
      <w:r w:rsidRPr="000F77D9" w:rsidR="00226A7B">
        <w:t xml:space="preserve"> </w:t>
      </w:r>
      <w:r w:rsidRPr="000F77D9" w:rsidR="007E0772">
        <w:t xml:space="preserve">representative </w:t>
      </w:r>
      <w:r w:rsidR="00E67C37">
        <w:t>data collection</w:t>
      </w:r>
      <w:r w:rsidR="006220BD">
        <w:t>.</w:t>
      </w:r>
      <w:r w:rsidRPr="00520B57" w:rsidR="007F3FAB">
        <w:t xml:space="preserve"> </w:t>
      </w:r>
    </w:p>
    <w:p w:rsidRPr="000F77D9" w:rsidR="00532F98" w:rsidP="0084233D" w:rsidRDefault="00532F98" w14:paraId="33FA8D87" w14:textId="7E632866">
      <w:pPr>
        <w:pStyle w:val="BodyText"/>
      </w:pPr>
      <w:r w:rsidRPr="000F77D9">
        <w:t xml:space="preserve">ERS and RTI </w:t>
      </w:r>
      <w:r w:rsidRPr="000F77D9" w:rsidR="001D069C">
        <w:t xml:space="preserve">subsequently learned that the nonprofit group </w:t>
      </w:r>
      <w:r w:rsidRPr="000F77D9" w:rsidR="000121DB">
        <w:t>ReFED</w:t>
      </w:r>
      <w:r w:rsidRPr="000F77D9" w:rsidR="006651FE">
        <w:t>,</w:t>
      </w:r>
      <w:r w:rsidRPr="000F77D9" w:rsidR="000121DB">
        <w:rPr>
          <w:rStyle w:val="FootnoteReference"/>
        </w:rPr>
        <w:footnoteReference w:id="8"/>
      </w:r>
      <w:r w:rsidRPr="000F77D9" w:rsidR="000121DB">
        <w:t xml:space="preserve"> </w:t>
      </w:r>
      <w:r w:rsidRPr="000F77D9" w:rsidR="006651FE">
        <w:t xml:space="preserve">which </w:t>
      </w:r>
      <w:r w:rsidRPr="000F77D9" w:rsidR="001D069C">
        <w:t>has a Memorandum of Understanding with USDA</w:t>
      </w:r>
      <w:r w:rsidRPr="000F77D9" w:rsidR="00D67417">
        <w:t>’s Office of the Chief Economist</w:t>
      </w:r>
      <w:r w:rsidRPr="000F77D9" w:rsidR="001D069C">
        <w:t xml:space="preserve"> to collaborate on food loss and waste measurement issues</w:t>
      </w:r>
      <w:r w:rsidRPr="000F77D9" w:rsidR="000121DB">
        <w:rPr>
          <w:rStyle w:val="FootnoteReference"/>
          <w:vertAlign w:val="baseline"/>
        </w:rPr>
        <w:t xml:space="preserve"> </w:t>
      </w:r>
      <w:r w:rsidRPr="00F453B0" w:rsidR="000121DB">
        <w:t>(Appendix A</w:t>
      </w:r>
      <w:r w:rsidRPr="000F77D9" w:rsidR="000121DB">
        <w:t>)</w:t>
      </w:r>
      <w:r w:rsidRPr="000F77D9" w:rsidR="006651FE">
        <w:t>,</w:t>
      </w:r>
      <w:r w:rsidRPr="000F77D9" w:rsidR="000121DB">
        <w:t xml:space="preserve"> </w:t>
      </w:r>
      <w:r w:rsidRPr="000F77D9" w:rsidR="00F02491">
        <w:t xml:space="preserve">already </w:t>
      </w:r>
      <w:r w:rsidRPr="000F77D9" w:rsidR="00C706BE">
        <w:t xml:space="preserve">had a </w:t>
      </w:r>
      <w:r w:rsidRPr="000F77D9" w:rsidR="009F7EAB">
        <w:t xml:space="preserve">pilot </w:t>
      </w:r>
      <w:r w:rsidRPr="000F77D9" w:rsidR="00C706BE">
        <w:t xml:space="preserve">project underway to collect sales and shipment data </w:t>
      </w:r>
      <w:r w:rsidRPr="000F77D9" w:rsidR="00FD6373">
        <w:t xml:space="preserve">(in dollar value) </w:t>
      </w:r>
      <w:r w:rsidRPr="000F77D9" w:rsidR="00C706BE">
        <w:t xml:space="preserve">from </w:t>
      </w:r>
      <w:r w:rsidRPr="000F77D9" w:rsidR="00BE7A39">
        <w:t xml:space="preserve">companies </w:t>
      </w:r>
      <w:r w:rsidR="00C01BC6">
        <w:t>that</w:t>
      </w:r>
      <w:r w:rsidRPr="000F77D9" w:rsidR="00C01BC6">
        <w:t xml:space="preserve"> </w:t>
      </w:r>
      <w:r w:rsidRPr="000F77D9" w:rsidR="00BE7A39">
        <w:t>are members of the Pacific Coast Collaborative</w:t>
      </w:r>
      <w:r w:rsidRPr="000F77D9" w:rsidR="00BE7A39">
        <w:rPr>
          <w:rStyle w:val="FootnoteReference"/>
        </w:rPr>
        <w:footnoteReference w:id="9"/>
      </w:r>
      <w:r w:rsidRPr="000F77D9" w:rsidR="00BE7A39">
        <w:t xml:space="preserve"> </w:t>
      </w:r>
      <w:r w:rsidRPr="000F77D9" w:rsidR="00C706BE">
        <w:t xml:space="preserve">to estimate retail-level food loss. </w:t>
      </w:r>
      <w:r w:rsidRPr="000F77D9" w:rsidR="009F7EAB">
        <w:t xml:space="preserve">The pilot is a test of ReFED’s newly developed </w:t>
      </w:r>
      <w:r w:rsidRPr="000F77D9" w:rsidR="000A0BB5">
        <w:t>“Grocery Store Calculator</w:t>
      </w:r>
      <w:r w:rsidR="009018FB">
        <w:t>,</w:t>
      </w:r>
      <w:r w:rsidRPr="000F77D9" w:rsidR="000A0BB5">
        <w:t xml:space="preserve">” </w:t>
      </w:r>
      <w:r w:rsidR="009018FB">
        <w:t xml:space="preserve">part of their </w:t>
      </w:r>
      <w:r w:rsidRPr="00F453B0" w:rsidR="009018FB">
        <w:rPr>
          <w:i/>
          <w:iCs/>
        </w:rPr>
        <w:t>Insights Engine</w:t>
      </w:r>
      <w:r w:rsidR="00F61C21">
        <w:t xml:space="preserve"> </w:t>
      </w:r>
      <w:r w:rsidRPr="00F453B0" w:rsidR="00F61C21">
        <w:rPr>
          <w:i/>
          <w:iCs/>
        </w:rPr>
        <w:t>Food Waste Monitor</w:t>
      </w:r>
      <w:r w:rsidR="00F61C21">
        <w:rPr>
          <w:rStyle w:val="FootnoteReference"/>
          <w:i/>
          <w:iCs/>
        </w:rPr>
        <w:footnoteReference w:id="10"/>
      </w:r>
      <w:r w:rsidR="00F61C21">
        <w:t xml:space="preserve"> </w:t>
      </w:r>
      <w:r w:rsidRPr="000F77D9" w:rsidR="000A0BB5">
        <w:t>that w</w:t>
      </w:r>
      <w:r w:rsidRPr="000F77D9" w:rsidR="009F7EAB">
        <w:t>ill</w:t>
      </w:r>
      <w:r w:rsidRPr="000F77D9" w:rsidR="000A0BB5">
        <w:t xml:space="preserve"> calculate </w:t>
      </w:r>
      <w:r w:rsidRPr="000F77D9" w:rsidR="009F7EAB">
        <w:t xml:space="preserve">retail-level food </w:t>
      </w:r>
      <w:r w:rsidRPr="000F77D9" w:rsidR="000A0BB5">
        <w:t xml:space="preserve">loss amounts using </w:t>
      </w:r>
      <w:r w:rsidRPr="000F77D9" w:rsidR="009F7EAB">
        <w:t xml:space="preserve">sales and shipment data </w:t>
      </w:r>
      <w:r w:rsidRPr="000F77D9" w:rsidR="00673383">
        <w:t>inputted</w:t>
      </w:r>
      <w:r w:rsidRPr="000F77D9" w:rsidR="009F7EAB">
        <w:t xml:space="preserve"> by food retailers and </w:t>
      </w:r>
      <w:r w:rsidRPr="000F77D9" w:rsidR="000A0BB5">
        <w:t xml:space="preserve">prices and package weight data supplied by </w:t>
      </w:r>
      <w:r w:rsidRPr="000F77D9" w:rsidR="00A75CB3">
        <w:t>third-</w:t>
      </w:r>
      <w:r w:rsidRPr="000F77D9" w:rsidR="000A0BB5">
        <w:t>party firms</w:t>
      </w:r>
      <w:r w:rsidRPr="000F77D9" w:rsidR="00BC787A">
        <w:t xml:space="preserve">. </w:t>
      </w:r>
      <w:r w:rsidRPr="000F77D9" w:rsidR="00C706BE">
        <w:t>A</w:t>
      </w:r>
      <w:r w:rsidRPr="000F77D9" w:rsidR="000A0BB5">
        <w:t xml:space="preserve">t OMB’s request, </w:t>
      </w:r>
      <w:r w:rsidRPr="000F77D9" w:rsidR="00C706BE">
        <w:t xml:space="preserve">RTI and ERS </w:t>
      </w:r>
      <w:r w:rsidRPr="000F77D9" w:rsidR="000A0BB5">
        <w:t xml:space="preserve">met several times </w:t>
      </w:r>
      <w:r w:rsidRPr="000F77D9" w:rsidR="00946EB8">
        <w:t xml:space="preserve">with </w:t>
      </w:r>
      <w:r w:rsidRPr="000F77D9" w:rsidR="00FC2D15">
        <w:t>ReFED</w:t>
      </w:r>
      <w:r w:rsidRPr="000F77D9" w:rsidR="00881322">
        <w:t xml:space="preserve"> </w:t>
      </w:r>
      <w:r w:rsidRPr="000F77D9" w:rsidR="00946EB8">
        <w:t xml:space="preserve">in 2020 </w:t>
      </w:r>
      <w:r w:rsidRPr="000F77D9">
        <w:t xml:space="preserve">to </w:t>
      </w:r>
      <w:r w:rsidRPr="000F77D9" w:rsidR="00FC2D15">
        <w:t xml:space="preserve">learn more about their study and </w:t>
      </w:r>
      <w:r w:rsidRPr="000F77D9" w:rsidR="00F02491">
        <w:t>discuss concerns</w:t>
      </w:r>
      <w:r w:rsidRPr="000F77D9" w:rsidR="000A0BB5">
        <w:t xml:space="preserve"> that </w:t>
      </w:r>
      <w:r w:rsidR="0017285F">
        <w:t>respondents</w:t>
      </w:r>
      <w:r w:rsidR="00F0534B">
        <w:t xml:space="preserve"> </w:t>
      </w:r>
      <w:r w:rsidRPr="000F77D9" w:rsidR="000A0BB5">
        <w:t xml:space="preserve">may be unduly burdened with similar </w:t>
      </w:r>
      <w:r w:rsidRPr="000F77D9" w:rsidR="00FC2D15">
        <w:t xml:space="preserve">data requests </w:t>
      </w:r>
      <w:r w:rsidRPr="000F77D9">
        <w:t xml:space="preserve">from two different organizations. </w:t>
      </w:r>
      <w:r w:rsidRPr="000F77D9" w:rsidR="009E3E63">
        <w:t>After</w:t>
      </w:r>
      <w:r w:rsidRPr="000F77D9" w:rsidR="00CE2644">
        <w:t xml:space="preserve"> extensive discussions</w:t>
      </w:r>
      <w:r w:rsidRPr="000F77D9" w:rsidR="009E3E63">
        <w:t xml:space="preserve"> over several months</w:t>
      </w:r>
      <w:r w:rsidRPr="000F77D9" w:rsidR="00CE2644">
        <w:t xml:space="preserve">, </w:t>
      </w:r>
      <w:r w:rsidRPr="000F77D9" w:rsidR="009E3E63">
        <w:t>E</w:t>
      </w:r>
      <w:r w:rsidRPr="000F77D9" w:rsidR="00CE2644">
        <w:t xml:space="preserve">RS and ReFED </w:t>
      </w:r>
      <w:r w:rsidRPr="000F77D9" w:rsidR="009E3E63">
        <w:t xml:space="preserve">mutually </w:t>
      </w:r>
      <w:r w:rsidRPr="000F77D9" w:rsidR="00B858F0">
        <w:t xml:space="preserve">concluded </w:t>
      </w:r>
      <w:r w:rsidRPr="000F77D9" w:rsidR="00CE2644">
        <w:t xml:space="preserve">that our two studies were different enough in </w:t>
      </w:r>
      <w:r w:rsidR="00AB22A2">
        <w:t xml:space="preserve">timing and </w:t>
      </w:r>
      <w:r w:rsidRPr="000F77D9" w:rsidR="00CE2644">
        <w:t>substance</w:t>
      </w:r>
      <w:r w:rsidR="00EE3AF7">
        <w:t>; for example</w:t>
      </w:r>
      <w:r w:rsidRPr="000F77D9" w:rsidR="00FE308D">
        <w:t>,</w:t>
      </w:r>
      <w:r w:rsidRPr="000F77D9" w:rsidR="009E3E63">
        <w:t xml:space="preserve"> ReFED’s loss estimates will be at the </w:t>
      </w:r>
      <w:r w:rsidR="00AB22A2">
        <w:t xml:space="preserve">broad </w:t>
      </w:r>
      <w:r w:rsidRPr="000F77D9" w:rsidR="009E3E63">
        <w:t xml:space="preserve">retail department level </w:t>
      </w:r>
      <w:r w:rsidR="00E17D1A">
        <w:t xml:space="preserve">(e.g., </w:t>
      </w:r>
      <w:r w:rsidR="00AB22A2">
        <w:t xml:space="preserve">dairy, meat, </w:t>
      </w:r>
      <w:r w:rsidR="00E17D1A">
        <w:t xml:space="preserve">produce, </w:t>
      </w:r>
      <w:r w:rsidR="00AB22A2">
        <w:t xml:space="preserve">and </w:t>
      </w:r>
      <w:r w:rsidR="00E17D1A">
        <w:t>frozen</w:t>
      </w:r>
      <w:r w:rsidR="00AB22A2">
        <w:t xml:space="preserve"> food)</w:t>
      </w:r>
      <w:r w:rsidR="00E17D1A">
        <w:t xml:space="preserve">, </w:t>
      </w:r>
      <w:r w:rsidR="00C32C20">
        <w:t>versus</w:t>
      </w:r>
      <w:r w:rsidRPr="000F77D9" w:rsidR="009E3E63">
        <w:t xml:space="preserve"> the commodity level </w:t>
      </w:r>
      <w:r w:rsidR="00E17D1A">
        <w:t xml:space="preserve">(e.g., milk, </w:t>
      </w:r>
      <w:r w:rsidR="00AB22A2">
        <w:t xml:space="preserve">yogurt, </w:t>
      </w:r>
      <w:r w:rsidR="00E17D1A">
        <w:t xml:space="preserve">chicken, </w:t>
      </w:r>
      <w:proofErr w:type="gramStart"/>
      <w:r w:rsidR="00F453B0">
        <w:t>beef</w:t>
      </w:r>
      <w:proofErr w:type="gramEnd"/>
      <w:r w:rsidR="00AB22A2">
        <w:t xml:space="preserve"> </w:t>
      </w:r>
      <w:r w:rsidR="00E17D1A">
        <w:t xml:space="preserve">and lettuce) </w:t>
      </w:r>
      <w:r w:rsidRPr="000F77D9" w:rsidR="009E3E63">
        <w:t>need</w:t>
      </w:r>
      <w:r w:rsidR="00EE3AF7">
        <w:t>ed by ERS</w:t>
      </w:r>
      <w:r w:rsidRPr="000F77D9" w:rsidR="009E3E63">
        <w:t xml:space="preserve"> for </w:t>
      </w:r>
      <w:r w:rsidR="00EE3AF7">
        <w:t xml:space="preserve">the </w:t>
      </w:r>
      <w:r w:rsidRPr="000F77D9" w:rsidR="009E3E63">
        <w:t>LAFA</w:t>
      </w:r>
      <w:r w:rsidR="00EE3AF7">
        <w:t xml:space="preserve"> data series</w:t>
      </w:r>
      <w:r w:rsidR="00C32C20">
        <w:t xml:space="preserve">. </w:t>
      </w:r>
      <w:r w:rsidRPr="000F77D9" w:rsidR="00CE2644">
        <w:t xml:space="preserve">that it </w:t>
      </w:r>
      <w:r w:rsidR="00EE3AF7">
        <w:t xml:space="preserve">was appropriate </w:t>
      </w:r>
      <w:r w:rsidRPr="000F77D9" w:rsidR="00CE2644">
        <w:t>to pursue our studies separately without any formal collaboration</w:t>
      </w:r>
      <w:r w:rsidRPr="000F77D9" w:rsidR="00C56985">
        <w:t>.</w:t>
      </w:r>
      <w:r w:rsidRPr="000F77D9" w:rsidR="009E3E63">
        <w:t xml:space="preserve"> </w:t>
      </w:r>
    </w:p>
    <w:p w:rsidRPr="00E16A04" w:rsidR="00307579" w:rsidP="00E10871" w:rsidRDefault="00307579" w14:paraId="25AA4065" w14:textId="1257E06A">
      <w:pPr>
        <w:pStyle w:val="Heading1"/>
      </w:pPr>
      <w:r w:rsidRPr="00E16A04">
        <w:t xml:space="preserve">Research </w:t>
      </w:r>
      <w:r w:rsidR="001857E9">
        <w:t xml:space="preserve">and Analysis </w:t>
      </w:r>
      <w:r w:rsidRPr="00E16A04">
        <w:t>Plan for the Semi-</w:t>
      </w:r>
      <w:r w:rsidRPr="00E16A04" w:rsidR="00C21CD2">
        <w:t>s</w:t>
      </w:r>
      <w:r w:rsidRPr="00E16A04">
        <w:t>tructured Interviews</w:t>
      </w:r>
    </w:p>
    <w:p w:rsidRPr="000F77D9" w:rsidR="003C759C" w:rsidP="0084233D" w:rsidRDefault="003C759C" w14:paraId="03B93417" w14:textId="11CA2AB9">
      <w:pPr>
        <w:pStyle w:val="BodyText"/>
      </w:pPr>
      <w:r w:rsidRPr="000F77D9">
        <w:t xml:space="preserve">To learn more about the nature of data that might be available to estimate food loss </w:t>
      </w:r>
      <w:r w:rsidR="003F0CAD">
        <w:t>factors b</w:t>
      </w:r>
      <w:r w:rsidRPr="000F77D9">
        <w:t xml:space="preserve">y LAFA commodity, </w:t>
      </w:r>
      <w:r w:rsidR="00F97AA8">
        <w:t xml:space="preserve">RTI </w:t>
      </w:r>
      <w:r w:rsidRPr="000F77D9">
        <w:t>will conduct up to 25 semi-structured interviews</w:t>
      </w:r>
      <w:r w:rsidRPr="000F77D9" w:rsidR="001E2E34">
        <w:t xml:space="preserve"> with food retailers’ </w:t>
      </w:r>
      <w:r w:rsidRPr="000F77D9" w:rsidR="001E2E34">
        <w:lastRenderedPageBreak/>
        <w:t xml:space="preserve">corporate staff. The interviews will be divided into two </w:t>
      </w:r>
      <w:r w:rsidR="00C32C20">
        <w:t>w</w:t>
      </w:r>
      <w:r w:rsidRPr="000F77D9" w:rsidR="00C32C20">
        <w:t>aves</w:t>
      </w:r>
      <w:r w:rsidRPr="000F77D9">
        <w:t xml:space="preserve">: 10 </w:t>
      </w:r>
      <w:r w:rsidRPr="000F77D9" w:rsidR="00900FA7">
        <w:t xml:space="preserve">companies </w:t>
      </w:r>
      <w:r w:rsidRPr="000F77D9">
        <w:t xml:space="preserve">in Wave 1 and up to 15 </w:t>
      </w:r>
      <w:r w:rsidRPr="000F77D9" w:rsidR="00900FA7">
        <w:t xml:space="preserve">companies </w:t>
      </w:r>
      <w:r w:rsidRPr="000F77D9">
        <w:t xml:space="preserve">in Wave 2. </w:t>
      </w:r>
    </w:p>
    <w:p w:rsidR="001857E9" w:rsidP="0084233D" w:rsidRDefault="003C759C" w14:paraId="2F6C39FA" w14:textId="7FE5F5E7">
      <w:pPr>
        <w:pStyle w:val="BodyText"/>
      </w:pPr>
      <w:r w:rsidRPr="000F77D9">
        <w:t xml:space="preserve">The findings from these interviews will help </w:t>
      </w:r>
      <w:r w:rsidRPr="000F77D9" w:rsidR="00D635DE">
        <w:t xml:space="preserve">us </w:t>
      </w:r>
      <w:r w:rsidRPr="000F77D9">
        <w:t xml:space="preserve">assess the feasibility of our </w:t>
      </w:r>
      <w:r w:rsidR="00EE2908">
        <w:t xml:space="preserve">original </w:t>
      </w:r>
      <w:r w:rsidRPr="000F77D9">
        <w:t>methodology for a nationally representative retail food loss study</w:t>
      </w:r>
      <w:r w:rsidR="00A33466">
        <w:t xml:space="preserve"> (see </w:t>
      </w:r>
      <w:r w:rsidR="00490A32">
        <w:t xml:space="preserve">description </w:t>
      </w:r>
      <w:r w:rsidR="0025468A">
        <w:t xml:space="preserve">on </w:t>
      </w:r>
      <w:r w:rsidR="00A33466">
        <w:t>page 5)</w:t>
      </w:r>
      <w:r w:rsidR="00DB58C2">
        <w:t xml:space="preserve">, including </w:t>
      </w:r>
      <w:r w:rsidR="00A33466">
        <w:t xml:space="preserve">retailer </w:t>
      </w:r>
      <w:r w:rsidR="00DB58C2">
        <w:t>recruitment, data collection, and analysis</w:t>
      </w:r>
      <w:r w:rsidRPr="000F77D9">
        <w:t xml:space="preserve">. </w:t>
      </w:r>
    </w:p>
    <w:p w:rsidR="001857E9" w:rsidP="0084233D" w:rsidRDefault="001857E9" w14:paraId="14D5AAFB" w14:textId="58443B87">
      <w:pPr>
        <w:pStyle w:val="BodyText"/>
      </w:pPr>
      <w:r w:rsidRPr="00DA56CE">
        <w:t xml:space="preserve">Following Wave 1, RTI will prepare a memorandum for ERS that summarizes the findings of the interviews and recommendations for revisions to the interview guide for a second wave of interviews. </w:t>
      </w:r>
      <w:r w:rsidRPr="001D0520">
        <w:t xml:space="preserve">If we learn during the interviews that </w:t>
      </w:r>
      <w:r>
        <w:t>the</w:t>
      </w:r>
      <w:r w:rsidRPr="001D0520">
        <w:t xml:space="preserve"> planned approach is not viable or that companies offer alternative approaches for measuring food loss given how they maintain data, </w:t>
      </w:r>
      <w:r w:rsidRPr="00F75469">
        <w:t>we</w:t>
      </w:r>
      <w:r w:rsidRPr="00511DFD">
        <w:t xml:space="preserve"> will adapt </w:t>
      </w:r>
      <w:r w:rsidRPr="009A5F8E">
        <w:t>the</w:t>
      </w:r>
      <w:r w:rsidRPr="00285F08">
        <w:t xml:space="preserve"> </w:t>
      </w:r>
      <w:r w:rsidRPr="00794A61">
        <w:t>interview guide and approach for the Wave 2 interviews to gather additional</w:t>
      </w:r>
      <w:r w:rsidRPr="001D0520">
        <w:t xml:space="preserve"> information on the best methodology for a subsequent Field Test. </w:t>
      </w:r>
      <w:r>
        <w:t xml:space="preserve">We will submit a separate OMB Generic Clearance package for the Wave 2 interviews that will reflect what we learned from Wave 1. </w:t>
      </w:r>
    </w:p>
    <w:p w:rsidRPr="000F77D9" w:rsidR="00617D2F" w:rsidP="00F0534B" w:rsidRDefault="00617D2F" w14:paraId="25A6F202" w14:textId="110317D9">
      <w:pPr>
        <w:pStyle w:val="Heading2"/>
      </w:pPr>
      <w:r w:rsidRPr="000F77D9">
        <w:t>Selecti</w:t>
      </w:r>
      <w:r w:rsidRPr="000F77D9" w:rsidR="00651011">
        <w:t>o</w:t>
      </w:r>
      <w:r w:rsidRPr="000F77D9">
        <w:t xml:space="preserve">n </w:t>
      </w:r>
      <w:r w:rsidR="006C3150">
        <w:t xml:space="preserve">and Recruitment </w:t>
      </w:r>
      <w:r w:rsidR="007904BA">
        <w:t>Procedures</w:t>
      </w:r>
      <w:r w:rsidRPr="000F77D9">
        <w:t xml:space="preserve"> </w:t>
      </w:r>
    </w:p>
    <w:p w:rsidRPr="00E16A04" w:rsidR="006C3150" w:rsidP="00F0534B" w:rsidRDefault="006C3150" w14:paraId="330F2980" w14:textId="55927346">
      <w:pPr>
        <w:pStyle w:val="Heading3"/>
      </w:pPr>
      <w:bookmarkStart w:name="_Hlk75780375" w:id="2"/>
      <w:r w:rsidRPr="00E16A04">
        <w:t xml:space="preserve">Soft Quota Ranges </w:t>
      </w:r>
      <w:r w:rsidR="00503651">
        <w:t>for Recruitment</w:t>
      </w:r>
    </w:p>
    <w:p w:rsidR="00393DDA" w:rsidP="0084233D" w:rsidRDefault="00175F9E" w14:paraId="0127997D" w14:textId="42CBA1BF">
      <w:pPr>
        <w:pStyle w:val="BodyText"/>
      </w:pPr>
      <w:r w:rsidRPr="00641232">
        <w:t xml:space="preserve">The unit </w:t>
      </w:r>
      <w:r w:rsidRPr="00641232" w:rsidR="00041D7F">
        <w:t xml:space="preserve">for the semi-structured interviews </w:t>
      </w:r>
      <w:r w:rsidRPr="00641232">
        <w:t xml:space="preserve">is the corporate </w:t>
      </w:r>
      <w:r w:rsidRPr="00641232" w:rsidR="007705C5">
        <w:t xml:space="preserve">headquarters </w:t>
      </w:r>
      <w:r w:rsidRPr="00641232">
        <w:t>of a food retail</w:t>
      </w:r>
      <w:r w:rsidRPr="00641232" w:rsidR="00A7556C">
        <w:t xml:space="preserve"> company</w:t>
      </w:r>
      <w:r w:rsidRPr="00641232">
        <w:t xml:space="preserve"> </w:t>
      </w:r>
      <w:r w:rsidRPr="00641232" w:rsidR="00926D61">
        <w:t>(referred to as “compan</w:t>
      </w:r>
      <w:r w:rsidRPr="00641232" w:rsidR="005D3D67">
        <w:t>y” or “companies” for brevity</w:t>
      </w:r>
      <w:r w:rsidRPr="00641232" w:rsidR="00926D61">
        <w:t>)</w:t>
      </w:r>
      <w:r w:rsidR="001B6764">
        <w:t xml:space="preserve"> </w:t>
      </w:r>
      <w:r w:rsidRPr="00641232">
        <w:t xml:space="preserve">that </w:t>
      </w:r>
      <w:r w:rsidRPr="00641232" w:rsidR="007705C5">
        <w:t xml:space="preserve">owns </w:t>
      </w:r>
      <w:r w:rsidRPr="00641232">
        <w:t>supermarket</w:t>
      </w:r>
      <w:r w:rsidRPr="00641232" w:rsidR="007705C5">
        <w:t>s</w:t>
      </w:r>
      <w:r w:rsidRPr="00641232">
        <w:t>, supercenter</w:t>
      </w:r>
      <w:r w:rsidRPr="00641232" w:rsidR="007705C5">
        <w:t>s</w:t>
      </w:r>
      <w:r w:rsidRPr="00641232" w:rsidR="00041D7F">
        <w:t>,</w:t>
      </w:r>
      <w:r w:rsidRPr="00641232">
        <w:t xml:space="preserve"> </w:t>
      </w:r>
      <w:r w:rsidRPr="00641232" w:rsidR="00E24871">
        <w:t xml:space="preserve">or </w:t>
      </w:r>
      <w:r w:rsidRPr="00641232">
        <w:t>club store</w:t>
      </w:r>
      <w:r w:rsidRPr="00641232" w:rsidR="007705C5">
        <w:t>s</w:t>
      </w:r>
      <w:r w:rsidRPr="00641232" w:rsidR="00A7556C">
        <w:t>.</w:t>
      </w:r>
      <w:r w:rsidRPr="00641232" w:rsidR="00041D7F">
        <w:rPr>
          <w:rStyle w:val="FootnoteReference"/>
        </w:rPr>
        <w:footnoteReference w:id="11"/>
      </w:r>
      <w:r w:rsidR="00F97AA8">
        <w:t xml:space="preserve"> In this context</w:t>
      </w:r>
      <w:r w:rsidR="00393DDA">
        <w:t>, companies own individual retail stores or chains of retail stores. For the proposed</w:t>
      </w:r>
      <w:r w:rsidR="00F97AA8">
        <w:t xml:space="preserve"> </w:t>
      </w:r>
      <w:r w:rsidR="003F0CAD">
        <w:t xml:space="preserve">semi-structured </w:t>
      </w:r>
      <w:r w:rsidR="00F97AA8">
        <w:t>interviews</w:t>
      </w:r>
      <w:r w:rsidR="00393DDA">
        <w:t>, companies</w:t>
      </w:r>
      <w:r w:rsidR="00F97AA8">
        <w:t xml:space="preserve"> will be interviewed</w:t>
      </w:r>
      <w:r w:rsidR="00393DDA">
        <w:t>, not individual stores</w:t>
      </w:r>
      <w:r w:rsidR="00E452F3">
        <w:t>,</w:t>
      </w:r>
      <w:r w:rsidR="00393DDA">
        <w:t xml:space="preserve"> to learn about what data are maintained for estimating food loss and</w:t>
      </w:r>
      <w:r w:rsidR="0025468A">
        <w:t xml:space="preserve"> </w:t>
      </w:r>
      <w:r w:rsidR="00393DDA">
        <w:t>at what level of the organization the data are maintained.</w:t>
      </w:r>
    </w:p>
    <w:p w:rsidR="00503651" w:rsidP="0084233D" w:rsidRDefault="00F97AA8" w14:paraId="33932F11" w14:textId="779F0DB4">
      <w:pPr>
        <w:pStyle w:val="BodyText"/>
        <w:rPr>
          <w:b/>
          <w:bCs/>
        </w:rPr>
      </w:pPr>
      <w:r>
        <w:t xml:space="preserve">The study is limited to </w:t>
      </w:r>
      <w:r w:rsidRPr="00641232" w:rsidR="00393DDA">
        <w:t>supermarkets, supercenters, or club stores</w:t>
      </w:r>
      <w:r w:rsidRPr="00641232" w:rsidDel="00393DDA" w:rsidR="00393DDA">
        <w:t xml:space="preserve"> </w:t>
      </w:r>
      <w:r w:rsidRPr="00641232" w:rsidR="00617D2F">
        <w:t xml:space="preserve">because they </w:t>
      </w:r>
      <w:r w:rsidRPr="00641232" w:rsidR="002B10A0">
        <w:t xml:space="preserve">account for </w:t>
      </w:r>
      <w:r w:rsidRPr="00641232" w:rsidR="00621B59">
        <w:t>85% of food and beverage</w:t>
      </w:r>
      <w:r w:rsidR="00E452F3">
        <w:t xml:space="preserve"> </w:t>
      </w:r>
      <w:r w:rsidRPr="00C514FD" w:rsidR="00621B59">
        <w:t xml:space="preserve">retail sales </w:t>
      </w:r>
      <w:r w:rsidRPr="00C514FD" w:rsidR="00617D2F">
        <w:t>in the United States</w:t>
      </w:r>
      <w:r w:rsidRPr="00C514FD" w:rsidR="00F77DFB">
        <w:t>.</w:t>
      </w:r>
      <w:r w:rsidRPr="00C514FD" w:rsidR="00226A7B">
        <w:rPr>
          <w:rStyle w:val="FootnoteReference"/>
        </w:rPr>
        <w:footnoteReference w:id="12"/>
      </w:r>
      <w:r w:rsidRPr="00621B59" w:rsidR="00617D2F">
        <w:t xml:space="preserve"> </w:t>
      </w:r>
      <w:r w:rsidR="00987D59">
        <w:t>Retail c</w:t>
      </w:r>
      <w:r w:rsidR="00AE7F70">
        <w:t xml:space="preserve">ompanies with </w:t>
      </w:r>
      <w:r w:rsidRPr="005459AA" w:rsidR="000B0E39">
        <w:t>different organizational structures (</w:t>
      </w:r>
      <w:r w:rsidR="003F0CAD">
        <w:t>i.e</w:t>
      </w:r>
      <w:r w:rsidRPr="005459AA" w:rsidR="000B0E39">
        <w:t>.</w:t>
      </w:r>
      <w:r w:rsidR="00E452F3">
        <w:t>,</w:t>
      </w:r>
      <w:r w:rsidRPr="005459AA" w:rsidR="000B0E39">
        <w:t xml:space="preserve"> independently owned, regional chain, national chain)</w:t>
      </w:r>
      <w:r w:rsidR="00193F39">
        <w:t xml:space="preserve"> will be interviewed. A</w:t>
      </w:r>
      <w:r w:rsidR="008D5FA7">
        <w:t xml:space="preserve">s described in more detail below, </w:t>
      </w:r>
      <w:r>
        <w:t>RTI</w:t>
      </w:r>
      <w:r w:rsidR="008D5FA7">
        <w:t xml:space="preserve"> plan</w:t>
      </w:r>
      <w:r>
        <w:t>s</w:t>
      </w:r>
      <w:r w:rsidR="008D5FA7">
        <w:t xml:space="preserve"> to work with the </w:t>
      </w:r>
      <w:r w:rsidRPr="00E16A04" w:rsidR="008D5FA7">
        <w:t>Food Industry Association (</w:t>
      </w:r>
      <w:r w:rsidR="008D5FA7">
        <w:t xml:space="preserve">known as </w:t>
      </w:r>
      <w:r w:rsidRPr="00E16A04" w:rsidR="008D5FA7">
        <w:t>FMI) to recruit member companies</w:t>
      </w:r>
      <w:r w:rsidR="008D5FA7">
        <w:t xml:space="preserve"> to participate in </w:t>
      </w:r>
      <w:r w:rsidR="00D118F0">
        <w:t xml:space="preserve">some of </w:t>
      </w:r>
      <w:r w:rsidR="008D5FA7">
        <w:t>the interviews</w:t>
      </w:r>
      <w:r w:rsidR="00E452F3">
        <w:t>,</w:t>
      </w:r>
      <w:r w:rsidR="00503651">
        <w:t xml:space="preserve"> which will help reduce burden because RTI will not have to contact as many companies or make multiple contacts with</w:t>
      </w:r>
      <w:r w:rsidR="000C2626">
        <w:t>in</w:t>
      </w:r>
      <w:r w:rsidR="00503651">
        <w:t xml:space="preserve"> a company to identify the target person for the interview.</w:t>
      </w:r>
      <w:r w:rsidR="00193F39">
        <w:t xml:space="preserve"> Companies that are not members of FMI will also be interviewed to be inclusive of all </w:t>
      </w:r>
      <w:r w:rsidR="00987D59">
        <w:t xml:space="preserve">retail </w:t>
      </w:r>
      <w:r w:rsidR="00193F39">
        <w:t>companies</w:t>
      </w:r>
      <w:r w:rsidRPr="00E16A04" w:rsidR="008D5FA7">
        <w:t>.</w:t>
      </w:r>
      <w:r w:rsidR="008D5FA7">
        <w:rPr>
          <w:b/>
          <w:bCs/>
        </w:rPr>
        <w:t xml:space="preserve"> </w:t>
      </w:r>
      <w:r w:rsidR="00193F39">
        <w:t xml:space="preserve">Also, companies </w:t>
      </w:r>
      <w:r w:rsidRPr="005459AA" w:rsidR="00193F39">
        <w:t xml:space="preserve">from </w:t>
      </w:r>
      <w:r w:rsidR="00193F39">
        <w:t xml:space="preserve">different </w:t>
      </w:r>
      <w:r w:rsidRPr="005459AA" w:rsidR="00193F39">
        <w:t>geographic locations</w:t>
      </w:r>
      <w:r w:rsidR="00193F39">
        <w:t xml:space="preserve"> will be interviewed to </w:t>
      </w:r>
      <w:r w:rsidR="00193F39">
        <w:lastRenderedPageBreak/>
        <w:t xml:space="preserve">provide coverage across the four </w:t>
      </w:r>
      <w:r w:rsidRPr="00E16A04" w:rsidR="00193F39">
        <w:t>Census regions of the United States (the Northeast, Midwest, South, and West)</w:t>
      </w:r>
      <w:r w:rsidR="00193F39">
        <w:t>.</w:t>
      </w:r>
    </w:p>
    <w:p w:rsidRPr="00E16A04" w:rsidR="008D5FA7" w:rsidP="0084233D" w:rsidRDefault="00F97AA8" w14:paraId="2A996C22" w14:textId="61AF0A49">
      <w:pPr>
        <w:pStyle w:val="BodyText"/>
        <w:rPr>
          <w:b/>
          <w:bCs/>
        </w:rPr>
      </w:pPr>
      <w:r>
        <w:rPr>
          <w:rFonts w:eastAsia="SimSun"/>
        </w:rPr>
        <w:t>S</w:t>
      </w:r>
      <w:r w:rsidRPr="005459AA" w:rsidR="000B0E39">
        <w:rPr>
          <w:rFonts w:eastAsia="SimSun"/>
        </w:rPr>
        <w:t>oft quota</w:t>
      </w:r>
      <w:r w:rsidR="00E452F3">
        <w:rPr>
          <w:rFonts w:eastAsia="SimSun"/>
        </w:rPr>
        <w:t>s</w:t>
      </w:r>
      <w:r w:rsidRPr="005459AA" w:rsidR="000B0E39">
        <w:rPr>
          <w:rFonts w:eastAsia="SimSun"/>
        </w:rPr>
        <w:t xml:space="preserve"> </w:t>
      </w:r>
      <w:r w:rsidR="008D5FA7">
        <w:rPr>
          <w:rFonts w:eastAsia="SimSun"/>
        </w:rPr>
        <w:t xml:space="preserve">with </w:t>
      </w:r>
      <w:r w:rsidRPr="005459AA" w:rsidR="000B0E39">
        <w:rPr>
          <w:rFonts w:eastAsia="SimSun"/>
        </w:rPr>
        <w:t xml:space="preserve">ranges </w:t>
      </w:r>
      <w:r w:rsidR="00E25960">
        <w:rPr>
          <w:rFonts w:eastAsia="SimSun"/>
        </w:rPr>
        <w:t xml:space="preserve">will be </w:t>
      </w:r>
      <w:r>
        <w:rPr>
          <w:rFonts w:eastAsia="SimSun"/>
        </w:rPr>
        <w:t xml:space="preserve">used </w:t>
      </w:r>
      <w:r w:rsidR="00193F39">
        <w:rPr>
          <w:rFonts w:eastAsia="SimSun"/>
        </w:rPr>
        <w:t xml:space="preserve">for type, organizational structure, and </w:t>
      </w:r>
      <w:r w:rsidR="00F81EF3">
        <w:rPr>
          <w:rFonts w:eastAsia="SimSun"/>
        </w:rPr>
        <w:t xml:space="preserve">recruiting </w:t>
      </w:r>
      <w:r w:rsidR="00193F39">
        <w:rPr>
          <w:rFonts w:eastAsia="SimSun"/>
        </w:rPr>
        <w:t xml:space="preserve">source </w:t>
      </w:r>
      <w:r w:rsidR="00F81EF3">
        <w:rPr>
          <w:rFonts w:eastAsia="SimSun"/>
        </w:rPr>
        <w:t>(i.e.</w:t>
      </w:r>
      <w:r w:rsidR="00F0392E">
        <w:rPr>
          <w:rFonts w:eastAsia="SimSun"/>
        </w:rPr>
        <w:t>,</w:t>
      </w:r>
      <w:r w:rsidR="00F81EF3">
        <w:rPr>
          <w:rFonts w:eastAsia="SimSun"/>
        </w:rPr>
        <w:t xml:space="preserve"> FMI member or not FMI member) </w:t>
      </w:r>
      <w:r w:rsidRPr="005459AA" w:rsidR="000B0E39">
        <w:rPr>
          <w:rFonts w:eastAsia="SimSun"/>
        </w:rPr>
        <w:t xml:space="preserve">to ensure </w:t>
      </w:r>
      <w:r w:rsidR="00E25960">
        <w:rPr>
          <w:rFonts w:eastAsia="SimSun"/>
        </w:rPr>
        <w:t xml:space="preserve">that a </w:t>
      </w:r>
      <w:r w:rsidRPr="005459AA" w:rsidR="000B0E39">
        <w:rPr>
          <w:rFonts w:eastAsia="SimSun"/>
        </w:rPr>
        <w:t>diverse mix of companies (</w:t>
      </w:r>
      <w:r w:rsidR="00DB58C2">
        <w:rPr>
          <w:rFonts w:eastAsia="SimSun"/>
        </w:rPr>
        <w:t>Table 1</w:t>
      </w:r>
      <w:r w:rsidRPr="005459AA" w:rsidR="000B0E39">
        <w:rPr>
          <w:rFonts w:eastAsia="SimSun"/>
        </w:rPr>
        <w:t xml:space="preserve">) </w:t>
      </w:r>
      <w:r w:rsidR="00E25960">
        <w:rPr>
          <w:rFonts w:eastAsia="SimSun"/>
        </w:rPr>
        <w:t>are interviewed</w:t>
      </w:r>
      <w:r w:rsidR="00193F39">
        <w:rPr>
          <w:rFonts w:eastAsia="SimSun"/>
        </w:rPr>
        <w:t xml:space="preserve"> (</w:t>
      </w:r>
      <w:r w:rsidR="00987D59">
        <w:rPr>
          <w:rFonts w:eastAsia="SimSun"/>
        </w:rPr>
        <w:t xml:space="preserve">there are </w:t>
      </w:r>
      <w:r w:rsidR="00193F39">
        <w:rPr>
          <w:rFonts w:eastAsia="SimSun"/>
        </w:rPr>
        <w:t>no quotas for region</w:t>
      </w:r>
      <w:r w:rsidR="00B3212B">
        <w:rPr>
          <w:rFonts w:eastAsia="SimSun"/>
        </w:rPr>
        <w:t>, a mix of regions will be purposively selected</w:t>
      </w:r>
      <w:r w:rsidR="00193F39">
        <w:rPr>
          <w:rFonts w:eastAsia="SimSun"/>
        </w:rPr>
        <w:t>)</w:t>
      </w:r>
      <w:r w:rsidR="00E25960">
        <w:rPr>
          <w:rFonts w:eastAsia="SimSun"/>
        </w:rPr>
        <w:t>.</w:t>
      </w:r>
      <w:r w:rsidR="00987D59">
        <w:rPr>
          <w:rFonts w:eastAsia="SimSun"/>
        </w:rPr>
        <w:t xml:space="preserve"> </w:t>
      </w:r>
      <w:r w:rsidR="004134C9">
        <w:rPr>
          <w:rFonts w:eastAsia="SimSun"/>
        </w:rPr>
        <w:t>Be</w:t>
      </w:r>
      <w:r w:rsidRPr="005459AA" w:rsidR="000B0E39">
        <w:rPr>
          <w:rFonts w:eastAsia="SimSun"/>
        </w:rPr>
        <w:t xml:space="preserve">cause a small number of companies own supercenters or club stores, </w:t>
      </w:r>
      <w:r>
        <w:rPr>
          <w:rFonts w:eastAsia="SimSun"/>
        </w:rPr>
        <w:t xml:space="preserve">only </w:t>
      </w:r>
      <w:r w:rsidRPr="005459AA" w:rsidR="000B0E39">
        <w:rPr>
          <w:rFonts w:eastAsia="SimSun"/>
        </w:rPr>
        <w:t>one or two of these company types</w:t>
      </w:r>
      <w:r>
        <w:rPr>
          <w:rFonts w:eastAsia="SimSun"/>
        </w:rPr>
        <w:t xml:space="preserve"> will be interviewed</w:t>
      </w:r>
      <w:r w:rsidRPr="005459AA" w:rsidR="000B0E39">
        <w:rPr>
          <w:rFonts w:eastAsia="SimSun"/>
        </w:rPr>
        <w:t xml:space="preserve">. </w:t>
      </w:r>
      <w:r w:rsidR="001E3236">
        <w:rPr>
          <w:rFonts w:eastAsia="SimSun"/>
        </w:rPr>
        <w:t>In addition, since</w:t>
      </w:r>
      <w:r w:rsidR="00C36C08">
        <w:rPr>
          <w:rFonts w:eastAsia="SimSun"/>
        </w:rPr>
        <w:t xml:space="preserve"> only 10 interviews are being conducted</w:t>
      </w:r>
      <w:r w:rsidR="001E3236">
        <w:rPr>
          <w:rFonts w:eastAsia="SimSun"/>
        </w:rPr>
        <w:t>,</w:t>
      </w:r>
      <w:r w:rsidR="00C36C08">
        <w:rPr>
          <w:rFonts w:eastAsia="SimSun"/>
        </w:rPr>
        <w:t xml:space="preserve"> </w:t>
      </w:r>
      <w:r w:rsidRPr="005459AA" w:rsidR="00D80016">
        <w:rPr>
          <w:rFonts w:eastAsia="SimSun"/>
        </w:rPr>
        <w:t xml:space="preserve">not all combinations of </w:t>
      </w:r>
      <w:r w:rsidR="00C36C08">
        <w:rPr>
          <w:rFonts w:eastAsia="SimSun"/>
        </w:rPr>
        <w:t xml:space="preserve">type and organizational structure </w:t>
      </w:r>
      <w:r w:rsidRPr="005459AA" w:rsidR="00D80016">
        <w:rPr>
          <w:rFonts w:eastAsia="SimSun"/>
        </w:rPr>
        <w:t>will be included in the final</w:t>
      </w:r>
      <w:r w:rsidR="00C36C08">
        <w:rPr>
          <w:rFonts w:eastAsia="SimSun"/>
        </w:rPr>
        <w:t xml:space="preserve"> set of interviews</w:t>
      </w:r>
      <w:r w:rsidRPr="005459AA" w:rsidR="00D80016">
        <w:rPr>
          <w:rFonts w:eastAsia="SimSun"/>
        </w:rPr>
        <w:t xml:space="preserve">. </w:t>
      </w:r>
      <w:r w:rsidR="008D5FA7">
        <w:rPr>
          <w:rFonts w:eastAsia="SimSun"/>
        </w:rPr>
        <w:t xml:space="preserve">The final number of companies within the soft quota ranges that </w:t>
      </w:r>
      <w:r w:rsidR="00C5372F">
        <w:rPr>
          <w:rFonts w:eastAsia="SimSun"/>
        </w:rPr>
        <w:t xml:space="preserve">is </w:t>
      </w:r>
      <w:r w:rsidR="008D5FA7">
        <w:rPr>
          <w:rFonts w:eastAsia="SimSun"/>
        </w:rPr>
        <w:t xml:space="preserve">represented in each type and organizational structure category will likely be determined by </w:t>
      </w:r>
      <w:r w:rsidR="008D5FA7">
        <w:t xml:space="preserve">company responsiveness. </w:t>
      </w:r>
      <w:r w:rsidR="007904BA">
        <w:t xml:space="preserve">For example, for type, </w:t>
      </w:r>
      <w:r w:rsidR="00E25960">
        <w:t xml:space="preserve">RTI </w:t>
      </w:r>
      <w:r w:rsidR="007904BA">
        <w:t>might complete intervie</w:t>
      </w:r>
      <w:r w:rsidR="00E25960">
        <w:t>w</w:t>
      </w:r>
      <w:r w:rsidR="007904BA">
        <w:t xml:space="preserve">s with eight companies that own supermarkets, one company that owns a supercenter, and one company that owns a club store. </w:t>
      </w:r>
      <w:r w:rsidR="008D5FA7">
        <w:t>The total number of companies interviewed will not exceed 10.</w:t>
      </w:r>
      <w:r w:rsidR="003252EA">
        <w:rPr>
          <w:rFonts w:eastAsia="SimSun"/>
        </w:rPr>
        <w:t xml:space="preserve"> </w:t>
      </w:r>
    </w:p>
    <w:p w:rsidRPr="004134C9" w:rsidR="00DB58C2" w:rsidP="00047960" w:rsidRDefault="00DB58C2" w14:paraId="6DDD257C" w14:textId="61FF69A4">
      <w:pPr>
        <w:rPr>
          <w:rFonts w:eastAsia="SimSun"/>
          <w:b/>
          <w:bCs/>
          <w:vertAlign w:val="superscript"/>
        </w:rPr>
      </w:pPr>
      <w:r w:rsidRPr="004134C9">
        <w:rPr>
          <w:rFonts w:eastAsia="SimSun"/>
          <w:b/>
          <w:bCs/>
        </w:rPr>
        <w:t xml:space="preserve">Table 1. Soft Quota Ranges for </w:t>
      </w:r>
      <w:r w:rsidRPr="004134C9" w:rsidR="00503651">
        <w:rPr>
          <w:rFonts w:eastAsia="SimSun"/>
          <w:b/>
          <w:bCs/>
        </w:rPr>
        <w:t xml:space="preserve">Recruitment for </w:t>
      </w:r>
      <w:r w:rsidRPr="004134C9">
        <w:rPr>
          <w:rFonts w:eastAsia="SimSun"/>
          <w:b/>
          <w:bCs/>
        </w:rPr>
        <w:t>the Semi-Structured Interviews</w:t>
      </w:r>
      <w:r w:rsidRPr="004134C9" w:rsidR="008D5FA7">
        <w:rPr>
          <w:rFonts w:eastAsia="SimSun"/>
          <w:b/>
          <w:bCs/>
        </w:rPr>
        <w:t xml:space="preserve"> by Retailer Type, Organizational Structure, and </w:t>
      </w:r>
      <w:r w:rsidRPr="004134C9" w:rsidR="00182BAC">
        <w:rPr>
          <w:rFonts w:eastAsia="SimSun"/>
          <w:b/>
          <w:bCs/>
        </w:rPr>
        <w:t xml:space="preserve">Recruiting </w:t>
      </w:r>
      <w:r w:rsidRPr="004134C9" w:rsidR="008D5FA7">
        <w:rPr>
          <w:rFonts w:eastAsia="SimSun"/>
          <w:b/>
          <w:bCs/>
        </w:rPr>
        <w:t>Source</w:t>
      </w:r>
      <w:r w:rsidRPr="004134C9" w:rsidR="008D5FA7">
        <w:rPr>
          <w:rFonts w:eastAsia="SimSun"/>
          <w:b/>
          <w:bCs/>
          <w:vertAlign w:val="superscript"/>
        </w:rPr>
        <w:t>a</w:t>
      </w:r>
      <w:r w:rsidRPr="004134C9" w:rsidR="006C3150">
        <w:rPr>
          <w:rFonts w:eastAsia="SimSun"/>
          <w:b/>
          <w:bCs/>
          <w:vertAlign w:val="superscript"/>
        </w:rPr>
        <w:t>,b</w:t>
      </w:r>
    </w:p>
    <w:tbl>
      <w:tblPr>
        <w:tblStyle w:val="TableGrid"/>
        <w:tblW w:w="0" w:type="auto"/>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9355"/>
      </w:tblGrid>
      <w:tr w:rsidRPr="00722286" w:rsidR="00E10871" w:rsidTr="00E10871" w14:paraId="5C858ACE" w14:textId="77777777">
        <w:tc>
          <w:tcPr>
            <w:tcW w:w="9355" w:type="dxa"/>
          </w:tcPr>
          <w:p w:rsidRPr="00722286" w:rsidR="00E10871" w:rsidP="00E10871" w:rsidRDefault="00E10871" w14:paraId="03D6A506" w14:textId="13723DA2">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 xml:space="preserve">Type </w:t>
            </w:r>
          </w:p>
        </w:tc>
      </w:tr>
      <w:tr w:rsidRPr="00722286" w:rsidR="00E10871" w:rsidTr="00E10871" w14:paraId="29F14690" w14:textId="77777777">
        <w:tc>
          <w:tcPr>
            <w:tcW w:w="9355" w:type="dxa"/>
          </w:tcPr>
          <w:p w:rsidRPr="00722286" w:rsidR="00E10871" w:rsidP="00E10871" w:rsidRDefault="00E10871" w14:paraId="0A2AE073" w14:textId="4B8C8C5B">
            <w:pPr>
              <w:pStyle w:val="TableBullets"/>
              <w:spacing w:before="40" w:after="40"/>
              <w:rPr>
                <w:sz w:val="20"/>
                <w:szCs w:val="20"/>
              </w:rPr>
            </w:pPr>
            <w:r w:rsidRPr="00722286">
              <w:rPr>
                <w:sz w:val="20"/>
                <w:szCs w:val="20"/>
              </w:rPr>
              <w:t>Seven or eight companies that own supermarkets</w:t>
            </w:r>
          </w:p>
        </w:tc>
      </w:tr>
      <w:tr w:rsidRPr="00722286" w:rsidR="00E10871" w:rsidTr="00E10871" w14:paraId="5A65C897" w14:textId="77777777">
        <w:tc>
          <w:tcPr>
            <w:tcW w:w="9355" w:type="dxa"/>
          </w:tcPr>
          <w:p w:rsidRPr="00722286" w:rsidR="00E10871" w:rsidP="00E10871" w:rsidRDefault="00E10871" w14:paraId="282CD14A" w14:textId="69F161BD">
            <w:pPr>
              <w:pStyle w:val="TableBullets"/>
              <w:spacing w:before="40" w:after="40"/>
              <w:rPr>
                <w:sz w:val="20"/>
                <w:szCs w:val="20"/>
              </w:rPr>
            </w:pPr>
            <w:r w:rsidRPr="00722286">
              <w:rPr>
                <w:sz w:val="20"/>
                <w:szCs w:val="20"/>
              </w:rPr>
              <w:t>One or two companies that own supercenters</w:t>
            </w:r>
          </w:p>
        </w:tc>
      </w:tr>
      <w:tr w:rsidRPr="00722286" w:rsidR="00E10871" w:rsidTr="00E10871" w14:paraId="14F792F7" w14:textId="77777777">
        <w:tc>
          <w:tcPr>
            <w:tcW w:w="9355" w:type="dxa"/>
          </w:tcPr>
          <w:p w:rsidRPr="00722286" w:rsidR="00E10871" w:rsidP="00E10871" w:rsidRDefault="00E10871" w14:paraId="0DCD385A" w14:textId="6C3F71F7">
            <w:pPr>
              <w:pStyle w:val="TableBullets"/>
              <w:spacing w:before="40" w:after="40"/>
              <w:rPr>
                <w:sz w:val="20"/>
                <w:szCs w:val="20"/>
              </w:rPr>
            </w:pPr>
            <w:r w:rsidRPr="00722286">
              <w:rPr>
                <w:sz w:val="20"/>
                <w:szCs w:val="20"/>
              </w:rPr>
              <w:t xml:space="preserve">One company that owns club stores </w:t>
            </w:r>
          </w:p>
        </w:tc>
      </w:tr>
      <w:tr w:rsidRPr="00722286" w:rsidR="00E10871" w:rsidTr="00E10871" w14:paraId="082683AE" w14:textId="77777777">
        <w:tc>
          <w:tcPr>
            <w:tcW w:w="9355" w:type="dxa"/>
          </w:tcPr>
          <w:p w:rsidRPr="00722286" w:rsidR="00E10871" w:rsidP="00E10871" w:rsidRDefault="00E10871" w14:paraId="78CDBF08" w14:textId="60440317">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Organizational structure</w:t>
            </w:r>
          </w:p>
        </w:tc>
      </w:tr>
      <w:tr w:rsidR="00E10871" w:rsidTr="00E10871" w14:paraId="4C3033A0" w14:textId="77777777">
        <w:tc>
          <w:tcPr>
            <w:tcW w:w="9355" w:type="dxa"/>
          </w:tcPr>
          <w:p w:rsidRPr="00722286" w:rsidR="00E10871" w:rsidP="00E10871" w:rsidRDefault="00E10871" w14:paraId="489661BC" w14:textId="04556CF2">
            <w:pPr>
              <w:pStyle w:val="TableBullets"/>
              <w:spacing w:before="40" w:after="40"/>
              <w:rPr>
                <w:sz w:val="20"/>
                <w:szCs w:val="20"/>
              </w:rPr>
            </w:pPr>
            <w:r w:rsidRPr="00722286">
              <w:rPr>
                <w:sz w:val="20"/>
                <w:szCs w:val="20"/>
              </w:rPr>
              <w:t>Three or four independent operators (companies that own 10 or fewer stores)</w:t>
            </w:r>
          </w:p>
        </w:tc>
      </w:tr>
      <w:tr w:rsidR="00E10871" w:rsidTr="00E10871" w14:paraId="64777AFC" w14:textId="77777777">
        <w:tc>
          <w:tcPr>
            <w:tcW w:w="9355" w:type="dxa"/>
          </w:tcPr>
          <w:p w:rsidRPr="00722286" w:rsidR="00E10871" w:rsidP="00E10871" w:rsidRDefault="00E10871" w14:paraId="70396228" w14:textId="5C414406">
            <w:pPr>
              <w:pStyle w:val="TableBullets"/>
              <w:spacing w:before="40" w:after="40"/>
              <w:rPr>
                <w:sz w:val="20"/>
                <w:szCs w:val="20"/>
              </w:rPr>
            </w:pPr>
            <w:r w:rsidRPr="00722286">
              <w:rPr>
                <w:sz w:val="20"/>
                <w:szCs w:val="20"/>
              </w:rPr>
              <w:t>Three or four regional chains</w:t>
            </w:r>
          </w:p>
        </w:tc>
      </w:tr>
      <w:tr w:rsidR="00E10871" w:rsidTr="00E10871" w14:paraId="01BAFCBA" w14:textId="77777777">
        <w:tc>
          <w:tcPr>
            <w:tcW w:w="9355" w:type="dxa"/>
          </w:tcPr>
          <w:p w:rsidRPr="00722286" w:rsidR="00E10871" w:rsidP="00E10871" w:rsidRDefault="00E10871" w14:paraId="2BD411C8" w14:textId="54A28E1E">
            <w:pPr>
              <w:pStyle w:val="TableBullets"/>
              <w:spacing w:before="40" w:after="40"/>
              <w:rPr>
                <w:sz w:val="20"/>
                <w:szCs w:val="20"/>
              </w:rPr>
            </w:pPr>
            <w:r w:rsidRPr="00722286">
              <w:rPr>
                <w:sz w:val="20"/>
                <w:szCs w:val="20"/>
              </w:rPr>
              <w:t>Three or four national chains</w:t>
            </w:r>
          </w:p>
        </w:tc>
      </w:tr>
      <w:tr w:rsidRPr="00722286" w:rsidR="00E10871" w:rsidTr="00E10871" w14:paraId="318B6EC5" w14:textId="77777777">
        <w:tc>
          <w:tcPr>
            <w:tcW w:w="9355" w:type="dxa"/>
          </w:tcPr>
          <w:p w:rsidRPr="00722286" w:rsidR="00E10871" w:rsidP="00E10871" w:rsidRDefault="00E10871" w14:paraId="08BC0EAB" w14:textId="2C377900">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Source</w:t>
            </w:r>
          </w:p>
        </w:tc>
      </w:tr>
      <w:tr w:rsidR="00E10871" w:rsidTr="00E10871" w14:paraId="06B257F0" w14:textId="77777777">
        <w:tc>
          <w:tcPr>
            <w:tcW w:w="9355" w:type="dxa"/>
          </w:tcPr>
          <w:p w:rsidRPr="00722286" w:rsidR="00E10871" w:rsidP="00E10871" w:rsidRDefault="00E10871" w14:paraId="19164719" w14:textId="42D2137C">
            <w:pPr>
              <w:pStyle w:val="TableBullets"/>
              <w:spacing w:before="40" w:after="40"/>
              <w:rPr>
                <w:sz w:val="20"/>
                <w:szCs w:val="20"/>
              </w:rPr>
            </w:pPr>
            <w:r w:rsidRPr="00722286">
              <w:rPr>
                <w:sz w:val="20"/>
                <w:szCs w:val="20"/>
              </w:rPr>
              <w:t>Seven or eight companies that are members of FMI (</w:t>
            </w:r>
            <w:r w:rsidR="00987D59">
              <w:rPr>
                <w:sz w:val="20"/>
                <w:szCs w:val="20"/>
              </w:rPr>
              <w:t xml:space="preserve">the </w:t>
            </w:r>
            <w:r w:rsidRPr="00722286">
              <w:rPr>
                <w:sz w:val="20"/>
                <w:szCs w:val="20"/>
              </w:rPr>
              <w:t xml:space="preserve">company and individual </w:t>
            </w:r>
            <w:r w:rsidR="00987D59">
              <w:rPr>
                <w:sz w:val="20"/>
                <w:szCs w:val="20"/>
              </w:rPr>
              <w:t xml:space="preserve">will be </w:t>
            </w:r>
            <w:r w:rsidRPr="00722286">
              <w:rPr>
                <w:sz w:val="20"/>
                <w:szCs w:val="20"/>
              </w:rPr>
              <w:t xml:space="preserve">recruited by FMI, i.e., referral) </w:t>
            </w:r>
          </w:p>
        </w:tc>
      </w:tr>
      <w:tr w:rsidR="00E10871" w:rsidTr="00E10871" w14:paraId="2095CDA2" w14:textId="77777777">
        <w:tc>
          <w:tcPr>
            <w:tcW w:w="9355" w:type="dxa"/>
          </w:tcPr>
          <w:p w:rsidRPr="00722286" w:rsidR="00E10871" w:rsidP="00E10871" w:rsidRDefault="00E10871" w14:paraId="56B60976" w14:textId="4F2F2FA7">
            <w:pPr>
              <w:pStyle w:val="TableBullets"/>
              <w:spacing w:before="40" w:after="40"/>
              <w:rPr>
                <w:sz w:val="20"/>
                <w:szCs w:val="20"/>
              </w:rPr>
            </w:pPr>
            <w:r w:rsidRPr="00722286">
              <w:rPr>
                <w:sz w:val="20"/>
                <w:szCs w:val="20"/>
              </w:rPr>
              <w:t>Two or three companies that are not members of FMI</w:t>
            </w:r>
          </w:p>
        </w:tc>
      </w:tr>
    </w:tbl>
    <w:p w:rsidR="00C2718C" w:rsidP="00F0534B" w:rsidRDefault="008D5FA7" w14:paraId="480062C7" w14:textId="1B1513BE">
      <w:pPr>
        <w:pStyle w:val="Source"/>
        <w:spacing w:after="0"/>
        <w:rPr>
          <w:rFonts w:eastAsia="SimSun"/>
        </w:rPr>
      </w:pPr>
      <w:r w:rsidRPr="00E16A04">
        <w:rPr>
          <w:rFonts w:eastAsia="SimSun"/>
          <w:vertAlign w:val="superscript"/>
        </w:rPr>
        <w:t>a</w:t>
      </w:r>
      <w:r w:rsidR="007904BA">
        <w:rPr>
          <w:rFonts w:eastAsia="SimSun"/>
          <w:vertAlign w:val="superscript"/>
        </w:rPr>
        <w:t xml:space="preserve"> </w:t>
      </w:r>
      <w:r w:rsidR="00F97AA8">
        <w:rPr>
          <w:rFonts w:eastAsia="SimSun"/>
        </w:rPr>
        <w:t>RTI</w:t>
      </w:r>
      <w:r>
        <w:rPr>
          <w:rFonts w:eastAsia="SimSun"/>
        </w:rPr>
        <w:t xml:space="preserve"> will </w:t>
      </w:r>
      <w:r w:rsidR="007904BA">
        <w:rPr>
          <w:rFonts w:eastAsia="SimSun"/>
        </w:rPr>
        <w:t xml:space="preserve">interview companies </w:t>
      </w:r>
      <w:r w:rsidR="00AE7F70">
        <w:rPr>
          <w:rFonts w:eastAsia="SimSun"/>
        </w:rPr>
        <w:t xml:space="preserve">that have </w:t>
      </w:r>
      <w:r w:rsidR="007904BA">
        <w:rPr>
          <w:rFonts w:eastAsia="SimSun"/>
        </w:rPr>
        <w:t>headquarters in different regions of the United States</w:t>
      </w:r>
      <w:r w:rsidR="00AE7F70">
        <w:rPr>
          <w:rFonts w:eastAsia="SimSun"/>
        </w:rPr>
        <w:t xml:space="preserve"> to provide </w:t>
      </w:r>
      <w:r w:rsidR="00AE7F70">
        <w:t xml:space="preserve">coverage across the four </w:t>
      </w:r>
      <w:r w:rsidR="00C5372F">
        <w:t xml:space="preserve">U.S. </w:t>
      </w:r>
      <w:r w:rsidRPr="00EB7836" w:rsidR="00AE7F70">
        <w:t>Census regions (the Northeast, Midwest, South, and West)</w:t>
      </w:r>
      <w:r w:rsidR="00F97AA8">
        <w:rPr>
          <w:rFonts w:eastAsia="SimSun"/>
        </w:rPr>
        <w:t xml:space="preserve">; there are no </w:t>
      </w:r>
      <w:r w:rsidR="007904BA">
        <w:rPr>
          <w:rFonts w:eastAsia="SimSun"/>
        </w:rPr>
        <w:t xml:space="preserve">soft quotas for </w:t>
      </w:r>
      <w:r w:rsidR="00AE7F70">
        <w:rPr>
          <w:rFonts w:eastAsia="SimSun"/>
        </w:rPr>
        <w:t>region</w:t>
      </w:r>
      <w:r w:rsidR="00B3212B">
        <w:rPr>
          <w:rFonts w:eastAsia="SimSun"/>
        </w:rPr>
        <w:t>; a mix of regions will be purposively selected</w:t>
      </w:r>
      <w:r w:rsidR="00AE7F70">
        <w:rPr>
          <w:rFonts w:eastAsia="SimSun"/>
        </w:rPr>
        <w:t>.</w:t>
      </w:r>
    </w:p>
    <w:p w:rsidRPr="005459AA" w:rsidR="006C3150" w:rsidP="00F0534B" w:rsidRDefault="006C3150" w14:paraId="1C649F0F" w14:textId="67593E56">
      <w:pPr>
        <w:pStyle w:val="Source"/>
      </w:pPr>
      <w:r>
        <w:rPr>
          <w:rFonts w:eastAsia="SimSun"/>
          <w:vertAlign w:val="superscript"/>
        </w:rPr>
        <w:t xml:space="preserve">b </w:t>
      </w:r>
      <w:r w:rsidRPr="005459AA">
        <w:t xml:space="preserve">Some companies may own multiple </w:t>
      </w:r>
      <w:r w:rsidRPr="00E16A04">
        <w:rPr>
          <w:rFonts w:eastAsia="SimSun"/>
        </w:rPr>
        <w:t>banners</w:t>
      </w:r>
      <w:r w:rsidR="00C5372F">
        <w:rPr>
          <w:rFonts w:eastAsia="SimSun"/>
        </w:rPr>
        <w:t>,</w:t>
      </w:r>
      <w:r w:rsidRPr="00E16A04">
        <w:rPr>
          <w:rFonts w:eastAsia="SimSun"/>
        </w:rPr>
        <w:t xml:space="preserve"> which is</w:t>
      </w:r>
      <w:r w:rsidR="00B37E9D">
        <w:rPr>
          <w:rFonts w:eastAsia="SimSun"/>
        </w:rPr>
        <w:t xml:space="preserve"> a</w:t>
      </w:r>
      <w:r w:rsidRPr="00E16A04">
        <w:rPr>
          <w:rFonts w:eastAsia="SimSun"/>
        </w:rPr>
        <w:t xml:space="preserve"> set of stores defined by a common name and unified advertising programs. For these</w:t>
      </w:r>
      <w:r w:rsidRPr="005459AA">
        <w:t xml:space="preserve"> companies, </w:t>
      </w:r>
      <w:r w:rsidR="00F97AA8">
        <w:t xml:space="preserve">RTI </w:t>
      </w:r>
      <w:r w:rsidRPr="005459AA">
        <w:t xml:space="preserve">will purposively choose one banner that </w:t>
      </w:r>
      <w:r w:rsidRPr="00FE3EB1">
        <w:t xml:space="preserve">aligns with </w:t>
      </w:r>
      <w:r w:rsidR="00F97AA8">
        <w:t xml:space="preserve">the </w:t>
      </w:r>
      <w:r>
        <w:t xml:space="preserve">soft quota ranges </w:t>
      </w:r>
      <w:r w:rsidRPr="005459AA">
        <w:t xml:space="preserve">because procedures for maintaining data for estimating food loss may vary by banner. </w:t>
      </w:r>
    </w:p>
    <w:p w:rsidRPr="00FE3EB1" w:rsidR="00503651" w:rsidP="00F0534B" w:rsidRDefault="00503651" w14:paraId="5135D914" w14:textId="77777777">
      <w:pPr>
        <w:pStyle w:val="Heading3"/>
      </w:pPr>
      <w:r w:rsidRPr="00FE3EB1">
        <w:t>Sample Size and Expected Response Rates</w:t>
      </w:r>
    </w:p>
    <w:p w:rsidRPr="0003540C" w:rsidR="00503651" w:rsidP="0084233D" w:rsidRDefault="00503651" w14:paraId="19D5C57C" w14:textId="4419B324">
      <w:pPr>
        <w:pStyle w:val="BodyText"/>
      </w:pPr>
      <w:r w:rsidRPr="0003540C">
        <w:t>We assume</w:t>
      </w:r>
      <w:r w:rsidR="00A64E4C">
        <w:t>d</w:t>
      </w:r>
      <w:r w:rsidRPr="0003540C">
        <w:t xml:space="preserve"> that up to 50 companies will need to be contacted to recruit 10 </w:t>
      </w:r>
      <w:r>
        <w:t xml:space="preserve">companies </w:t>
      </w:r>
      <w:r w:rsidRPr="0003540C">
        <w:t xml:space="preserve">for the Wave 1 interviews. This estimate is based on RTI’s experience </w:t>
      </w:r>
      <w:r w:rsidR="00645BB2">
        <w:t xml:space="preserve">contacting </w:t>
      </w:r>
      <w:r>
        <w:t xml:space="preserve">food retailer companies </w:t>
      </w:r>
      <w:r w:rsidRPr="0003540C">
        <w:t xml:space="preserve">earlier in this study. </w:t>
      </w:r>
      <w:r w:rsidR="00066760">
        <w:t>In an initial step under the original study design, i</w:t>
      </w:r>
      <w:r w:rsidRPr="0003540C">
        <w:t xml:space="preserve">n 2018, </w:t>
      </w:r>
      <w:r w:rsidR="00CC541B">
        <w:t xml:space="preserve">RTI </w:t>
      </w:r>
      <w:r w:rsidR="00645BB2">
        <w:t xml:space="preserve">had </w:t>
      </w:r>
      <w:r w:rsidRPr="0003540C">
        <w:t>informal discussions with seven food retailer companies</w:t>
      </w:r>
      <w:r w:rsidRPr="0003540C" w:rsidDel="006433DB">
        <w:t xml:space="preserve"> </w:t>
      </w:r>
      <w:r w:rsidRPr="0003540C">
        <w:t xml:space="preserve">(ranging in size and type) </w:t>
      </w:r>
      <w:r w:rsidRPr="00776DC4" w:rsidR="00066760">
        <w:t xml:space="preserve">as well as </w:t>
      </w:r>
      <w:r w:rsidRPr="00776DC4" w:rsidR="00066760">
        <w:lastRenderedPageBreak/>
        <w:t>organizations of interest (ReFED, the Food Industry Association [</w:t>
      </w:r>
      <w:r w:rsidR="00066760">
        <w:t xml:space="preserve">referred to as </w:t>
      </w:r>
      <w:r w:rsidRPr="00776DC4" w:rsidR="00066760">
        <w:t>FMI], and the National Grocers Association)</w:t>
      </w:r>
      <w:r w:rsidR="00154C4B">
        <w:t xml:space="preserve"> </w:t>
      </w:r>
      <w:r w:rsidRPr="0003540C">
        <w:t>to help inform the study design for the original project, and 28</w:t>
      </w:r>
      <w:r w:rsidR="00C5372F">
        <w:t xml:space="preserve">% </w:t>
      </w:r>
      <w:r w:rsidRPr="0003540C">
        <w:t xml:space="preserve">of companies contacted agreed to talk with </w:t>
      </w:r>
      <w:r>
        <w:t>RTI by telephone</w:t>
      </w:r>
      <w:r w:rsidR="002F59E7">
        <w:t xml:space="preserve"> (memorandum on informal discussions provided as </w:t>
      </w:r>
      <w:r w:rsidRPr="00024F00" w:rsidR="002F59E7">
        <w:t>Appendix B</w:t>
      </w:r>
      <w:r w:rsidR="002F59E7">
        <w:t>)</w:t>
      </w:r>
      <w:r w:rsidRPr="0003540C">
        <w:t xml:space="preserve">. For the </w:t>
      </w:r>
      <w:r>
        <w:t xml:space="preserve">proposed </w:t>
      </w:r>
      <w:r w:rsidRPr="0003540C">
        <w:t>semi-structured interviews, we adopted a conservative approach to estimating participation and assumed 20</w:t>
      </w:r>
      <w:r w:rsidR="00C5372F">
        <w:t xml:space="preserve">% </w:t>
      </w:r>
      <w:r w:rsidRPr="0003540C">
        <w:t>of contacted companies</w:t>
      </w:r>
      <w:r w:rsidRPr="0003540C" w:rsidDel="006433DB">
        <w:t xml:space="preserve"> </w:t>
      </w:r>
      <w:r w:rsidRPr="0003540C">
        <w:t>would participate in the interview after the initial contact.</w:t>
      </w:r>
      <w:r>
        <w:t xml:space="preserve"> Additionally, based on </w:t>
      </w:r>
      <w:r w:rsidR="00B92A69">
        <w:t xml:space="preserve">RTI’s </w:t>
      </w:r>
      <w:r>
        <w:t xml:space="preserve">experience with the earlier informal discussions, we estimated that </w:t>
      </w:r>
      <w:r w:rsidR="00B92A69">
        <w:t xml:space="preserve">up to four contacts (with potentially different people) </w:t>
      </w:r>
      <w:r>
        <w:t xml:space="preserve">would be required to identify the correct person to participate in the interview. </w:t>
      </w:r>
    </w:p>
    <w:p w:rsidRPr="00776DC4" w:rsidR="0097133B" w:rsidP="00F0534B" w:rsidRDefault="008D654D" w14:paraId="773DF17E" w14:textId="1C011177">
      <w:pPr>
        <w:pStyle w:val="Heading3"/>
      </w:pPr>
      <w:r>
        <w:t xml:space="preserve">Target </w:t>
      </w:r>
      <w:r w:rsidR="007904BA">
        <w:t xml:space="preserve">Individual </w:t>
      </w:r>
      <w:r>
        <w:t xml:space="preserve">to Interview </w:t>
      </w:r>
      <w:r w:rsidR="00A64E4C">
        <w:t xml:space="preserve">Within </w:t>
      </w:r>
      <w:r>
        <w:t>a Company</w:t>
      </w:r>
    </w:p>
    <w:p w:rsidRPr="00FE3EB1" w:rsidR="0097133B" w:rsidP="0084233D" w:rsidRDefault="0097133B" w14:paraId="1E66538E" w14:textId="67326F69">
      <w:pPr>
        <w:pStyle w:val="BodyText"/>
      </w:pPr>
      <w:r w:rsidRPr="00776DC4">
        <w:t xml:space="preserve">Target </w:t>
      </w:r>
      <w:r w:rsidR="008D654D">
        <w:t xml:space="preserve">individuals </w:t>
      </w:r>
      <w:r w:rsidRPr="00776DC4">
        <w:t xml:space="preserve">for the interviews are corporate staff who are knowledgeable about how product data are maintained across their company’s individual stores (e.g., </w:t>
      </w:r>
      <w:r w:rsidR="008D654D">
        <w:t xml:space="preserve">this may be </w:t>
      </w:r>
      <w:r w:rsidRPr="00776DC4">
        <w:t xml:space="preserve">someone in operations or supply chain management, a procurement specialist, or a retail/supermarket buyer). </w:t>
      </w:r>
      <w:r w:rsidR="00210607">
        <w:t>From o</w:t>
      </w:r>
      <w:r w:rsidR="00182BAC">
        <w:t>ur informal discussions with food retailers</w:t>
      </w:r>
      <w:r w:rsidRPr="00776DC4">
        <w:t xml:space="preserve">, it is our understanding that such staff will be best able to answer </w:t>
      </w:r>
      <w:r w:rsidR="00987D59">
        <w:t xml:space="preserve">the </w:t>
      </w:r>
      <w:r w:rsidRPr="00776DC4">
        <w:t>interview questions.</w:t>
      </w:r>
      <w:r w:rsidR="00F0534B">
        <w:t xml:space="preserve"> </w:t>
      </w:r>
      <w:r w:rsidR="008D654D">
        <w:t>As describe</w:t>
      </w:r>
      <w:r w:rsidR="00887754">
        <w:t>d</w:t>
      </w:r>
      <w:r w:rsidR="008D654D">
        <w:t xml:space="preserve"> in more detail below, </w:t>
      </w:r>
      <w:r w:rsidR="006D115B">
        <w:t xml:space="preserve">RTI research staff </w:t>
      </w:r>
      <w:r w:rsidR="008D654D">
        <w:t>will use a script to identify the target individual within the company to interview</w:t>
      </w:r>
      <w:r w:rsidR="00AE7F70">
        <w:t xml:space="preserve"> for non-FMI members </w:t>
      </w:r>
      <w:r w:rsidRPr="00047960" w:rsidR="00AE7F70">
        <w:t>(</w:t>
      </w:r>
      <w:r w:rsidRPr="00047960" w:rsidR="00987D59">
        <w:t xml:space="preserve">we anticipate that </w:t>
      </w:r>
      <w:r w:rsidRPr="00047960" w:rsidR="00AE7F70">
        <w:t>FMI will identify the target individual for the companies that it recruits).</w:t>
      </w:r>
    </w:p>
    <w:p w:rsidRPr="00776DC4" w:rsidR="003252EA" w:rsidP="00F0534B" w:rsidRDefault="003252EA" w14:paraId="01CCD883" w14:textId="71881318">
      <w:pPr>
        <w:pStyle w:val="Heading3"/>
      </w:pPr>
      <w:r>
        <w:t>Selection of C</w:t>
      </w:r>
      <w:r w:rsidRPr="00776DC4">
        <w:t>ompanies</w:t>
      </w:r>
      <w:r>
        <w:t xml:space="preserve"> for the Interviews</w:t>
      </w:r>
      <w:r w:rsidR="00503651">
        <w:t xml:space="preserve"> and Recruitment Procedures</w:t>
      </w:r>
    </w:p>
    <w:p w:rsidRPr="00BB18E1" w:rsidR="000B0E39" w:rsidP="0084233D" w:rsidRDefault="00B92A69" w14:paraId="48C23088" w14:textId="482E7F7B">
      <w:pPr>
        <w:pStyle w:val="BodyText"/>
      </w:pPr>
      <w:r>
        <w:t xml:space="preserve">RTI </w:t>
      </w:r>
      <w:r w:rsidRPr="00BB18E1" w:rsidR="00975C40">
        <w:t>will use Nielsen’s TDLinx database to</w:t>
      </w:r>
      <w:r w:rsidR="00CF2177">
        <w:t xml:space="preserve"> select companies for the interviews</w:t>
      </w:r>
      <w:r>
        <w:t xml:space="preserve">. </w:t>
      </w:r>
      <w:r w:rsidRPr="00BB18E1" w:rsidR="00975C40">
        <w:t>TDLinx is a proprietary commercial database, which includes the name, address, and corporate owner of individual food stores with at least $1 million in sales</w:t>
      </w:r>
      <w:r w:rsidR="009C6CA9">
        <w:t>.</w:t>
      </w:r>
      <w:r w:rsidRPr="00BB18E1" w:rsidR="00975C40">
        <w:rPr>
          <w:rStyle w:val="FootnoteReference"/>
        </w:rPr>
        <w:footnoteReference w:id="13"/>
      </w:r>
      <w:r w:rsidRPr="00BB18E1" w:rsidR="00975C40">
        <w:t xml:space="preserve"> It also provides information on store characteristics and type. </w:t>
      </w:r>
      <w:r w:rsidRPr="00BB18E1" w:rsidR="00BD1691">
        <w:t>Once selected</w:t>
      </w:r>
      <w:r w:rsidRPr="00BB18E1" w:rsidR="00E4016F">
        <w:t xml:space="preserve">, </w:t>
      </w:r>
      <w:r w:rsidRPr="00BB18E1" w:rsidR="00BD1691">
        <w:t xml:space="preserve">participants </w:t>
      </w:r>
      <w:r w:rsidRPr="00264A09" w:rsidR="00BD1691">
        <w:t xml:space="preserve">will be </w:t>
      </w:r>
      <w:r w:rsidR="00A21C46">
        <w:t>contacted</w:t>
      </w:r>
      <w:r w:rsidRPr="00264A09" w:rsidR="00BD1691">
        <w:t xml:space="preserve"> </w:t>
      </w:r>
      <w:r w:rsidRPr="00264A09" w:rsidR="00645BB2">
        <w:t xml:space="preserve">by RTI staff </w:t>
      </w:r>
      <w:r w:rsidRPr="00264A09" w:rsidR="00BD1691">
        <w:t xml:space="preserve">using the procedures described </w:t>
      </w:r>
      <w:r w:rsidRPr="00264A09" w:rsidR="006C3150">
        <w:t>below</w:t>
      </w:r>
      <w:r w:rsidRPr="00264A09" w:rsidR="001C313A">
        <w:t xml:space="preserve"> for FMI and non-FMI member companies</w:t>
      </w:r>
      <w:r w:rsidR="001C313A">
        <w:t>.</w:t>
      </w:r>
      <w:r>
        <w:t xml:space="preserve"> ERS will not know the identity of the companies selected and the companies that decide to participate in the interviews.</w:t>
      </w:r>
    </w:p>
    <w:p w:rsidRPr="00E4016F" w:rsidR="00E4016F" w:rsidP="00BA25AF" w:rsidRDefault="00E4016F" w14:paraId="049658A1" w14:textId="268CA277">
      <w:pPr>
        <w:pStyle w:val="Heading4"/>
      </w:pPr>
      <w:r w:rsidRPr="00BA25AF">
        <w:t xml:space="preserve">Non-FMI </w:t>
      </w:r>
      <w:r w:rsidRPr="00BA25AF" w:rsidR="009C6CA9">
        <w:t>Members</w:t>
      </w:r>
      <w:r w:rsidRPr="00E4016F" w:rsidR="009C6CA9">
        <w:t xml:space="preserve"> </w:t>
      </w:r>
    </w:p>
    <w:p w:rsidRPr="00BB18E1" w:rsidR="003252EA" w:rsidP="0084233D" w:rsidRDefault="00E4016F" w14:paraId="5E20C779" w14:textId="40DC343B">
      <w:pPr>
        <w:pStyle w:val="BodyText"/>
      </w:pPr>
      <w:r w:rsidRPr="00590AC2">
        <w:t xml:space="preserve">We plan to recruit </w:t>
      </w:r>
      <w:r w:rsidR="009C6CA9">
        <w:t>two to three</w:t>
      </w:r>
      <w:r w:rsidRPr="00590AC2">
        <w:t xml:space="preserve"> companies that are not FMI members</w:t>
      </w:r>
      <w:r w:rsidR="00CF2177">
        <w:t xml:space="preserve">. </w:t>
      </w:r>
      <w:r w:rsidRPr="00BB18E1" w:rsidR="003252EA">
        <w:t xml:space="preserve">To encourage participation </w:t>
      </w:r>
      <w:r w:rsidR="003252EA">
        <w:t>among companies that are not FMI members</w:t>
      </w:r>
      <w:r w:rsidRPr="00BB18E1" w:rsidR="003252EA">
        <w:t>, RTI asked the National Grocers Association</w:t>
      </w:r>
      <w:r w:rsidR="00E85836">
        <w:t>, which represents independent, privately</w:t>
      </w:r>
      <w:r w:rsidR="009C6CA9">
        <w:t xml:space="preserve"> </w:t>
      </w:r>
      <w:r w:rsidR="00E85836">
        <w:t xml:space="preserve">owned grocery stores, </w:t>
      </w:r>
      <w:r w:rsidRPr="00BB18E1" w:rsidR="003252EA">
        <w:t>about their willingness to communicate their support for the study to their member companies.</w:t>
      </w:r>
      <w:r w:rsidR="003252EA">
        <w:t xml:space="preserve"> </w:t>
      </w:r>
      <w:r w:rsidRPr="00BB18E1" w:rsidR="003252EA">
        <w:t>In past studies of this type, RTI has found that such efforts help demonstrate the legitimacy and need for the study and may motivate companies to participate.</w:t>
      </w:r>
      <w:r w:rsidRPr="00BB18E1" w:rsidR="003252EA">
        <w:rPr>
          <w:rStyle w:val="FootnoteReference"/>
        </w:rPr>
        <w:footnoteReference w:id="14"/>
      </w:r>
      <w:r w:rsidRPr="00BB18E1" w:rsidR="003252EA">
        <w:t xml:space="preserve"> </w:t>
      </w:r>
      <w:r w:rsidR="00AE7F70">
        <w:t>T</w:t>
      </w:r>
      <w:r w:rsidRPr="00BB18E1" w:rsidR="00AE7F70">
        <w:t xml:space="preserve">he National Grocers Association </w:t>
      </w:r>
      <w:r w:rsidRPr="00BB18E1" w:rsidR="003252EA">
        <w:t xml:space="preserve">has agreed to share </w:t>
      </w:r>
      <w:r w:rsidRPr="00BB18E1" w:rsidR="003252EA">
        <w:lastRenderedPageBreak/>
        <w:t xml:space="preserve">information about the study with their membership </w:t>
      </w:r>
      <w:r w:rsidR="009C6CA9">
        <w:t>through</w:t>
      </w:r>
      <w:r w:rsidRPr="00BB18E1" w:rsidR="009C6CA9">
        <w:t xml:space="preserve"> </w:t>
      </w:r>
      <w:r w:rsidRPr="00BB18E1" w:rsidR="003252EA">
        <w:t xml:space="preserve">their newsletter the week </w:t>
      </w:r>
      <w:r w:rsidR="009C6CA9">
        <w:t>before</w:t>
      </w:r>
      <w:r w:rsidRPr="00BB18E1" w:rsidR="003252EA">
        <w:t xml:space="preserve"> recruiting</w:t>
      </w:r>
      <w:r w:rsidRPr="009C6CA9" w:rsidR="009C6CA9">
        <w:t xml:space="preserve"> </w:t>
      </w:r>
      <w:r w:rsidRPr="00BB18E1" w:rsidR="009C6CA9">
        <w:t>start</w:t>
      </w:r>
      <w:r w:rsidR="009C6CA9">
        <w:t>s</w:t>
      </w:r>
      <w:r w:rsidRPr="00BB18E1" w:rsidR="003252EA">
        <w:t xml:space="preserve"> (once at the beginning of the week in their general newsletter and once in their government relations</w:t>
      </w:r>
      <w:r w:rsidR="009C6CA9">
        <w:t>–</w:t>
      </w:r>
      <w:r w:rsidRPr="00BB18E1" w:rsidR="003252EA">
        <w:t>specific newsletter at the end of the week</w:t>
      </w:r>
      <w:r w:rsidR="009C6CA9">
        <w:t xml:space="preserve">) </w:t>
      </w:r>
      <w:r w:rsidRPr="00BB18E1" w:rsidR="003252EA">
        <w:t xml:space="preserve">(Appendix </w:t>
      </w:r>
      <w:r w:rsidR="00C06449">
        <w:t>C</w:t>
      </w:r>
      <w:r w:rsidRPr="00BB18E1" w:rsidR="003252EA">
        <w:t xml:space="preserve">). </w:t>
      </w:r>
    </w:p>
    <w:p w:rsidR="0041288A" w:rsidP="0084233D" w:rsidRDefault="00B92A69" w14:paraId="572644AA" w14:textId="254887C8">
      <w:pPr>
        <w:pStyle w:val="BodyText"/>
      </w:pPr>
      <w:r>
        <w:t xml:space="preserve">RTI </w:t>
      </w:r>
      <w:r w:rsidR="00CF2177">
        <w:t xml:space="preserve">will purposively select 20 companies </w:t>
      </w:r>
      <w:r w:rsidRPr="00590AC2" w:rsidR="00CF2177">
        <w:t xml:space="preserve">from TDLinx to </w:t>
      </w:r>
      <w:r w:rsidR="00CF2177">
        <w:t xml:space="preserve">provide a mix of types, organizational structures, and regions (Table 1). </w:t>
      </w:r>
      <w:r>
        <w:t>T</w:t>
      </w:r>
      <w:r w:rsidRPr="00590AC2" w:rsidR="00CF2177">
        <w:t>hese companies will primarily be companies classified as independent operators because FMI generally represents larger regional</w:t>
      </w:r>
      <w:r w:rsidR="002F0EFA">
        <w:t xml:space="preserve"> or</w:t>
      </w:r>
      <w:r w:rsidRPr="00590AC2" w:rsidR="00CF2177">
        <w:t xml:space="preserve"> national chains. </w:t>
      </w:r>
      <w:r>
        <w:t xml:space="preserve">RTI staff </w:t>
      </w:r>
      <w:r w:rsidR="00CF2177">
        <w:t xml:space="preserve">will contact companies from this list to recruit them for an interview. </w:t>
      </w:r>
      <w:r w:rsidRPr="0094744F" w:rsidR="0041288A">
        <w:t xml:space="preserve">For any regional and national chains, </w:t>
      </w:r>
      <w:r w:rsidR="00A21C46">
        <w:t>(</w:t>
      </w:r>
      <w:r w:rsidRPr="00F55ACE" w:rsidR="00DB2678">
        <w:t>that are not FMI</w:t>
      </w:r>
      <w:r w:rsidRPr="00C6116A" w:rsidR="00A21C46">
        <w:t xml:space="preserve"> members</w:t>
      </w:r>
      <w:r w:rsidR="00A21C46">
        <w:t>)</w:t>
      </w:r>
      <w:r w:rsidR="00DB2678">
        <w:t xml:space="preserve"> </w:t>
      </w:r>
      <w:r>
        <w:t xml:space="preserve">RTI will initially </w:t>
      </w:r>
      <w:r w:rsidRPr="0094744F" w:rsidR="0041288A">
        <w:t xml:space="preserve">identify and contact someone within the company’s sustainability group (e.g., chief of sustainability, director of sustainability) to get their support for the interviews and </w:t>
      </w:r>
      <w:r>
        <w:t xml:space="preserve">then </w:t>
      </w:r>
      <w:r w:rsidRPr="0094744F" w:rsidR="0041288A">
        <w:t>work with them to identify the individual(s) who maintain(s) data on product shipments and sales</w:t>
      </w:r>
      <w:r>
        <w:t xml:space="preserve"> as the individual to take part in the interview</w:t>
      </w:r>
      <w:r w:rsidRPr="0094744F" w:rsidR="0041288A">
        <w:t xml:space="preserve">. In discussions with ReFED, they indicated that they are using a similar approach. We understand smaller, independent operators might not have a sustainability staff/office; in these cases, </w:t>
      </w:r>
      <w:r>
        <w:t xml:space="preserve">RTI </w:t>
      </w:r>
      <w:r w:rsidRPr="0094744F" w:rsidR="0041288A">
        <w:t xml:space="preserve">will identify and contact the corporate director of operations (or similar title) as a starting point and work with them to identify the appropriate person to interview. </w:t>
      </w:r>
      <w:r>
        <w:t xml:space="preserve">RTI </w:t>
      </w:r>
      <w:r w:rsidRPr="0094744F" w:rsidR="0041288A">
        <w:t xml:space="preserve">will search online for publicly available information to identify the initial </w:t>
      </w:r>
      <w:r w:rsidR="005A6DCC">
        <w:t>contact</w:t>
      </w:r>
      <w:r w:rsidR="00E85836">
        <w:t xml:space="preserve"> and an email address and/or phone number</w:t>
      </w:r>
      <w:r w:rsidRPr="0094744F" w:rsidR="0041288A">
        <w:t xml:space="preserve">. </w:t>
      </w:r>
      <w:r w:rsidR="00FC0EE7">
        <w:t>Table 2 details the contact</w:t>
      </w:r>
      <w:r w:rsidR="00E85836">
        <w:t>/recruitment</w:t>
      </w:r>
      <w:r w:rsidR="00FC0EE7">
        <w:t xml:space="preserve"> procedures for non-FMI members.</w:t>
      </w:r>
    </w:p>
    <w:p w:rsidR="00FC0EE7" w:rsidP="00F0534B" w:rsidRDefault="00FC0EE7" w14:paraId="74272D8B" w14:textId="69AA5808">
      <w:pPr>
        <w:pStyle w:val="TableCaption"/>
      </w:pPr>
      <w:r w:rsidRPr="00E16A04">
        <w:t>Table 2.</w:t>
      </w:r>
      <w:r>
        <w:t xml:space="preserve"> </w:t>
      </w:r>
      <w:r w:rsidRPr="00E16A04" w:rsidR="00E85836">
        <w:t>Contact/</w:t>
      </w:r>
      <w:r w:rsidRPr="000E336A">
        <w:t>Recruitment</w:t>
      </w:r>
      <w:r>
        <w:t xml:space="preserve"> </w:t>
      </w:r>
      <w:r w:rsidRPr="00E16A04">
        <w:t xml:space="preserve">Procedures for </w:t>
      </w:r>
      <w:r w:rsidRPr="00E16A04" w:rsidR="00F0534B">
        <w:t>Non</w:t>
      </w:r>
      <w:r w:rsidRPr="00E16A04">
        <w:t>-FMI Members</w:t>
      </w:r>
    </w:p>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2070"/>
        <w:gridCol w:w="7290"/>
      </w:tblGrid>
      <w:tr w:rsidR="00FC0EE7" w:rsidTr="0095748A" w14:paraId="0343E22D" w14:textId="77777777">
        <w:tc>
          <w:tcPr>
            <w:tcW w:w="2790" w:type="dxa"/>
            <w:tcBorders>
              <w:top w:val="single" w:color="auto" w:sz="12" w:space="0"/>
              <w:bottom w:val="single" w:color="auto" w:sz="2" w:space="0"/>
            </w:tcBorders>
          </w:tcPr>
          <w:p w:rsidRPr="00E835B2" w:rsidR="00FC0EE7" w:rsidP="00AA70B0" w:rsidRDefault="00FC0EE7" w14:paraId="433FDE73" w14:textId="7773FFB3">
            <w:pPr>
              <w:pStyle w:val="Tabletext"/>
              <w:spacing w:before="96" w:beforeLines="40" w:after="96" w:afterLines="40"/>
              <w:rPr>
                <w:sz w:val="20"/>
                <w:szCs w:val="20"/>
              </w:rPr>
            </w:pPr>
            <w:r w:rsidRPr="00E835B2">
              <w:rPr>
                <w:sz w:val="20"/>
                <w:szCs w:val="20"/>
              </w:rPr>
              <w:t xml:space="preserve">Email </w:t>
            </w:r>
            <w:r w:rsidRPr="00E835B2" w:rsidR="00A70379">
              <w:rPr>
                <w:sz w:val="20"/>
                <w:szCs w:val="20"/>
              </w:rPr>
              <w:t>address is not available</w:t>
            </w:r>
          </w:p>
        </w:tc>
        <w:tc>
          <w:tcPr>
            <w:tcW w:w="10160" w:type="dxa"/>
            <w:tcBorders>
              <w:top w:val="single" w:color="auto" w:sz="12" w:space="0"/>
              <w:bottom w:val="single" w:color="auto" w:sz="2" w:space="0"/>
            </w:tcBorders>
          </w:tcPr>
          <w:p w:rsidRPr="00E835B2" w:rsidR="00FC0EE7" w:rsidP="00AA70B0" w:rsidRDefault="00B92A69" w14:paraId="5AFDAE27" w14:textId="343AABCF">
            <w:pPr>
              <w:pStyle w:val="TableBullets"/>
              <w:spacing w:before="96" w:beforeLines="40" w:after="96" w:afterLines="40"/>
              <w:rPr>
                <w:sz w:val="20"/>
                <w:szCs w:val="20"/>
              </w:rPr>
            </w:pPr>
            <w:r>
              <w:rPr>
                <w:sz w:val="20"/>
                <w:szCs w:val="20"/>
              </w:rPr>
              <w:t xml:space="preserve">RTI </w:t>
            </w:r>
            <w:r w:rsidRPr="00E835B2" w:rsidR="00FC0EE7">
              <w:rPr>
                <w:sz w:val="20"/>
                <w:szCs w:val="20"/>
              </w:rPr>
              <w:t xml:space="preserve">will contact the </w:t>
            </w:r>
            <w:r w:rsidR="00645BB2">
              <w:rPr>
                <w:sz w:val="20"/>
                <w:szCs w:val="20"/>
              </w:rPr>
              <w:t xml:space="preserve">company </w:t>
            </w:r>
            <w:r w:rsidRPr="00E835B2" w:rsidR="00FC0EE7">
              <w:rPr>
                <w:sz w:val="20"/>
                <w:szCs w:val="20"/>
              </w:rPr>
              <w:t xml:space="preserve">by </w:t>
            </w:r>
            <w:r w:rsidR="00645BB2">
              <w:rPr>
                <w:sz w:val="20"/>
                <w:szCs w:val="20"/>
              </w:rPr>
              <w:t>tele</w:t>
            </w:r>
            <w:r w:rsidRPr="00E835B2" w:rsidR="00FC0EE7">
              <w:rPr>
                <w:sz w:val="20"/>
                <w:szCs w:val="20"/>
              </w:rPr>
              <w:t xml:space="preserve">phone. Appendix </w:t>
            </w:r>
            <w:r w:rsidR="00C06449">
              <w:rPr>
                <w:sz w:val="20"/>
                <w:szCs w:val="20"/>
              </w:rPr>
              <w:t>D</w:t>
            </w:r>
            <w:r w:rsidRPr="00E835B2" w:rsidR="00FC0EE7">
              <w:rPr>
                <w:sz w:val="20"/>
                <w:szCs w:val="20"/>
              </w:rPr>
              <w:t xml:space="preserve">-1 provides the script for making the initial contact, with separate scripts for independent operators and regional/national chains. </w:t>
            </w:r>
          </w:p>
          <w:p w:rsidRPr="00E835B2" w:rsidR="00FC0EE7" w:rsidP="00AA70B0" w:rsidRDefault="00FC0EE7" w14:paraId="0445C284" w14:textId="4112CE5F">
            <w:pPr>
              <w:pStyle w:val="TableBullets"/>
              <w:spacing w:before="96" w:beforeLines="40" w:after="96" w:afterLines="40"/>
              <w:rPr>
                <w:sz w:val="20"/>
                <w:szCs w:val="20"/>
              </w:rPr>
            </w:pPr>
            <w:r w:rsidRPr="00E835B2">
              <w:rPr>
                <w:sz w:val="20"/>
                <w:szCs w:val="20"/>
              </w:rPr>
              <w:t>After the appropriate contact</w:t>
            </w:r>
            <w:r w:rsidR="00B92A69">
              <w:rPr>
                <w:sz w:val="20"/>
                <w:szCs w:val="20"/>
              </w:rPr>
              <w:t xml:space="preserve"> has been identified</w:t>
            </w:r>
            <w:r w:rsidRPr="00E835B2">
              <w:rPr>
                <w:sz w:val="20"/>
                <w:szCs w:val="20"/>
              </w:rPr>
              <w:t xml:space="preserve">, </w:t>
            </w:r>
            <w:r w:rsidR="00B92A69">
              <w:rPr>
                <w:sz w:val="20"/>
                <w:szCs w:val="20"/>
              </w:rPr>
              <w:t>RTI</w:t>
            </w:r>
            <w:r w:rsidRPr="00E835B2">
              <w:rPr>
                <w:sz w:val="20"/>
                <w:szCs w:val="20"/>
              </w:rPr>
              <w:t xml:space="preserve"> will call this person using the script provided in Appendix </w:t>
            </w:r>
            <w:r w:rsidR="00C06449">
              <w:rPr>
                <w:sz w:val="20"/>
                <w:szCs w:val="20"/>
              </w:rPr>
              <w:t>D</w:t>
            </w:r>
            <w:r w:rsidRPr="00E835B2">
              <w:rPr>
                <w:sz w:val="20"/>
                <w:szCs w:val="20"/>
              </w:rPr>
              <w:t xml:space="preserve">-2 and, if the person agrees to participate, schedule a mutually agreeable date/time for an interview during the call or by sending a scheduling email (Appendix </w:t>
            </w:r>
            <w:r w:rsidR="00C06449">
              <w:rPr>
                <w:sz w:val="20"/>
                <w:szCs w:val="20"/>
              </w:rPr>
              <w:t>E</w:t>
            </w:r>
            <w:r w:rsidRPr="00E835B2">
              <w:rPr>
                <w:sz w:val="20"/>
                <w:szCs w:val="20"/>
              </w:rPr>
              <w:t>-2).</w:t>
            </w:r>
            <w:r w:rsidR="005D484F">
              <w:rPr>
                <w:sz w:val="20"/>
                <w:szCs w:val="20"/>
              </w:rPr>
              <w:t xml:space="preserve"> </w:t>
            </w:r>
            <w:r w:rsidRPr="005D484F" w:rsidR="005D484F">
              <w:rPr>
                <w:sz w:val="20"/>
                <w:szCs w:val="20"/>
              </w:rPr>
              <w:t>Appendix E-2 will include three attachments with additional information on the study: (1) a disclaimer (Appendix F-1), the informed consent form (Appendix F-2), and the list of potential interview topics (Appendix G).</w:t>
            </w:r>
          </w:p>
        </w:tc>
      </w:tr>
      <w:tr w:rsidR="00FC0EE7" w:rsidTr="0095748A" w14:paraId="204C89A5" w14:textId="77777777">
        <w:tc>
          <w:tcPr>
            <w:tcW w:w="2790" w:type="dxa"/>
            <w:tcBorders>
              <w:top w:val="single" w:color="auto" w:sz="2" w:space="0"/>
            </w:tcBorders>
          </w:tcPr>
          <w:p w:rsidRPr="00E835B2" w:rsidR="00FC0EE7" w:rsidP="00AA70B0" w:rsidRDefault="00FC0EE7" w14:paraId="5E488FDE" w14:textId="016C08C9">
            <w:pPr>
              <w:pStyle w:val="Tabletext"/>
              <w:spacing w:before="96" w:beforeLines="40" w:after="96" w:afterLines="40"/>
              <w:rPr>
                <w:sz w:val="20"/>
                <w:szCs w:val="20"/>
              </w:rPr>
            </w:pPr>
            <w:r w:rsidRPr="00E835B2">
              <w:rPr>
                <w:sz w:val="20"/>
                <w:szCs w:val="20"/>
              </w:rPr>
              <w:t xml:space="preserve">Email </w:t>
            </w:r>
            <w:r w:rsidRPr="00E835B2" w:rsidR="0095748A">
              <w:rPr>
                <w:sz w:val="20"/>
                <w:szCs w:val="20"/>
              </w:rPr>
              <w:t xml:space="preserve">address is available </w:t>
            </w:r>
          </w:p>
        </w:tc>
        <w:tc>
          <w:tcPr>
            <w:tcW w:w="10160" w:type="dxa"/>
            <w:tcBorders>
              <w:top w:val="single" w:color="auto" w:sz="2" w:space="0"/>
            </w:tcBorders>
          </w:tcPr>
          <w:p w:rsidRPr="00E835B2" w:rsidR="00FC0EE7" w:rsidP="00AA70B0" w:rsidRDefault="00B92A69" w14:paraId="0D88BF22" w14:textId="5E8B6D69">
            <w:pPr>
              <w:pStyle w:val="TableBullets"/>
              <w:spacing w:before="96" w:beforeLines="40" w:after="96" w:afterLines="40"/>
              <w:rPr>
                <w:sz w:val="20"/>
                <w:szCs w:val="20"/>
              </w:rPr>
            </w:pPr>
            <w:r>
              <w:rPr>
                <w:sz w:val="20"/>
                <w:szCs w:val="20"/>
              </w:rPr>
              <w:t xml:space="preserve">RTI </w:t>
            </w:r>
            <w:r w:rsidRPr="00E835B2" w:rsidR="00FC0EE7">
              <w:rPr>
                <w:sz w:val="20"/>
                <w:szCs w:val="20"/>
              </w:rPr>
              <w:t xml:space="preserve">will send an email initially (Appendix </w:t>
            </w:r>
            <w:r w:rsidR="00C06449">
              <w:rPr>
                <w:sz w:val="20"/>
                <w:szCs w:val="20"/>
              </w:rPr>
              <w:t>E</w:t>
            </w:r>
            <w:r w:rsidRPr="00E835B2" w:rsidR="00FC0EE7">
              <w:rPr>
                <w:sz w:val="20"/>
                <w:szCs w:val="20"/>
              </w:rPr>
              <w:t>-1). If a response to the email</w:t>
            </w:r>
            <w:r>
              <w:rPr>
                <w:sz w:val="20"/>
                <w:szCs w:val="20"/>
              </w:rPr>
              <w:t xml:space="preserve"> is received</w:t>
            </w:r>
            <w:r w:rsidRPr="00E835B2" w:rsidR="00FC0EE7">
              <w:rPr>
                <w:sz w:val="20"/>
                <w:szCs w:val="20"/>
              </w:rPr>
              <w:t xml:space="preserve">, </w:t>
            </w:r>
            <w:r>
              <w:rPr>
                <w:sz w:val="20"/>
                <w:szCs w:val="20"/>
              </w:rPr>
              <w:t xml:space="preserve">RTI </w:t>
            </w:r>
            <w:r w:rsidRPr="00E835B2" w:rsidR="00FC0EE7">
              <w:rPr>
                <w:sz w:val="20"/>
                <w:szCs w:val="20"/>
              </w:rPr>
              <w:t>will follow</w:t>
            </w:r>
            <w:r w:rsidR="0095748A">
              <w:rPr>
                <w:sz w:val="20"/>
                <w:szCs w:val="20"/>
              </w:rPr>
              <w:t xml:space="preserve"> </w:t>
            </w:r>
            <w:r w:rsidRPr="00E835B2" w:rsidR="00FC0EE7">
              <w:rPr>
                <w:sz w:val="20"/>
                <w:szCs w:val="20"/>
              </w:rPr>
              <w:t xml:space="preserve">up by sending a recruitment/scheduling email (Appendix </w:t>
            </w:r>
            <w:r w:rsidR="002D2154">
              <w:rPr>
                <w:sz w:val="20"/>
                <w:szCs w:val="20"/>
              </w:rPr>
              <w:t>E</w:t>
            </w:r>
            <w:r w:rsidRPr="00E835B2" w:rsidR="00FC0EE7">
              <w:rPr>
                <w:sz w:val="20"/>
                <w:szCs w:val="20"/>
              </w:rPr>
              <w:t>-2)</w:t>
            </w:r>
            <w:r w:rsidR="005D484F">
              <w:rPr>
                <w:sz w:val="20"/>
                <w:szCs w:val="20"/>
              </w:rPr>
              <w:t xml:space="preserve"> with the attachments</w:t>
            </w:r>
            <w:r w:rsidRPr="00E835B2" w:rsidR="00FC0EE7">
              <w:rPr>
                <w:sz w:val="20"/>
                <w:szCs w:val="20"/>
              </w:rPr>
              <w:t xml:space="preserve">, or if the email response suggests a phone contact would be preferred, then </w:t>
            </w:r>
            <w:r>
              <w:rPr>
                <w:sz w:val="20"/>
                <w:szCs w:val="20"/>
              </w:rPr>
              <w:t xml:space="preserve">RTI </w:t>
            </w:r>
            <w:r w:rsidRPr="00E835B2" w:rsidR="00FC0EE7">
              <w:rPr>
                <w:sz w:val="20"/>
                <w:szCs w:val="20"/>
              </w:rPr>
              <w:t xml:space="preserve">will contact </w:t>
            </w:r>
            <w:r w:rsidR="00B269A2">
              <w:rPr>
                <w:sz w:val="20"/>
                <w:szCs w:val="20"/>
              </w:rPr>
              <w:t xml:space="preserve">them </w:t>
            </w:r>
            <w:r w:rsidRPr="00E835B2" w:rsidR="00FC0EE7">
              <w:rPr>
                <w:sz w:val="20"/>
                <w:szCs w:val="20"/>
              </w:rPr>
              <w:t xml:space="preserve">by </w:t>
            </w:r>
            <w:r w:rsidR="00645BB2">
              <w:rPr>
                <w:sz w:val="20"/>
                <w:szCs w:val="20"/>
              </w:rPr>
              <w:t>tele</w:t>
            </w:r>
            <w:r w:rsidRPr="00E835B2" w:rsidR="00FC0EE7">
              <w:rPr>
                <w:sz w:val="20"/>
                <w:szCs w:val="20"/>
              </w:rPr>
              <w:t xml:space="preserve">phone using </w:t>
            </w:r>
            <w:r w:rsidRPr="00E835B2" w:rsidR="0095748A">
              <w:rPr>
                <w:sz w:val="20"/>
                <w:szCs w:val="20"/>
              </w:rPr>
              <w:t xml:space="preserve">the script provided in </w:t>
            </w:r>
            <w:r w:rsidRPr="00E835B2" w:rsidR="00FC0EE7">
              <w:rPr>
                <w:sz w:val="20"/>
                <w:szCs w:val="20"/>
              </w:rPr>
              <w:t xml:space="preserve">Appendix </w:t>
            </w:r>
            <w:r w:rsidR="002D2154">
              <w:rPr>
                <w:sz w:val="20"/>
                <w:szCs w:val="20"/>
              </w:rPr>
              <w:t>D</w:t>
            </w:r>
            <w:r w:rsidRPr="00E835B2" w:rsidR="00FC0EE7">
              <w:rPr>
                <w:sz w:val="20"/>
                <w:szCs w:val="20"/>
              </w:rPr>
              <w:t>-2</w:t>
            </w:r>
            <w:r w:rsidR="005D484F">
              <w:rPr>
                <w:sz w:val="20"/>
                <w:szCs w:val="20"/>
              </w:rPr>
              <w:t xml:space="preserve"> and then send the scheduling email (Appendix E-2) with the three attachments noted above.</w:t>
            </w:r>
          </w:p>
          <w:p w:rsidRPr="005D484F" w:rsidR="00FC0EE7" w:rsidP="005D484F" w:rsidRDefault="00FC0EE7" w14:paraId="20C42858" w14:textId="35391674">
            <w:pPr>
              <w:pStyle w:val="TableBullets"/>
              <w:spacing w:before="96" w:beforeLines="40" w:after="96" w:afterLines="40"/>
              <w:rPr>
                <w:sz w:val="20"/>
                <w:szCs w:val="20"/>
              </w:rPr>
            </w:pPr>
            <w:r w:rsidRPr="00E835B2">
              <w:rPr>
                <w:sz w:val="20"/>
                <w:szCs w:val="20"/>
              </w:rPr>
              <w:t xml:space="preserve">If </w:t>
            </w:r>
            <w:r w:rsidR="00B92A69">
              <w:rPr>
                <w:sz w:val="20"/>
                <w:szCs w:val="20"/>
              </w:rPr>
              <w:t xml:space="preserve">there is not a </w:t>
            </w:r>
            <w:r w:rsidRPr="00E835B2">
              <w:rPr>
                <w:sz w:val="20"/>
                <w:szCs w:val="20"/>
              </w:rPr>
              <w:t xml:space="preserve">response to the email and a phone number is available, </w:t>
            </w:r>
            <w:r w:rsidR="00B92A69">
              <w:rPr>
                <w:sz w:val="20"/>
                <w:szCs w:val="20"/>
              </w:rPr>
              <w:t xml:space="preserve">RTI </w:t>
            </w:r>
            <w:r w:rsidRPr="00E835B2">
              <w:rPr>
                <w:sz w:val="20"/>
                <w:szCs w:val="20"/>
              </w:rPr>
              <w:t xml:space="preserve">will call </w:t>
            </w:r>
            <w:r w:rsidRPr="00E835B2" w:rsidR="00645BB2">
              <w:rPr>
                <w:sz w:val="20"/>
                <w:szCs w:val="20"/>
              </w:rPr>
              <w:t xml:space="preserve">this person using the script provided in Appendix </w:t>
            </w:r>
            <w:r w:rsidR="002D2154">
              <w:rPr>
                <w:sz w:val="20"/>
                <w:szCs w:val="20"/>
              </w:rPr>
              <w:t>D</w:t>
            </w:r>
            <w:r w:rsidRPr="00E835B2" w:rsidR="00645BB2">
              <w:rPr>
                <w:sz w:val="20"/>
                <w:szCs w:val="20"/>
              </w:rPr>
              <w:t xml:space="preserve">-2 and, if the person agrees to participate, schedule a mutually agreeable date/time for an interview during the call </w:t>
            </w:r>
            <w:r w:rsidR="005D484F">
              <w:rPr>
                <w:sz w:val="20"/>
                <w:szCs w:val="20"/>
              </w:rPr>
              <w:t xml:space="preserve">and then send the scheduling email (Appendix E-2) with the three attachments noted above. If the person prefers to schedule by email, then RTI will </w:t>
            </w:r>
            <w:r w:rsidRPr="005D484F" w:rsidR="00645BB2">
              <w:rPr>
                <w:sz w:val="20"/>
                <w:szCs w:val="20"/>
              </w:rPr>
              <w:t xml:space="preserve">send a scheduling email (Appendix </w:t>
            </w:r>
            <w:r w:rsidRPr="005D484F" w:rsidR="002D2154">
              <w:rPr>
                <w:sz w:val="20"/>
                <w:szCs w:val="20"/>
              </w:rPr>
              <w:t>E</w:t>
            </w:r>
            <w:r w:rsidRPr="005D484F" w:rsidR="00645BB2">
              <w:rPr>
                <w:sz w:val="20"/>
                <w:szCs w:val="20"/>
              </w:rPr>
              <w:t>-2)</w:t>
            </w:r>
            <w:r w:rsidR="005D484F">
              <w:rPr>
                <w:sz w:val="20"/>
                <w:szCs w:val="20"/>
              </w:rPr>
              <w:t xml:space="preserve"> with the three attachments noted above.</w:t>
            </w:r>
          </w:p>
        </w:tc>
      </w:tr>
    </w:tbl>
    <w:p w:rsidR="00FC0EE7" w:rsidP="0084233D" w:rsidRDefault="00FC0EE7" w14:paraId="348E0C5F" w14:textId="1AA8FBC7">
      <w:pPr>
        <w:pStyle w:val="BodyText"/>
      </w:pPr>
    </w:p>
    <w:p w:rsidRPr="00BA25AF" w:rsidR="005D65BC" w:rsidP="005D65BC" w:rsidRDefault="005D65BC" w14:paraId="0E758A8A" w14:textId="77777777">
      <w:pPr>
        <w:pStyle w:val="Heading4"/>
      </w:pPr>
      <w:r w:rsidRPr="00BA25AF">
        <w:t>FMI Member Companies</w:t>
      </w:r>
    </w:p>
    <w:p w:rsidRPr="002D57CC" w:rsidR="005D65BC" w:rsidP="005D65BC" w:rsidRDefault="005D65BC" w14:paraId="027F61B8" w14:textId="6FA602AF">
      <w:pPr>
        <w:pStyle w:val="BodyText"/>
      </w:pPr>
      <w:r w:rsidRPr="00AB19C8">
        <w:t xml:space="preserve">Following a July 2021 meeting with FMI leadership and members of their Sustainability Executive Committee, FMI agreed to recruit </w:t>
      </w:r>
      <w:r w:rsidR="00F96A67">
        <w:t xml:space="preserve">seven </w:t>
      </w:r>
      <w:r>
        <w:t xml:space="preserve">or </w:t>
      </w:r>
      <w:r w:rsidR="00F96A67">
        <w:t>eight</w:t>
      </w:r>
      <w:r>
        <w:t xml:space="preserve"> member </w:t>
      </w:r>
      <w:r w:rsidRPr="00AB19C8">
        <w:t xml:space="preserve">food retailers to participate in the interviews. </w:t>
      </w:r>
      <w:r>
        <w:t xml:space="preserve">To help FMI identify companies to recruit, RTI will provide FMI with a list of </w:t>
      </w:r>
      <w:r w:rsidR="00AF0751">
        <w:t xml:space="preserve">20 purposively selected food retail companies from TDLinx </w:t>
      </w:r>
      <w:r w:rsidRPr="00EB7836" w:rsidR="00AF0751">
        <w:t xml:space="preserve">to provide a mix of types, organizational structures, and </w:t>
      </w:r>
      <w:r w:rsidR="00AF0751">
        <w:t xml:space="preserve">regions </w:t>
      </w:r>
      <w:r w:rsidRPr="00EB7836" w:rsidR="00AF0751">
        <w:t>(Table 1)</w:t>
      </w:r>
      <w:r w:rsidR="00AF0751">
        <w:t>. A</w:t>
      </w:r>
      <w:r>
        <w:t>n additional list will be provided, if needed</w:t>
      </w:r>
      <w:r w:rsidRPr="00EB7836">
        <w:t>.</w:t>
      </w:r>
      <w:r w:rsidRPr="00BB18E1">
        <w:t xml:space="preserve"> </w:t>
      </w:r>
      <w:r w:rsidRPr="00AB19C8">
        <w:t xml:space="preserve">FMI will provide contact information </w:t>
      </w:r>
      <w:r>
        <w:t xml:space="preserve">(email and phone number) </w:t>
      </w:r>
      <w:r w:rsidRPr="00AB19C8">
        <w:t xml:space="preserve">for </w:t>
      </w:r>
      <w:r>
        <w:t xml:space="preserve">the individual </w:t>
      </w:r>
      <w:r w:rsidRPr="00AB19C8">
        <w:t>at each company that has indicated a willingness to be interviewed</w:t>
      </w:r>
      <w:r>
        <w:t xml:space="preserve">. Because FMI is recruiting these companies and the individual has already indicated a willingness to participate, RTI will “by-pass” the recruiting script that includes background information on the study and a script to identify the target respondent and go directly to scheduling an </w:t>
      </w:r>
      <w:r w:rsidRPr="002B0E3F">
        <w:t>interview using the email in Appendix E-2.</w:t>
      </w:r>
      <w:r>
        <w:t xml:space="preserve"> A</w:t>
      </w:r>
      <w:r w:rsidRPr="00726561">
        <w:t xml:space="preserve">ppendix </w:t>
      </w:r>
      <w:r>
        <w:t>E</w:t>
      </w:r>
      <w:r w:rsidRPr="00726561">
        <w:t>-2 will include three attachments</w:t>
      </w:r>
      <w:r>
        <w:t xml:space="preserve"> with additional information on the study</w:t>
      </w:r>
      <w:r w:rsidRPr="00726561">
        <w:t xml:space="preserve">: (1) a disclaimer (Appendix </w:t>
      </w:r>
      <w:r>
        <w:t>F</w:t>
      </w:r>
      <w:r w:rsidRPr="00726561">
        <w:t xml:space="preserve">-1), </w:t>
      </w:r>
      <w:r>
        <w:t>the</w:t>
      </w:r>
      <w:r w:rsidRPr="00726561">
        <w:t xml:space="preserve"> informed consent form (Appendix </w:t>
      </w:r>
      <w:r>
        <w:t>F</w:t>
      </w:r>
      <w:r w:rsidRPr="00726561">
        <w:t xml:space="preserve">-2), and </w:t>
      </w:r>
      <w:r>
        <w:t>the</w:t>
      </w:r>
      <w:r w:rsidRPr="00726561">
        <w:t xml:space="preserve"> list of </w:t>
      </w:r>
      <w:r>
        <w:t xml:space="preserve">potential </w:t>
      </w:r>
      <w:r w:rsidRPr="00726561">
        <w:t xml:space="preserve">interview topics (Appendix </w:t>
      </w:r>
      <w:r>
        <w:t>G</w:t>
      </w:r>
      <w:r w:rsidRPr="00726561">
        <w:t xml:space="preserve">). </w:t>
      </w:r>
      <w:r>
        <w:t xml:space="preserve">If the person identified by FMI indicates that someone else within the company should be interviewed, then RTI will </w:t>
      </w:r>
      <w:r w:rsidR="00AF0751">
        <w:t xml:space="preserve">use the </w:t>
      </w:r>
      <w:r>
        <w:t xml:space="preserve">contact </w:t>
      </w:r>
      <w:r w:rsidR="00AF0751">
        <w:t>procedures for non-FMI me</w:t>
      </w:r>
      <w:r w:rsidR="00B3212B">
        <w:t>m</w:t>
      </w:r>
      <w:r w:rsidR="00AF0751">
        <w:t xml:space="preserve">bers as described in Table 2. </w:t>
      </w:r>
    </w:p>
    <w:p w:rsidRPr="00E16A04" w:rsidR="001849BE" w:rsidP="00F0534B" w:rsidRDefault="00FC5BE6" w14:paraId="64BADBEA" w14:textId="6F651700">
      <w:pPr>
        <w:pStyle w:val="Heading3"/>
        <w:rPr>
          <w:b/>
          <w:iCs/>
        </w:rPr>
      </w:pPr>
      <w:r>
        <w:t>Follow-</w:t>
      </w:r>
      <w:r w:rsidR="00F0534B">
        <w:t xml:space="preserve">Up </w:t>
      </w:r>
      <w:r>
        <w:t>Attempts and Reminders</w:t>
      </w:r>
    </w:p>
    <w:bookmarkEnd w:id="2"/>
    <w:p w:rsidR="007A5420" w:rsidP="0084233D" w:rsidRDefault="00D17025" w14:paraId="63D784C9" w14:textId="5963F3E5">
      <w:pPr>
        <w:pStyle w:val="BodyText"/>
      </w:pPr>
      <w:r>
        <w:t xml:space="preserve">For non-FMI members, </w:t>
      </w:r>
      <w:r w:rsidRPr="00B3212B">
        <w:t>i</w:t>
      </w:r>
      <w:r w:rsidRPr="00154C4B" w:rsidR="00A532EC">
        <w:t>t</w:t>
      </w:r>
      <w:r w:rsidRPr="001849BE" w:rsidR="00A532EC">
        <w:t xml:space="preserve"> may take </w:t>
      </w:r>
      <w:r w:rsidR="00646660">
        <w:t xml:space="preserve">up to four </w:t>
      </w:r>
      <w:r w:rsidR="003A4CF6">
        <w:t xml:space="preserve">telephone </w:t>
      </w:r>
      <w:r w:rsidRPr="00FC0EE7" w:rsidR="00A532EC">
        <w:t xml:space="preserve">call </w:t>
      </w:r>
      <w:r w:rsidRPr="00FC0EE7" w:rsidR="0075010A">
        <w:t>or</w:t>
      </w:r>
      <w:r w:rsidRPr="00FC0EE7" w:rsidR="00A532EC">
        <w:t xml:space="preserve"> email attempts </w:t>
      </w:r>
      <w:r w:rsidR="00646660">
        <w:t>to different people</w:t>
      </w:r>
      <w:r w:rsidR="003A4CF6">
        <w:t xml:space="preserve"> within the company</w:t>
      </w:r>
      <w:r w:rsidR="00646660">
        <w:t xml:space="preserve"> </w:t>
      </w:r>
      <w:r w:rsidRPr="00FC0EE7" w:rsidR="00A532EC">
        <w:t>to identify</w:t>
      </w:r>
      <w:r w:rsidRPr="001849BE" w:rsidR="00A532EC">
        <w:t xml:space="preserve"> the correct person(s) to interview</w:t>
      </w:r>
      <w:r>
        <w:t>.</w:t>
      </w:r>
      <w:r w:rsidRPr="001849BE" w:rsidR="00707BD9">
        <w:t xml:space="preserve"> </w:t>
      </w:r>
      <w:r w:rsidR="007A5420">
        <w:t>T</w:t>
      </w:r>
      <w:r w:rsidRPr="00E85836" w:rsidR="00707BD9">
        <w:t xml:space="preserve">his may also be the case if the </w:t>
      </w:r>
      <w:r w:rsidR="007A5420">
        <w:t xml:space="preserve">initial </w:t>
      </w:r>
      <w:r w:rsidRPr="00E85836" w:rsidR="00707BD9">
        <w:t xml:space="preserve">contact suggested by FMI for </w:t>
      </w:r>
      <w:r w:rsidR="007A5420">
        <w:t xml:space="preserve">an </w:t>
      </w:r>
      <w:r w:rsidRPr="00E85836" w:rsidR="00707BD9">
        <w:t>FMI member</w:t>
      </w:r>
      <w:r w:rsidR="007A5420">
        <w:t xml:space="preserve"> company </w:t>
      </w:r>
      <w:r w:rsidRPr="000E336A" w:rsidR="00892A93">
        <w:t xml:space="preserve">refers </w:t>
      </w:r>
      <w:r w:rsidR="00645BB2">
        <w:t xml:space="preserve">RTI </w:t>
      </w:r>
      <w:r w:rsidRPr="000E336A" w:rsidR="00892A93">
        <w:t xml:space="preserve">to a </w:t>
      </w:r>
      <w:r w:rsidRPr="000E336A" w:rsidR="00707BD9">
        <w:t xml:space="preserve">different person </w:t>
      </w:r>
      <w:r w:rsidRPr="00FC0EE7" w:rsidR="00707BD9">
        <w:t>to schedule an interview</w:t>
      </w:r>
      <w:r w:rsidRPr="00FC0EE7" w:rsidR="0078761B">
        <w:t>.</w:t>
      </w:r>
      <w:r w:rsidRPr="00FC0EE7" w:rsidR="00707BD9">
        <w:t xml:space="preserve"> </w:t>
      </w:r>
      <w:r w:rsidR="000275C2">
        <w:t xml:space="preserve">It may be possible that within </w:t>
      </w:r>
      <w:r w:rsidR="007A5420">
        <w:t xml:space="preserve">such a contact </w:t>
      </w:r>
      <w:r w:rsidR="000275C2">
        <w:t xml:space="preserve">attempt </w:t>
      </w:r>
      <w:r w:rsidR="00B92A69">
        <w:t xml:space="preserve">RTI </w:t>
      </w:r>
      <w:r w:rsidR="000275C2">
        <w:t>get</w:t>
      </w:r>
      <w:r w:rsidR="00B92A69">
        <w:t>s</w:t>
      </w:r>
      <w:r w:rsidR="000275C2">
        <w:t xml:space="preserve"> transferred to </w:t>
      </w:r>
      <w:r w:rsidR="007A5420">
        <w:t>multiple</w:t>
      </w:r>
      <w:r w:rsidR="00B3212B">
        <w:t xml:space="preserve"> </w:t>
      </w:r>
      <w:r w:rsidR="000275C2">
        <w:t>pe</w:t>
      </w:r>
      <w:r w:rsidR="007A5420">
        <w:t xml:space="preserve">ople </w:t>
      </w:r>
      <w:r w:rsidR="000275C2">
        <w:t xml:space="preserve">within </w:t>
      </w:r>
      <w:r w:rsidR="007A5420">
        <w:t>a</w:t>
      </w:r>
      <w:r w:rsidR="000275C2">
        <w:t xml:space="preserve"> company.</w:t>
      </w:r>
      <w:r w:rsidR="00F0534B">
        <w:t xml:space="preserve"> </w:t>
      </w:r>
    </w:p>
    <w:p w:rsidRPr="00FC0EE7" w:rsidR="00A532EC" w:rsidP="0084233D" w:rsidRDefault="0078761B" w14:paraId="71E4E9A4" w14:textId="42736E94">
      <w:pPr>
        <w:pStyle w:val="BodyText"/>
      </w:pPr>
      <w:r w:rsidRPr="00FC0EE7">
        <w:t>For both FMI and non-FMI members, i</w:t>
      </w:r>
      <w:r w:rsidRPr="00FC0EE7" w:rsidR="00532F98">
        <w:t xml:space="preserve">f </w:t>
      </w:r>
      <w:r w:rsidR="00645BB2">
        <w:t xml:space="preserve">a response is not </w:t>
      </w:r>
      <w:r w:rsidRPr="00FC0EE7" w:rsidR="00532F98">
        <w:t>receive</w:t>
      </w:r>
      <w:r w:rsidR="00645BB2">
        <w:t xml:space="preserve">d </w:t>
      </w:r>
      <w:r w:rsidRPr="00FC0EE7" w:rsidR="00532F98">
        <w:t xml:space="preserve">from the initial call or email within 3 </w:t>
      </w:r>
      <w:r w:rsidRPr="00FC0EE7" w:rsidR="0038126C">
        <w:t>business</w:t>
      </w:r>
      <w:r w:rsidRPr="00FC0EE7" w:rsidR="00532F98">
        <w:t xml:space="preserve"> days, </w:t>
      </w:r>
      <w:r w:rsidR="00645BB2">
        <w:t>RTI</w:t>
      </w:r>
      <w:r w:rsidRPr="00FC0EE7" w:rsidR="00645BB2">
        <w:t xml:space="preserve"> </w:t>
      </w:r>
      <w:r w:rsidRPr="00FC0EE7" w:rsidR="00532F98">
        <w:t xml:space="preserve">will call again or send a follow-up email. </w:t>
      </w:r>
      <w:r w:rsidR="00B92A69">
        <w:t xml:space="preserve">RTI </w:t>
      </w:r>
      <w:r w:rsidRPr="001849BE" w:rsidR="00532F98">
        <w:t xml:space="preserve">will make up to four </w:t>
      </w:r>
      <w:r w:rsidRPr="001849BE" w:rsidR="0080779D">
        <w:t xml:space="preserve">contact </w:t>
      </w:r>
      <w:r w:rsidRPr="001849BE" w:rsidR="00532F98">
        <w:t xml:space="preserve">attempts </w:t>
      </w:r>
      <w:r w:rsidR="000275C2">
        <w:t xml:space="preserve">to a company </w:t>
      </w:r>
      <w:r w:rsidRPr="001849BE" w:rsidR="00532F98">
        <w:t>over a 2- to 3-week period</w:t>
      </w:r>
      <w:r w:rsidR="004F7A82">
        <w:t xml:space="preserve">. If both an email address and phone number are available, </w:t>
      </w:r>
      <w:r w:rsidR="00B92A69">
        <w:t xml:space="preserve">RTI </w:t>
      </w:r>
      <w:r w:rsidR="004F7A82">
        <w:t xml:space="preserve">will make two email attempts and two phone call attempts. </w:t>
      </w:r>
      <w:r w:rsidRPr="00FC0EE7" w:rsidR="0080779D">
        <w:t>I</w:t>
      </w:r>
      <w:r w:rsidRPr="00FC0EE7" w:rsidR="00532F98">
        <w:t xml:space="preserve">f </w:t>
      </w:r>
      <w:r w:rsidR="002646C9">
        <w:t xml:space="preserve">a </w:t>
      </w:r>
      <w:r w:rsidRPr="00FC0EE7" w:rsidR="00532F98">
        <w:t>response</w:t>
      </w:r>
      <w:r w:rsidR="000275C2">
        <w:t xml:space="preserve"> </w:t>
      </w:r>
      <w:r w:rsidR="002646C9">
        <w:t xml:space="preserve">is not received </w:t>
      </w:r>
      <w:r w:rsidR="000275C2">
        <w:t>after four attempts</w:t>
      </w:r>
      <w:r w:rsidRPr="00FC0EE7" w:rsidR="00532F98">
        <w:t xml:space="preserve">, </w:t>
      </w:r>
      <w:r w:rsidR="002646C9">
        <w:t xml:space="preserve">the company will be </w:t>
      </w:r>
      <w:r w:rsidRPr="00FC0EE7" w:rsidR="00532F98">
        <w:t>code</w:t>
      </w:r>
      <w:r w:rsidR="002646C9">
        <w:t>d</w:t>
      </w:r>
      <w:r w:rsidRPr="00FC0EE7" w:rsidR="00532F98">
        <w:t xml:space="preserve"> as a nonresponse</w:t>
      </w:r>
      <w:r w:rsidR="00707CB3">
        <w:t xml:space="preserve"> (Appendices H-1, H-2, and H-3 for the scripts and emails for the follow-up attempts)</w:t>
      </w:r>
    </w:p>
    <w:p w:rsidRPr="00405C41" w:rsidR="00532F98" w:rsidP="0084233D" w:rsidRDefault="00844D2B" w14:paraId="04640BC0" w14:textId="6165FD27">
      <w:pPr>
        <w:pStyle w:val="BodyText"/>
        <w:rPr>
          <w:rFonts w:eastAsia="Calibri"/>
          <w:iCs/>
        </w:rPr>
      </w:pPr>
      <w:bookmarkStart w:name="_Hlk535397743" w:id="3"/>
      <w:r>
        <w:t xml:space="preserve">Companies that agree to an interview will get a reminder from RTI a few days before the event </w:t>
      </w:r>
      <w:r w:rsidRPr="00405C41" w:rsidR="002E1126">
        <w:rPr>
          <w:rFonts w:eastAsia="Calibri"/>
          <w:iCs/>
        </w:rPr>
        <w:t xml:space="preserve">l </w:t>
      </w:r>
      <w:r w:rsidRPr="00405C41" w:rsidR="002D04C8">
        <w:rPr>
          <w:rFonts w:eastAsia="Calibri"/>
          <w:iCs/>
        </w:rPr>
        <w:t xml:space="preserve">(Appendix </w:t>
      </w:r>
      <w:r w:rsidR="00707CB3">
        <w:rPr>
          <w:rFonts w:eastAsia="Calibri"/>
          <w:iCs/>
        </w:rPr>
        <w:t>I</w:t>
      </w:r>
      <w:r w:rsidRPr="00405C41" w:rsidR="002D04C8">
        <w:rPr>
          <w:rFonts w:eastAsia="Calibri"/>
          <w:iCs/>
        </w:rPr>
        <w:t>)</w:t>
      </w:r>
      <w:r w:rsidRPr="00405C41" w:rsidR="002E1126">
        <w:rPr>
          <w:rFonts w:eastAsia="Calibri"/>
          <w:iCs/>
        </w:rPr>
        <w:t xml:space="preserve">. </w:t>
      </w:r>
      <w:r w:rsidRPr="00405C41" w:rsidR="005D3D67">
        <w:t>The reminder email will</w:t>
      </w:r>
      <w:r w:rsidRPr="00405C41" w:rsidR="00CE06C4">
        <w:t xml:space="preserve"> include </w:t>
      </w:r>
      <w:r w:rsidR="002F0EFA">
        <w:t>the following as attac</w:t>
      </w:r>
      <w:r w:rsidR="00645BB2">
        <w:t>h</w:t>
      </w:r>
      <w:r w:rsidR="002F0EFA">
        <w:t xml:space="preserve">ments: </w:t>
      </w:r>
      <w:r w:rsidRPr="00726561" w:rsidR="002F0EFA">
        <w:t xml:space="preserve">a disclaimer (Appendix </w:t>
      </w:r>
      <w:r w:rsidR="002D2154">
        <w:t>F</w:t>
      </w:r>
      <w:r w:rsidRPr="00726561" w:rsidR="002F0EFA">
        <w:t xml:space="preserve">-1), </w:t>
      </w:r>
      <w:r w:rsidR="005D484F">
        <w:t>the</w:t>
      </w:r>
      <w:r w:rsidRPr="00726561" w:rsidR="002F0EFA">
        <w:t xml:space="preserve"> informed consent form (Appendix </w:t>
      </w:r>
      <w:r w:rsidR="002D2154">
        <w:t>F</w:t>
      </w:r>
      <w:r w:rsidRPr="00726561" w:rsidR="002F0EFA">
        <w:t xml:space="preserve">-2), and </w:t>
      </w:r>
      <w:r w:rsidR="005D484F">
        <w:t>the</w:t>
      </w:r>
      <w:r w:rsidRPr="00726561" w:rsidR="002F0EFA">
        <w:t xml:space="preserve"> list of </w:t>
      </w:r>
      <w:r w:rsidR="002F0EFA">
        <w:t xml:space="preserve">potential </w:t>
      </w:r>
      <w:r w:rsidRPr="00726561" w:rsidR="002F0EFA">
        <w:t xml:space="preserve">interview topics (Appendix </w:t>
      </w:r>
      <w:r w:rsidR="002D2154">
        <w:t>G</w:t>
      </w:r>
      <w:r w:rsidRPr="00726561" w:rsidR="002F0EFA">
        <w:t xml:space="preserve">). </w:t>
      </w:r>
    </w:p>
    <w:bookmarkEnd w:id="3"/>
    <w:p w:rsidRPr="00C046E8" w:rsidR="00532F98" w:rsidP="00F0534B" w:rsidRDefault="006C5B1C" w14:paraId="26E7624D" w14:textId="1C98F52A">
      <w:pPr>
        <w:pStyle w:val="Heading2"/>
      </w:pPr>
      <w:r w:rsidRPr="00E16A04">
        <w:t xml:space="preserve">Interview </w:t>
      </w:r>
      <w:r w:rsidRPr="00E16A04" w:rsidR="00532F98">
        <w:t>Procedures</w:t>
      </w:r>
      <w:r w:rsidRPr="00E16A04">
        <w:t xml:space="preserve"> </w:t>
      </w:r>
    </w:p>
    <w:p w:rsidRPr="001D0520" w:rsidR="006C5B1C" w:rsidP="0084233D" w:rsidRDefault="00FF2E70" w14:paraId="17F69499" w14:textId="20ADB5C2">
      <w:pPr>
        <w:pStyle w:val="BodyText"/>
      </w:pPr>
      <w:bookmarkStart w:name="_Hlk535486515" w:id="4"/>
      <w:r w:rsidRPr="001D0520">
        <w:t>The</w:t>
      </w:r>
      <w:r w:rsidRPr="001D0520" w:rsidR="00C97B0C">
        <w:t xml:space="preserve"> interviews</w:t>
      </w:r>
      <w:r w:rsidRPr="001D0520">
        <w:t xml:space="preserve"> are intended to provide a better understanding of the types of information </w:t>
      </w:r>
      <w:r w:rsidRPr="001D0520" w:rsidR="003B17E3">
        <w:t>that might be available to calculate retail food loss</w:t>
      </w:r>
      <w:r w:rsidR="00490A32">
        <w:t xml:space="preserve"> </w:t>
      </w:r>
      <w:r w:rsidR="00154C4B">
        <w:t xml:space="preserve">and expand on some of the topics that were </w:t>
      </w:r>
      <w:r w:rsidR="00154C4B">
        <w:lastRenderedPageBreak/>
        <w:t xml:space="preserve">discussed in the informal discussions. </w:t>
      </w:r>
      <w:r w:rsidR="00645BB2">
        <w:t>RTI i</w:t>
      </w:r>
      <w:r w:rsidRPr="001D0520" w:rsidR="006C5B1C">
        <w:t xml:space="preserve">nterviewers will use an interview guide </w:t>
      </w:r>
      <w:r w:rsidR="0009097A">
        <w:t>(</w:t>
      </w:r>
      <w:r w:rsidRPr="001D0520" w:rsidR="006C5B1C">
        <w:t xml:space="preserve">Appendix </w:t>
      </w:r>
      <w:r w:rsidR="00707CB3">
        <w:t>J</w:t>
      </w:r>
      <w:r w:rsidRPr="001D0520" w:rsidR="006C5B1C">
        <w:t xml:space="preserve">) to provide structure to the discussion. The guide contains structured probes so that all participants will initially be asked the same set of questions, but interviewers will probe spontaneously when further clarification is needed. </w:t>
      </w:r>
    </w:p>
    <w:p w:rsidR="003A6A6C" w:rsidP="0084233D" w:rsidRDefault="00490A32" w14:paraId="310EDE11" w14:textId="77D8F3C6">
      <w:pPr>
        <w:pStyle w:val="BodyText"/>
      </w:pPr>
      <w:r w:rsidRPr="00776DC4">
        <w:t xml:space="preserve">The interviews will be conducted via secure Zoom video conference by two RTI staff members—one person to lead the discussion and one person to take notes. </w:t>
      </w:r>
      <w:r w:rsidR="002646C9">
        <w:t xml:space="preserve">The RTI interviewer </w:t>
      </w:r>
      <w:r w:rsidRPr="001D0520" w:rsidR="004B48AD">
        <w:t xml:space="preserve">will </w:t>
      </w:r>
      <w:r w:rsidR="00B8222F">
        <w:t xml:space="preserve">begin the interview </w:t>
      </w:r>
      <w:r w:rsidRPr="001D0520" w:rsidR="004B48AD">
        <w:t xml:space="preserve">by </w:t>
      </w:r>
      <w:r w:rsidRPr="001D0520" w:rsidR="003F7580">
        <w:t xml:space="preserve">asking companies about their current </w:t>
      </w:r>
      <w:r w:rsidRPr="001D0520" w:rsidR="007B493F">
        <w:t xml:space="preserve">procedures </w:t>
      </w:r>
      <w:r w:rsidRPr="001D0520" w:rsidR="003F7580">
        <w:t xml:space="preserve">for tracking food loss. </w:t>
      </w:r>
      <w:r w:rsidR="002646C9">
        <w:t>The interview</w:t>
      </w:r>
      <w:r w:rsidR="00386E7E">
        <w:t>er</w:t>
      </w:r>
      <w:r w:rsidR="002646C9">
        <w:t xml:space="preserve"> </w:t>
      </w:r>
      <w:r w:rsidRPr="001D0520" w:rsidR="003F7580">
        <w:t xml:space="preserve">will then </w:t>
      </w:r>
      <w:r w:rsidRPr="001D0520" w:rsidR="009C5116">
        <w:t xml:space="preserve">solicit feedback on </w:t>
      </w:r>
      <w:r w:rsidR="00FC09A5">
        <w:t xml:space="preserve">RTI’s proposed methodology </w:t>
      </w:r>
      <w:r w:rsidRPr="001D0520" w:rsidR="003042EF">
        <w:t xml:space="preserve">(i.e., using </w:t>
      </w:r>
      <w:r w:rsidRPr="001D0520" w:rsidR="009C5116">
        <w:t>data on product shipments and sales weights</w:t>
      </w:r>
      <w:r w:rsidRPr="001D0520" w:rsidR="005D2DB0">
        <w:t xml:space="preserve">, adjusted for </w:t>
      </w:r>
      <w:r w:rsidRPr="001D0520" w:rsidR="005D2DB0">
        <w:rPr>
          <w:bCs/>
        </w:rPr>
        <w:t>intra</w:t>
      </w:r>
      <w:r w:rsidR="00AC1F5B">
        <w:rPr>
          <w:bCs/>
        </w:rPr>
        <w:t>-</w:t>
      </w:r>
      <w:r w:rsidRPr="001D0520" w:rsidR="005D2DB0">
        <w:rPr>
          <w:bCs/>
        </w:rPr>
        <w:t>store product transfers, and food donations</w:t>
      </w:r>
      <w:r w:rsidR="00D956C2">
        <w:rPr>
          <w:bCs/>
        </w:rPr>
        <w:t>)</w:t>
      </w:r>
      <w:r w:rsidRPr="001D0520" w:rsidR="009C5116">
        <w:t xml:space="preserve"> to calculate food loss </w:t>
      </w:r>
      <w:r w:rsidR="00FC09A5">
        <w:t>coefficients</w:t>
      </w:r>
      <w:r w:rsidR="00511DFD">
        <w:t xml:space="preserve"> </w:t>
      </w:r>
      <w:r w:rsidRPr="001D0520" w:rsidR="009C5116">
        <w:t>for individual LAFA commodities or commodity groups</w:t>
      </w:r>
      <w:r w:rsidRPr="001D0520" w:rsidR="005D2DB0">
        <w:t>.</w:t>
      </w:r>
      <w:r w:rsidRPr="001D0520" w:rsidR="00036C28">
        <w:t xml:space="preserve"> </w:t>
      </w:r>
      <w:r w:rsidR="002646C9">
        <w:t xml:space="preserve">The interviewer </w:t>
      </w:r>
      <w:r w:rsidRPr="001D0520" w:rsidR="009C5116">
        <w:rPr>
          <w:bCs/>
        </w:rPr>
        <w:t xml:space="preserve">will follow up with additional questions about how such </w:t>
      </w:r>
      <w:r w:rsidRPr="001D0520" w:rsidR="00FF2E70">
        <w:rPr>
          <w:bCs/>
        </w:rPr>
        <w:t>data</w:t>
      </w:r>
      <w:r w:rsidRPr="001D0520" w:rsidR="003042EF">
        <w:rPr>
          <w:bCs/>
        </w:rPr>
        <w:t>, if available,</w:t>
      </w:r>
      <w:r w:rsidRPr="001D0520" w:rsidR="00FF2E70">
        <w:rPr>
          <w:bCs/>
        </w:rPr>
        <w:t xml:space="preserve"> are maintained (e.g., </w:t>
      </w:r>
      <w:r w:rsidRPr="001D0520" w:rsidR="00CA4ECF">
        <w:rPr>
          <w:bCs/>
        </w:rPr>
        <w:t xml:space="preserve">by </w:t>
      </w:r>
      <w:r w:rsidR="000E1C65">
        <w:t>UPC</w:t>
      </w:r>
      <w:r w:rsidRPr="001D0520" w:rsidR="00CA4ECF">
        <w:t xml:space="preserve"> or </w:t>
      </w:r>
      <w:r w:rsidRPr="001D0520" w:rsidR="00FF2E70">
        <w:t>store department</w:t>
      </w:r>
      <w:r w:rsidRPr="001D0520" w:rsidR="00CA4ECF">
        <w:t>;</w:t>
      </w:r>
      <w:r w:rsidRPr="001D0520" w:rsidR="00FF2E70">
        <w:t xml:space="preserve"> daily, monthly, </w:t>
      </w:r>
      <w:r w:rsidRPr="001D0520" w:rsidR="00CA4ECF">
        <w:t xml:space="preserve">or </w:t>
      </w:r>
      <w:r w:rsidRPr="001D0520" w:rsidR="00FF2E70">
        <w:t>annual</w:t>
      </w:r>
      <w:r w:rsidRPr="001D0520" w:rsidR="00CA4ECF">
        <w:t>ly</w:t>
      </w:r>
      <w:r w:rsidRPr="001D0520" w:rsidR="00FF2E70">
        <w:t>)</w:t>
      </w:r>
      <w:r w:rsidRPr="001D0520" w:rsidR="009C5116">
        <w:t xml:space="preserve"> and about </w:t>
      </w:r>
      <w:r w:rsidRPr="001D0520" w:rsidR="002D04C8">
        <w:rPr>
          <w:bCs/>
        </w:rPr>
        <w:t>companies</w:t>
      </w:r>
      <w:r w:rsidRPr="001D0520" w:rsidR="00FF2E70">
        <w:rPr>
          <w:bCs/>
        </w:rPr>
        <w:t>’ prefer</w:t>
      </w:r>
      <w:r w:rsidRPr="001D0520" w:rsidR="009C5116">
        <w:rPr>
          <w:bCs/>
        </w:rPr>
        <w:t xml:space="preserve">red method </w:t>
      </w:r>
      <w:r w:rsidRPr="001D0520" w:rsidR="00FF2E70">
        <w:rPr>
          <w:bCs/>
        </w:rPr>
        <w:t xml:space="preserve">for providing </w:t>
      </w:r>
      <w:r w:rsidRPr="001D0520" w:rsidR="005D2DB0">
        <w:rPr>
          <w:bCs/>
        </w:rPr>
        <w:t xml:space="preserve">available </w:t>
      </w:r>
      <w:r w:rsidRPr="001D0520" w:rsidR="00FF2E70">
        <w:rPr>
          <w:bCs/>
        </w:rPr>
        <w:t>data (e.g., by responding to survey questions, filling out a formatted spreadsheet</w:t>
      </w:r>
      <w:r w:rsidRPr="001D0520" w:rsidR="0082657B">
        <w:rPr>
          <w:bCs/>
        </w:rPr>
        <w:t>,</w:t>
      </w:r>
      <w:r w:rsidRPr="001D0520" w:rsidR="00FF2E70">
        <w:rPr>
          <w:bCs/>
        </w:rPr>
        <w:t xml:space="preserve"> or uploading data)</w:t>
      </w:r>
      <w:r w:rsidRPr="001D0520" w:rsidR="005D2DB0">
        <w:rPr>
          <w:bCs/>
        </w:rPr>
        <w:t xml:space="preserve">. </w:t>
      </w:r>
      <w:r w:rsidR="002646C9">
        <w:rPr>
          <w:bCs/>
        </w:rPr>
        <w:t>The interviewer</w:t>
      </w:r>
      <w:r w:rsidRPr="001D0520" w:rsidR="005D2DB0">
        <w:rPr>
          <w:bCs/>
        </w:rPr>
        <w:t xml:space="preserve"> will ask about </w:t>
      </w:r>
      <w:r w:rsidRPr="001D0520" w:rsidR="00FF2E70">
        <w:rPr>
          <w:bCs/>
        </w:rPr>
        <w:t xml:space="preserve">the anticipated burden for providing the </w:t>
      </w:r>
      <w:r w:rsidRPr="001D0520" w:rsidR="003B17E3">
        <w:rPr>
          <w:bCs/>
        </w:rPr>
        <w:t>data and</w:t>
      </w:r>
      <w:r w:rsidRPr="001D0520" w:rsidR="00FF2E70">
        <w:t xml:space="preserve"> </w:t>
      </w:r>
      <w:r w:rsidR="00FC09A5">
        <w:t xml:space="preserve">will solicit </w:t>
      </w:r>
      <w:r w:rsidRPr="001D0520" w:rsidR="002D04C8">
        <w:t xml:space="preserve">companies’ feedback on </w:t>
      </w:r>
      <w:r w:rsidRPr="001D0520" w:rsidR="005D2DB0">
        <w:t>RTI’s</w:t>
      </w:r>
      <w:r w:rsidRPr="001D0520" w:rsidR="002D04C8">
        <w:t xml:space="preserve"> proposed data confidentiality and security procedures</w:t>
      </w:r>
      <w:r w:rsidRPr="001D0520" w:rsidR="003B17E3">
        <w:t xml:space="preserve">. </w:t>
      </w:r>
      <w:r w:rsidR="002646C9">
        <w:t xml:space="preserve">The interviewer </w:t>
      </w:r>
      <w:r w:rsidRPr="001D0520" w:rsidR="003B17E3">
        <w:t xml:space="preserve">will also </w:t>
      </w:r>
      <w:r w:rsidR="007C2215">
        <w:t xml:space="preserve">ask companies thoughts about giving </w:t>
      </w:r>
      <w:r w:rsidR="00AC1F5B">
        <w:t xml:space="preserve">participants in a full nationally-representative study with </w:t>
      </w:r>
      <w:r w:rsidRPr="001D0520" w:rsidR="002D04C8">
        <w:t xml:space="preserve">a benchmarking report </w:t>
      </w:r>
      <w:r w:rsidRPr="001D0520" w:rsidR="00306568">
        <w:t xml:space="preserve">that would compare their company’s food loss performance with an aggregated </w:t>
      </w:r>
      <w:r w:rsidR="00B87834">
        <w:t xml:space="preserve">industry </w:t>
      </w:r>
      <w:r w:rsidRPr="001D0520" w:rsidR="00306568">
        <w:t xml:space="preserve">average. </w:t>
      </w:r>
      <w:bookmarkEnd w:id="4"/>
    </w:p>
    <w:p w:rsidRPr="001D4370" w:rsidR="001857E9" w:rsidP="001857E9" w:rsidRDefault="001857E9" w14:paraId="7FB389E8" w14:textId="77777777">
      <w:pPr>
        <w:pStyle w:val="Heading2"/>
      </w:pPr>
      <w:r w:rsidRPr="009470A7">
        <w:t>Interviewer Training</w:t>
      </w:r>
    </w:p>
    <w:p w:rsidRPr="00DA56CE" w:rsidR="001857E9" w:rsidP="001857E9" w:rsidRDefault="001857E9" w14:paraId="25BE8BBC" w14:textId="77777777">
      <w:pPr>
        <w:pStyle w:val="BodyText"/>
      </w:pPr>
      <w:r w:rsidRPr="00DA56CE">
        <w:t>RTI project staff responsible for developing the interview guide and procedures will conduct the interviews. Interviewers and note takers will train for the interviews by doing practice runs using the interview guide</w:t>
      </w:r>
      <w:r>
        <w:t>.</w:t>
      </w:r>
    </w:p>
    <w:p w:rsidRPr="00E1399B" w:rsidR="001857E9" w:rsidP="001857E9" w:rsidRDefault="001857E9" w14:paraId="1A0367EB" w14:textId="77777777">
      <w:pPr>
        <w:pStyle w:val="Heading2"/>
      </w:pPr>
      <w:r w:rsidRPr="00E1399B">
        <w:t>Incentive Payments</w:t>
      </w:r>
    </w:p>
    <w:p w:rsidRPr="00840651" w:rsidR="001857E9" w:rsidP="001857E9" w:rsidRDefault="001857E9" w14:paraId="0FB653D4" w14:textId="77777777">
      <w:pPr>
        <w:pStyle w:val="BodyText"/>
      </w:pPr>
      <w:r w:rsidRPr="00840651">
        <w:t>No incentive payments will be offered.</w:t>
      </w:r>
    </w:p>
    <w:p w:rsidRPr="00E16A04" w:rsidR="006C5B1C" w:rsidP="00F0534B" w:rsidRDefault="007B493F" w14:paraId="6AE20DE3" w14:textId="15C9A443">
      <w:pPr>
        <w:pStyle w:val="Heading2"/>
      </w:pPr>
      <w:r w:rsidRPr="00E16A04">
        <w:t>Disclaimer and Consent</w:t>
      </w:r>
    </w:p>
    <w:p w:rsidR="00A667A1" w:rsidP="0084233D" w:rsidRDefault="000E1C65" w14:paraId="467C8BB2" w14:textId="24CCE10D">
      <w:pPr>
        <w:pStyle w:val="BodyText"/>
      </w:pPr>
      <w:r>
        <w:t>Before</w:t>
      </w:r>
      <w:r w:rsidR="0047314C">
        <w:t xml:space="preserve"> participating in the interviews, </w:t>
      </w:r>
      <w:r w:rsidR="002646C9">
        <w:t xml:space="preserve">RTI </w:t>
      </w:r>
      <w:r w:rsidR="00B8222F">
        <w:t xml:space="preserve">will provide the </w:t>
      </w:r>
      <w:r w:rsidR="002646C9">
        <w:t>person</w:t>
      </w:r>
      <w:r w:rsidR="005D484F">
        <w:t>(s)</w:t>
      </w:r>
      <w:r w:rsidR="002646C9">
        <w:t xml:space="preserve"> to be interviewed </w:t>
      </w:r>
      <w:r w:rsidR="0047314C">
        <w:t xml:space="preserve">with a </w:t>
      </w:r>
      <w:r>
        <w:t xml:space="preserve">disclaimer </w:t>
      </w:r>
      <w:r w:rsidR="0047314C">
        <w:t xml:space="preserve">(Appendix </w:t>
      </w:r>
      <w:r w:rsidR="002D2154">
        <w:t>F</w:t>
      </w:r>
      <w:r w:rsidR="0047314C">
        <w:t xml:space="preserve">-1) and ask </w:t>
      </w:r>
      <w:r w:rsidR="00B8222F">
        <w:t xml:space="preserve">them </w:t>
      </w:r>
      <w:r w:rsidR="0047314C">
        <w:t xml:space="preserve">to </w:t>
      </w:r>
      <w:r w:rsidR="00142E71">
        <w:t xml:space="preserve">electronically </w:t>
      </w:r>
      <w:r w:rsidR="0047314C">
        <w:t xml:space="preserve">sign an </w:t>
      </w:r>
      <w:r>
        <w:t xml:space="preserve">informed consent </w:t>
      </w:r>
      <w:r w:rsidR="0047314C">
        <w:t>(</w:t>
      </w:r>
      <w:r w:rsidR="00142E71">
        <w:t xml:space="preserve">Appendix </w:t>
      </w:r>
      <w:r w:rsidR="002D2154">
        <w:t>F</w:t>
      </w:r>
      <w:r w:rsidR="00142E71">
        <w:t>-2</w:t>
      </w:r>
      <w:r w:rsidR="0047314C">
        <w:t xml:space="preserve">). </w:t>
      </w:r>
      <w:r w:rsidR="00726561">
        <w:t xml:space="preserve">The </w:t>
      </w:r>
      <w:r>
        <w:t xml:space="preserve">disclaimer </w:t>
      </w:r>
      <w:r w:rsidR="00726561">
        <w:t xml:space="preserve">and </w:t>
      </w:r>
      <w:r>
        <w:t xml:space="preserve">informed consent </w:t>
      </w:r>
      <w:r w:rsidR="00726561">
        <w:t xml:space="preserve">will be included in the </w:t>
      </w:r>
      <w:r>
        <w:t xml:space="preserve">scheduling email </w:t>
      </w:r>
      <w:r w:rsidR="00726561">
        <w:t xml:space="preserve">(Appendix </w:t>
      </w:r>
      <w:r w:rsidR="002D2154">
        <w:t>E</w:t>
      </w:r>
      <w:r w:rsidR="00726561">
        <w:t xml:space="preserve">-2) that will be sent to </w:t>
      </w:r>
      <w:r w:rsidR="000C7CD5">
        <w:t>everyone who will be participating in the interview</w:t>
      </w:r>
      <w:r w:rsidR="002646C9">
        <w:t xml:space="preserve">. Additional information about the procedures for obtaining informed consent </w:t>
      </w:r>
      <w:r w:rsidR="00B269A2">
        <w:t>is</w:t>
      </w:r>
      <w:r w:rsidR="002646C9">
        <w:t xml:space="preserve"> provided in the section below on </w:t>
      </w:r>
      <w:r w:rsidR="00F524B9">
        <w:t>confidentiality procedures</w:t>
      </w:r>
      <w:r w:rsidR="002646C9">
        <w:t>.</w:t>
      </w:r>
    </w:p>
    <w:p w:rsidRPr="00E16A04" w:rsidR="00532F98" w:rsidP="00F0534B" w:rsidRDefault="00532F98" w14:paraId="31859AC8" w14:textId="32DC67BA">
      <w:pPr>
        <w:pStyle w:val="Heading2"/>
      </w:pPr>
      <w:r w:rsidRPr="00E16A04">
        <w:t>Confidentiality</w:t>
      </w:r>
      <w:r w:rsidRPr="00E16A04" w:rsidR="00DC1BB2">
        <w:t xml:space="preserve"> Procedures</w:t>
      </w:r>
    </w:p>
    <w:p w:rsidRPr="001D4370" w:rsidR="00532F98" w:rsidP="0084233D" w:rsidRDefault="00532F98" w14:paraId="6D8FB86E" w14:textId="05EFCB40">
      <w:pPr>
        <w:pStyle w:val="BodyText"/>
      </w:pPr>
      <w:r w:rsidRPr="001D4370">
        <w:t xml:space="preserve">RTI’s </w:t>
      </w:r>
      <w:r w:rsidRPr="001D4370" w:rsidR="00A30ED4">
        <w:t>Institutional Review Board (</w:t>
      </w:r>
      <w:r w:rsidRPr="001D4370">
        <w:t>IRB</w:t>
      </w:r>
      <w:r w:rsidRPr="001D4370" w:rsidR="00A30ED4">
        <w:t>)</w:t>
      </w:r>
      <w:r w:rsidRPr="001D4370">
        <w:t xml:space="preserve"> reviewed </w:t>
      </w:r>
      <w:r w:rsidR="002646C9">
        <w:t>the</w:t>
      </w:r>
      <w:r w:rsidRPr="001D4370">
        <w:t xml:space="preserve"> </w:t>
      </w:r>
      <w:r w:rsidRPr="001D4370" w:rsidR="000A02BD">
        <w:t xml:space="preserve">Not Human Research Determination request </w:t>
      </w:r>
      <w:r w:rsidRPr="001D4370" w:rsidR="006C5BEB">
        <w:t xml:space="preserve">for the </w:t>
      </w:r>
      <w:r w:rsidRPr="001D4370" w:rsidR="007B12F5">
        <w:t xml:space="preserve">study </w:t>
      </w:r>
      <w:r w:rsidRPr="001D4370">
        <w:t xml:space="preserve">and determined that the proposed activity is not research involving human </w:t>
      </w:r>
      <w:r w:rsidRPr="001D4370">
        <w:lastRenderedPageBreak/>
        <w:t xml:space="preserve">subjects as defined by </w:t>
      </w:r>
      <w:r w:rsidRPr="001D4370" w:rsidR="00A30ED4">
        <w:t xml:space="preserve">Department of Health and Human Services </w:t>
      </w:r>
      <w:r w:rsidRPr="001D4370">
        <w:t>regulations</w:t>
      </w:r>
      <w:r w:rsidRPr="001D4370" w:rsidR="003042EF">
        <w:t xml:space="preserve"> (</w:t>
      </w:r>
      <w:r w:rsidRPr="001D4370" w:rsidR="00866542">
        <w:t xml:space="preserve">Appendix </w:t>
      </w:r>
      <w:r w:rsidR="00707CB3">
        <w:t>K</w:t>
      </w:r>
      <w:r w:rsidRPr="001D4370" w:rsidR="00866542">
        <w:t>)</w:t>
      </w:r>
      <w:r w:rsidRPr="001D4370" w:rsidR="00C76375">
        <w:t xml:space="preserve">. Thus, </w:t>
      </w:r>
      <w:r w:rsidRPr="001D4370">
        <w:t>RTI IRB oversight of this activity is not required.</w:t>
      </w:r>
    </w:p>
    <w:p w:rsidRPr="001D4370" w:rsidR="00532F98" w:rsidP="0084233D" w:rsidRDefault="00532F98" w14:paraId="3DA342A1" w14:textId="514C6462">
      <w:pPr>
        <w:pStyle w:val="BodyText"/>
        <w:rPr>
          <w:color w:val="000000"/>
        </w:rPr>
      </w:pPr>
      <w:r w:rsidRPr="001D4370">
        <w:t xml:space="preserve">RTI has assessed and secured </w:t>
      </w:r>
      <w:r w:rsidRPr="001D4370" w:rsidR="007B12F5">
        <w:t>its</w:t>
      </w:r>
      <w:r w:rsidRPr="001D4370">
        <w:t xml:space="preserve"> information systems in accord</w:t>
      </w:r>
      <w:r w:rsidRPr="001D4370" w:rsidR="00F22409">
        <w:t>ance</w:t>
      </w:r>
      <w:r w:rsidRPr="001D4370">
        <w:t xml:space="preserve"> with the Federal Information Security Management Act</w:t>
      </w:r>
      <w:r w:rsidRPr="001D4370" w:rsidR="00A30ED4">
        <w:t xml:space="preserve">, </w:t>
      </w:r>
      <w:r w:rsidRPr="001D4370">
        <w:t>which appears as Title III of the E-Government Act of 2002 and the National Institute of Standards and Technology</w:t>
      </w:r>
      <w:r w:rsidRPr="001D4370" w:rsidR="00034F32">
        <w:t xml:space="preserve"> (NIST)</w:t>
      </w:r>
      <w:r w:rsidRPr="001D4370">
        <w:t>. For information systems containing data protected under the Confidential Information Protection and Statistical Efficiency Act</w:t>
      </w:r>
      <w:r w:rsidRPr="001D4370" w:rsidR="00866542">
        <w:t xml:space="preserve"> (CIPSEA)</w:t>
      </w:r>
      <w:r w:rsidRPr="001D4370">
        <w:t>, the security characterization reflect</w:t>
      </w:r>
      <w:r w:rsidRPr="001D4370" w:rsidR="00A30ED4">
        <w:t>s</w:t>
      </w:r>
      <w:r w:rsidRPr="001D4370">
        <w:t xml:space="preserve"> a moderate potential impact and requires </w:t>
      </w:r>
      <w:r w:rsidRPr="001D4370" w:rsidR="00866542">
        <w:t xml:space="preserve">that RTI store and work with any data in its </w:t>
      </w:r>
      <w:r w:rsidRPr="001D4370">
        <w:t>Federal Information Processing Standards</w:t>
      </w:r>
      <w:r w:rsidR="007D41F9">
        <w:t xml:space="preserve"> </w:t>
      </w:r>
      <w:r w:rsidRPr="001D4370">
        <w:t xml:space="preserve">Moderate </w:t>
      </w:r>
      <w:bookmarkStart w:name="_Hlk67559015" w:id="5"/>
      <w:r w:rsidRPr="001D4370">
        <w:t>Enhanced Security Network.</w:t>
      </w:r>
      <w:bookmarkEnd w:id="5"/>
      <w:r w:rsidRPr="001D4370">
        <w:t xml:space="preserve"> </w:t>
      </w:r>
    </w:p>
    <w:p w:rsidRPr="00F9481C" w:rsidR="00771E4F" w:rsidP="0084233D" w:rsidRDefault="007B12F5" w14:paraId="2E80730E" w14:textId="05FE1774">
      <w:pPr>
        <w:pStyle w:val="BodyText"/>
      </w:pPr>
      <w:r w:rsidRPr="00F9481C">
        <w:t>T</w:t>
      </w:r>
      <w:r w:rsidRPr="00F9481C" w:rsidR="00866542">
        <w:t xml:space="preserve">he disclaimer </w:t>
      </w:r>
      <w:r w:rsidRPr="00F9481C" w:rsidR="000A02BD">
        <w:t>(Appendix</w:t>
      </w:r>
      <w:r w:rsidRPr="00F9481C" w:rsidR="006433DB">
        <w:t xml:space="preserve"> </w:t>
      </w:r>
      <w:r w:rsidR="002D2154">
        <w:t>F</w:t>
      </w:r>
      <w:r w:rsidRPr="00F9481C" w:rsidR="00866542">
        <w:t>-1</w:t>
      </w:r>
      <w:r w:rsidRPr="00F9481C" w:rsidR="00F76DCA">
        <w:t>)</w:t>
      </w:r>
      <w:r w:rsidRPr="00F9481C" w:rsidR="00866542">
        <w:t xml:space="preserve"> </w:t>
      </w:r>
      <w:r w:rsidRPr="00F9481C">
        <w:t>and</w:t>
      </w:r>
      <w:r w:rsidRPr="00F9481C" w:rsidR="00866542">
        <w:t xml:space="preserve"> informed con</w:t>
      </w:r>
      <w:r w:rsidRPr="00F9481C" w:rsidR="00CE06C4">
        <w:t>s</w:t>
      </w:r>
      <w:r w:rsidRPr="00F9481C" w:rsidR="00866542">
        <w:t xml:space="preserve">ent </w:t>
      </w:r>
      <w:r w:rsidRPr="00F9481C" w:rsidR="00CE06C4">
        <w:t xml:space="preserve">form </w:t>
      </w:r>
      <w:r w:rsidRPr="00F9481C" w:rsidR="00866542">
        <w:t xml:space="preserve">(Appendix </w:t>
      </w:r>
      <w:r w:rsidR="002D2154">
        <w:t>F</w:t>
      </w:r>
      <w:r w:rsidRPr="00F9481C" w:rsidR="00866542">
        <w:t>-2)</w:t>
      </w:r>
      <w:r w:rsidRPr="00F9481C">
        <w:t xml:space="preserve"> will provide assurances</w:t>
      </w:r>
      <w:r w:rsidR="00490A32">
        <w:t xml:space="preserve"> regarding data confidentiality and security as described below</w:t>
      </w:r>
      <w:r w:rsidR="0075010A">
        <w:t xml:space="preserve">. If multiple people </w:t>
      </w:r>
      <w:r w:rsidR="00490A32">
        <w:t xml:space="preserve">within a company </w:t>
      </w:r>
      <w:r w:rsidR="0075010A">
        <w:t xml:space="preserve">participate in the interview, each one will be </w:t>
      </w:r>
      <w:r w:rsidR="006D115B">
        <w:t xml:space="preserve">emailed </w:t>
      </w:r>
      <w:r w:rsidR="0075010A">
        <w:t>a copy of the disclaimer and informed consent form</w:t>
      </w:r>
      <w:r w:rsidR="00490A32">
        <w:t xml:space="preserve"> prior to the interview</w:t>
      </w:r>
      <w:r w:rsidR="0075010A">
        <w:t>.</w:t>
      </w:r>
      <w:r w:rsidR="00D118F0">
        <w:t xml:space="preserve"> If a person </w:t>
      </w:r>
      <w:r w:rsidR="007D41F9">
        <w:t xml:space="preserve">who </w:t>
      </w:r>
      <w:r w:rsidR="00D118F0">
        <w:t xml:space="preserve">has not previously provided informed consent </w:t>
      </w:r>
      <w:r w:rsidR="007D41F9">
        <w:t xml:space="preserve">participates in the interview, </w:t>
      </w:r>
      <w:r w:rsidR="002646C9">
        <w:t xml:space="preserve">RTI will </w:t>
      </w:r>
      <w:r w:rsidR="00D118F0">
        <w:t>email them the form and have them sign electronically before starting the interview</w:t>
      </w:r>
      <w:r w:rsidR="002A1793">
        <w:t xml:space="preserve"> (i.e., in real time)</w:t>
      </w:r>
      <w:r w:rsidR="00D118F0">
        <w:t>.</w:t>
      </w:r>
      <w:r w:rsidR="00490A32">
        <w:t xml:space="preserve"> Additionally, </w:t>
      </w:r>
      <w:r w:rsidR="00771E4F">
        <w:t>RTI</w:t>
      </w:r>
      <w:r w:rsidRPr="00776DC4" w:rsidR="00771E4F">
        <w:t xml:space="preserve"> will ask </w:t>
      </w:r>
      <w:r w:rsidR="00771E4F">
        <w:t xml:space="preserve">each </w:t>
      </w:r>
      <w:r w:rsidRPr="00776DC4" w:rsidR="00771E4F">
        <w:t xml:space="preserve">participant for their </w:t>
      </w:r>
      <w:r w:rsidR="00771E4F">
        <w:t xml:space="preserve">verbal </w:t>
      </w:r>
      <w:r w:rsidRPr="00776DC4" w:rsidR="00771E4F">
        <w:t>consent to record the interview</w:t>
      </w:r>
      <w:r w:rsidR="00490A32">
        <w:t xml:space="preserve"> </w:t>
      </w:r>
      <w:r w:rsidR="002A1793">
        <w:t xml:space="preserve">immediately </w:t>
      </w:r>
      <w:r w:rsidR="00490A32">
        <w:t>before conducting the interview</w:t>
      </w:r>
      <w:r w:rsidRPr="00776DC4" w:rsidR="00771E4F">
        <w:t xml:space="preserve">. If </w:t>
      </w:r>
      <w:r w:rsidR="00771E4F">
        <w:t xml:space="preserve">any </w:t>
      </w:r>
      <w:r w:rsidRPr="00776DC4" w:rsidR="00771E4F">
        <w:t>participant do</w:t>
      </w:r>
      <w:r w:rsidR="00771E4F">
        <w:t>es</w:t>
      </w:r>
      <w:r w:rsidRPr="00776DC4" w:rsidR="00771E4F">
        <w:t xml:space="preserve"> not give their consent to record, </w:t>
      </w:r>
      <w:r w:rsidR="00771E4F">
        <w:t xml:space="preserve">RTI </w:t>
      </w:r>
      <w:r w:rsidRPr="00776DC4" w:rsidR="00771E4F">
        <w:t xml:space="preserve">will still conduct the interview. The recordings will only be used to supplement </w:t>
      </w:r>
      <w:r w:rsidR="00771E4F">
        <w:t xml:space="preserve">the </w:t>
      </w:r>
      <w:r w:rsidRPr="00776DC4" w:rsidR="00771E4F">
        <w:t xml:space="preserve">notes; transcripts will not be prepared from the recordings. </w:t>
      </w:r>
    </w:p>
    <w:p w:rsidRPr="00840651" w:rsidR="00532F98" w:rsidP="00F0534B" w:rsidRDefault="007B12F5" w14:paraId="6541CADD" w14:textId="53FF05E0">
      <w:pPr>
        <w:pStyle w:val="ListBullet"/>
      </w:pPr>
      <w:r w:rsidRPr="00840651">
        <w:t>S</w:t>
      </w:r>
      <w:r w:rsidRPr="00840651" w:rsidR="009269E1">
        <w:t>tatement</w:t>
      </w:r>
      <w:r w:rsidRPr="00840651">
        <w:t xml:space="preserve"> on CIPSEA protections</w:t>
      </w:r>
      <w:r w:rsidRPr="00840651" w:rsidR="00F22409">
        <w:t xml:space="preserve">: </w:t>
      </w:r>
      <w:r w:rsidRPr="00840651" w:rsidR="009269E1">
        <w:t>“</w:t>
      </w:r>
      <w:r w:rsidRPr="00840651" w:rsidR="00532F98">
        <w:t xml:space="preserve">All information </w:t>
      </w:r>
      <w:r w:rsidRPr="00840651" w:rsidR="00A30ED4">
        <w:t xml:space="preserve">that </w:t>
      </w:r>
      <w:r w:rsidRPr="00840651" w:rsidR="00532F98">
        <w:t>would permit identification of an individual, a practice, or an establishment will be held confidential, will be used for statistical purposes only, will be used only by contractors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w:t>
      </w:r>
      <w:r w:rsidRPr="00840651" w:rsidR="00A30ED4">
        <w:t>,</w:t>
      </w:r>
      <w:r w:rsidRPr="00840651" w:rsidR="00532F98">
        <w:t xml:space="preserve"> as well as every agent</w:t>
      </w:r>
      <w:r w:rsidRPr="00840651" w:rsidR="00A30ED4">
        <w:t>,</w:t>
      </w:r>
      <w:r w:rsidRPr="00840651" w:rsidR="00532F98">
        <w:t xml:space="preserve"> has taken an oath and is subject to a jail term of up to </w:t>
      </w:r>
      <w:r w:rsidRPr="00840651" w:rsidR="00A30ED4">
        <w:t xml:space="preserve">5 </w:t>
      </w:r>
      <w:r w:rsidRPr="00840651" w:rsidR="00532F98">
        <w:t>years, a fine of up to $250,000, or both if he or she willfully discloses ANY identifiable information about</w:t>
      </w:r>
      <w:r w:rsidRPr="00840651" w:rsidR="009269E1">
        <w:t xml:space="preserve"> you or your company</w:t>
      </w:r>
      <w:r w:rsidRPr="00840651" w:rsidR="00532F98">
        <w:t>.</w:t>
      </w:r>
      <w:r w:rsidRPr="00840651" w:rsidR="009269E1">
        <w:t>”</w:t>
      </w:r>
    </w:p>
    <w:p w:rsidRPr="00840651" w:rsidR="000646AA" w:rsidP="00F0534B" w:rsidRDefault="000646AA" w14:paraId="36FE1ABE" w14:textId="77777777">
      <w:pPr>
        <w:pStyle w:val="ListBullet"/>
      </w:pPr>
      <w:bookmarkStart w:name="_Hlk67558940" w:id="6"/>
      <w:r w:rsidRPr="00840651">
        <w:t xml:space="preserve">RTI’s Zoom platform is configured to meet NIST-moderate requirements. </w:t>
      </w:r>
    </w:p>
    <w:p w:rsidRPr="00840651" w:rsidR="00B9474A" w:rsidP="00F0534B" w:rsidRDefault="007B4FB1" w14:paraId="000D92F0" w14:textId="0A7719D8">
      <w:pPr>
        <w:pStyle w:val="ListBullet"/>
      </w:pPr>
      <w:r w:rsidRPr="00840651">
        <w:t>The recorded interviews and the i</w:t>
      </w:r>
      <w:r w:rsidRPr="00840651" w:rsidR="00B9474A">
        <w:t xml:space="preserve">nterview notes </w:t>
      </w:r>
      <w:r w:rsidRPr="00840651">
        <w:t>(</w:t>
      </w:r>
      <w:r w:rsidRPr="00840651" w:rsidR="00B9474A">
        <w:t xml:space="preserve">typed and saved in </w:t>
      </w:r>
      <w:r w:rsidRPr="00840651" w:rsidR="00314327">
        <w:t xml:space="preserve">individual </w:t>
      </w:r>
      <w:r w:rsidRPr="00840651" w:rsidR="00B9474A">
        <w:t>Word document</w:t>
      </w:r>
      <w:r w:rsidRPr="00840651" w:rsidR="00314327">
        <w:t>s</w:t>
      </w:r>
      <w:r w:rsidRPr="00840651">
        <w:t>) will be saved</w:t>
      </w:r>
      <w:r w:rsidRPr="00840651" w:rsidR="00B9474A">
        <w:t xml:space="preserve"> on </w:t>
      </w:r>
      <w:r w:rsidRPr="00840651" w:rsidR="003A6A6C">
        <w:t xml:space="preserve">RTI’s </w:t>
      </w:r>
      <w:r w:rsidRPr="001D4370" w:rsidR="00F97AA8">
        <w:t>Enhanced Security Network</w:t>
      </w:r>
      <w:r w:rsidRPr="00840651" w:rsidR="00B9474A">
        <w:t xml:space="preserve">. Additionally, </w:t>
      </w:r>
      <w:r w:rsidRPr="00840651" w:rsidR="007B12F5">
        <w:t>RTI</w:t>
      </w:r>
      <w:r w:rsidRPr="00840651" w:rsidR="00B9474A">
        <w:t xml:space="preserve"> will prepare an Excel file that summarizes responses to the interviews using a matrix format for organizing and summarizing the interview data to prepare a written report. The </w:t>
      </w:r>
      <w:r w:rsidRPr="00840651" w:rsidR="00314327">
        <w:t xml:space="preserve">summary </w:t>
      </w:r>
      <w:r w:rsidRPr="00840651" w:rsidR="00B9474A">
        <w:t xml:space="preserve">Excel file will be saved on </w:t>
      </w:r>
      <w:r w:rsidR="00D83408">
        <w:t>RTI’s</w:t>
      </w:r>
      <w:r w:rsidRPr="00840651" w:rsidR="00B9474A">
        <w:t xml:space="preserve"> </w:t>
      </w:r>
      <w:r w:rsidRPr="001D4370" w:rsidR="00B269A2">
        <w:t>Enhanced Security Network</w:t>
      </w:r>
      <w:r w:rsidRPr="00840651" w:rsidR="00B9474A">
        <w:t xml:space="preserve">. Any handwritten notes taken during the interviews will be </w:t>
      </w:r>
      <w:r w:rsidR="00D83408">
        <w:t xml:space="preserve">shredded </w:t>
      </w:r>
      <w:r w:rsidRPr="00840651" w:rsidR="00B9474A">
        <w:t xml:space="preserve">after the notes have been transcribed into the Word and Excel files. </w:t>
      </w:r>
    </w:p>
    <w:p w:rsidRPr="00840651" w:rsidR="00314327" w:rsidP="00F0534B" w:rsidRDefault="00314327" w14:paraId="25991D8D" w14:textId="581C114D">
      <w:pPr>
        <w:pStyle w:val="ListBullet"/>
      </w:pPr>
      <w:r w:rsidRPr="00840651">
        <w:lastRenderedPageBreak/>
        <w:t xml:space="preserve">RTI will use the </w:t>
      </w:r>
      <w:r w:rsidRPr="00840651" w:rsidR="0012033C">
        <w:t xml:space="preserve">interview </w:t>
      </w:r>
      <w:r w:rsidRPr="00840651">
        <w:t xml:space="preserve">responses to prepare a summary report for ERS. RTI will report aggregate information and will not associate information in the report with individual </w:t>
      </w:r>
      <w:r w:rsidRPr="00840651" w:rsidR="00900FA7">
        <w:t>companies</w:t>
      </w:r>
      <w:r w:rsidRPr="00840651">
        <w:t xml:space="preserve">. </w:t>
      </w:r>
      <w:r w:rsidRPr="00840651" w:rsidR="007B12F5">
        <w:t xml:space="preserve">RTI will not share the </w:t>
      </w:r>
      <w:r w:rsidRPr="00840651">
        <w:t xml:space="preserve">names of </w:t>
      </w:r>
      <w:r w:rsidRPr="00840651" w:rsidR="006433DB">
        <w:t xml:space="preserve">participating companies and their individual responses </w:t>
      </w:r>
      <w:r w:rsidRPr="00840651">
        <w:t xml:space="preserve">with ERS. </w:t>
      </w:r>
    </w:p>
    <w:p w:rsidRPr="00840651" w:rsidR="006433DB" w:rsidP="00F0534B" w:rsidRDefault="00B9474A" w14:paraId="02B4D461" w14:textId="250B835A">
      <w:pPr>
        <w:pStyle w:val="ListBullet"/>
      </w:pPr>
      <w:bookmarkStart w:name="_Hlk67559554" w:id="7"/>
      <w:r w:rsidRPr="00840651">
        <w:t>Under no circumstances will the interview responses (</w:t>
      </w:r>
      <w:r w:rsidRPr="00840651" w:rsidR="00EF1D59">
        <w:t xml:space="preserve">contained in the </w:t>
      </w:r>
      <w:r w:rsidRPr="00840651">
        <w:t xml:space="preserve">Word and Excel files) be transferred outside of </w:t>
      </w:r>
      <w:r w:rsidRPr="00840651" w:rsidR="006433DB">
        <w:t xml:space="preserve">RTI’s </w:t>
      </w:r>
      <w:r w:rsidRPr="001D4370" w:rsidR="00F97AA8">
        <w:t>Enhanced Security Network</w:t>
      </w:r>
      <w:r w:rsidRPr="00840651" w:rsidR="006433DB">
        <w:t xml:space="preserve"> (i.e., they will not be stored on computer hard drives or external memory devices)</w:t>
      </w:r>
      <w:r w:rsidRPr="00840651" w:rsidR="00034F32">
        <w:t xml:space="preserve"> or transferred to </w:t>
      </w:r>
      <w:r w:rsidRPr="00840651" w:rsidR="007B12F5">
        <w:t>ERS</w:t>
      </w:r>
      <w:r w:rsidRPr="00840651" w:rsidR="006433DB">
        <w:t>.</w:t>
      </w:r>
    </w:p>
    <w:p w:rsidRPr="00840651" w:rsidR="00532F98" w:rsidP="00F0534B" w:rsidRDefault="00532F98" w14:paraId="29995BE3" w14:textId="45BACEE3">
      <w:pPr>
        <w:pStyle w:val="ListBullet"/>
      </w:pPr>
      <w:bookmarkStart w:name="_Hlk67559190" w:id="8"/>
      <w:bookmarkEnd w:id="6"/>
      <w:r w:rsidRPr="00840651">
        <w:t xml:space="preserve">At the end of the </w:t>
      </w:r>
      <w:r w:rsidRPr="00840651" w:rsidR="004B15A5">
        <w:t>study</w:t>
      </w:r>
      <w:r w:rsidRPr="00840651">
        <w:t xml:space="preserve">, </w:t>
      </w:r>
      <w:r w:rsidRPr="00840651" w:rsidR="006433DB">
        <w:t xml:space="preserve">the </w:t>
      </w:r>
      <w:r w:rsidRPr="00840651" w:rsidR="00B9474A">
        <w:t xml:space="preserve">interview responses in Word/Excel files </w:t>
      </w:r>
      <w:r w:rsidRPr="00840651">
        <w:t xml:space="preserve">will be purged from </w:t>
      </w:r>
      <w:r w:rsidRPr="00840651" w:rsidR="006433DB">
        <w:t xml:space="preserve">RTI’s </w:t>
      </w:r>
      <w:r w:rsidRPr="001D4370" w:rsidR="00F97AA8">
        <w:t>Enhanced Security Network</w:t>
      </w:r>
      <w:r w:rsidRPr="00840651" w:rsidR="00866542">
        <w:t>.</w:t>
      </w:r>
      <w:r w:rsidRPr="00840651" w:rsidR="006433DB">
        <w:t xml:space="preserve"> </w:t>
      </w:r>
    </w:p>
    <w:bookmarkEnd w:id="7"/>
    <w:bookmarkEnd w:id="8"/>
    <w:p w:rsidRPr="00E16A04" w:rsidR="00532F98" w:rsidP="00E10871" w:rsidRDefault="00532F98" w14:paraId="7B66DED7" w14:textId="68A01E5D">
      <w:pPr>
        <w:pStyle w:val="Heading1"/>
      </w:pPr>
      <w:r w:rsidRPr="00E16A04">
        <w:t xml:space="preserve">Burden </w:t>
      </w:r>
      <w:r w:rsidRPr="00E16A04" w:rsidR="00B10C37">
        <w:t>Estimate</w:t>
      </w:r>
    </w:p>
    <w:p w:rsidRPr="00D45382" w:rsidR="00A50E13" w:rsidP="00F0534B" w:rsidRDefault="002A2EB1" w14:paraId="53FAF919" w14:textId="02D7C545">
      <w:pPr>
        <w:pStyle w:val="ListBullet"/>
      </w:pPr>
      <w:r w:rsidRPr="00D45382">
        <w:t xml:space="preserve">The total response burden for Wave 1 is estimated to be </w:t>
      </w:r>
      <w:r w:rsidRPr="00D45382">
        <w:rPr>
          <w:b/>
          <w:bCs/>
        </w:rPr>
        <w:t>3</w:t>
      </w:r>
      <w:r w:rsidR="008E604B">
        <w:rPr>
          <w:b/>
          <w:bCs/>
        </w:rPr>
        <w:t>4.56</w:t>
      </w:r>
      <w:r w:rsidRPr="00D45382">
        <w:rPr>
          <w:b/>
          <w:bCs/>
        </w:rPr>
        <w:t xml:space="preserve"> hours</w:t>
      </w:r>
      <w:r w:rsidRPr="00CC541B" w:rsidR="0009097A">
        <w:t>.</w:t>
      </w:r>
      <w:r w:rsidRPr="00D45382" w:rsidR="00A721C7">
        <w:t xml:space="preserve"> </w:t>
      </w:r>
    </w:p>
    <w:p w:rsidRPr="00D45382" w:rsidR="002A2EB1" w:rsidP="00F0534B" w:rsidRDefault="002A2EB1" w14:paraId="4687A937" w14:textId="02472BD3">
      <w:pPr>
        <w:pStyle w:val="ListBullet"/>
      </w:pPr>
      <w:r w:rsidRPr="00D45382">
        <w:t>The estimated total response burden for the participants group is</w:t>
      </w:r>
      <w:r w:rsidR="008E604B">
        <w:t xml:space="preserve"> 21</w:t>
      </w:r>
      <w:r w:rsidR="00CD5BF1">
        <w:t>.</w:t>
      </w:r>
      <w:r w:rsidR="009A5F8E">
        <w:t>24</w:t>
      </w:r>
      <w:r w:rsidRPr="00D45382" w:rsidR="009A5F8E">
        <w:t xml:space="preserve"> </w:t>
      </w:r>
      <w:r w:rsidRPr="00D45382">
        <w:t xml:space="preserve">hours, or about </w:t>
      </w:r>
      <w:r w:rsidR="008E604B">
        <w:t>2</w:t>
      </w:r>
      <w:r w:rsidRPr="00D45382">
        <w:t xml:space="preserve"> hours</w:t>
      </w:r>
      <w:r w:rsidR="008E604B">
        <w:t xml:space="preserve"> and </w:t>
      </w:r>
      <w:r w:rsidR="009A5F8E">
        <w:t xml:space="preserve">7 </w:t>
      </w:r>
      <w:r w:rsidR="008E604B">
        <w:t>minutes</w:t>
      </w:r>
      <w:r w:rsidRPr="00D45382">
        <w:t xml:space="preserve"> (or </w:t>
      </w:r>
      <w:r w:rsidRPr="00D45382" w:rsidR="009A5F8E">
        <w:t>1</w:t>
      </w:r>
      <w:r w:rsidR="009A5F8E">
        <w:t>27</w:t>
      </w:r>
      <w:r w:rsidRPr="00D45382" w:rsidR="009A5F8E">
        <w:t xml:space="preserve"> </w:t>
      </w:r>
      <w:r w:rsidRPr="00D45382">
        <w:t>minutes) per company.</w:t>
      </w:r>
      <w:r w:rsidR="00F0534B">
        <w:t xml:space="preserve"> </w:t>
      </w:r>
      <w:r w:rsidRPr="00D45382">
        <w:t xml:space="preserve">The estimated total response burden for companies who go through the recruitment process but do not participate is </w:t>
      </w:r>
      <w:r w:rsidR="008E604B">
        <w:t xml:space="preserve">13.32 </w:t>
      </w:r>
      <w:r w:rsidRPr="00D45382">
        <w:t xml:space="preserve">hours, or about </w:t>
      </w:r>
      <w:r w:rsidR="008E604B">
        <w:t>20</w:t>
      </w:r>
      <w:r w:rsidRPr="00D45382">
        <w:t xml:space="preserve"> minutes per company. Table </w:t>
      </w:r>
      <w:r w:rsidR="00593DD0">
        <w:t>3</w:t>
      </w:r>
      <w:r w:rsidRPr="00D45382" w:rsidR="008E3AD8">
        <w:t xml:space="preserve"> </w:t>
      </w:r>
      <w:r w:rsidRPr="00D45382">
        <w:t>provides a detailed breakdown of the response burden for the recruitment and interview process</w:t>
      </w:r>
      <w:r w:rsidR="00615D2B">
        <w:t>.</w:t>
      </w:r>
    </w:p>
    <w:p w:rsidR="00593DD0" w:rsidP="00162E42" w:rsidRDefault="00532F98" w14:paraId="411CB236" w14:textId="2F55D80B">
      <w:pPr>
        <w:pStyle w:val="ListBullet"/>
      </w:pPr>
      <w:r w:rsidRPr="00D45382">
        <w:t xml:space="preserve">RTI’s previous experience suggests that participating in </w:t>
      </w:r>
      <w:r w:rsidR="000275C2">
        <w:t>a</w:t>
      </w:r>
      <w:r w:rsidRPr="00D45382">
        <w:t xml:space="preserve"> recruitment call (Appendi</w:t>
      </w:r>
      <w:r w:rsidRPr="00D45382" w:rsidR="00866542">
        <w:t>ces</w:t>
      </w:r>
      <w:r w:rsidRPr="00D45382">
        <w:t xml:space="preserve"> </w:t>
      </w:r>
      <w:r w:rsidR="002D2154">
        <w:t>D</w:t>
      </w:r>
      <w:r w:rsidRPr="00D45382" w:rsidR="00866542">
        <w:t xml:space="preserve">-1 and/or </w:t>
      </w:r>
      <w:r w:rsidR="002D2154">
        <w:t>D</w:t>
      </w:r>
      <w:r w:rsidRPr="00D45382" w:rsidR="00866542">
        <w:t>-2</w:t>
      </w:r>
      <w:r w:rsidRPr="00D45382">
        <w:t>) or reading the recruitment email (Appendi</w:t>
      </w:r>
      <w:r w:rsidRPr="00D45382" w:rsidR="00866542">
        <w:t>ces</w:t>
      </w:r>
      <w:r w:rsidRPr="00D45382">
        <w:t xml:space="preserve"> </w:t>
      </w:r>
      <w:r w:rsidR="002D2154">
        <w:t>E-1</w:t>
      </w:r>
      <w:r w:rsidRPr="00D45382" w:rsidR="00866542">
        <w:t xml:space="preserve">and/or </w:t>
      </w:r>
      <w:r w:rsidR="002D2154">
        <w:t>E</w:t>
      </w:r>
      <w:r w:rsidRPr="00D45382" w:rsidR="00866542">
        <w:t>-2</w:t>
      </w:r>
      <w:r w:rsidRPr="00D45382">
        <w:t>)</w:t>
      </w:r>
      <w:r w:rsidRPr="00D45382" w:rsidR="00790807">
        <w:t xml:space="preserve"> will take an average of 5 minutes, and </w:t>
      </w:r>
      <w:r w:rsidR="00F97AA8">
        <w:t xml:space="preserve">it may be necessary </w:t>
      </w:r>
      <w:r w:rsidR="000275C2">
        <w:t>to talk to multiple</w:t>
      </w:r>
      <w:r w:rsidR="00162E42">
        <w:t xml:space="preserve"> people within the company (e.g., transferred to a different person during the call or asked to call/email a different person, which would count as an additional contact). We assumed that RTI will make a maximum of four attempts </w:t>
      </w:r>
      <w:r w:rsidRPr="00D45382" w:rsidR="00162E42">
        <w:t>to identify the correct person(s) to interview</w:t>
      </w:r>
      <w:r w:rsidR="00162E42">
        <w:t xml:space="preserve"> within a selected company</w:t>
      </w:r>
      <w:r w:rsidRPr="00D45382" w:rsidR="00162E42">
        <w:t xml:space="preserve">. </w:t>
      </w:r>
      <w:r w:rsidR="00162E42">
        <w:t xml:space="preserve">For estimating burden, we assumed that all companies </w:t>
      </w:r>
      <w:proofErr w:type="gramStart"/>
      <w:r w:rsidR="00162E42">
        <w:t>will</w:t>
      </w:r>
      <w:proofErr w:type="gramEnd"/>
      <w:r w:rsidR="00162E42">
        <w:t xml:space="preserve"> require four contacts to reflect the potential maximum burden</w:t>
      </w:r>
      <w:r w:rsidR="005D484F">
        <w:t xml:space="preserve"> (Appendices H-1, H-2, and H-3 provide the follow-up recruitment scripts and email)</w:t>
      </w:r>
      <w:r w:rsidR="00162E42">
        <w:t>. Although companies and target respondents that are recruited by FMI are likely to be more responsive, we do not know that with certainty. Also, FMI may encounter challenges recruiting companies/target respondents, so RTI staff may have to contact FMI member companies and go through the recruiting process. For these reasons, we erred on the side of caution and assumed the same burden for FMI and non-FMI member companies so that the burden estimates reflect the potential maximum burden. We did not include time spent by FMI staff for recruiting companies and target respondents because FMI staff are not participating in the interviews themselves.</w:t>
      </w:r>
    </w:p>
    <w:p w:rsidR="00162E42" w:rsidP="00162E42" w:rsidRDefault="00162E42" w14:paraId="43C51A93" w14:textId="584B57B4">
      <w:pPr>
        <w:pStyle w:val="ListBullet"/>
      </w:pPr>
      <w:r w:rsidRPr="0009097A">
        <w:t xml:space="preserve">For companies </w:t>
      </w:r>
      <w:r>
        <w:t xml:space="preserve">that </w:t>
      </w:r>
      <w:r w:rsidRPr="0009097A">
        <w:t>agree to take part in the interview, we assume</w:t>
      </w:r>
      <w:r>
        <w:t>d</w:t>
      </w:r>
      <w:r w:rsidRPr="0009097A">
        <w:t xml:space="preserve"> that reading the disclaimer (Appendix </w:t>
      </w:r>
      <w:r w:rsidR="002D2154">
        <w:t>F</w:t>
      </w:r>
      <w:r w:rsidRPr="0009097A">
        <w:t xml:space="preserve">-1), reading and completing the informed consent form (Appendix </w:t>
      </w:r>
      <w:r w:rsidR="002D2154">
        <w:t>F</w:t>
      </w:r>
      <w:r w:rsidRPr="0009097A">
        <w:t xml:space="preserve">-2), and reviewing the list of </w:t>
      </w:r>
      <w:r>
        <w:t xml:space="preserve">potential </w:t>
      </w:r>
      <w:r w:rsidRPr="0009097A">
        <w:t xml:space="preserve">interview </w:t>
      </w:r>
      <w:r>
        <w:t>topics</w:t>
      </w:r>
      <w:r w:rsidRPr="0009097A" w:rsidDel="00421AE6">
        <w:t xml:space="preserve"> </w:t>
      </w:r>
      <w:r w:rsidRPr="0009097A">
        <w:t xml:space="preserve">(Appendix </w:t>
      </w:r>
      <w:r w:rsidR="002D2154">
        <w:t>G</w:t>
      </w:r>
      <w:r w:rsidRPr="0009097A">
        <w:t xml:space="preserve">) will take an average of </w:t>
      </w:r>
      <w:r w:rsidRPr="0009097A" w:rsidR="009A5F8E">
        <w:t>1</w:t>
      </w:r>
      <w:r w:rsidR="009A5F8E">
        <w:t>5</w:t>
      </w:r>
      <w:r w:rsidRPr="0009097A" w:rsidR="009A5F8E">
        <w:t xml:space="preserve"> </w:t>
      </w:r>
      <w:r w:rsidRPr="0009097A">
        <w:t xml:space="preserve">minutes. </w:t>
      </w:r>
    </w:p>
    <w:p w:rsidRPr="0009097A" w:rsidR="00162E42" w:rsidP="00162E42" w:rsidRDefault="00162E42" w14:paraId="7B995C61" w14:textId="77777777">
      <w:pPr>
        <w:pStyle w:val="ListBullet"/>
      </w:pPr>
      <w:r>
        <w:lastRenderedPageBreak/>
        <w:t xml:space="preserve">We assumed that one company will go through the process of preparing for the interview, including reading the disclaimer, submitting the consent form, and gathering materials, but will drop out before reading the reminder email and participating in the interview itself. </w:t>
      </w:r>
    </w:p>
    <w:p w:rsidRPr="0084233D" w:rsidR="00162E42" w:rsidP="00162E42" w:rsidRDefault="00162E42" w14:paraId="445A4877" w14:textId="3D6CBD2B">
      <w:pPr>
        <w:pStyle w:val="ListBullet"/>
      </w:pPr>
      <w:r w:rsidRPr="0084233D">
        <w:t>For companies that agree to take part in the interview, we assume</w:t>
      </w:r>
      <w:r>
        <w:t>d</w:t>
      </w:r>
      <w:r w:rsidRPr="0084233D">
        <w:t xml:space="preserve"> that reading the reminder email (Appendix </w:t>
      </w:r>
      <w:r w:rsidR="002D2154">
        <w:t>I</w:t>
      </w:r>
      <w:r w:rsidRPr="0084233D">
        <w:t>) will take 1 minute.</w:t>
      </w:r>
    </w:p>
    <w:p w:rsidR="00162E42" w:rsidP="00162E42" w:rsidRDefault="00162E42" w14:paraId="29522588" w14:textId="4F972DCB">
      <w:pPr>
        <w:pStyle w:val="ListBullet"/>
      </w:pPr>
      <w:r w:rsidRPr="0009097A">
        <w:t xml:space="preserve">The interviews will take an average of 90 minutes following the semi-structured interview guide (Appendix </w:t>
      </w:r>
      <w:r w:rsidR="002D2154">
        <w:t>J</w:t>
      </w:r>
      <w:r w:rsidRPr="0009097A">
        <w:t xml:space="preserve">). </w:t>
      </w:r>
    </w:p>
    <w:p w:rsidR="00162E42" w:rsidP="00593DD0" w:rsidRDefault="00162E42" w14:paraId="002FA100" w14:textId="77777777">
      <w:pPr>
        <w:pStyle w:val="TableCaption"/>
      </w:pPr>
    </w:p>
    <w:p w:rsidR="00162E42" w:rsidP="00593DD0" w:rsidRDefault="00162E42" w14:paraId="5331172C" w14:textId="73FE5C80">
      <w:pPr>
        <w:pStyle w:val="TableCaption"/>
        <w:sectPr w:rsidR="00162E42" w:rsidSect="00C9115B">
          <w:headerReference w:type="default" r:id="rId8"/>
          <w:headerReference w:type="first" r:id="rId9"/>
          <w:pgSz w:w="12240" w:h="15840"/>
          <w:pgMar w:top="1440" w:right="1440" w:bottom="1440" w:left="1440" w:header="720" w:footer="720" w:gutter="0"/>
          <w:cols w:space="720"/>
          <w:titlePg/>
          <w:docGrid w:linePitch="360"/>
        </w:sectPr>
      </w:pPr>
    </w:p>
    <w:p w:rsidRPr="00A17837" w:rsidR="00593DD0" w:rsidP="00593DD0" w:rsidRDefault="00593DD0" w14:paraId="1D52E40E" w14:textId="0C8F4679">
      <w:pPr>
        <w:pStyle w:val="TableCaption"/>
        <w:spacing w:before="120"/>
      </w:pPr>
      <w:r w:rsidRPr="00A17837">
        <w:lastRenderedPageBreak/>
        <w:t xml:space="preserve">Table </w:t>
      </w:r>
      <w:r>
        <w:t>3</w:t>
      </w:r>
      <w:r w:rsidRPr="00A17837">
        <w:t xml:space="preserve">. </w:t>
      </w:r>
      <w:r>
        <w:t>Reporting Burden</w:t>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1080"/>
        <w:gridCol w:w="900"/>
        <w:gridCol w:w="630"/>
        <w:gridCol w:w="990"/>
        <w:gridCol w:w="990"/>
        <w:gridCol w:w="990"/>
        <w:gridCol w:w="990"/>
        <w:gridCol w:w="990"/>
        <w:gridCol w:w="990"/>
        <w:gridCol w:w="990"/>
        <w:gridCol w:w="990"/>
        <w:gridCol w:w="900"/>
      </w:tblGrid>
      <w:tr w:rsidRPr="0023614D" w:rsidR="00593DD0" w:rsidTr="00AE3EFA" w14:paraId="0C0A9131" w14:textId="77777777">
        <w:trPr>
          <w:trHeight w:val="231"/>
        </w:trPr>
        <w:tc>
          <w:tcPr>
            <w:tcW w:w="1530" w:type="dxa"/>
            <w:vMerge w:val="restart"/>
            <w:tcBorders>
              <w:top w:val="single" w:color="auto" w:sz="12" w:space="0"/>
              <w:bottom w:val="single" w:color="auto" w:sz="4" w:space="0"/>
            </w:tcBorders>
            <w:vAlign w:val="bottom"/>
          </w:tcPr>
          <w:p w:rsidRPr="00A17837" w:rsidR="00593DD0" w:rsidP="00AE3EFA" w:rsidRDefault="00593DD0" w14:paraId="1003A43D" w14:textId="77777777">
            <w:pPr>
              <w:pStyle w:val="TableHeader"/>
            </w:pPr>
            <w:r w:rsidRPr="00722CA1">
              <w:t>Instrument</w:t>
            </w:r>
          </w:p>
        </w:tc>
        <w:tc>
          <w:tcPr>
            <w:tcW w:w="1080" w:type="dxa"/>
            <w:vMerge w:val="restart"/>
            <w:tcBorders>
              <w:top w:val="single" w:color="auto" w:sz="12" w:space="0"/>
            </w:tcBorders>
            <w:vAlign w:val="bottom"/>
          </w:tcPr>
          <w:p w:rsidRPr="00A17837" w:rsidR="00593DD0" w:rsidP="00AE3EFA" w:rsidRDefault="00593DD0" w14:paraId="76C05FA5" w14:textId="77777777">
            <w:pPr>
              <w:pStyle w:val="TableHeader"/>
            </w:pPr>
            <w:r>
              <w:t>Appendix</w:t>
            </w:r>
          </w:p>
        </w:tc>
        <w:tc>
          <w:tcPr>
            <w:tcW w:w="900" w:type="dxa"/>
            <w:vMerge w:val="restart"/>
            <w:tcBorders>
              <w:top w:val="single" w:color="auto" w:sz="12" w:space="0"/>
              <w:bottom w:val="single" w:color="auto" w:sz="4" w:space="0"/>
            </w:tcBorders>
            <w:vAlign w:val="bottom"/>
          </w:tcPr>
          <w:p w:rsidRPr="00A17837" w:rsidR="00593DD0" w:rsidP="00AE3EFA" w:rsidRDefault="00593DD0" w14:paraId="4D223294" w14:textId="77777777">
            <w:pPr>
              <w:pStyle w:val="TableHeader"/>
            </w:pPr>
            <w:r w:rsidRPr="00A17837">
              <w:t>Sample Size</w:t>
            </w:r>
          </w:p>
        </w:tc>
        <w:tc>
          <w:tcPr>
            <w:tcW w:w="630" w:type="dxa"/>
            <w:vMerge w:val="restart"/>
            <w:tcBorders>
              <w:top w:val="single" w:color="auto" w:sz="12" w:space="0"/>
              <w:bottom w:val="single" w:color="auto" w:sz="4" w:space="0"/>
            </w:tcBorders>
            <w:vAlign w:val="bottom"/>
          </w:tcPr>
          <w:p w:rsidRPr="00A17837" w:rsidR="00593DD0" w:rsidP="00AE3EFA" w:rsidRDefault="00593DD0" w14:paraId="33FB3880" w14:textId="77777777">
            <w:pPr>
              <w:pStyle w:val="TableHeader"/>
            </w:pPr>
            <w:r w:rsidRPr="00A17837">
              <w:t>Freq</w:t>
            </w:r>
          </w:p>
        </w:tc>
        <w:tc>
          <w:tcPr>
            <w:tcW w:w="3960" w:type="dxa"/>
            <w:gridSpan w:val="4"/>
            <w:tcBorders>
              <w:top w:val="single" w:color="auto" w:sz="12" w:space="0"/>
              <w:bottom w:val="single" w:color="auto" w:sz="4" w:space="0"/>
              <w:right w:val="single" w:color="auto" w:sz="4" w:space="0"/>
            </w:tcBorders>
            <w:vAlign w:val="bottom"/>
          </w:tcPr>
          <w:p w:rsidRPr="00A17837" w:rsidR="00593DD0" w:rsidP="00AE3EFA" w:rsidRDefault="00593DD0" w14:paraId="47B34D15" w14:textId="77777777">
            <w:pPr>
              <w:pStyle w:val="TableHeader"/>
            </w:pPr>
            <w:r w:rsidRPr="00A17837">
              <w:t>Respon</w:t>
            </w:r>
            <w:r>
              <w:t>dents</w:t>
            </w:r>
          </w:p>
        </w:tc>
        <w:tc>
          <w:tcPr>
            <w:tcW w:w="3960" w:type="dxa"/>
            <w:gridSpan w:val="4"/>
            <w:tcBorders>
              <w:top w:val="single" w:color="auto" w:sz="12" w:space="0"/>
              <w:left w:val="single" w:color="auto" w:sz="4" w:space="0"/>
              <w:bottom w:val="single" w:color="auto" w:sz="4" w:space="0"/>
            </w:tcBorders>
            <w:vAlign w:val="bottom"/>
          </w:tcPr>
          <w:p w:rsidRPr="00A17837" w:rsidR="00593DD0" w:rsidP="00AE3EFA" w:rsidRDefault="00593DD0" w14:paraId="44A0FC84" w14:textId="77777777">
            <w:pPr>
              <w:pStyle w:val="TableHeader"/>
            </w:pPr>
            <w:r w:rsidRPr="00A17837">
              <w:t>Nonrespon</w:t>
            </w:r>
            <w:r>
              <w:t>dents</w:t>
            </w:r>
          </w:p>
        </w:tc>
        <w:tc>
          <w:tcPr>
            <w:tcW w:w="900" w:type="dxa"/>
            <w:vMerge w:val="restart"/>
            <w:tcBorders>
              <w:top w:val="single" w:color="auto" w:sz="12" w:space="0"/>
              <w:left w:val="nil"/>
              <w:bottom w:val="single" w:color="auto" w:sz="4" w:space="0"/>
            </w:tcBorders>
            <w:vAlign w:val="bottom"/>
          </w:tcPr>
          <w:p w:rsidRPr="00A17837" w:rsidR="00593DD0" w:rsidP="00AE3EFA" w:rsidRDefault="00593DD0" w14:paraId="6F041E48" w14:textId="77777777">
            <w:pPr>
              <w:pStyle w:val="TableHeader"/>
            </w:pPr>
            <w:r w:rsidRPr="00A17837">
              <w:t>Total Burden</w:t>
            </w:r>
            <w:r>
              <w:t xml:space="preserve"> Hours</w:t>
            </w:r>
          </w:p>
        </w:tc>
      </w:tr>
      <w:tr w:rsidRPr="0023614D" w:rsidR="00593DD0" w:rsidTr="00AE3EFA" w14:paraId="4273EFC3" w14:textId="77777777">
        <w:trPr>
          <w:trHeight w:val="629"/>
        </w:trPr>
        <w:tc>
          <w:tcPr>
            <w:tcW w:w="1530" w:type="dxa"/>
            <w:vMerge/>
            <w:tcBorders>
              <w:bottom w:val="single" w:color="auto" w:sz="4" w:space="0"/>
            </w:tcBorders>
            <w:vAlign w:val="bottom"/>
          </w:tcPr>
          <w:p w:rsidRPr="00A17837" w:rsidR="00593DD0" w:rsidP="00AE3EFA" w:rsidRDefault="00593DD0" w14:paraId="0C70C0F9" w14:textId="77777777">
            <w:pPr>
              <w:pStyle w:val="TableHeader"/>
            </w:pPr>
          </w:p>
        </w:tc>
        <w:tc>
          <w:tcPr>
            <w:tcW w:w="1080" w:type="dxa"/>
            <w:vMerge/>
            <w:tcBorders>
              <w:bottom w:val="single" w:color="auto" w:sz="4" w:space="0"/>
            </w:tcBorders>
            <w:vAlign w:val="bottom"/>
          </w:tcPr>
          <w:p w:rsidRPr="00A17837" w:rsidR="00593DD0" w:rsidP="00AE3EFA" w:rsidRDefault="00593DD0" w14:paraId="5CA7BE76" w14:textId="77777777">
            <w:pPr>
              <w:pStyle w:val="TableHeader"/>
            </w:pPr>
          </w:p>
        </w:tc>
        <w:tc>
          <w:tcPr>
            <w:tcW w:w="900" w:type="dxa"/>
            <w:vMerge/>
            <w:tcBorders>
              <w:bottom w:val="single" w:color="auto" w:sz="4" w:space="0"/>
            </w:tcBorders>
            <w:vAlign w:val="bottom"/>
          </w:tcPr>
          <w:p w:rsidRPr="00A17837" w:rsidR="00593DD0" w:rsidP="00AE3EFA" w:rsidRDefault="00593DD0" w14:paraId="2A42A2F0" w14:textId="77777777">
            <w:pPr>
              <w:pStyle w:val="TableHeader"/>
            </w:pPr>
          </w:p>
        </w:tc>
        <w:tc>
          <w:tcPr>
            <w:tcW w:w="630" w:type="dxa"/>
            <w:vMerge/>
            <w:tcBorders>
              <w:bottom w:val="single" w:color="auto" w:sz="4" w:space="0"/>
            </w:tcBorders>
            <w:vAlign w:val="bottom"/>
          </w:tcPr>
          <w:p w:rsidRPr="00A17837" w:rsidR="00593DD0" w:rsidP="00AE3EFA" w:rsidRDefault="00593DD0" w14:paraId="5971A482" w14:textId="77777777">
            <w:pPr>
              <w:pStyle w:val="TableHeader"/>
            </w:pPr>
          </w:p>
        </w:tc>
        <w:tc>
          <w:tcPr>
            <w:tcW w:w="990" w:type="dxa"/>
            <w:tcBorders>
              <w:top w:val="single" w:color="auto" w:sz="4" w:space="0"/>
              <w:left w:val="nil"/>
              <w:bottom w:val="single" w:color="auto" w:sz="4" w:space="0"/>
            </w:tcBorders>
            <w:vAlign w:val="bottom"/>
          </w:tcPr>
          <w:p w:rsidRPr="00A17837" w:rsidR="00593DD0" w:rsidP="00AE3EFA" w:rsidRDefault="00593DD0" w14:paraId="77C0E877" w14:textId="77777777">
            <w:pPr>
              <w:pStyle w:val="TableHeader"/>
            </w:pPr>
            <w:r w:rsidRPr="00A17837">
              <w:t>Count</w:t>
            </w:r>
          </w:p>
        </w:tc>
        <w:tc>
          <w:tcPr>
            <w:tcW w:w="990" w:type="dxa"/>
            <w:tcBorders>
              <w:top w:val="single" w:color="auto" w:sz="4" w:space="0"/>
              <w:bottom w:val="single" w:color="auto" w:sz="4" w:space="0"/>
            </w:tcBorders>
            <w:vAlign w:val="bottom"/>
          </w:tcPr>
          <w:p w:rsidRPr="00A17837" w:rsidR="00593DD0" w:rsidP="00AE3EFA" w:rsidRDefault="00593DD0" w14:paraId="3EA303E2" w14:textId="1F3820E2">
            <w:pPr>
              <w:pStyle w:val="TableHeader"/>
            </w:pPr>
            <w:r w:rsidRPr="00A17837">
              <w:t xml:space="preserve">Freq </w:t>
            </w:r>
            <w:r w:rsidR="006B2A21">
              <w:t>x</w:t>
            </w:r>
            <w:r w:rsidRPr="00A17837">
              <w:t xml:space="preserve"> Count</w:t>
            </w:r>
          </w:p>
        </w:tc>
        <w:tc>
          <w:tcPr>
            <w:tcW w:w="990" w:type="dxa"/>
            <w:tcBorders>
              <w:top w:val="single" w:color="auto" w:sz="4" w:space="0"/>
              <w:bottom w:val="single" w:color="auto" w:sz="4" w:space="0"/>
            </w:tcBorders>
            <w:vAlign w:val="bottom"/>
          </w:tcPr>
          <w:p w:rsidRPr="00A17837" w:rsidR="00593DD0" w:rsidP="00AE3EFA" w:rsidRDefault="00593DD0" w14:paraId="0ED8C940" w14:textId="77777777">
            <w:pPr>
              <w:pStyle w:val="TableHeader"/>
            </w:pPr>
            <w:r>
              <w:t>Minutes/</w:t>
            </w:r>
            <w:r w:rsidRPr="00A17837">
              <w:t>Resp</w:t>
            </w:r>
          </w:p>
        </w:tc>
        <w:tc>
          <w:tcPr>
            <w:tcW w:w="990" w:type="dxa"/>
            <w:tcBorders>
              <w:top w:val="single" w:color="auto" w:sz="4" w:space="0"/>
              <w:bottom w:val="single" w:color="auto" w:sz="4" w:space="0"/>
              <w:right w:val="single" w:color="auto" w:sz="4" w:space="0"/>
            </w:tcBorders>
            <w:vAlign w:val="bottom"/>
          </w:tcPr>
          <w:p w:rsidRPr="00A17837" w:rsidR="00593DD0" w:rsidP="00AE3EFA" w:rsidRDefault="00593DD0" w14:paraId="2DAD4F0E" w14:textId="77777777">
            <w:pPr>
              <w:pStyle w:val="TableHeader"/>
            </w:pPr>
            <w:r w:rsidRPr="00A17837">
              <w:t>Burden Hours</w:t>
            </w:r>
          </w:p>
        </w:tc>
        <w:tc>
          <w:tcPr>
            <w:tcW w:w="990" w:type="dxa"/>
            <w:tcBorders>
              <w:top w:val="single" w:color="auto" w:sz="4" w:space="0"/>
              <w:left w:val="single" w:color="auto" w:sz="4" w:space="0"/>
              <w:bottom w:val="single" w:color="auto" w:sz="4" w:space="0"/>
            </w:tcBorders>
            <w:vAlign w:val="bottom"/>
          </w:tcPr>
          <w:p w:rsidRPr="00A17837" w:rsidR="00593DD0" w:rsidP="00AE3EFA" w:rsidRDefault="00593DD0" w14:paraId="6CBE8567" w14:textId="77777777">
            <w:pPr>
              <w:pStyle w:val="TableHeader"/>
            </w:pPr>
            <w:r w:rsidRPr="00A17837">
              <w:t>Count</w:t>
            </w:r>
          </w:p>
        </w:tc>
        <w:tc>
          <w:tcPr>
            <w:tcW w:w="990" w:type="dxa"/>
            <w:tcBorders>
              <w:top w:val="single" w:color="auto" w:sz="4" w:space="0"/>
              <w:bottom w:val="single" w:color="auto" w:sz="4" w:space="0"/>
            </w:tcBorders>
            <w:vAlign w:val="bottom"/>
          </w:tcPr>
          <w:p w:rsidRPr="00A17837" w:rsidR="00593DD0" w:rsidP="00AE3EFA" w:rsidRDefault="00593DD0" w14:paraId="6410BEE5" w14:textId="47523459">
            <w:pPr>
              <w:pStyle w:val="TableHeader"/>
            </w:pPr>
            <w:r w:rsidRPr="00A17837">
              <w:t xml:space="preserve">Freq </w:t>
            </w:r>
            <w:r w:rsidR="006B2A21">
              <w:t>x</w:t>
            </w:r>
            <w:r w:rsidRPr="00A17837">
              <w:t xml:space="preserve"> Count</w:t>
            </w:r>
          </w:p>
        </w:tc>
        <w:tc>
          <w:tcPr>
            <w:tcW w:w="990" w:type="dxa"/>
            <w:tcBorders>
              <w:top w:val="single" w:color="auto" w:sz="4" w:space="0"/>
              <w:bottom w:val="single" w:color="auto" w:sz="4" w:space="0"/>
            </w:tcBorders>
            <w:vAlign w:val="bottom"/>
          </w:tcPr>
          <w:p w:rsidRPr="00A17837" w:rsidR="00593DD0" w:rsidP="00AE3EFA" w:rsidRDefault="00593DD0" w14:paraId="71784868" w14:textId="77777777">
            <w:pPr>
              <w:pStyle w:val="TableHeader"/>
            </w:pPr>
            <w:r>
              <w:t>Minutes/</w:t>
            </w:r>
            <w:r w:rsidRPr="00A17837">
              <w:t>Resp</w:t>
            </w:r>
          </w:p>
        </w:tc>
        <w:tc>
          <w:tcPr>
            <w:tcW w:w="990" w:type="dxa"/>
            <w:tcBorders>
              <w:top w:val="single" w:color="auto" w:sz="4" w:space="0"/>
              <w:bottom w:val="single" w:color="auto" w:sz="4" w:space="0"/>
            </w:tcBorders>
            <w:vAlign w:val="bottom"/>
          </w:tcPr>
          <w:p w:rsidRPr="00A17837" w:rsidR="00593DD0" w:rsidP="00AE3EFA" w:rsidRDefault="00593DD0" w14:paraId="2E7EA93B" w14:textId="77777777">
            <w:pPr>
              <w:pStyle w:val="TableHeader"/>
            </w:pPr>
            <w:r w:rsidRPr="00A17837">
              <w:t>Burden Hours</w:t>
            </w:r>
          </w:p>
        </w:tc>
        <w:tc>
          <w:tcPr>
            <w:tcW w:w="900" w:type="dxa"/>
            <w:vMerge/>
            <w:tcBorders>
              <w:bottom w:val="single" w:color="auto" w:sz="4" w:space="0"/>
            </w:tcBorders>
            <w:vAlign w:val="bottom"/>
          </w:tcPr>
          <w:p w:rsidRPr="00A17837" w:rsidR="00593DD0" w:rsidP="00AE3EFA" w:rsidRDefault="00593DD0" w14:paraId="4C2F0231" w14:textId="77777777">
            <w:pPr>
              <w:pStyle w:val="Tabletext"/>
              <w:jc w:val="center"/>
            </w:pPr>
          </w:p>
        </w:tc>
      </w:tr>
      <w:tr w:rsidRPr="0023614D" w:rsidR="00593DD0" w:rsidTr="00AE3EFA" w14:paraId="1D549D20" w14:textId="77777777">
        <w:tc>
          <w:tcPr>
            <w:tcW w:w="1530" w:type="dxa"/>
            <w:tcBorders>
              <w:top w:val="single" w:color="auto" w:sz="4" w:space="0"/>
            </w:tcBorders>
          </w:tcPr>
          <w:p w:rsidRPr="00E835B2" w:rsidR="00593DD0" w:rsidP="00AE3EFA" w:rsidRDefault="00593DD0" w14:paraId="74C1DD22" w14:textId="157406DE">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#1</w:t>
            </w:r>
            <w:r w:rsidRPr="00E835B2">
              <w:rPr>
                <w:sz w:val="20"/>
                <w:szCs w:val="20"/>
                <w:vertAlign w:val="superscript"/>
              </w:rPr>
              <w:t>a</w:t>
            </w:r>
          </w:p>
        </w:tc>
        <w:tc>
          <w:tcPr>
            <w:tcW w:w="1080" w:type="dxa"/>
            <w:tcBorders>
              <w:top w:val="single" w:color="auto" w:sz="4" w:space="0"/>
            </w:tcBorders>
          </w:tcPr>
          <w:p w:rsidRPr="00E835B2" w:rsidR="00593DD0" w:rsidP="00AE3EFA" w:rsidRDefault="002D2154" w14:paraId="4C4D64A0" w14:textId="1E047844">
            <w:pPr>
              <w:pStyle w:val="Tabletext"/>
              <w:spacing w:before="40" w:after="40"/>
              <w:rPr>
                <w:sz w:val="20"/>
                <w:szCs w:val="20"/>
              </w:rPr>
            </w:pPr>
            <w:r>
              <w:rPr>
                <w:sz w:val="20"/>
                <w:szCs w:val="20"/>
              </w:rPr>
              <w:t>D</w:t>
            </w:r>
            <w:r w:rsidR="00593DD0">
              <w:rPr>
                <w:sz w:val="20"/>
                <w:szCs w:val="20"/>
              </w:rPr>
              <w:t>-</w:t>
            </w:r>
            <w:r w:rsidRPr="00E835B2" w:rsidR="00593DD0">
              <w:rPr>
                <w:sz w:val="20"/>
                <w:szCs w:val="20"/>
              </w:rPr>
              <w:t xml:space="preserve">1, </w:t>
            </w:r>
            <w:r>
              <w:rPr>
                <w:sz w:val="20"/>
                <w:szCs w:val="20"/>
              </w:rPr>
              <w:t>D</w:t>
            </w:r>
            <w:r w:rsidR="00593DD0">
              <w:rPr>
                <w:sz w:val="20"/>
                <w:szCs w:val="20"/>
              </w:rPr>
              <w:t>-</w:t>
            </w:r>
            <w:r w:rsidRPr="00E835B2" w:rsidR="00593DD0">
              <w:rPr>
                <w:sz w:val="20"/>
                <w:szCs w:val="20"/>
              </w:rPr>
              <w:t xml:space="preserve">2, </w:t>
            </w:r>
            <w:r>
              <w:rPr>
                <w:sz w:val="20"/>
                <w:szCs w:val="20"/>
              </w:rPr>
              <w:t>E</w:t>
            </w:r>
            <w:r w:rsidR="00593DD0">
              <w:rPr>
                <w:sz w:val="20"/>
                <w:szCs w:val="20"/>
              </w:rPr>
              <w:t>-</w:t>
            </w:r>
            <w:r w:rsidRPr="00E835B2" w:rsidR="00593DD0">
              <w:rPr>
                <w:sz w:val="20"/>
                <w:szCs w:val="20"/>
              </w:rPr>
              <w:t>1,</w:t>
            </w:r>
            <w:r w:rsidR="00593DD0">
              <w:rPr>
                <w:sz w:val="20"/>
                <w:szCs w:val="20"/>
              </w:rPr>
              <w:t xml:space="preserve"> </w:t>
            </w:r>
            <w:r w:rsidR="00AC3601">
              <w:rPr>
                <w:sz w:val="20"/>
                <w:szCs w:val="20"/>
              </w:rPr>
              <w:t>and/</w:t>
            </w:r>
            <w:r w:rsidRPr="00E835B2" w:rsidR="00593DD0">
              <w:rPr>
                <w:sz w:val="20"/>
                <w:szCs w:val="20"/>
              </w:rPr>
              <w:t xml:space="preserve">or </w:t>
            </w:r>
            <w:r>
              <w:rPr>
                <w:sz w:val="20"/>
                <w:szCs w:val="20"/>
              </w:rPr>
              <w:t>E</w:t>
            </w:r>
            <w:r w:rsidR="00593DD0">
              <w:rPr>
                <w:sz w:val="20"/>
                <w:szCs w:val="20"/>
              </w:rPr>
              <w:noBreakHyphen/>
            </w:r>
            <w:r w:rsidRPr="00E835B2" w:rsidR="00593DD0">
              <w:rPr>
                <w:sz w:val="20"/>
                <w:szCs w:val="20"/>
              </w:rPr>
              <w:t>2</w:t>
            </w:r>
          </w:p>
        </w:tc>
        <w:tc>
          <w:tcPr>
            <w:tcW w:w="900" w:type="dxa"/>
            <w:tcBorders>
              <w:top w:val="single" w:color="auto" w:sz="4" w:space="0"/>
            </w:tcBorders>
          </w:tcPr>
          <w:p w:rsidRPr="00E835B2" w:rsidR="00593DD0" w:rsidP="00AE3EFA" w:rsidRDefault="00593DD0" w14:paraId="501A30F4" w14:textId="77777777">
            <w:pPr>
              <w:pStyle w:val="Tabletext"/>
              <w:tabs>
                <w:tab w:val="decimal" w:pos="427"/>
              </w:tabs>
              <w:spacing w:before="40" w:after="40"/>
              <w:rPr>
                <w:sz w:val="20"/>
                <w:szCs w:val="20"/>
              </w:rPr>
            </w:pPr>
            <w:r w:rsidRPr="00E835B2">
              <w:rPr>
                <w:sz w:val="20"/>
                <w:szCs w:val="20"/>
              </w:rPr>
              <w:t>50</w:t>
            </w:r>
          </w:p>
        </w:tc>
        <w:tc>
          <w:tcPr>
            <w:tcW w:w="630" w:type="dxa"/>
            <w:tcBorders>
              <w:top w:val="single" w:color="auto" w:sz="4" w:space="0"/>
            </w:tcBorders>
          </w:tcPr>
          <w:p w:rsidRPr="00E835B2" w:rsidR="00593DD0" w:rsidP="00AE3EFA" w:rsidRDefault="00593DD0" w14:paraId="17D4F0E3"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tcBorders>
          </w:tcPr>
          <w:p w:rsidRPr="00E835B2" w:rsidR="00593DD0" w:rsidP="00AE3EFA" w:rsidRDefault="00593DD0" w14:paraId="5F29EBAF" w14:textId="77777777">
            <w:pPr>
              <w:pStyle w:val="Tabletext"/>
              <w:tabs>
                <w:tab w:val="decimal" w:pos="431"/>
              </w:tabs>
              <w:spacing w:before="40" w:after="40"/>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664393C1" w14:textId="77777777">
            <w:pPr>
              <w:pStyle w:val="Tabletext"/>
              <w:spacing w:before="40" w:after="40"/>
              <w:jc w:val="center"/>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498844A1" w14:textId="77777777">
            <w:pPr>
              <w:pStyle w:val="Tabletext"/>
              <w:tabs>
                <w:tab w:val="decimal" w:pos="400"/>
              </w:tabs>
              <w:spacing w:before="40" w:after="40"/>
              <w:rPr>
                <w:sz w:val="20"/>
                <w:szCs w:val="20"/>
              </w:rPr>
            </w:pPr>
            <w:r w:rsidRPr="00E835B2">
              <w:rPr>
                <w:sz w:val="20"/>
                <w:szCs w:val="20"/>
              </w:rPr>
              <w:t>5</w:t>
            </w:r>
          </w:p>
        </w:tc>
        <w:tc>
          <w:tcPr>
            <w:tcW w:w="990" w:type="dxa"/>
            <w:tcBorders>
              <w:top w:val="single" w:color="auto" w:sz="4" w:space="0"/>
              <w:right w:val="single" w:color="auto" w:sz="4" w:space="0"/>
            </w:tcBorders>
          </w:tcPr>
          <w:p w:rsidRPr="00E835B2" w:rsidR="00593DD0" w:rsidP="00AE3EFA" w:rsidRDefault="00593DD0" w14:paraId="0BBDB573"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color="auto" w:sz="4" w:space="0"/>
              <w:left w:val="single" w:color="auto" w:sz="4" w:space="0"/>
            </w:tcBorders>
          </w:tcPr>
          <w:p w:rsidRPr="00E835B2" w:rsidR="00593DD0" w:rsidP="00AE3EFA" w:rsidRDefault="00593DD0" w14:paraId="07E6B1E8" w14:textId="77777777">
            <w:pPr>
              <w:pStyle w:val="Tabletext"/>
              <w:tabs>
                <w:tab w:val="decimal" w:pos="442"/>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3843BC71" w14:textId="77777777">
            <w:pPr>
              <w:pStyle w:val="Tabletext"/>
              <w:tabs>
                <w:tab w:val="decimal" w:pos="471"/>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19A10682" w14:textId="77777777">
            <w:pPr>
              <w:pStyle w:val="Tabletext"/>
              <w:tabs>
                <w:tab w:val="decimal" w:pos="336"/>
              </w:tabs>
              <w:spacing w:before="40" w:after="40"/>
              <w:rPr>
                <w:sz w:val="20"/>
                <w:szCs w:val="20"/>
              </w:rPr>
            </w:pPr>
            <w:r w:rsidRPr="00E835B2">
              <w:rPr>
                <w:sz w:val="20"/>
                <w:szCs w:val="20"/>
              </w:rPr>
              <w:t>5</w:t>
            </w:r>
            <w:r w:rsidRPr="00E835B2" w:rsidDel="00BB6340">
              <w:rPr>
                <w:sz w:val="20"/>
                <w:szCs w:val="20"/>
              </w:rPr>
              <w:t xml:space="preserve"> </w:t>
            </w:r>
          </w:p>
        </w:tc>
        <w:tc>
          <w:tcPr>
            <w:tcW w:w="990" w:type="dxa"/>
            <w:tcBorders>
              <w:top w:val="single" w:color="auto" w:sz="4" w:space="0"/>
            </w:tcBorders>
          </w:tcPr>
          <w:p w:rsidRPr="00E835B2" w:rsidR="00593DD0" w:rsidP="00AE3EFA" w:rsidRDefault="00593DD0" w14:paraId="51835954"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color="auto" w:sz="4" w:space="0"/>
              <w:left w:val="nil"/>
            </w:tcBorders>
          </w:tcPr>
          <w:p w:rsidRPr="00E835B2" w:rsidR="00593DD0" w:rsidP="00AE3EFA" w:rsidRDefault="00593DD0" w14:paraId="3706DCE2" w14:textId="77777777">
            <w:pPr>
              <w:pStyle w:val="Tabletext"/>
              <w:tabs>
                <w:tab w:val="decimal" w:pos="242"/>
              </w:tabs>
              <w:spacing w:before="40" w:after="40"/>
              <w:rPr>
                <w:sz w:val="20"/>
                <w:szCs w:val="20"/>
              </w:rPr>
            </w:pPr>
            <w:r w:rsidRPr="00E835B2">
              <w:rPr>
                <w:sz w:val="20"/>
                <w:szCs w:val="20"/>
              </w:rPr>
              <w:t>4.16</w:t>
            </w:r>
          </w:p>
        </w:tc>
      </w:tr>
      <w:tr w:rsidRPr="0023614D" w:rsidR="00593DD0" w:rsidTr="00AE3EFA" w14:paraId="4799E885" w14:textId="77777777">
        <w:tc>
          <w:tcPr>
            <w:tcW w:w="1530" w:type="dxa"/>
            <w:tcBorders>
              <w:top w:val="single" w:color="auto" w:sz="4" w:space="0"/>
            </w:tcBorders>
          </w:tcPr>
          <w:p w:rsidRPr="00E835B2" w:rsidR="00593DD0" w:rsidP="00AE3EFA" w:rsidRDefault="00593DD0" w14:paraId="521C91FE" w14:textId="64AADB8C">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#2</w:t>
            </w:r>
            <w:r w:rsidRPr="00E835B2">
              <w:rPr>
                <w:sz w:val="20"/>
                <w:szCs w:val="20"/>
                <w:vertAlign w:val="superscript"/>
              </w:rPr>
              <w:t>a</w:t>
            </w:r>
          </w:p>
        </w:tc>
        <w:tc>
          <w:tcPr>
            <w:tcW w:w="1080" w:type="dxa"/>
            <w:tcBorders>
              <w:top w:val="single" w:color="auto" w:sz="4" w:space="0"/>
            </w:tcBorders>
          </w:tcPr>
          <w:p w:rsidRPr="00E835B2" w:rsidR="00593DD0" w:rsidP="00AE3EFA" w:rsidRDefault="002D2154" w14:paraId="2D198E0C" w14:textId="12A3D9C1">
            <w:pPr>
              <w:pStyle w:val="Tabletext"/>
              <w:spacing w:before="40" w:after="40"/>
              <w:rPr>
                <w:sz w:val="20"/>
                <w:szCs w:val="20"/>
              </w:rPr>
            </w:pPr>
            <w:r>
              <w:rPr>
                <w:sz w:val="20"/>
                <w:szCs w:val="20"/>
              </w:rPr>
              <w:t>H</w:t>
            </w:r>
            <w:r w:rsidR="00593DD0">
              <w:rPr>
                <w:sz w:val="20"/>
                <w:szCs w:val="20"/>
              </w:rPr>
              <w:t>-</w:t>
            </w:r>
            <w:r w:rsidRPr="00E835B2" w:rsidR="00593DD0">
              <w:rPr>
                <w:sz w:val="20"/>
                <w:szCs w:val="20"/>
              </w:rPr>
              <w:t xml:space="preserve">1, </w:t>
            </w:r>
            <w:r>
              <w:rPr>
                <w:sz w:val="20"/>
                <w:szCs w:val="20"/>
              </w:rPr>
              <w:t>H</w:t>
            </w:r>
            <w:r w:rsidR="00593DD0">
              <w:rPr>
                <w:sz w:val="20"/>
                <w:szCs w:val="20"/>
              </w:rPr>
              <w:t>-</w:t>
            </w:r>
            <w:r w:rsidRPr="00E835B2" w:rsidR="00593DD0">
              <w:rPr>
                <w:sz w:val="20"/>
                <w:szCs w:val="20"/>
              </w:rPr>
              <w:t xml:space="preserve">2, </w:t>
            </w:r>
            <w:r w:rsidR="00AC3601">
              <w:rPr>
                <w:sz w:val="20"/>
                <w:szCs w:val="20"/>
              </w:rPr>
              <w:t>and/</w:t>
            </w:r>
            <w:r w:rsidRPr="00E835B2" w:rsidR="00593DD0">
              <w:rPr>
                <w:sz w:val="20"/>
                <w:szCs w:val="20"/>
              </w:rPr>
              <w:t xml:space="preserve">or </w:t>
            </w:r>
            <w:r w:rsidR="00AC3601">
              <w:rPr>
                <w:sz w:val="20"/>
                <w:szCs w:val="20"/>
              </w:rPr>
              <w:br/>
            </w:r>
            <w:r>
              <w:rPr>
                <w:sz w:val="20"/>
                <w:szCs w:val="20"/>
              </w:rPr>
              <w:t>H</w:t>
            </w:r>
            <w:r w:rsidR="00593DD0">
              <w:rPr>
                <w:sz w:val="20"/>
                <w:szCs w:val="20"/>
              </w:rPr>
              <w:t>-</w:t>
            </w:r>
            <w:r w:rsidRPr="00E835B2" w:rsidR="00593DD0">
              <w:rPr>
                <w:sz w:val="20"/>
                <w:szCs w:val="20"/>
              </w:rPr>
              <w:t>3</w:t>
            </w:r>
          </w:p>
        </w:tc>
        <w:tc>
          <w:tcPr>
            <w:tcW w:w="900" w:type="dxa"/>
            <w:tcBorders>
              <w:top w:val="single" w:color="auto" w:sz="4" w:space="0"/>
            </w:tcBorders>
          </w:tcPr>
          <w:p w:rsidRPr="00E835B2" w:rsidR="00593DD0" w:rsidP="00AE3EFA" w:rsidRDefault="00593DD0" w14:paraId="486B34DB" w14:textId="77777777">
            <w:pPr>
              <w:pStyle w:val="Tabletext"/>
              <w:tabs>
                <w:tab w:val="decimal" w:pos="427"/>
              </w:tabs>
              <w:spacing w:before="40" w:after="40"/>
              <w:rPr>
                <w:sz w:val="20"/>
                <w:szCs w:val="20"/>
              </w:rPr>
            </w:pPr>
            <w:r w:rsidRPr="00E835B2">
              <w:rPr>
                <w:sz w:val="20"/>
                <w:szCs w:val="20"/>
              </w:rPr>
              <w:t>50</w:t>
            </w:r>
          </w:p>
        </w:tc>
        <w:tc>
          <w:tcPr>
            <w:tcW w:w="630" w:type="dxa"/>
            <w:tcBorders>
              <w:top w:val="single" w:color="auto" w:sz="4" w:space="0"/>
            </w:tcBorders>
          </w:tcPr>
          <w:p w:rsidRPr="00E835B2" w:rsidR="00593DD0" w:rsidP="00AE3EFA" w:rsidRDefault="00593DD0" w14:paraId="53D78EDF"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tcBorders>
          </w:tcPr>
          <w:p w:rsidRPr="00E835B2" w:rsidR="00593DD0" w:rsidP="00AE3EFA" w:rsidRDefault="00593DD0" w14:paraId="0F90EEA3" w14:textId="77777777">
            <w:pPr>
              <w:pStyle w:val="Tabletext"/>
              <w:tabs>
                <w:tab w:val="decimal" w:pos="431"/>
              </w:tabs>
              <w:spacing w:before="40" w:after="40"/>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461F8CBA" w14:textId="77777777">
            <w:pPr>
              <w:pStyle w:val="Tabletext"/>
              <w:spacing w:before="40" w:after="40"/>
              <w:jc w:val="center"/>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4366872C" w14:textId="77777777">
            <w:pPr>
              <w:pStyle w:val="Tabletext"/>
              <w:tabs>
                <w:tab w:val="decimal" w:pos="400"/>
              </w:tabs>
              <w:spacing w:before="40" w:after="40"/>
              <w:rPr>
                <w:sz w:val="20"/>
                <w:szCs w:val="20"/>
              </w:rPr>
            </w:pPr>
            <w:r w:rsidRPr="00E835B2">
              <w:rPr>
                <w:sz w:val="20"/>
                <w:szCs w:val="20"/>
              </w:rPr>
              <w:t>5</w:t>
            </w:r>
          </w:p>
        </w:tc>
        <w:tc>
          <w:tcPr>
            <w:tcW w:w="990" w:type="dxa"/>
            <w:tcBorders>
              <w:top w:val="single" w:color="auto" w:sz="4" w:space="0"/>
              <w:right w:val="single" w:color="auto" w:sz="4" w:space="0"/>
            </w:tcBorders>
          </w:tcPr>
          <w:p w:rsidRPr="00E835B2" w:rsidR="00593DD0" w:rsidP="00AE3EFA" w:rsidRDefault="00593DD0" w14:paraId="4F5C8763"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color="auto" w:sz="4" w:space="0"/>
              <w:left w:val="single" w:color="auto" w:sz="4" w:space="0"/>
            </w:tcBorders>
          </w:tcPr>
          <w:p w:rsidRPr="00E835B2" w:rsidR="00593DD0" w:rsidP="00AE3EFA" w:rsidRDefault="00593DD0" w14:paraId="2BC2CA17" w14:textId="77777777">
            <w:pPr>
              <w:pStyle w:val="Tabletext"/>
              <w:tabs>
                <w:tab w:val="decimal" w:pos="442"/>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6ACFA81F" w14:textId="77777777">
            <w:pPr>
              <w:pStyle w:val="Tabletext"/>
              <w:tabs>
                <w:tab w:val="decimal" w:pos="471"/>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3B71B050" w14:textId="77777777">
            <w:pPr>
              <w:pStyle w:val="Tabletext"/>
              <w:tabs>
                <w:tab w:val="decimal" w:pos="336"/>
              </w:tabs>
              <w:spacing w:before="40" w:after="40"/>
              <w:rPr>
                <w:sz w:val="20"/>
                <w:szCs w:val="20"/>
              </w:rPr>
            </w:pPr>
            <w:r w:rsidRPr="00E835B2">
              <w:rPr>
                <w:sz w:val="20"/>
                <w:szCs w:val="20"/>
              </w:rPr>
              <w:t>5</w:t>
            </w:r>
          </w:p>
        </w:tc>
        <w:tc>
          <w:tcPr>
            <w:tcW w:w="990" w:type="dxa"/>
            <w:tcBorders>
              <w:top w:val="single" w:color="auto" w:sz="4" w:space="0"/>
            </w:tcBorders>
          </w:tcPr>
          <w:p w:rsidRPr="00E835B2" w:rsidR="00593DD0" w:rsidP="00AE3EFA" w:rsidRDefault="00593DD0" w14:paraId="1385BB11"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color="auto" w:sz="4" w:space="0"/>
              <w:left w:val="nil"/>
            </w:tcBorders>
          </w:tcPr>
          <w:p w:rsidRPr="00E835B2" w:rsidR="00593DD0" w:rsidP="00AE3EFA" w:rsidRDefault="00593DD0" w14:paraId="0C663207" w14:textId="77777777">
            <w:pPr>
              <w:pStyle w:val="Tabletext"/>
              <w:tabs>
                <w:tab w:val="decimal" w:pos="242"/>
              </w:tabs>
              <w:spacing w:before="40" w:after="40"/>
              <w:rPr>
                <w:sz w:val="20"/>
                <w:szCs w:val="20"/>
              </w:rPr>
            </w:pPr>
            <w:r w:rsidRPr="00E835B2">
              <w:rPr>
                <w:sz w:val="20"/>
                <w:szCs w:val="20"/>
              </w:rPr>
              <w:t>4.16</w:t>
            </w:r>
          </w:p>
        </w:tc>
      </w:tr>
      <w:tr w:rsidRPr="0023614D" w:rsidR="00593DD0" w:rsidTr="00AE3EFA" w14:paraId="44FD1484" w14:textId="77777777">
        <w:tc>
          <w:tcPr>
            <w:tcW w:w="1530" w:type="dxa"/>
            <w:tcBorders>
              <w:top w:val="single" w:color="auto" w:sz="4" w:space="0"/>
            </w:tcBorders>
          </w:tcPr>
          <w:p w:rsidRPr="00E835B2" w:rsidR="00593DD0" w:rsidP="00AE3EFA" w:rsidRDefault="00593DD0" w14:paraId="767A1612" w14:textId="37AF27A7">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#3</w:t>
            </w:r>
            <w:r w:rsidRPr="00E835B2">
              <w:rPr>
                <w:sz w:val="20"/>
                <w:szCs w:val="20"/>
                <w:vertAlign w:val="superscript"/>
              </w:rPr>
              <w:t>a</w:t>
            </w:r>
          </w:p>
        </w:tc>
        <w:tc>
          <w:tcPr>
            <w:tcW w:w="1080" w:type="dxa"/>
            <w:tcBorders>
              <w:top w:val="single" w:color="auto" w:sz="4" w:space="0"/>
            </w:tcBorders>
          </w:tcPr>
          <w:p w:rsidRPr="00E835B2" w:rsidR="00593DD0" w:rsidP="00AE3EFA" w:rsidRDefault="002D2154" w14:paraId="44ADB5FD" w14:textId="32E578F0">
            <w:pPr>
              <w:pStyle w:val="Tabletext"/>
              <w:spacing w:before="40" w:after="40"/>
              <w:rPr>
                <w:sz w:val="20"/>
                <w:szCs w:val="20"/>
              </w:rPr>
            </w:pPr>
            <w:r>
              <w:rPr>
                <w:sz w:val="20"/>
                <w:szCs w:val="20"/>
              </w:rPr>
              <w:t>H-</w:t>
            </w:r>
            <w:r w:rsidRPr="00E835B2">
              <w:rPr>
                <w:sz w:val="20"/>
                <w:szCs w:val="20"/>
              </w:rPr>
              <w:t xml:space="preserve">1, </w:t>
            </w:r>
            <w:r>
              <w:rPr>
                <w:sz w:val="20"/>
                <w:szCs w:val="20"/>
              </w:rPr>
              <w:t>H-</w:t>
            </w:r>
            <w:r w:rsidRPr="00E835B2">
              <w:rPr>
                <w:sz w:val="20"/>
                <w:szCs w:val="20"/>
              </w:rPr>
              <w:t xml:space="preserve">2, </w:t>
            </w:r>
            <w:r w:rsidR="00AC3601">
              <w:rPr>
                <w:sz w:val="20"/>
                <w:szCs w:val="20"/>
              </w:rPr>
              <w:t>and/</w:t>
            </w:r>
            <w:r w:rsidRPr="00E835B2">
              <w:rPr>
                <w:sz w:val="20"/>
                <w:szCs w:val="20"/>
              </w:rPr>
              <w:t xml:space="preserve">or </w:t>
            </w:r>
            <w:r w:rsidR="00AC3601">
              <w:rPr>
                <w:sz w:val="20"/>
                <w:szCs w:val="20"/>
              </w:rPr>
              <w:br/>
            </w:r>
            <w:r>
              <w:rPr>
                <w:sz w:val="20"/>
                <w:szCs w:val="20"/>
              </w:rPr>
              <w:t>H-</w:t>
            </w:r>
            <w:r w:rsidRPr="00E835B2">
              <w:rPr>
                <w:sz w:val="20"/>
                <w:szCs w:val="20"/>
              </w:rPr>
              <w:t>3</w:t>
            </w:r>
          </w:p>
        </w:tc>
        <w:tc>
          <w:tcPr>
            <w:tcW w:w="900" w:type="dxa"/>
            <w:tcBorders>
              <w:top w:val="single" w:color="auto" w:sz="4" w:space="0"/>
            </w:tcBorders>
          </w:tcPr>
          <w:p w:rsidRPr="00E835B2" w:rsidR="00593DD0" w:rsidP="00AE3EFA" w:rsidRDefault="00593DD0" w14:paraId="572B71B7" w14:textId="77777777">
            <w:pPr>
              <w:pStyle w:val="Tabletext"/>
              <w:tabs>
                <w:tab w:val="decimal" w:pos="427"/>
              </w:tabs>
              <w:spacing w:before="40" w:after="40"/>
              <w:rPr>
                <w:sz w:val="20"/>
                <w:szCs w:val="20"/>
              </w:rPr>
            </w:pPr>
            <w:r w:rsidRPr="00E835B2">
              <w:rPr>
                <w:sz w:val="20"/>
                <w:szCs w:val="20"/>
              </w:rPr>
              <w:t>50</w:t>
            </w:r>
          </w:p>
        </w:tc>
        <w:tc>
          <w:tcPr>
            <w:tcW w:w="630" w:type="dxa"/>
            <w:tcBorders>
              <w:top w:val="single" w:color="auto" w:sz="4" w:space="0"/>
            </w:tcBorders>
          </w:tcPr>
          <w:p w:rsidRPr="00E835B2" w:rsidR="00593DD0" w:rsidP="00AE3EFA" w:rsidRDefault="00593DD0" w14:paraId="38B66C45"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tcBorders>
          </w:tcPr>
          <w:p w:rsidRPr="00E835B2" w:rsidR="00593DD0" w:rsidP="00AE3EFA" w:rsidRDefault="00593DD0" w14:paraId="49647765" w14:textId="77777777">
            <w:pPr>
              <w:pStyle w:val="Tabletext"/>
              <w:tabs>
                <w:tab w:val="decimal" w:pos="431"/>
              </w:tabs>
              <w:spacing w:before="40" w:after="40"/>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2E453FD9" w14:textId="77777777">
            <w:pPr>
              <w:pStyle w:val="Tabletext"/>
              <w:spacing w:before="40" w:after="40"/>
              <w:jc w:val="center"/>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31AF3FB9" w14:textId="77777777">
            <w:pPr>
              <w:pStyle w:val="Tabletext"/>
              <w:tabs>
                <w:tab w:val="decimal" w:pos="400"/>
              </w:tabs>
              <w:spacing w:before="40" w:after="40"/>
              <w:rPr>
                <w:sz w:val="20"/>
                <w:szCs w:val="20"/>
              </w:rPr>
            </w:pPr>
            <w:r w:rsidRPr="00E835B2">
              <w:rPr>
                <w:sz w:val="20"/>
                <w:szCs w:val="20"/>
              </w:rPr>
              <w:t>5</w:t>
            </w:r>
          </w:p>
        </w:tc>
        <w:tc>
          <w:tcPr>
            <w:tcW w:w="990" w:type="dxa"/>
            <w:tcBorders>
              <w:top w:val="single" w:color="auto" w:sz="4" w:space="0"/>
              <w:right w:val="single" w:color="auto" w:sz="4" w:space="0"/>
            </w:tcBorders>
          </w:tcPr>
          <w:p w:rsidRPr="00E835B2" w:rsidR="00593DD0" w:rsidP="00AE3EFA" w:rsidRDefault="00593DD0" w14:paraId="2B2C7885"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color="auto" w:sz="4" w:space="0"/>
              <w:left w:val="single" w:color="auto" w:sz="4" w:space="0"/>
            </w:tcBorders>
          </w:tcPr>
          <w:p w:rsidRPr="00E835B2" w:rsidR="00593DD0" w:rsidP="00AE3EFA" w:rsidRDefault="00593DD0" w14:paraId="641857C3" w14:textId="77777777">
            <w:pPr>
              <w:pStyle w:val="Tabletext"/>
              <w:tabs>
                <w:tab w:val="decimal" w:pos="442"/>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14EBBEB1" w14:textId="77777777">
            <w:pPr>
              <w:pStyle w:val="Tabletext"/>
              <w:tabs>
                <w:tab w:val="decimal" w:pos="471"/>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32FF4087" w14:textId="77777777">
            <w:pPr>
              <w:pStyle w:val="Tabletext"/>
              <w:tabs>
                <w:tab w:val="decimal" w:pos="336"/>
              </w:tabs>
              <w:spacing w:before="40" w:after="40"/>
              <w:rPr>
                <w:sz w:val="20"/>
                <w:szCs w:val="20"/>
              </w:rPr>
            </w:pPr>
            <w:r w:rsidRPr="00E835B2">
              <w:rPr>
                <w:sz w:val="20"/>
                <w:szCs w:val="20"/>
              </w:rPr>
              <w:t>5</w:t>
            </w:r>
          </w:p>
        </w:tc>
        <w:tc>
          <w:tcPr>
            <w:tcW w:w="990" w:type="dxa"/>
            <w:tcBorders>
              <w:top w:val="single" w:color="auto" w:sz="4" w:space="0"/>
            </w:tcBorders>
          </w:tcPr>
          <w:p w:rsidRPr="00E835B2" w:rsidR="00593DD0" w:rsidP="00AE3EFA" w:rsidRDefault="00593DD0" w14:paraId="055B45AD"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color="auto" w:sz="4" w:space="0"/>
              <w:left w:val="nil"/>
            </w:tcBorders>
          </w:tcPr>
          <w:p w:rsidRPr="00E835B2" w:rsidR="00593DD0" w:rsidP="00AE3EFA" w:rsidRDefault="00593DD0" w14:paraId="198CAE07" w14:textId="77777777">
            <w:pPr>
              <w:pStyle w:val="Tabletext"/>
              <w:tabs>
                <w:tab w:val="decimal" w:pos="242"/>
              </w:tabs>
              <w:spacing w:before="40" w:after="40"/>
              <w:rPr>
                <w:sz w:val="20"/>
                <w:szCs w:val="20"/>
              </w:rPr>
            </w:pPr>
            <w:r w:rsidRPr="00E835B2">
              <w:rPr>
                <w:sz w:val="20"/>
                <w:szCs w:val="20"/>
              </w:rPr>
              <w:t>4.16</w:t>
            </w:r>
          </w:p>
        </w:tc>
      </w:tr>
      <w:tr w:rsidRPr="0023614D" w:rsidR="00593DD0" w:rsidTr="00AE3EFA" w14:paraId="2BF96A10" w14:textId="77777777">
        <w:tc>
          <w:tcPr>
            <w:tcW w:w="1530" w:type="dxa"/>
            <w:tcBorders>
              <w:top w:val="single" w:color="auto" w:sz="4" w:space="0"/>
            </w:tcBorders>
          </w:tcPr>
          <w:p w:rsidRPr="00E835B2" w:rsidR="00593DD0" w:rsidP="00AE3EFA" w:rsidRDefault="00593DD0" w14:paraId="3C08DADA" w14:textId="55910C08">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#4</w:t>
            </w:r>
            <w:r w:rsidRPr="00E835B2">
              <w:rPr>
                <w:sz w:val="20"/>
                <w:szCs w:val="20"/>
                <w:vertAlign w:val="superscript"/>
              </w:rPr>
              <w:t>a</w:t>
            </w:r>
          </w:p>
        </w:tc>
        <w:tc>
          <w:tcPr>
            <w:tcW w:w="1080" w:type="dxa"/>
            <w:tcBorders>
              <w:top w:val="single" w:color="auto" w:sz="4" w:space="0"/>
            </w:tcBorders>
          </w:tcPr>
          <w:p w:rsidRPr="00E835B2" w:rsidR="00593DD0" w:rsidP="00AE3EFA" w:rsidRDefault="002D2154" w14:paraId="3AC0C14D" w14:textId="285D4F07">
            <w:pPr>
              <w:pStyle w:val="Tabletext"/>
              <w:spacing w:before="40" w:after="40"/>
              <w:rPr>
                <w:sz w:val="20"/>
                <w:szCs w:val="20"/>
              </w:rPr>
            </w:pPr>
            <w:r>
              <w:rPr>
                <w:sz w:val="20"/>
                <w:szCs w:val="20"/>
              </w:rPr>
              <w:t>H-</w:t>
            </w:r>
            <w:r w:rsidRPr="00E835B2">
              <w:rPr>
                <w:sz w:val="20"/>
                <w:szCs w:val="20"/>
              </w:rPr>
              <w:t xml:space="preserve">1, </w:t>
            </w:r>
            <w:r>
              <w:rPr>
                <w:sz w:val="20"/>
                <w:szCs w:val="20"/>
              </w:rPr>
              <w:t>H-</w:t>
            </w:r>
            <w:r w:rsidRPr="00E835B2">
              <w:rPr>
                <w:sz w:val="20"/>
                <w:szCs w:val="20"/>
              </w:rPr>
              <w:t xml:space="preserve">2, </w:t>
            </w:r>
            <w:r w:rsidR="00AC3601">
              <w:rPr>
                <w:sz w:val="20"/>
                <w:szCs w:val="20"/>
              </w:rPr>
              <w:t>and/</w:t>
            </w:r>
            <w:r w:rsidRPr="00E835B2">
              <w:rPr>
                <w:sz w:val="20"/>
                <w:szCs w:val="20"/>
              </w:rPr>
              <w:t xml:space="preserve">or </w:t>
            </w:r>
            <w:r w:rsidR="00AC3601">
              <w:rPr>
                <w:sz w:val="20"/>
                <w:szCs w:val="20"/>
              </w:rPr>
              <w:br/>
            </w:r>
            <w:r>
              <w:rPr>
                <w:sz w:val="20"/>
                <w:szCs w:val="20"/>
              </w:rPr>
              <w:t>H-</w:t>
            </w:r>
            <w:r w:rsidRPr="00E835B2">
              <w:rPr>
                <w:sz w:val="20"/>
                <w:szCs w:val="20"/>
              </w:rPr>
              <w:t>3</w:t>
            </w:r>
          </w:p>
        </w:tc>
        <w:tc>
          <w:tcPr>
            <w:tcW w:w="900" w:type="dxa"/>
            <w:tcBorders>
              <w:top w:val="single" w:color="auto" w:sz="4" w:space="0"/>
            </w:tcBorders>
          </w:tcPr>
          <w:p w:rsidRPr="00E835B2" w:rsidR="00593DD0" w:rsidP="00AE3EFA" w:rsidRDefault="00593DD0" w14:paraId="0FC4743A" w14:textId="77777777">
            <w:pPr>
              <w:pStyle w:val="Tabletext"/>
              <w:tabs>
                <w:tab w:val="decimal" w:pos="427"/>
              </w:tabs>
              <w:spacing w:before="40" w:after="40"/>
              <w:rPr>
                <w:sz w:val="20"/>
                <w:szCs w:val="20"/>
              </w:rPr>
            </w:pPr>
            <w:r w:rsidRPr="00E835B2">
              <w:rPr>
                <w:sz w:val="20"/>
                <w:szCs w:val="20"/>
              </w:rPr>
              <w:t>50</w:t>
            </w:r>
          </w:p>
        </w:tc>
        <w:tc>
          <w:tcPr>
            <w:tcW w:w="630" w:type="dxa"/>
            <w:tcBorders>
              <w:top w:val="single" w:color="auto" w:sz="4" w:space="0"/>
            </w:tcBorders>
          </w:tcPr>
          <w:p w:rsidRPr="00E835B2" w:rsidR="00593DD0" w:rsidP="00AE3EFA" w:rsidRDefault="00593DD0" w14:paraId="7EAB92F5"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tcBorders>
          </w:tcPr>
          <w:p w:rsidRPr="00E835B2" w:rsidR="00593DD0" w:rsidP="00AE3EFA" w:rsidRDefault="00593DD0" w14:paraId="1731C28F" w14:textId="77777777">
            <w:pPr>
              <w:pStyle w:val="Tabletext"/>
              <w:tabs>
                <w:tab w:val="decimal" w:pos="431"/>
              </w:tabs>
              <w:spacing w:before="40" w:after="40"/>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6B019DAC" w14:textId="77777777">
            <w:pPr>
              <w:pStyle w:val="Tabletext"/>
              <w:spacing w:before="40" w:after="40"/>
              <w:jc w:val="center"/>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380AB264" w14:textId="77777777">
            <w:pPr>
              <w:pStyle w:val="Tabletext"/>
              <w:tabs>
                <w:tab w:val="decimal" w:pos="400"/>
              </w:tabs>
              <w:spacing w:before="40" w:after="40"/>
              <w:rPr>
                <w:sz w:val="20"/>
                <w:szCs w:val="20"/>
              </w:rPr>
            </w:pPr>
            <w:r w:rsidRPr="00E835B2">
              <w:rPr>
                <w:sz w:val="20"/>
                <w:szCs w:val="20"/>
              </w:rPr>
              <w:t>5</w:t>
            </w:r>
          </w:p>
        </w:tc>
        <w:tc>
          <w:tcPr>
            <w:tcW w:w="990" w:type="dxa"/>
            <w:tcBorders>
              <w:top w:val="single" w:color="auto" w:sz="4" w:space="0"/>
              <w:right w:val="single" w:color="auto" w:sz="4" w:space="0"/>
            </w:tcBorders>
          </w:tcPr>
          <w:p w:rsidRPr="00E835B2" w:rsidR="00593DD0" w:rsidP="00AE3EFA" w:rsidRDefault="00593DD0" w14:paraId="0D6A772E"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color="auto" w:sz="4" w:space="0"/>
              <w:left w:val="single" w:color="auto" w:sz="4" w:space="0"/>
            </w:tcBorders>
          </w:tcPr>
          <w:p w:rsidRPr="00E835B2" w:rsidR="00593DD0" w:rsidP="00AE3EFA" w:rsidRDefault="00593DD0" w14:paraId="486AD2D0" w14:textId="77777777">
            <w:pPr>
              <w:pStyle w:val="Tabletext"/>
              <w:tabs>
                <w:tab w:val="decimal" w:pos="442"/>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45264AC2" w14:textId="77777777">
            <w:pPr>
              <w:pStyle w:val="Tabletext"/>
              <w:tabs>
                <w:tab w:val="decimal" w:pos="471"/>
              </w:tabs>
              <w:spacing w:before="40" w:after="40"/>
              <w:rPr>
                <w:sz w:val="20"/>
                <w:szCs w:val="20"/>
              </w:rPr>
            </w:pPr>
            <w:r w:rsidRPr="00E835B2">
              <w:rPr>
                <w:sz w:val="20"/>
                <w:szCs w:val="20"/>
              </w:rPr>
              <w:t>40</w:t>
            </w:r>
          </w:p>
        </w:tc>
        <w:tc>
          <w:tcPr>
            <w:tcW w:w="990" w:type="dxa"/>
            <w:tcBorders>
              <w:top w:val="single" w:color="auto" w:sz="4" w:space="0"/>
            </w:tcBorders>
          </w:tcPr>
          <w:p w:rsidRPr="00E835B2" w:rsidR="00593DD0" w:rsidP="00AE3EFA" w:rsidRDefault="00593DD0" w14:paraId="690EBC1B" w14:textId="77777777">
            <w:pPr>
              <w:pStyle w:val="Tabletext"/>
              <w:tabs>
                <w:tab w:val="decimal" w:pos="336"/>
              </w:tabs>
              <w:spacing w:before="40" w:after="40"/>
              <w:rPr>
                <w:sz w:val="20"/>
                <w:szCs w:val="20"/>
              </w:rPr>
            </w:pPr>
            <w:r w:rsidRPr="00E835B2">
              <w:rPr>
                <w:sz w:val="20"/>
                <w:szCs w:val="20"/>
              </w:rPr>
              <w:t>5</w:t>
            </w:r>
            <w:r w:rsidRPr="00E835B2" w:rsidDel="00BB6340">
              <w:rPr>
                <w:sz w:val="20"/>
                <w:szCs w:val="20"/>
              </w:rPr>
              <w:t xml:space="preserve"> </w:t>
            </w:r>
          </w:p>
        </w:tc>
        <w:tc>
          <w:tcPr>
            <w:tcW w:w="990" w:type="dxa"/>
            <w:tcBorders>
              <w:top w:val="single" w:color="auto" w:sz="4" w:space="0"/>
            </w:tcBorders>
          </w:tcPr>
          <w:p w:rsidRPr="00E835B2" w:rsidR="00593DD0" w:rsidP="00AE3EFA" w:rsidRDefault="00593DD0" w14:paraId="75534A85"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color="auto" w:sz="4" w:space="0"/>
              <w:left w:val="nil"/>
            </w:tcBorders>
          </w:tcPr>
          <w:p w:rsidRPr="00E835B2" w:rsidR="00593DD0" w:rsidP="00AE3EFA" w:rsidRDefault="00593DD0" w14:paraId="175ED40B" w14:textId="77777777">
            <w:pPr>
              <w:pStyle w:val="Tabletext"/>
              <w:tabs>
                <w:tab w:val="decimal" w:pos="242"/>
              </w:tabs>
              <w:spacing w:before="40" w:after="40"/>
              <w:rPr>
                <w:sz w:val="20"/>
                <w:szCs w:val="20"/>
              </w:rPr>
            </w:pPr>
            <w:r w:rsidRPr="00E835B2">
              <w:rPr>
                <w:sz w:val="20"/>
                <w:szCs w:val="20"/>
              </w:rPr>
              <w:t>4.16</w:t>
            </w:r>
          </w:p>
        </w:tc>
      </w:tr>
      <w:tr w:rsidRPr="0023614D" w:rsidR="00593DD0" w:rsidTr="00F75469" w14:paraId="43A6E895" w14:textId="77777777">
        <w:tc>
          <w:tcPr>
            <w:tcW w:w="1530" w:type="dxa"/>
            <w:tcBorders>
              <w:top w:val="single" w:color="auto" w:sz="4" w:space="0"/>
              <w:bottom w:val="single" w:color="auto" w:sz="4" w:space="0"/>
            </w:tcBorders>
          </w:tcPr>
          <w:p w:rsidRPr="00E835B2" w:rsidR="00593DD0" w:rsidP="00AE3EFA" w:rsidRDefault="00593DD0" w14:paraId="1A66A6E8" w14:textId="77777777">
            <w:pPr>
              <w:pStyle w:val="Tabletext"/>
              <w:spacing w:before="40" w:after="40"/>
              <w:rPr>
                <w:sz w:val="20"/>
                <w:szCs w:val="20"/>
              </w:rPr>
            </w:pPr>
            <w:r w:rsidRPr="00E835B2">
              <w:rPr>
                <w:sz w:val="20"/>
                <w:szCs w:val="20"/>
              </w:rPr>
              <w:t>Disclaimer, informed consent form, list of interview topics</w:t>
            </w:r>
          </w:p>
        </w:tc>
        <w:tc>
          <w:tcPr>
            <w:tcW w:w="1080" w:type="dxa"/>
            <w:tcBorders>
              <w:top w:val="single" w:color="auto" w:sz="4" w:space="0"/>
              <w:bottom w:val="single" w:color="auto" w:sz="4" w:space="0"/>
            </w:tcBorders>
          </w:tcPr>
          <w:p w:rsidRPr="00E835B2" w:rsidR="00593DD0" w:rsidP="00AE3EFA" w:rsidRDefault="002D2154" w14:paraId="6F1DC382" w14:textId="6D2145BC">
            <w:pPr>
              <w:pStyle w:val="Tabletext"/>
              <w:spacing w:before="40" w:after="40"/>
              <w:rPr>
                <w:sz w:val="20"/>
                <w:szCs w:val="20"/>
              </w:rPr>
            </w:pPr>
            <w:r>
              <w:rPr>
                <w:sz w:val="20"/>
                <w:szCs w:val="20"/>
              </w:rPr>
              <w:t>F</w:t>
            </w:r>
            <w:r w:rsidR="00593DD0">
              <w:rPr>
                <w:sz w:val="20"/>
                <w:szCs w:val="20"/>
              </w:rPr>
              <w:t>-</w:t>
            </w:r>
            <w:r w:rsidRPr="00E835B2" w:rsidR="00593DD0">
              <w:rPr>
                <w:sz w:val="20"/>
                <w:szCs w:val="20"/>
              </w:rPr>
              <w:t xml:space="preserve">1, </w:t>
            </w:r>
            <w:r>
              <w:rPr>
                <w:sz w:val="20"/>
                <w:szCs w:val="20"/>
              </w:rPr>
              <w:t>F</w:t>
            </w:r>
            <w:r w:rsidR="00593DD0">
              <w:rPr>
                <w:sz w:val="20"/>
                <w:szCs w:val="20"/>
              </w:rPr>
              <w:t>-</w:t>
            </w:r>
            <w:r w:rsidRPr="00E835B2" w:rsidR="00593DD0">
              <w:rPr>
                <w:sz w:val="20"/>
                <w:szCs w:val="20"/>
              </w:rPr>
              <w:t>2,</w:t>
            </w:r>
            <w:r w:rsidR="00593DD0">
              <w:rPr>
                <w:sz w:val="20"/>
                <w:szCs w:val="20"/>
              </w:rPr>
              <w:t xml:space="preserve"> </w:t>
            </w:r>
            <w:r w:rsidRPr="00E835B2" w:rsidR="00593DD0">
              <w:rPr>
                <w:sz w:val="20"/>
                <w:szCs w:val="20"/>
              </w:rPr>
              <w:t xml:space="preserve">and </w:t>
            </w:r>
            <w:r>
              <w:rPr>
                <w:sz w:val="20"/>
                <w:szCs w:val="20"/>
              </w:rPr>
              <w:t>G</w:t>
            </w:r>
          </w:p>
        </w:tc>
        <w:tc>
          <w:tcPr>
            <w:tcW w:w="900" w:type="dxa"/>
            <w:tcBorders>
              <w:top w:val="single" w:color="auto" w:sz="4" w:space="0"/>
              <w:bottom w:val="single" w:color="auto" w:sz="4" w:space="0"/>
            </w:tcBorders>
          </w:tcPr>
          <w:p w:rsidRPr="00E835B2" w:rsidR="00593DD0" w:rsidP="00AE3EFA" w:rsidRDefault="009A5F8E" w14:paraId="63E23907" w14:textId="7FCF0BC2">
            <w:pPr>
              <w:pStyle w:val="Tabletext"/>
              <w:tabs>
                <w:tab w:val="decimal" w:pos="427"/>
              </w:tabs>
              <w:spacing w:before="40" w:after="40"/>
              <w:rPr>
                <w:sz w:val="20"/>
                <w:szCs w:val="20"/>
              </w:rPr>
            </w:pPr>
            <w:r w:rsidRPr="00E835B2">
              <w:rPr>
                <w:sz w:val="20"/>
                <w:szCs w:val="20"/>
              </w:rPr>
              <w:t>1</w:t>
            </w:r>
            <w:r>
              <w:rPr>
                <w:sz w:val="20"/>
                <w:szCs w:val="20"/>
              </w:rPr>
              <w:t>1</w:t>
            </w:r>
          </w:p>
        </w:tc>
        <w:tc>
          <w:tcPr>
            <w:tcW w:w="630" w:type="dxa"/>
            <w:tcBorders>
              <w:top w:val="single" w:color="auto" w:sz="4" w:space="0"/>
              <w:bottom w:val="single" w:color="auto" w:sz="4" w:space="0"/>
            </w:tcBorders>
          </w:tcPr>
          <w:p w:rsidRPr="00E835B2" w:rsidR="00593DD0" w:rsidP="00AE3EFA" w:rsidRDefault="00593DD0" w14:paraId="78B2A379"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bottom w:val="single" w:color="auto" w:sz="4" w:space="0"/>
            </w:tcBorders>
          </w:tcPr>
          <w:p w:rsidRPr="00E835B2" w:rsidR="00593DD0" w:rsidP="00AE3EFA" w:rsidRDefault="00593DD0" w14:paraId="7836424E" w14:textId="77777777">
            <w:pPr>
              <w:pStyle w:val="Tabletext"/>
              <w:tabs>
                <w:tab w:val="decimal" w:pos="431"/>
              </w:tabs>
              <w:spacing w:before="40" w:after="40"/>
              <w:rPr>
                <w:sz w:val="20"/>
                <w:szCs w:val="20"/>
              </w:rPr>
            </w:pPr>
            <w:r w:rsidRPr="00E835B2">
              <w:rPr>
                <w:sz w:val="20"/>
                <w:szCs w:val="20"/>
              </w:rPr>
              <w:t>11</w:t>
            </w:r>
            <w:r w:rsidRPr="00E835B2">
              <w:rPr>
                <w:sz w:val="20"/>
                <w:szCs w:val="20"/>
                <w:vertAlign w:val="superscript"/>
              </w:rPr>
              <w:t>b</w:t>
            </w:r>
          </w:p>
        </w:tc>
        <w:tc>
          <w:tcPr>
            <w:tcW w:w="990" w:type="dxa"/>
            <w:tcBorders>
              <w:top w:val="single" w:color="auto" w:sz="4" w:space="0"/>
              <w:bottom w:val="single" w:color="auto" w:sz="4" w:space="0"/>
            </w:tcBorders>
          </w:tcPr>
          <w:p w:rsidRPr="00E835B2" w:rsidR="00593DD0" w:rsidP="00AE3EFA" w:rsidRDefault="00593DD0" w14:paraId="549A9329" w14:textId="77777777">
            <w:pPr>
              <w:pStyle w:val="Tabletext"/>
              <w:spacing w:before="40" w:after="40"/>
              <w:jc w:val="center"/>
              <w:rPr>
                <w:sz w:val="20"/>
                <w:szCs w:val="20"/>
              </w:rPr>
            </w:pPr>
            <w:r w:rsidRPr="00E835B2">
              <w:rPr>
                <w:sz w:val="20"/>
                <w:szCs w:val="20"/>
              </w:rPr>
              <w:t>11</w:t>
            </w:r>
          </w:p>
        </w:tc>
        <w:tc>
          <w:tcPr>
            <w:tcW w:w="990" w:type="dxa"/>
            <w:tcBorders>
              <w:top w:val="single" w:color="auto" w:sz="4" w:space="0"/>
              <w:bottom w:val="single" w:color="auto" w:sz="4" w:space="0"/>
            </w:tcBorders>
          </w:tcPr>
          <w:p w:rsidRPr="00E835B2" w:rsidR="00593DD0" w:rsidDel="00995E01" w:rsidP="00AE3EFA" w:rsidRDefault="00593DD0" w14:paraId="490C6A3B" w14:textId="77777777">
            <w:pPr>
              <w:pStyle w:val="Tabletext"/>
              <w:tabs>
                <w:tab w:val="decimal" w:pos="400"/>
              </w:tabs>
              <w:spacing w:before="40" w:after="40"/>
              <w:rPr>
                <w:sz w:val="20"/>
                <w:szCs w:val="20"/>
              </w:rPr>
            </w:pPr>
            <w:r w:rsidRPr="00E835B2">
              <w:rPr>
                <w:sz w:val="20"/>
                <w:szCs w:val="20"/>
              </w:rPr>
              <w:t>15</w:t>
            </w:r>
          </w:p>
        </w:tc>
        <w:tc>
          <w:tcPr>
            <w:tcW w:w="990" w:type="dxa"/>
            <w:tcBorders>
              <w:top w:val="single" w:color="auto" w:sz="4" w:space="0"/>
              <w:bottom w:val="single" w:color="auto" w:sz="4" w:space="0"/>
              <w:right w:val="single" w:color="auto" w:sz="4" w:space="0"/>
            </w:tcBorders>
          </w:tcPr>
          <w:p w:rsidRPr="00E835B2" w:rsidR="00593DD0" w:rsidP="00AE3EFA" w:rsidRDefault="00593DD0" w14:paraId="7C542735" w14:textId="77777777">
            <w:pPr>
              <w:pStyle w:val="Tabletext"/>
              <w:tabs>
                <w:tab w:val="decimal" w:pos="414"/>
              </w:tabs>
              <w:spacing w:before="40" w:after="40"/>
              <w:rPr>
                <w:sz w:val="20"/>
                <w:szCs w:val="20"/>
              </w:rPr>
            </w:pPr>
            <w:r w:rsidRPr="00E835B2">
              <w:rPr>
                <w:sz w:val="20"/>
                <w:szCs w:val="20"/>
              </w:rPr>
              <w:t>2.75</w:t>
            </w:r>
          </w:p>
        </w:tc>
        <w:tc>
          <w:tcPr>
            <w:tcW w:w="990" w:type="dxa"/>
            <w:tcBorders>
              <w:top w:val="single" w:color="auto" w:sz="4" w:space="0"/>
              <w:left w:val="single" w:color="auto" w:sz="4" w:space="0"/>
              <w:bottom w:val="single" w:color="auto" w:sz="4" w:space="0"/>
            </w:tcBorders>
          </w:tcPr>
          <w:p w:rsidRPr="00E835B2" w:rsidR="00593DD0" w:rsidP="00AE3EFA" w:rsidRDefault="009A5F8E" w14:paraId="43710AEC" w14:textId="45030C95">
            <w:pPr>
              <w:pStyle w:val="Tabletext"/>
              <w:tabs>
                <w:tab w:val="decimal" w:pos="442"/>
              </w:tabs>
              <w:spacing w:before="40" w:after="40"/>
              <w:rPr>
                <w:sz w:val="20"/>
                <w:szCs w:val="20"/>
              </w:rPr>
            </w:pPr>
            <w:r>
              <w:rPr>
                <w:sz w:val="20"/>
                <w:szCs w:val="20"/>
              </w:rPr>
              <w:t>39</w:t>
            </w:r>
          </w:p>
        </w:tc>
        <w:tc>
          <w:tcPr>
            <w:tcW w:w="990" w:type="dxa"/>
            <w:tcBorders>
              <w:top w:val="single" w:color="auto" w:sz="4" w:space="0"/>
              <w:bottom w:val="single" w:color="auto" w:sz="4" w:space="0"/>
            </w:tcBorders>
          </w:tcPr>
          <w:p w:rsidRPr="00E835B2" w:rsidR="00593DD0" w:rsidP="00AE3EFA" w:rsidRDefault="00593DD0" w14:paraId="62BCE483" w14:textId="77777777">
            <w:pPr>
              <w:pStyle w:val="Tabletext"/>
              <w:tabs>
                <w:tab w:val="decimal" w:pos="471"/>
              </w:tabs>
              <w:spacing w:before="40" w:after="40"/>
              <w:rPr>
                <w:sz w:val="20"/>
                <w:szCs w:val="20"/>
              </w:rPr>
            </w:pPr>
            <w:r w:rsidRPr="00E835B2">
              <w:rPr>
                <w:sz w:val="20"/>
                <w:szCs w:val="20"/>
              </w:rPr>
              <w:t>39</w:t>
            </w:r>
          </w:p>
        </w:tc>
        <w:tc>
          <w:tcPr>
            <w:tcW w:w="990" w:type="dxa"/>
            <w:tcBorders>
              <w:top w:val="single" w:color="auto" w:sz="4" w:space="0"/>
              <w:bottom w:val="single" w:color="auto" w:sz="4" w:space="0"/>
            </w:tcBorders>
          </w:tcPr>
          <w:p w:rsidRPr="00E835B2" w:rsidR="00593DD0" w:rsidP="00AE3EFA" w:rsidRDefault="00593DD0" w14:paraId="03975B32" w14:textId="77777777">
            <w:pPr>
              <w:pStyle w:val="Tabletext"/>
              <w:tabs>
                <w:tab w:val="decimal" w:pos="336"/>
              </w:tabs>
              <w:spacing w:before="40" w:after="40"/>
              <w:rPr>
                <w:sz w:val="20"/>
                <w:szCs w:val="20"/>
              </w:rPr>
            </w:pPr>
            <w:r w:rsidRPr="00E835B2">
              <w:rPr>
                <w:sz w:val="20"/>
                <w:szCs w:val="20"/>
              </w:rPr>
              <w:t>0</w:t>
            </w:r>
          </w:p>
        </w:tc>
        <w:tc>
          <w:tcPr>
            <w:tcW w:w="990" w:type="dxa"/>
            <w:tcBorders>
              <w:top w:val="single" w:color="auto" w:sz="4" w:space="0"/>
              <w:bottom w:val="single" w:color="auto" w:sz="4" w:space="0"/>
            </w:tcBorders>
          </w:tcPr>
          <w:p w:rsidRPr="00E835B2" w:rsidR="00593DD0" w:rsidP="00AE3EFA" w:rsidRDefault="00593DD0" w14:paraId="60924C54" w14:textId="77777777">
            <w:pPr>
              <w:pStyle w:val="Tabletext"/>
              <w:tabs>
                <w:tab w:val="decimal" w:pos="285"/>
              </w:tabs>
              <w:spacing w:before="40" w:after="40"/>
              <w:rPr>
                <w:sz w:val="20"/>
                <w:szCs w:val="20"/>
              </w:rPr>
            </w:pPr>
            <w:r w:rsidRPr="00E835B2">
              <w:rPr>
                <w:sz w:val="20"/>
                <w:szCs w:val="20"/>
              </w:rPr>
              <w:t>0</w:t>
            </w:r>
            <w:r>
              <w:rPr>
                <w:sz w:val="20"/>
                <w:szCs w:val="20"/>
              </w:rPr>
              <w:t>.00</w:t>
            </w:r>
          </w:p>
        </w:tc>
        <w:tc>
          <w:tcPr>
            <w:tcW w:w="900" w:type="dxa"/>
            <w:tcBorders>
              <w:top w:val="single" w:color="auto" w:sz="4" w:space="0"/>
              <w:left w:val="nil"/>
              <w:bottom w:val="single" w:color="auto" w:sz="4" w:space="0"/>
            </w:tcBorders>
          </w:tcPr>
          <w:p w:rsidRPr="00E835B2" w:rsidR="00593DD0" w:rsidP="00AE3EFA" w:rsidRDefault="00593DD0" w14:paraId="67871113" w14:textId="77777777">
            <w:pPr>
              <w:pStyle w:val="Tabletext"/>
              <w:tabs>
                <w:tab w:val="decimal" w:pos="242"/>
              </w:tabs>
              <w:spacing w:before="40" w:after="40"/>
              <w:rPr>
                <w:sz w:val="20"/>
                <w:szCs w:val="20"/>
              </w:rPr>
            </w:pPr>
            <w:r w:rsidRPr="00E835B2">
              <w:rPr>
                <w:sz w:val="20"/>
                <w:szCs w:val="20"/>
              </w:rPr>
              <w:t>2.75</w:t>
            </w:r>
          </w:p>
        </w:tc>
      </w:tr>
      <w:tr w:rsidRPr="0023614D" w:rsidR="00593DD0" w:rsidTr="00F75469" w14:paraId="6A9FDD86" w14:textId="77777777">
        <w:tc>
          <w:tcPr>
            <w:tcW w:w="1530" w:type="dxa"/>
            <w:tcBorders>
              <w:top w:val="single" w:color="auto" w:sz="4" w:space="0"/>
              <w:bottom w:val="single" w:color="auto" w:sz="4" w:space="0"/>
            </w:tcBorders>
          </w:tcPr>
          <w:p w:rsidRPr="00E835B2" w:rsidR="00593DD0" w:rsidP="00AE3EFA" w:rsidRDefault="00593DD0" w14:paraId="75357E6F" w14:textId="77777777">
            <w:pPr>
              <w:pStyle w:val="Tabletext"/>
              <w:spacing w:before="40" w:after="40"/>
              <w:rPr>
                <w:sz w:val="20"/>
                <w:szCs w:val="20"/>
              </w:rPr>
            </w:pPr>
            <w:r w:rsidRPr="00E835B2">
              <w:rPr>
                <w:sz w:val="20"/>
                <w:szCs w:val="20"/>
              </w:rPr>
              <w:t>Reminder email</w:t>
            </w:r>
          </w:p>
        </w:tc>
        <w:tc>
          <w:tcPr>
            <w:tcW w:w="1080" w:type="dxa"/>
            <w:tcBorders>
              <w:top w:val="single" w:color="auto" w:sz="4" w:space="0"/>
              <w:bottom w:val="single" w:color="auto" w:sz="4" w:space="0"/>
            </w:tcBorders>
          </w:tcPr>
          <w:p w:rsidRPr="00E835B2" w:rsidR="00593DD0" w:rsidP="00AE3EFA" w:rsidRDefault="002D2154" w14:paraId="20404E27" w14:textId="4D93A15B">
            <w:pPr>
              <w:pStyle w:val="Tabletext"/>
              <w:spacing w:before="40" w:after="40"/>
              <w:rPr>
                <w:sz w:val="20"/>
                <w:szCs w:val="20"/>
              </w:rPr>
            </w:pPr>
            <w:r>
              <w:rPr>
                <w:sz w:val="20"/>
                <w:szCs w:val="20"/>
              </w:rPr>
              <w:t>I</w:t>
            </w:r>
          </w:p>
        </w:tc>
        <w:tc>
          <w:tcPr>
            <w:tcW w:w="900" w:type="dxa"/>
            <w:tcBorders>
              <w:top w:val="single" w:color="auto" w:sz="4" w:space="0"/>
              <w:bottom w:val="single" w:color="auto" w:sz="4" w:space="0"/>
            </w:tcBorders>
          </w:tcPr>
          <w:p w:rsidRPr="00E835B2" w:rsidR="00593DD0" w:rsidP="00AE3EFA" w:rsidRDefault="00593DD0" w14:paraId="5E030250" w14:textId="77777777">
            <w:pPr>
              <w:pStyle w:val="Tabletext"/>
              <w:tabs>
                <w:tab w:val="decimal" w:pos="427"/>
              </w:tabs>
              <w:spacing w:before="40" w:after="40"/>
              <w:rPr>
                <w:sz w:val="20"/>
                <w:szCs w:val="20"/>
              </w:rPr>
            </w:pPr>
            <w:r w:rsidRPr="00E835B2">
              <w:rPr>
                <w:sz w:val="20"/>
                <w:szCs w:val="20"/>
              </w:rPr>
              <w:t>10</w:t>
            </w:r>
          </w:p>
        </w:tc>
        <w:tc>
          <w:tcPr>
            <w:tcW w:w="630" w:type="dxa"/>
            <w:tcBorders>
              <w:top w:val="single" w:color="auto" w:sz="4" w:space="0"/>
              <w:bottom w:val="single" w:color="auto" w:sz="4" w:space="0"/>
            </w:tcBorders>
          </w:tcPr>
          <w:p w:rsidRPr="00E835B2" w:rsidR="00593DD0" w:rsidP="00AE3EFA" w:rsidRDefault="00593DD0" w14:paraId="347C903A"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bottom w:val="single" w:color="auto" w:sz="4" w:space="0"/>
            </w:tcBorders>
          </w:tcPr>
          <w:p w:rsidRPr="00E835B2" w:rsidR="00593DD0" w:rsidP="00AE3EFA" w:rsidRDefault="00593DD0" w14:paraId="29B5E0C1" w14:textId="77777777">
            <w:pPr>
              <w:pStyle w:val="Tabletext"/>
              <w:tabs>
                <w:tab w:val="decimal" w:pos="431"/>
              </w:tabs>
              <w:spacing w:before="40" w:after="40"/>
              <w:rPr>
                <w:sz w:val="20"/>
                <w:szCs w:val="20"/>
              </w:rPr>
            </w:pPr>
            <w:r w:rsidRPr="00E835B2">
              <w:rPr>
                <w:sz w:val="20"/>
                <w:szCs w:val="20"/>
              </w:rPr>
              <w:t>10</w:t>
            </w:r>
          </w:p>
        </w:tc>
        <w:tc>
          <w:tcPr>
            <w:tcW w:w="990" w:type="dxa"/>
            <w:tcBorders>
              <w:top w:val="single" w:color="auto" w:sz="4" w:space="0"/>
              <w:bottom w:val="single" w:color="auto" w:sz="4" w:space="0"/>
            </w:tcBorders>
          </w:tcPr>
          <w:p w:rsidRPr="00E835B2" w:rsidR="00593DD0" w:rsidP="00AE3EFA" w:rsidRDefault="00593DD0" w14:paraId="417C243B" w14:textId="77777777">
            <w:pPr>
              <w:pStyle w:val="Tabletext"/>
              <w:spacing w:before="40" w:after="40"/>
              <w:jc w:val="center"/>
              <w:rPr>
                <w:sz w:val="20"/>
                <w:szCs w:val="20"/>
              </w:rPr>
            </w:pPr>
            <w:r w:rsidRPr="00E835B2">
              <w:rPr>
                <w:sz w:val="20"/>
                <w:szCs w:val="20"/>
              </w:rPr>
              <w:t>10</w:t>
            </w:r>
          </w:p>
        </w:tc>
        <w:tc>
          <w:tcPr>
            <w:tcW w:w="990" w:type="dxa"/>
            <w:tcBorders>
              <w:top w:val="single" w:color="auto" w:sz="4" w:space="0"/>
              <w:bottom w:val="single" w:color="auto" w:sz="4" w:space="0"/>
            </w:tcBorders>
          </w:tcPr>
          <w:p w:rsidRPr="00E835B2" w:rsidR="00593DD0" w:rsidP="00AE3EFA" w:rsidRDefault="00593DD0" w14:paraId="5286B649" w14:textId="77777777">
            <w:pPr>
              <w:pStyle w:val="Tabletext"/>
              <w:tabs>
                <w:tab w:val="decimal" w:pos="400"/>
              </w:tabs>
              <w:spacing w:before="40" w:after="40"/>
              <w:rPr>
                <w:sz w:val="20"/>
                <w:szCs w:val="20"/>
              </w:rPr>
            </w:pPr>
            <w:r w:rsidRPr="00E835B2">
              <w:rPr>
                <w:sz w:val="20"/>
                <w:szCs w:val="20"/>
              </w:rPr>
              <w:t>1</w:t>
            </w:r>
          </w:p>
        </w:tc>
        <w:tc>
          <w:tcPr>
            <w:tcW w:w="990" w:type="dxa"/>
            <w:tcBorders>
              <w:top w:val="single" w:color="auto" w:sz="4" w:space="0"/>
              <w:bottom w:val="single" w:color="auto" w:sz="4" w:space="0"/>
              <w:right w:val="single" w:color="auto" w:sz="4" w:space="0"/>
            </w:tcBorders>
          </w:tcPr>
          <w:p w:rsidRPr="00E835B2" w:rsidR="00593DD0" w:rsidP="00AE3EFA" w:rsidRDefault="00593DD0" w14:paraId="150BF9F8" w14:textId="77777777">
            <w:pPr>
              <w:pStyle w:val="Tabletext"/>
              <w:tabs>
                <w:tab w:val="decimal" w:pos="414"/>
              </w:tabs>
              <w:spacing w:before="40" w:after="40"/>
              <w:rPr>
                <w:sz w:val="20"/>
                <w:szCs w:val="20"/>
              </w:rPr>
            </w:pPr>
            <w:r>
              <w:rPr>
                <w:sz w:val="20"/>
                <w:szCs w:val="20"/>
              </w:rPr>
              <w:t>0</w:t>
            </w:r>
            <w:r w:rsidRPr="00E835B2">
              <w:rPr>
                <w:sz w:val="20"/>
                <w:szCs w:val="20"/>
              </w:rPr>
              <w:t>.17</w:t>
            </w:r>
          </w:p>
        </w:tc>
        <w:tc>
          <w:tcPr>
            <w:tcW w:w="990" w:type="dxa"/>
            <w:tcBorders>
              <w:top w:val="single" w:color="auto" w:sz="4" w:space="0"/>
              <w:left w:val="single" w:color="auto" w:sz="4" w:space="0"/>
              <w:bottom w:val="single" w:color="auto" w:sz="4" w:space="0"/>
            </w:tcBorders>
          </w:tcPr>
          <w:p w:rsidRPr="00E835B2" w:rsidR="00593DD0" w:rsidP="00AE3EFA" w:rsidRDefault="00593DD0" w14:paraId="078164B5" w14:textId="77777777">
            <w:pPr>
              <w:pStyle w:val="Tabletext"/>
              <w:tabs>
                <w:tab w:val="decimal" w:pos="442"/>
              </w:tabs>
              <w:spacing w:before="40" w:after="40"/>
              <w:rPr>
                <w:sz w:val="20"/>
                <w:szCs w:val="20"/>
              </w:rPr>
            </w:pPr>
            <w:r w:rsidRPr="00E835B2">
              <w:rPr>
                <w:sz w:val="20"/>
                <w:szCs w:val="20"/>
              </w:rPr>
              <w:t>40</w:t>
            </w:r>
          </w:p>
        </w:tc>
        <w:tc>
          <w:tcPr>
            <w:tcW w:w="990" w:type="dxa"/>
            <w:tcBorders>
              <w:top w:val="single" w:color="auto" w:sz="4" w:space="0"/>
              <w:bottom w:val="single" w:color="auto" w:sz="4" w:space="0"/>
            </w:tcBorders>
          </w:tcPr>
          <w:p w:rsidRPr="00E835B2" w:rsidR="00593DD0" w:rsidP="00AE3EFA" w:rsidRDefault="00593DD0" w14:paraId="0A011D6B" w14:textId="77777777">
            <w:pPr>
              <w:pStyle w:val="Tabletext"/>
              <w:tabs>
                <w:tab w:val="decimal" w:pos="471"/>
              </w:tabs>
              <w:spacing w:before="40" w:after="40"/>
              <w:rPr>
                <w:sz w:val="20"/>
                <w:szCs w:val="20"/>
              </w:rPr>
            </w:pPr>
            <w:r w:rsidRPr="00E835B2">
              <w:rPr>
                <w:sz w:val="20"/>
                <w:szCs w:val="20"/>
              </w:rPr>
              <w:t>40</w:t>
            </w:r>
          </w:p>
        </w:tc>
        <w:tc>
          <w:tcPr>
            <w:tcW w:w="990" w:type="dxa"/>
            <w:tcBorders>
              <w:top w:val="single" w:color="auto" w:sz="4" w:space="0"/>
              <w:bottom w:val="single" w:color="auto" w:sz="4" w:space="0"/>
            </w:tcBorders>
          </w:tcPr>
          <w:p w:rsidRPr="00E835B2" w:rsidR="00593DD0" w:rsidP="00AE3EFA" w:rsidRDefault="00593DD0" w14:paraId="67D2450C" w14:textId="77777777">
            <w:pPr>
              <w:pStyle w:val="Tabletext"/>
              <w:tabs>
                <w:tab w:val="decimal" w:pos="336"/>
              </w:tabs>
              <w:spacing w:before="40" w:after="40"/>
              <w:rPr>
                <w:sz w:val="20"/>
                <w:szCs w:val="20"/>
              </w:rPr>
            </w:pPr>
            <w:r w:rsidRPr="00E835B2">
              <w:rPr>
                <w:sz w:val="20"/>
                <w:szCs w:val="20"/>
              </w:rPr>
              <w:t>0</w:t>
            </w:r>
          </w:p>
        </w:tc>
        <w:tc>
          <w:tcPr>
            <w:tcW w:w="990" w:type="dxa"/>
            <w:tcBorders>
              <w:top w:val="single" w:color="auto" w:sz="4" w:space="0"/>
              <w:bottom w:val="single" w:color="auto" w:sz="4" w:space="0"/>
            </w:tcBorders>
          </w:tcPr>
          <w:p w:rsidRPr="00E835B2" w:rsidR="00593DD0" w:rsidP="00AE3EFA" w:rsidRDefault="00593DD0" w14:paraId="08AFB986" w14:textId="77777777">
            <w:pPr>
              <w:pStyle w:val="Tabletext"/>
              <w:tabs>
                <w:tab w:val="decimal" w:pos="285"/>
              </w:tabs>
              <w:spacing w:before="40" w:after="40"/>
              <w:rPr>
                <w:sz w:val="20"/>
                <w:szCs w:val="20"/>
              </w:rPr>
            </w:pPr>
            <w:r w:rsidRPr="00E835B2">
              <w:rPr>
                <w:sz w:val="20"/>
                <w:szCs w:val="20"/>
              </w:rPr>
              <w:t>0</w:t>
            </w:r>
            <w:r>
              <w:rPr>
                <w:sz w:val="20"/>
                <w:szCs w:val="20"/>
              </w:rPr>
              <w:t>.00</w:t>
            </w:r>
          </w:p>
        </w:tc>
        <w:tc>
          <w:tcPr>
            <w:tcW w:w="900" w:type="dxa"/>
            <w:tcBorders>
              <w:top w:val="single" w:color="auto" w:sz="4" w:space="0"/>
              <w:left w:val="nil"/>
              <w:bottom w:val="single" w:color="auto" w:sz="4" w:space="0"/>
            </w:tcBorders>
          </w:tcPr>
          <w:p w:rsidRPr="00E835B2" w:rsidR="00593DD0" w:rsidP="00AE3EFA" w:rsidRDefault="00593DD0" w14:paraId="586D0D30" w14:textId="77777777">
            <w:pPr>
              <w:pStyle w:val="Tabletext"/>
              <w:tabs>
                <w:tab w:val="decimal" w:pos="242"/>
              </w:tabs>
              <w:spacing w:before="40" w:after="40"/>
              <w:rPr>
                <w:sz w:val="20"/>
                <w:szCs w:val="20"/>
              </w:rPr>
            </w:pPr>
            <w:r w:rsidRPr="00E835B2">
              <w:rPr>
                <w:sz w:val="20"/>
                <w:szCs w:val="20"/>
              </w:rPr>
              <w:t>0.17</w:t>
            </w:r>
          </w:p>
        </w:tc>
      </w:tr>
      <w:tr w:rsidRPr="0023614D" w:rsidR="00593DD0" w:rsidTr="00F75469" w14:paraId="4576C052" w14:textId="77777777">
        <w:trPr>
          <w:trHeight w:val="287"/>
        </w:trPr>
        <w:tc>
          <w:tcPr>
            <w:tcW w:w="1530" w:type="dxa"/>
            <w:tcBorders>
              <w:top w:val="single" w:color="auto" w:sz="4" w:space="0"/>
            </w:tcBorders>
          </w:tcPr>
          <w:p w:rsidRPr="003969B5" w:rsidR="00593DD0" w:rsidP="00AE3EFA" w:rsidRDefault="00BE766B" w14:paraId="12025DE3" w14:textId="1AB367F3">
            <w:pPr>
              <w:pStyle w:val="Tabletext"/>
              <w:spacing w:before="40" w:after="40"/>
              <w:rPr>
                <w:sz w:val="20"/>
                <w:szCs w:val="20"/>
                <w:vertAlign w:val="superscript"/>
              </w:rPr>
            </w:pPr>
            <w:r w:rsidRPr="00E835B2">
              <w:rPr>
                <w:sz w:val="20"/>
                <w:szCs w:val="20"/>
              </w:rPr>
              <w:t>Interviews</w:t>
            </w:r>
            <w:r w:rsidR="003969B5">
              <w:rPr>
                <w:sz w:val="20"/>
                <w:szCs w:val="20"/>
                <w:vertAlign w:val="superscript"/>
              </w:rPr>
              <w:t>c</w:t>
            </w:r>
          </w:p>
        </w:tc>
        <w:tc>
          <w:tcPr>
            <w:tcW w:w="1080" w:type="dxa"/>
            <w:tcBorders>
              <w:top w:val="single" w:color="auto" w:sz="4" w:space="0"/>
            </w:tcBorders>
          </w:tcPr>
          <w:p w:rsidRPr="00E835B2" w:rsidR="00593DD0" w:rsidP="00AE3EFA" w:rsidRDefault="002D2154" w14:paraId="7FD878C5" w14:textId="686CD92E">
            <w:pPr>
              <w:pStyle w:val="Tabletext"/>
              <w:spacing w:before="40" w:after="40"/>
              <w:rPr>
                <w:sz w:val="20"/>
                <w:szCs w:val="20"/>
              </w:rPr>
            </w:pPr>
            <w:r>
              <w:rPr>
                <w:sz w:val="20"/>
                <w:szCs w:val="20"/>
              </w:rPr>
              <w:t>J</w:t>
            </w:r>
          </w:p>
        </w:tc>
        <w:tc>
          <w:tcPr>
            <w:tcW w:w="900" w:type="dxa"/>
            <w:tcBorders>
              <w:top w:val="single" w:color="auto" w:sz="4" w:space="0"/>
            </w:tcBorders>
          </w:tcPr>
          <w:p w:rsidRPr="00E835B2" w:rsidR="00593DD0" w:rsidP="00AE3EFA" w:rsidRDefault="00593DD0" w14:paraId="2E9E1D52" w14:textId="77777777">
            <w:pPr>
              <w:pStyle w:val="Tabletext"/>
              <w:tabs>
                <w:tab w:val="decimal" w:pos="427"/>
              </w:tabs>
              <w:spacing w:before="40" w:after="40"/>
              <w:rPr>
                <w:sz w:val="20"/>
                <w:szCs w:val="20"/>
              </w:rPr>
            </w:pPr>
            <w:r w:rsidRPr="00E835B2">
              <w:rPr>
                <w:sz w:val="20"/>
                <w:szCs w:val="20"/>
              </w:rPr>
              <w:t>10</w:t>
            </w:r>
          </w:p>
        </w:tc>
        <w:tc>
          <w:tcPr>
            <w:tcW w:w="630" w:type="dxa"/>
            <w:tcBorders>
              <w:top w:val="single" w:color="auto" w:sz="4" w:space="0"/>
            </w:tcBorders>
          </w:tcPr>
          <w:p w:rsidRPr="00E835B2" w:rsidR="00593DD0" w:rsidP="00AE3EFA" w:rsidRDefault="00593DD0" w14:paraId="02D7A118" w14:textId="77777777">
            <w:pPr>
              <w:pStyle w:val="Tabletext"/>
              <w:tabs>
                <w:tab w:val="decimal" w:pos="232"/>
              </w:tabs>
              <w:spacing w:before="40" w:after="40"/>
              <w:rPr>
                <w:sz w:val="20"/>
                <w:szCs w:val="20"/>
              </w:rPr>
            </w:pPr>
            <w:r w:rsidRPr="00E835B2">
              <w:rPr>
                <w:sz w:val="20"/>
                <w:szCs w:val="20"/>
              </w:rPr>
              <w:t>1</w:t>
            </w:r>
          </w:p>
        </w:tc>
        <w:tc>
          <w:tcPr>
            <w:tcW w:w="990" w:type="dxa"/>
            <w:tcBorders>
              <w:top w:val="single" w:color="auto" w:sz="4" w:space="0"/>
              <w:left w:val="nil"/>
            </w:tcBorders>
          </w:tcPr>
          <w:p w:rsidRPr="00E835B2" w:rsidR="00593DD0" w:rsidP="00AE3EFA" w:rsidRDefault="00593DD0" w14:paraId="254BC214" w14:textId="77777777">
            <w:pPr>
              <w:pStyle w:val="Tabletext"/>
              <w:tabs>
                <w:tab w:val="decimal" w:pos="431"/>
              </w:tabs>
              <w:spacing w:before="40" w:after="40"/>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6661411F" w14:textId="77777777">
            <w:pPr>
              <w:pStyle w:val="Tabletext"/>
              <w:spacing w:before="40" w:after="40"/>
              <w:jc w:val="center"/>
              <w:rPr>
                <w:sz w:val="20"/>
                <w:szCs w:val="20"/>
              </w:rPr>
            </w:pPr>
            <w:r w:rsidRPr="00E835B2">
              <w:rPr>
                <w:sz w:val="20"/>
                <w:szCs w:val="20"/>
              </w:rPr>
              <w:t>10</w:t>
            </w:r>
          </w:p>
        </w:tc>
        <w:tc>
          <w:tcPr>
            <w:tcW w:w="990" w:type="dxa"/>
            <w:tcBorders>
              <w:top w:val="single" w:color="auto" w:sz="4" w:space="0"/>
            </w:tcBorders>
          </w:tcPr>
          <w:p w:rsidRPr="00E835B2" w:rsidR="00593DD0" w:rsidP="00AE3EFA" w:rsidRDefault="00593DD0" w14:paraId="3C0C3A86" w14:textId="77777777">
            <w:pPr>
              <w:pStyle w:val="Tabletext"/>
              <w:tabs>
                <w:tab w:val="decimal" w:pos="400"/>
              </w:tabs>
              <w:spacing w:before="40" w:after="40"/>
              <w:rPr>
                <w:sz w:val="20"/>
                <w:szCs w:val="20"/>
              </w:rPr>
            </w:pPr>
            <w:r w:rsidRPr="00E835B2">
              <w:rPr>
                <w:sz w:val="20"/>
                <w:szCs w:val="20"/>
              </w:rPr>
              <w:t>90</w:t>
            </w:r>
          </w:p>
        </w:tc>
        <w:tc>
          <w:tcPr>
            <w:tcW w:w="990" w:type="dxa"/>
            <w:tcBorders>
              <w:top w:val="single" w:color="auto" w:sz="4" w:space="0"/>
              <w:right w:val="single" w:color="auto" w:sz="4" w:space="0"/>
            </w:tcBorders>
          </w:tcPr>
          <w:p w:rsidRPr="00E835B2" w:rsidR="00593DD0" w:rsidP="00AE3EFA" w:rsidRDefault="00593DD0" w14:paraId="3C2DEE9D" w14:textId="77777777">
            <w:pPr>
              <w:pStyle w:val="Tabletext"/>
              <w:tabs>
                <w:tab w:val="decimal" w:pos="414"/>
              </w:tabs>
              <w:spacing w:before="40" w:after="40"/>
              <w:rPr>
                <w:sz w:val="20"/>
                <w:szCs w:val="20"/>
              </w:rPr>
            </w:pPr>
            <w:r w:rsidRPr="00E835B2">
              <w:rPr>
                <w:sz w:val="20"/>
                <w:szCs w:val="20"/>
              </w:rPr>
              <w:t>15.00</w:t>
            </w:r>
          </w:p>
        </w:tc>
        <w:tc>
          <w:tcPr>
            <w:tcW w:w="990" w:type="dxa"/>
            <w:tcBorders>
              <w:top w:val="single" w:color="auto" w:sz="4" w:space="0"/>
              <w:left w:val="single" w:color="auto" w:sz="4" w:space="0"/>
            </w:tcBorders>
          </w:tcPr>
          <w:p w:rsidRPr="00E835B2" w:rsidR="00593DD0" w:rsidP="00AE3EFA" w:rsidRDefault="00593DD0" w14:paraId="4927BEE6" w14:textId="77777777">
            <w:pPr>
              <w:pStyle w:val="Tabletext"/>
              <w:tabs>
                <w:tab w:val="decimal" w:pos="442"/>
              </w:tabs>
              <w:spacing w:before="40" w:after="40"/>
              <w:rPr>
                <w:sz w:val="20"/>
                <w:szCs w:val="20"/>
              </w:rPr>
            </w:pPr>
            <w:r w:rsidRPr="00E835B2">
              <w:rPr>
                <w:sz w:val="20"/>
                <w:szCs w:val="20"/>
              </w:rPr>
              <w:t>0</w:t>
            </w:r>
          </w:p>
        </w:tc>
        <w:tc>
          <w:tcPr>
            <w:tcW w:w="990" w:type="dxa"/>
            <w:tcBorders>
              <w:top w:val="single" w:color="auto" w:sz="4" w:space="0"/>
            </w:tcBorders>
          </w:tcPr>
          <w:p w:rsidRPr="00E835B2" w:rsidR="00593DD0" w:rsidP="00AE3EFA" w:rsidRDefault="00593DD0" w14:paraId="14D34A6F" w14:textId="77777777">
            <w:pPr>
              <w:pStyle w:val="Tabletext"/>
              <w:tabs>
                <w:tab w:val="decimal" w:pos="471"/>
              </w:tabs>
              <w:spacing w:before="40" w:after="40"/>
              <w:rPr>
                <w:sz w:val="20"/>
                <w:szCs w:val="20"/>
              </w:rPr>
            </w:pPr>
            <w:r w:rsidRPr="00E835B2">
              <w:rPr>
                <w:sz w:val="20"/>
                <w:szCs w:val="20"/>
              </w:rPr>
              <w:t>0</w:t>
            </w:r>
          </w:p>
        </w:tc>
        <w:tc>
          <w:tcPr>
            <w:tcW w:w="990" w:type="dxa"/>
            <w:tcBorders>
              <w:top w:val="single" w:color="auto" w:sz="4" w:space="0"/>
            </w:tcBorders>
          </w:tcPr>
          <w:p w:rsidRPr="00E835B2" w:rsidR="00593DD0" w:rsidP="00AE3EFA" w:rsidRDefault="00593DD0" w14:paraId="08DB45BE" w14:textId="77777777">
            <w:pPr>
              <w:pStyle w:val="Tabletext"/>
              <w:tabs>
                <w:tab w:val="decimal" w:pos="336"/>
              </w:tabs>
              <w:spacing w:before="40" w:after="40"/>
              <w:rPr>
                <w:sz w:val="20"/>
                <w:szCs w:val="20"/>
              </w:rPr>
            </w:pPr>
            <w:r w:rsidRPr="00E835B2">
              <w:rPr>
                <w:sz w:val="20"/>
                <w:szCs w:val="20"/>
              </w:rPr>
              <w:t>0.0</w:t>
            </w:r>
          </w:p>
        </w:tc>
        <w:tc>
          <w:tcPr>
            <w:tcW w:w="990" w:type="dxa"/>
            <w:tcBorders>
              <w:top w:val="single" w:color="auto" w:sz="4" w:space="0"/>
            </w:tcBorders>
          </w:tcPr>
          <w:p w:rsidRPr="00E835B2" w:rsidR="00593DD0" w:rsidP="00AE3EFA" w:rsidRDefault="00593DD0" w14:paraId="5F0F2D17" w14:textId="77777777">
            <w:pPr>
              <w:pStyle w:val="Tabletext"/>
              <w:tabs>
                <w:tab w:val="decimal" w:pos="285"/>
              </w:tabs>
              <w:spacing w:before="40" w:after="40"/>
              <w:rPr>
                <w:sz w:val="20"/>
                <w:szCs w:val="20"/>
              </w:rPr>
            </w:pPr>
            <w:r w:rsidRPr="00E835B2">
              <w:rPr>
                <w:sz w:val="20"/>
                <w:szCs w:val="20"/>
              </w:rPr>
              <w:t>0.0</w:t>
            </w:r>
            <w:r>
              <w:rPr>
                <w:sz w:val="20"/>
                <w:szCs w:val="20"/>
              </w:rPr>
              <w:t>0</w:t>
            </w:r>
          </w:p>
        </w:tc>
        <w:tc>
          <w:tcPr>
            <w:tcW w:w="900" w:type="dxa"/>
            <w:tcBorders>
              <w:top w:val="single" w:color="auto" w:sz="4" w:space="0"/>
              <w:left w:val="nil"/>
            </w:tcBorders>
          </w:tcPr>
          <w:p w:rsidRPr="00E835B2" w:rsidR="00593DD0" w:rsidP="00AE3EFA" w:rsidRDefault="00593DD0" w14:paraId="6441A57E" w14:textId="77777777">
            <w:pPr>
              <w:pStyle w:val="Tabletext"/>
              <w:tabs>
                <w:tab w:val="decimal" w:pos="242"/>
              </w:tabs>
              <w:spacing w:before="40" w:after="40"/>
              <w:rPr>
                <w:sz w:val="20"/>
                <w:szCs w:val="20"/>
              </w:rPr>
            </w:pPr>
            <w:r w:rsidRPr="00E835B2">
              <w:rPr>
                <w:sz w:val="20"/>
                <w:szCs w:val="20"/>
              </w:rPr>
              <w:t>15.0</w:t>
            </w:r>
            <w:r>
              <w:rPr>
                <w:sz w:val="20"/>
                <w:szCs w:val="20"/>
              </w:rPr>
              <w:t>0</w:t>
            </w:r>
          </w:p>
        </w:tc>
      </w:tr>
      <w:tr w:rsidRPr="0023614D" w:rsidR="00593DD0" w:rsidTr="00AE3EFA" w14:paraId="3CEEBE06" w14:textId="77777777">
        <w:tc>
          <w:tcPr>
            <w:tcW w:w="1530" w:type="dxa"/>
            <w:tcBorders>
              <w:top w:val="single" w:color="auto" w:sz="4" w:space="0"/>
              <w:bottom w:val="single" w:color="auto" w:sz="12" w:space="0"/>
            </w:tcBorders>
          </w:tcPr>
          <w:p w:rsidRPr="00E835B2" w:rsidR="00593DD0" w:rsidP="00AE3EFA" w:rsidRDefault="00593DD0" w14:paraId="77BCD2B1" w14:textId="77777777">
            <w:pPr>
              <w:pStyle w:val="Tabletext"/>
              <w:spacing w:before="40" w:after="40"/>
              <w:rPr>
                <w:sz w:val="20"/>
                <w:szCs w:val="20"/>
              </w:rPr>
            </w:pPr>
            <w:r w:rsidRPr="00E835B2">
              <w:rPr>
                <w:sz w:val="20"/>
                <w:szCs w:val="20"/>
              </w:rPr>
              <w:t>Total burden</w:t>
            </w:r>
          </w:p>
        </w:tc>
        <w:tc>
          <w:tcPr>
            <w:tcW w:w="1080" w:type="dxa"/>
            <w:tcBorders>
              <w:top w:val="single" w:color="auto" w:sz="4" w:space="0"/>
              <w:bottom w:val="single" w:color="auto" w:sz="12" w:space="0"/>
            </w:tcBorders>
          </w:tcPr>
          <w:p w:rsidRPr="00E835B2" w:rsidR="00593DD0" w:rsidP="00AE3EFA" w:rsidRDefault="00593DD0" w14:paraId="21EBC664" w14:textId="77777777">
            <w:pPr>
              <w:pStyle w:val="Tabletext"/>
              <w:spacing w:before="40" w:after="40"/>
              <w:rPr>
                <w:sz w:val="20"/>
                <w:szCs w:val="20"/>
              </w:rPr>
            </w:pPr>
          </w:p>
        </w:tc>
        <w:tc>
          <w:tcPr>
            <w:tcW w:w="900" w:type="dxa"/>
            <w:tcBorders>
              <w:top w:val="single" w:color="auto" w:sz="4" w:space="0"/>
              <w:bottom w:val="single" w:color="auto" w:sz="12" w:space="0"/>
            </w:tcBorders>
          </w:tcPr>
          <w:p w:rsidRPr="00E835B2" w:rsidR="00593DD0" w:rsidP="00AE3EFA" w:rsidRDefault="00593DD0" w14:paraId="6D26A7FE" w14:textId="77777777">
            <w:pPr>
              <w:pStyle w:val="Tabletext"/>
              <w:tabs>
                <w:tab w:val="decimal" w:pos="427"/>
              </w:tabs>
              <w:spacing w:before="40" w:after="40"/>
              <w:rPr>
                <w:sz w:val="20"/>
                <w:szCs w:val="20"/>
              </w:rPr>
            </w:pPr>
          </w:p>
        </w:tc>
        <w:tc>
          <w:tcPr>
            <w:tcW w:w="630" w:type="dxa"/>
            <w:tcBorders>
              <w:top w:val="single" w:color="auto" w:sz="4" w:space="0"/>
              <w:bottom w:val="single" w:color="auto" w:sz="12" w:space="0"/>
            </w:tcBorders>
          </w:tcPr>
          <w:p w:rsidRPr="00E835B2" w:rsidR="00593DD0" w:rsidP="00AE3EFA" w:rsidRDefault="00593DD0" w14:paraId="7F07A7EA" w14:textId="77777777">
            <w:pPr>
              <w:pStyle w:val="Tabletext"/>
              <w:tabs>
                <w:tab w:val="decimal" w:pos="232"/>
              </w:tabs>
              <w:spacing w:before="40" w:after="40"/>
              <w:rPr>
                <w:sz w:val="20"/>
                <w:szCs w:val="20"/>
              </w:rPr>
            </w:pPr>
          </w:p>
        </w:tc>
        <w:tc>
          <w:tcPr>
            <w:tcW w:w="990" w:type="dxa"/>
            <w:tcBorders>
              <w:top w:val="single" w:color="auto" w:sz="4" w:space="0"/>
              <w:bottom w:val="single" w:color="auto" w:sz="12" w:space="0"/>
            </w:tcBorders>
          </w:tcPr>
          <w:p w:rsidRPr="00E835B2" w:rsidR="00593DD0" w:rsidP="00AE3EFA" w:rsidRDefault="00593DD0" w14:paraId="63C1CAE5" w14:textId="77777777">
            <w:pPr>
              <w:pStyle w:val="Tabletext"/>
              <w:tabs>
                <w:tab w:val="decimal" w:pos="431"/>
              </w:tabs>
              <w:spacing w:before="40" w:after="40"/>
              <w:rPr>
                <w:sz w:val="20"/>
                <w:szCs w:val="20"/>
              </w:rPr>
            </w:pPr>
          </w:p>
        </w:tc>
        <w:tc>
          <w:tcPr>
            <w:tcW w:w="990" w:type="dxa"/>
            <w:tcBorders>
              <w:top w:val="single" w:color="auto" w:sz="4" w:space="0"/>
              <w:bottom w:val="single" w:color="auto" w:sz="12" w:space="0"/>
            </w:tcBorders>
          </w:tcPr>
          <w:p w:rsidRPr="00E835B2" w:rsidR="00593DD0" w:rsidP="00AE3EFA" w:rsidRDefault="00593DD0" w14:paraId="1C919C05" w14:textId="77777777">
            <w:pPr>
              <w:pStyle w:val="Tabletext"/>
              <w:spacing w:before="40" w:after="40"/>
              <w:jc w:val="center"/>
              <w:rPr>
                <w:sz w:val="20"/>
                <w:szCs w:val="20"/>
              </w:rPr>
            </w:pPr>
          </w:p>
        </w:tc>
        <w:tc>
          <w:tcPr>
            <w:tcW w:w="990" w:type="dxa"/>
            <w:tcBorders>
              <w:top w:val="single" w:color="auto" w:sz="4" w:space="0"/>
              <w:bottom w:val="single" w:color="auto" w:sz="12" w:space="0"/>
            </w:tcBorders>
          </w:tcPr>
          <w:p w:rsidRPr="00E835B2" w:rsidR="00593DD0" w:rsidP="00AE3EFA" w:rsidRDefault="00593DD0" w14:paraId="191B23B7" w14:textId="77777777">
            <w:pPr>
              <w:pStyle w:val="Tabletext"/>
              <w:tabs>
                <w:tab w:val="decimal" w:pos="400"/>
              </w:tabs>
              <w:spacing w:before="40" w:after="40"/>
              <w:rPr>
                <w:sz w:val="20"/>
                <w:szCs w:val="20"/>
              </w:rPr>
            </w:pPr>
          </w:p>
        </w:tc>
        <w:tc>
          <w:tcPr>
            <w:tcW w:w="990" w:type="dxa"/>
            <w:tcBorders>
              <w:top w:val="single" w:color="auto" w:sz="4" w:space="0"/>
              <w:bottom w:val="single" w:color="auto" w:sz="12" w:space="0"/>
              <w:right w:val="single" w:color="auto" w:sz="4" w:space="0"/>
            </w:tcBorders>
          </w:tcPr>
          <w:p w:rsidRPr="00E835B2" w:rsidR="00593DD0" w:rsidP="00AE3EFA" w:rsidRDefault="00593DD0" w14:paraId="4135EA4A" w14:textId="21069AC1">
            <w:pPr>
              <w:pStyle w:val="Tabletext"/>
              <w:tabs>
                <w:tab w:val="decimal" w:pos="414"/>
              </w:tabs>
              <w:spacing w:before="40" w:after="40"/>
              <w:rPr>
                <w:sz w:val="20"/>
                <w:szCs w:val="20"/>
              </w:rPr>
            </w:pPr>
            <w:r w:rsidRPr="00E835B2">
              <w:rPr>
                <w:sz w:val="20"/>
                <w:szCs w:val="20"/>
              </w:rPr>
              <w:t>21.</w:t>
            </w:r>
            <w:r w:rsidR="009A5F8E">
              <w:rPr>
                <w:sz w:val="20"/>
                <w:szCs w:val="20"/>
              </w:rPr>
              <w:t>2</w:t>
            </w:r>
            <w:r w:rsidRPr="00E835B2" w:rsidR="009A5F8E">
              <w:rPr>
                <w:sz w:val="20"/>
                <w:szCs w:val="20"/>
              </w:rPr>
              <w:t>4</w:t>
            </w:r>
          </w:p>
        </w:tc>
        <w:tc>
          <w:tcPr>
            <w:tcW w:w="990" w:type="dxa"/>
            <w:tcBorders>
              <w:top w:val="single" w:color="auto" w:sz="4" w:space="0"/>
              <w:left w:val="single" w:color="auto" w:sz="4" w:space="0"/>
              <w:bottom w:val="single" w:color="auto" w:sz="12" w:space="0"/>
            </w:tcBorders>
          </w:tcPr>
          <w:p w:rsidRPr="00E835B2" w:rsidR="00593DD0" w:rsidP="00AE3EFA" w:rsidRDefault="00593DD0" w14:paraId="4C69E54F" w14:textId="77777777">
            <w:pPr>
              <w:pStyle w:val="Tabletext"/>
              <w:tabs>
                <w:tab w:val="decimal" w:pos="442"/>
              </w:tabs>
              <w:spacing w:before="40" w:after="40"/>
              <w:rPr>
                <w:sz w:val="20"/>
                <w:szCs w:val="20"/>
              </w:rPr>
            </w:pPr>
          </w:p>
        </w:tc>
        <w:tc>
          <w:tcPr>
            <w:tcW w:w="990" w:type="dxa"/>
            <w:tcBorders>
              <w:top w:val="single" w:color="auto" w:sz="4" w:space="0"/>
              <w:bottom w:val="single" w:color="auto" w:sz="12" w:space="0"/>
            </w:tcBorders>
          </w:tcPr>
          <w:p w:rsidRPr="00E835B2" w:rsidR="00593DD0" w:rsidP="00AE3EFA" w:rsidRDefault="00593DD0" w14:paraId="158EEC08" w14:textId="77777777">
            <w:pPr>
              <w:pStyle w:val="Tabletext"/>
              <w:tabs>
                <w:tab w:val="decimal" w:pos="471"/>
              </w:tabs>
              <w:spacing w:before="40" w:after="40"/>
              <w:rPr>
                <w:sz w:val="20"/>
                <w:szCs w:val="20"/>
              </w:rPr>
            </w:pPr>
          </w:p>
        </w:tc>
        <w:tc>
          <w:tcPr>
            <w:tcW w:w="990" w:type="dxa"/>
            <w:tcBorders>
              <w:top w:val="single" w:color="auto" w:sz="4" w:space="0"/>
              <w:bottom w:val="single" w:color="auto" w:sz="12" w:space="0"/>
            </w:tcBorders>
          </w:tcPr>
          <w:p w:rsidRPr="00E835B2" w:rsidR="00593DD0" w:rsidP="00AE3EFA" w:rsidRDefault="00593DD0" w14:paraId="2701AAB3" w14:textId="77777777">
            <w:pPr>
              <w:pStyle w:val="Tabletext"/>
              <w:tabs>
                <w:tab w:val="decimal" w:pos="336"/>
              </w:tabs>
              <w:spacing w:before="40" w:after="40"/>
              <w:rPr>
                <w:sz w:val="20"/>
                <w:szCs w:val="20"/>
              </w:rPr>
            </w:pPr>
          </w:p>
        </w:tc>
        <w:tc>
          <w:tcPr>
            <w:tcW w:w="990" w:type="dxa"/>
            <w:tcBorders>
              <w:top w:val="single" w:color="auto" w:sz="4" w:space="0"/>
              <w:bottom w:val="single" w:color="auto" w:sz="12" w:space="0"/>
            </w:tcBorders>
          </w:tcPr>
          <w:p w:rsidRPr="00E835B2" w:rsidR="00593DD0" w:rsidP="00AE3EFA" w:rsidRDefault="00593DD0" w14:paraId="05FE6CEC" w14:textId="77777777">
            <w:pPr>
              <w:pStyle w:val="Tabletext"/>
              <w:tabs>
                <w:tab w:val="decimal" w:pos="285"/>
              </w:tabs>
              <w:spacing w:before="40" w:after="40"/>
              <w:rPr>
                <w:sz w:val="20"/>
                <w:szCs w:val="20"/>
              </w:rPr>
            </w:pPr>
            <w:r w:rsidRPr="00E835B2">
              <w:rPr>
                <w:sz w:val="20"/>
                <w:szCs w:val="20"/>
              </w:rPr>
              <w:t>13.32</w:t>
            </w:r>
          </w:p>
        </w:tc>
        <w:tc>
          <w:tcPr>
            <w:tcW w:w="900" w:type="dxa"/>
            <w:tcBorders>
              <w:top w:val="single" w:color="auto" w:sz="4" w:space="0"/>
              <w:left w:val="nil"/>
              <w:bottom w:val="single" w:color="auto" w:sz="12" w:space="0"/>
            </w:tcBorders>
          </w:tcPr>
          <w:p w:rsidRPr="00E835B2" w:rsidR="00593DD0" w:rsidP="00AE3EFA" w:rsidRDefault="00593DD0" w14:paraId="0CA54FB0" w14:textId="77777777">
            <w:pPr>
              <w:pStyle w:val="Tabletext"/>
              <w:tabs>
                <w:tab w:val="decimal" w:pos="242"/>
              </w:tabs>
              <w:spacing w:before="40" w:after="40"/>
              <w:rPr>
                <w:sz w:val="20"/>
                <w:szCs w:val="20"/>
              </w:rPr>
            </w:pPr>
            <w:r w:rsidRPr="00E835B2">
              <w:rPr>
                <w:sz w:val="20"/>
                <w:szCs w:val="20"/>
              </w:rPr>
              <w:t>34.56</w:t>
            </w:r>
          </w:p>
        </w:tc>
      </w:tr>
    </w:tbl>
    <w:p w:rsidR="00593DD0" w:rsidP="00593DD0" w:rsidRDefault="00593DD0" w14:paraId="2DFCB0AA" w14:textId="4297941A">
      <w:pPr>
        <w:pStyle w:val="Source"/>
        <w:spacing w:after="0"/>
      </w:pPr>
      <w:proofErr w:type="spellStart"/>
      <w:r w:rsidRPr="00A162DD">
        <w:rPr>
          <w:vertAlign w:val="superscript"/>
        </w:rPr>
        <w:t>a</w:t>
      </w:r>
      <w:proofErr w:type="spellEnd"/>
      <w:r>
        <w:rPr>
          <w:vertAlign w:val="superscript"/>
        </w:rPr>
        <w:t xml:space="preserve"> </w:t>
      </w:r>
      <w:r w:rsidRPr="00722CA1">
        <w:t xml:space="preserve">The </w:t>
      </w:r>
      <w:r>
        <w:t xml:space="preserve">sample </w:t>
      </w:r>
      <w:r w:rsidRPr="00722CA1">
        <w:t xml:space="preserve">unit for this study is </w:t>
      </w:r>
      <w:r>
        <w:t xml:space="preserve">food retail </w:t>
      </w:r>
      <w:r w:rsidRPr="00722CA1">
        <w:t>companies, not individual people</w:t>
      </w:r>
      <w:r>
        <w:t xml:space="preserve">. </w:t>
      </w:r>
      <w:r w:rsidRPr="00A162DD">
        <w:t>We assumed that</w:t>
      </w:r>
      <w:r w:rsidRPr="00A17837">
        <w:t xml:space="preserve"> </w:t>
      </w:r>
      <w:r w:rsidR="00F92864">
        <w:t xml:space="preserve">RTI </w:t>
      </w:r>
      <w:r>
        <w:t xml:space="preserve">may </w:t>
      </w:r>
      <w:r w:rsidRPr="00A17837">
        <w:t xml:space="preserve">need </w:t>
      </w:r>
      <w:r w:rsidRPr="00995E01">
        <w:t xml:space="preserve">to contact </w:t>
      </w:r>
      <w:r>
        <w:t>multiple</w:t>
      </w:r>
      <w:r w:rsidRPr="00790807">
        <w:t xml:space="preserve"> people within</w:t>
      </w:r>
      <w:r w:rsidRPr="00A17837">
        <w:t xml:space="preserve"> </w:t>
      </w:r>
      <w:r>
        <w:t>each</w:t>
      </w:r>
      <w:r w:rsidRPr="00A17837">
        <w:t xml:space="preserve"> </w:t>
      </w:r>
      <w:r>
        <w:t xml:space="preserve">company </w:t>
      </w:r>
      <w:r w:rsidRPr="00A17837">
        <w:t>to identify the correct person</w:t>
      </w:r>
      <w:r>
        <w:t xml:space="preserve"> (s) to interview,</w:t>
      </w:r>
      <w:r w:rsidRPr="00A17837">
        <w:t xml:space="preserve"> and each contact will take an average of </w:t>
      </w:r>
      <w:r>
        <w:t>5</w:t>
      </w:r>
      <w:r w:rsidRPr="00A17837">
        <w:t xml:space="preserve"> minutes</w:t>
      </w:r>
      <w:r>
        <w:t xml:space="preserve"> and that up to four contacts will need to be made. Therefore, the minutes per response column reflects the amount of time required for the contact and not the number of people contacted within the company. </w:t>
      </w:r>
    </w:p>
    <w:p w:rsidR="00593DD0" w:rsidP="00B077F3" w:rsidRDefault="00593DD0" w14:paraId="1257893F" w14:textId="5746C98D">
      <w:pPr>
        <w:pStyle w:val="Source"/>
        <w:rPr>
          <w:szCs w:val="22"/>
        </w:rPr>
      </w:pPr>
      <w:r w:rsidRPr="00AA70B0">
        <w:rPr>
          <w:vertAlign w:val="superscript"/>
        </w:rPr>
        <w:t>b</w:t>
      </w:r>
      <w:r>
        <w:t xml:space="preserve"> We assumed that one company will go through the process of preparing for the interview, including reading the disclaimer, submitting the consent form, and</w:t>
      </w:r>
      <w:r w:rsidR="00285F08">
        <w:t xml:space="preserve"> reading the list of</w:t>
      </w:r>
      <w:r w:rsidR="00B077F3">
        <w:t xml:space="preserve"> </w:t>
      </w:r>
      <w:r w:rsidR="00285F08">
        <w:t>interview topics</w:t>
      </w:r>
      <w:r>
        <w:t>, but will drop out before participating in the interview itself.</w:t>
      </w:r>
    </w:p>
    <w:p w:rsidRPr="00410326" w:rsidR="00714DB7" w:rsidP="00593DD0" w:rsidRDefault="006B2A21" w14:paraId="21D4D4F6" w14:textId="26271CA2">
      <w:pPr>
        <w:rPr>
          <w:szCs w:val="22"/>
        </w:rPr>
        <w:sectPr w:rsidRPr="00410326" w:rsidR="00714DB7" w:rsidSect="0013585D">
          <w:headerReference w:type="default" r:id="rId10"/>
          <w:pgSz w:w="15840" w:h="12240" w:orient="landscape"/>
          <w:pgMar w:top="1440" w:right="1440" w:bottom="1440" w:left="1440" w:header="720" w:footer="720" w:gutter="0"/>
          <w:cols w:space="720"/>
          <w:docGrid w:linePitch="360"/>
        </w:sectPr>
      </w:pPr>
      <w:r>
        <w:rPr>
          <w:vertAlign w:val="superscript"/>
        </w:rPr>
        <w:lastRenderedPageBreak/>
        <w:t>c</w:t>
      </w:r>
      <w:r w:rsidR="00714DB7">
        <w:t xml:space="preserve"> </w:t>
      </w:r>
      <w:r w:rsidR="00714DB7">
        <w:rPr>
          <w:rFonts w:eastAsia="Times New Roman" w:cs="Times New Roman"/>
          <w:sz w:val="18"/>
          <w:szCs w:val="18"/>
        </w:rPr>
        <w:t xml:space="preserve">Multiple people within a company may participate in the interview.  Because the </w:t>
      </w:r>
      <w:r w:rsidRPr="00A516A8" w:rsidR="00714DB7">
        <w:rPr>
          <w:rFonts w:eastAsia="Times New Roman" w:cs="Times New Roman"/>
          <w:sz w:val="18"/>
          <w:szCs w:val="18"/>
        </w:rPr>
        <w:t>sample unit for this study is food retail companies, not individual people</w:t>
      </w:r>
      <w:r w:rsidR="00714DB7">
        <w:rPr>
          <w:rFonts w:eastAsia="Times New Roman" w:cs="Times New Roman"/>
          <w:sz w:val="18"/>
          <w:szCs w:val="18"/>
        </w:rPr>
        <w:t xml:space="preserve">, </w:t>
      </w:r>
      <w:r w:rsidR="002A1793">
        <w:rPr>
          <w:rFonts w:eastAsia="Times New Roman" w:cs="Times New Roman"/>
          <w:sz w:val="18"/>
          <w:szCs w:val="18"/>
        </w:rPr>
        <w:t xml:space="preserve">the minutes for completing the interview does not reflect participation by multiple people.    </w:t>
      </w:r>
    </w:p>
    <w:p w:rsidR="00C9115B" w:rsidP="00593DD0" w:rsidRDefault="007766E5" w14:paraId="1284F9EC" w14:textId="3DF6062B">
      <w:pPr>
        <w:pStyle w:val="ListBullet"/>
      </w:pPr>
      <w:r w:rsidRPr="0009097A">
        <w:lastRenderedPageBreak/>
        <w:t xml:space="preserve">The estimated total number of </w:t>
      </w:r>
      <w:r w:rsidRPr="0009097A" w:rsidR="00F4608F">
        <w:t xml:space="preserve">contacts </w:t>
      </w:r>
      <w:r w:rsidRPr="0009097A">
        <w:t xml:space="preserve">for the Wave 1 </w:t>
      </w:r>
      <w:r w:rsidRPr="0009097A" w:rsidR="00430178">
        <w:t xml:space="preserve">interviews </w:t>
      </w:r>
      <w:r w:rsidRPr="0009097A">
        <w:t>is 50 companies. This number can be broken down into two groups</w:t>
      </w:r>
      <w:r w:rsidRPr="0009097A" w:rsidR="007B12F5">
        <w:t>:</w:t>
      </w:r>
      <w:r w:rsidRPr="0009097A">
        <w:t xml:space="preserve"> an estimated 40 companies </w:t>
      </w:r>
      <w:r w:rsidR="00804475">
        <w:t>that</w:t>
      </w:r>
      <w:r w:rsidRPr="0009097A" w:rsidR="00804475">
        <w:t xml:space="preserve"> </w:t>
      </w:r>
      <w:r w:rsidRPr="0009097A">
        <w:t xml:space="preserve">go through the recruitment process but decline to participate </w:t>
      </w:r>
      <w:r w:rsidRPr="0009097A" w:rsidR="002E7DA1">
        <w:t>(i.e., nonrespon</w:t>
      </w:r>
      <w:r w:rsidR="0009097A">
        <w:t>dents</w:t>
      </w:r>
      <w:r w:rsidRPr="0009097A" w:rsidR="002E7DA1">
        <w:t xml:space="preserve">) </w:t>
      </w:r>
      <w:r w:rsidRPr="0009097A">
        <w:t xml:space="preserve">and 10 companies </w:t>
      </w:r>
      <w:r w:rsidR="00804475">
        <w:t>that</w:t>
      </w:r>
      <w:r w:rsidRPr="0009097A" w:rsidR="00804475">
        <w:t xml:space="preserve"> </w:t>
      </w:r>
      <w:r w:rsidRPr="0009097A">
        <w:t>participate</w:t>
      </w:r>
      <w:r w:rsidRPr="0009097A" w:rsidR="002E7DA1">
        <w:t xml:space="preserve"> (i.e., respon</w:t>
      </w:r>
      <w:r w:rsidR="0009097A">
        <w:t>dents</w:t>
      </w:r>
      <w:r w:rsidRPr="0009097A" w:rsidR="002E7DA1">
        <w:t>)</w:t>
      </w:r>
      <w:r w:rsidRPr="0009097A">
        <w:t xml:space="preserve">. </w:t>
      </w:r>
    </w:p>
    <w:p w:rsidRPr="0084233D" w:rsidR="00B10C37" w:rsidP="00C9115B" w:rsidRDefault="00B10C37" w14:paraId="786FAC4C" w14:textId="5E76E6E6">
      <w:pPr>
        <w:pStyle w:val="BodyText"/>
      </w:pPr>
      <w:r w:rsidRPr="0084233D">
        <w:t xml:space="preserve">The </w:t>
      </w:r>
      <w:r w:rsidRPr="0084233D" w:rsidR="00591CBC">
        <w:t>f</w:t>
      </w:r>
      <w:r w:rsidRPr="0084233D">
        <w:t>ollowing statement will be displayed in the informed consent for the interview:</w:t>
      </w:r>
    </w:p>
    <w:p w:rsidRPr="00840651" w:rsidR="00B10C37" w:rsidP="0084233D" w:rsidRDefault="00B10C37" w14:paraId="6F31D984" w14:textId="444C13FC">
      <w:pPr>
        <w:pStyle w:val="BodyText"/>
      </w:pPr>
      <w:r w:rsidRPr="00840651">
        <w:t xml:space="preserve">NOTIFICATION TO RESPONDENT OF ESTIMATED BURDEN: Public reporting burden for this collection of information is estimated to average </w:t>
      </w:r>
      <w:r w:rsidR="00285F08">
        <w:t>127</w:t>
      </w:r>
      <w:r w:rsidRPr="00840651">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w:t>
      </w:r>
      <w:r w:rsidR="00432024">
        <w:t>0536-0073</w:t>
      </w:r>
      <w:r w:rsidRPr="00840651">
        <w:t>. Send comments regarding this burden estimate or any other aspect of this collection of information, including suggestions for reducing this burden, to Linda Kantor</w:t>
      </w:r>
      <w:r w:rsidR="00672CE9">
        <w:t>, U.S. Department of Agriculture, Economic Research Service</w:t>
      </w:r>
      <w:r w:rsidRPr="00840651">
        <w:t xml:space="preserve"> (linda.kantor@usda.gov). </w:t>
      </w:r>
    </w:p>
    <w:p w:rsidRPr="00E16A04" w:rsidR="00532F98" w:rsidP="00E10871" w:rsidRDefault="00532F98" w14:paraId="11E98009" w14:textId="77777777">
      <w:pPr>
        <w:pStyle w:val="Heading1"/>
      </w:pPr>
      <w:r w:rsidRPr="00E16A04">
        <w:t>Contact Information</w:t>
      </w:r>
    </w:p>
    <w:p w:rsidRPr="00840651" w:rsidR="00B60519" w:rsidP="0084233D" w:rsidRDefault="00B60519" w14:paraId="4F9D9FA2" w14:textId="77777777">
      <w:pPr>
        <w:pStyle w:val="BodyText"/>
      </w:pPr>
      <w:r w:rsidRPr="00840651">
        <w:t>The contact person for questions regarding this data collection is:</w:t>
      </w:r>
    </w:p>
    <w:p w:rsidRPr="00840651" w:rsidR="00B60519" w:rsidP="0015065B" w:rsidRDefault="0015065B" w14:paraId="008C0894" w14:textId="5E2F4F11">
      <w:pPr>
        <w:rPr>
          <w:rFonts w:cs="Times New Roman"/>
          <w:sz w:val="24"/>
        </w:rPr>
      </w:pPr>
      <w:r w:rsidRPr="00840651">
        <w:rPr>
          <w:rFonts w:cs="Times New Roman"/>
          <w:sz w:val="24"/>
        </w:rPr>
        <w:t>Linda Kantor</w:t>
      </w:r>
    </w:p>
    <w:p w:rsidRPr="00840651" w:rsidR="00532F98" w:rsidP="00532F98" w:rsidRDefault="0015065B" w14:paraId="7991E71D" w14:textId="1FF95997">
      <w:pPr>
        <w:rPr>
          <w:rFonts w:cs="Times New Roman"/>
          <w:sz w:val="24"/>
        </w:rPr>
      </w:pPr>
      <w:r w:rsidRPr="00840651">
        <w:rPr>
          <w:rFonts w:cs="Times New Roman"/>
          <w:sz w:val="24"/>
        </w:rPr>
        <w:t>linda.kantor@usda.gov</w:t>
      </w:r>
    </w:p>
    <w:p w:rsidRPr="00840651" w:rsidR="00532F98" w:rsidP="00532F98" w:rsidRDefault="00532F98" w14:paraId="087CD161" w14:textId="575981B2">
      <w:pPr>
        <w:rPr>
          <w:rFonts w:cs="Times New Roman"/>
          <w:sz w:val="24"/>
        </w:rPr>
      </w:pPr>
    </w:p>
    <w:p w:rsidRPr="00840651" w:rsidR="00532F98" w:rsidP="00C9115B" w:rsidRDefault="00532F98" w14:paraId="02AFD84E" w14:textId="77777777">
      <w:pPr>
        <w:pStyle w:val="BodyText"/>
      </w:pPr>
      <w:r w:rsidRPr="00840651">
        <w:t>Appendices</w:t>
      </w:r>
    </w:p>
    <w:p w:rsidR="00D66DCF" w:rsidP="00C9115B" w:rsidRDefault="00532F98" w14:paraId="67187EC0" w14:textId="77BD0EE3">
      <w:pPr>
        <w:pStyle w:val="ListBullet"/>
      </w:pPr>
      <w:r w:rsidRPr="00C9115B">
        <w:t xml:space="preserve">Appendix A: </w:t>
      </w:r>
      <w:r w:rsidR="00814DB3">
        <w:tab/>
      </w:r>
      <w:r w:rsidRPr="00C9115B" w:rsidR="00D66DCF">
        <w:t>Memorandum of Understanding</w:t>
      </w:r>
      <w:r w:rsidR="00B977CF">
        <w:t>—USDA and Re</w:t>
      </w:r>
      <w:r w:rsidRPr="00C9115B" w:rsidR="00D1232C">
        <w:t>FED</w:t>
      </w:r>
    </w:p>
    <w:p w:rsidRPr="00C9115B" w:rsidR="002F59E7" w:rsidP="002F59E7" w:rsidRDefault="002F59E7" w14:paraId="450D3312" w14:textId="2AF1102E">
      <w:pPr>
        <w:pStyle w:val="ListBullet"/>
      </w:pPr>
      <w:r w:rsidRPr="00C9115B">
        <w:t xml:space="preserve">Appendix B: </w:t>
      </w:r>
      <w:r w:rsidR="00814DB3">
        <w:tab/>
      </w:r>
      <w:r>
        <w:t>Memorandum on Informal Discussions</w:t>
      </w:r>
      <w:r w:rsidR="00F235BD">
        <w:t xml:space="preserve"> Conducted by RTI</w:t>
      </w:r>
    </w:p>
    <w:p w:rsidRPr="00C9115B" w:rsidR="00D66DCF" w:rsidP="00C9115B" w:rsidRDefault="00D66DCF" w14:paraId="23A5D9C1" w14:textId="7D0675F8">
      <w:pPr>
        <w:pStyle w:val="ListBullet"/>
      </w:pPr>
      <w:r w:rsidRPr="00C9115B">
        <w:t xml:space="preserve">Appendix </w:t>
      </w:r>
      <w:r w:rsidR="002F59E7">
        <w:t>C</w:t>
      </w:r>
      <w:r w:rsidRPr="00C9115B">
        <w:t xml:space="preserve">: </w:t>
      </w:r>
      <w:bookmarkStart w:name="_Hlk83136212" w:id="9"/>
      <w:r w:rsidR="00814DB3">
        <w:tab/>
      </w:r>
      <w:r w:rsidRPr="00C9115B" w:rsidR="00722CA1">
        <w:t>Text</w:t>
      </w:r>
      <w:r w:rsidRPr="00C9115B" w:rsidR="007A7AAD">
        <w:t xml:space="preserve"> for </w:t>
      </w:r>
      <w:r w:rsidRPr="00C9115B" w:rsidR="00DA6B05">
        <w:t>National Grocers Association Newsletter</w:t>
      </w:r>
      <w:bookmarkEnd w:id="9"/>
      <w:r w:rsidRPr="00C9115B" w:rsidR="00DA6B05">
        <w:t xml:space="preserve"> </w:t>
      </w:r>
    </w:p>
    <w:p w:rsidRPr="00C9115B" w:rsidR="00532F98" w:rsidP="00C9115B" w:rsidRDefault="00D66DCF" w14:paraId="2F09E6FA" w14:textId="7BE8B34F">
      <w:pPr>
        <w:pStyle w:val="ListBullet"/>
      </w:pPr>
      <w:r w:rsidRPr="00C9115B">
        <w:t xml:space="preserve">Appendix </w:t>
      </w:r>
      <w:r w:rsidR="002F59E7">
        <w:t>D</w:t>
      </w:r>
      <w:r w:rsidRPr="00C9115B" w:rsidR="00DA6B05">
        <w:t>-1</w:t>
      </w:r>
      <w:r w:rsidRPr="00C9115B">
        <w:t xml:space="preserve">: </w:t>
      </w:r>
      <w:r w:rsidR="00814DB3">
        <w:tab/>
      </w:r>
      <w:r w:rsidRPr="00C9115B" w:rsidR="008F152C">
        <w:t xml:space="preserve">Recruitment </w:t>
      </w:r>
      <w:r w:rsidRPr="00C9115B" w:rsidR="00532F98">
        <w:t>Script</w:t>
      </w:r>
      <w:r w:rsidRPr="00C9115B" w:rsidR="00BD50CF">
        <w:t xml:space="preserve"> for </w:t>
      </w:r>
      <w:r w:rsidRPr="00C9115B" w:rsidR="00606688">
        <w:t>Non</w:t>
      </w:r>
      <w:r w:rsidRPr="00C9115B" w:rsidR="00BD50CF">
        <w:t>-FMI Members</w:t>
      </w:r>
      <w:r w:rsidRPr="00C9115B" w:rsidR="00DA6B05">
        <w:t xml:space="preserve"> </w:t>
      </w:r>
      <w:r w:rsidRPr="00C9115B" w:rsidR="008F152C">
        <w:t>(no contact identified)</w:t>
      </w:r>
    </w:p>
    <w:p w:rsidRPr="00C9115B" w:rsidR="00DA6B05" w:rsidP="00C9115B" w:rsidRDefault="00DA6B05" w14:paraId="5CB17528" w14:textId="2933E698">
      <w:pPr>
        <w:pStyle w:val="ListBullet"/>
      </w:pPr>
      <w:r w:rsidRPr="00C9115B">
        <w:t xml:space="preserve">Appendix </w:t>
      </w:r>
      <w:r w:rsidR="002F59E7">
        <w:t>D</w:t>
      </w:r>
      <w:r w:rsidRPr="00C9115B">
        <w:t xml:space="preserve">-2: </w:t>
      </w:r>
      <w:r w:rsidR="00814DB3">
        <w:tab/>
      </w:r>
      <w:r w:rsidRPr="00C9115B">
        <w:t xml:space="preserve">Recruitment Script </w:t>
      </w:r>
      <w:r w:rsidRPr="00C9115B" w:rsidR="00BD50CF">
        <w:t xml:space="preserve">for </w:t>
      </w:r>
      <w:r w:rsidRPr="00C9115B" w:rsidR="00606688">
        <w:t>Non</w:t>
      </w:r>
      <w:r w:rsidRPr="00C9115B" w:rsidR="00BD50CF">
        <w:t xml:space="preserve">-FMI Members </w:t>
      </w:r>
      <w:r w:rsidRPr="00C9115B" w:rsidR="008F152C">
        <w:t>(contact identified)</w:t>
      </w:r>
    </w:p>
    <w:p w:rsidR="00532F98" w:rsidP="00C9115B" w:rsidRDefault="00532F98" w14:paraId="29EED8F8" w14:textId="65E68F06">
      <w:pPr>
        <w:pStyle w:val="ListBullet"/>
      </w:pPr>
      <w:r w:rsidRPr="00C9115B">
        <w:t xml:space="preserve">Appendix </w:t>
      </w:r>
      <w:r w:rsidR="00707CB3">
        <w:t>E</w:t>
      </w:r>
      <w:r w:rsidRPr="00C9115B" w:rsidR="00DA6B05">
        <w:t>-1</w:t>
      </w:r>
      <w:r w:rsidRPr="00C9115B">
        <w:t xml:space="preserve">: </w:t>
      </w:r>
      <w:r w:rsidR="00814DB3">
        <w:tab/>
      </w:r>
      <w:r w:rsidRPr="00C9115B" w:rsidR="008F152C">
        <w:t xml:space="preserve">Initial </w:t>
      </w:r>
      <w:r w:rsidRPr="00C9115B">
        <w:t>Recruitment Email</w:t>
      </w:r>
      <w:r w:rsidRPr="00C9115B" w:rsidR="000821B1">
        <w:t xml:space="preserve"> for </w:t>
      </w:r>
      <w:r w:rsidRPr="00C9115B" w:rsidR="00606688">
        <w:t>Non</w:t>
      </w:r>
      <w:r w:rsidRPr="00C9115B" w:rsidR="000821B1">
        <w:t>-FMI Members</w:t>
      </w:r>
    </w:p>
    <w:p w:rsidRPr="00C9115B" w:rsidR="006745F6" w:rsidP="00C9115B" w:rsidRDefault="006745F6" w14:paraId="5909B86A" w14:textId="6C8B86F0">
      <w:pPr>
        <w:pStyle w:val="ListBullet"/>
      </w:pPr>
      <w:r>
        <w:t>Appendix E-2:</w:t>
      </w:r>
      <w:r>
        <w:tab/>
        <w:t>Scheduling Email—Participant Identified for non-FMI members or FMI Referral</w:t>
      </w:r>
    </w:p>
    <w:bookmarkEnd w:id="1"/>
    <w:p w:rsidRPr="00C9115B" w:rsidR="00DA6B05" w:rsidP="00C9115B" w:rsidRDefault="00532F98" w14:paraId="2699D06F" w14:textId="26136AA4">
      <w:pPr>
        <w:pStyle w:val="ListBullet"/>
      </w:pPr>
      <w:r w:rsidRPr="00C9115B">
        <w:t xml:space="preserve">Appendix </w:t>
      </w:r>
      <w:r w:rsidR="00707CB3">
        <w:t>F</w:t>
      </w:r>
      <w:r w:rsidRPr="00C9115B" w:rsidR="00DA6B05">
        <w:t>-1</w:t>
      </w:r>
      <w:r w:rsidRPr="00C9115B">
        <w:t xml:space="preserve">: </w:t>
      </w:r>
      <w:r w:rsidR="00814DB3">
        <w:tab/>
      </w:r>
      <w:r w:rsidRPr="00C9115B">
        <w:t xml:space="preserve">Disclaimer </w:t>
      </w:r>
      <w:r w:rsidRPr="00C9115B" w:rsidR="00DA6B05">
        <w:t>for Interviews</w:t>
      </w:r>
    </w:p>
    <w:p w:rsidRPr="00C9115B" w:rsidR="00532F98" w:rsidP="00C9115B" w:rsidRDefault="00DA6B05" w14:paraId="50662D2C" w14:textId="51EED9C3">
      <w:pPr>
        <w:pStyle w:val="ListBullet"/>
      </w:pPr>
      <w:r w:rsidRPr="00C9115B">
        <w:t xml:space="preserve">Appendix </w:t>
      </w:r>
      <w:r w:rsidR="00707CB3">
        <w:t>F</w:t>
      </w:r>
      <w:r w:rsidRPr="00C9115B">
        <w:t>-2:</w:t>
      </w:r>
      <w:r w:rsidRPr="00C9115B" w:rsidR="00F0534B">
        <w:t xml:space="preserve"> </w:t>
      </w:r>
      <w:r w:rsidR="00814DB3">
        <w:tab/>
      </w:r>
      <w:r w:rsidRPr="00C9115B" w:rsidR="00532F98">
        <w:t>Informed Consent</w:t>
      </w:r>
      <w:r w:rsidRPr="00C9115B" w:rsidR="008668CD">
        <w:t xml:space="preserve"> for Interviews</w:t>
      </w:r>
    </w:p>
    <w:p w:rsidR="000E64D4" w:rsidP="00C9115B" w:rsidRDefault="000E64D4" w14:paraId="6D851331" w14:textId="47982AA8">
      <w:pPr>
        <w:pStyle w:val="ListBullet"/>
      </w:pPr>
      <w:r w:rsidRPr="00C9115B">
        <w:t xml:space="preserve">Appendix </w:t>
      </w:r>
      <w:r w:rsidR="00707CB3">
        <w:t>G</w:t>
      </w:r>
      <w:r w:rsidRPr="00C9115B">
        <w:t xml:space="preserve">: </w:t>
      </w:r>
      <w:r w:rsidR="00814DB3">
        <w:tab/>
      </w:r>
      <w:r w:rsidRPr="00C9115B" w:rsidR="00615D2B">
        <w:t>Informational List</w:t>
      </w:r>
      <w:r w:rsidRPr="00C9115B">
        <w:t xml:space="preserve"> of </w:t>
      </w:r>
      <w:r w:rsidRPr="00C9115B" w:rsidR="008F152C">
        <w:t xml:space="preserve">Interview </w:t>
      </w:r>
      <w:r w:rsidR="004D19EE">
        <w:t xml:space="preserve">Questions and </w:t>
      </w:r>
      <w:r w:rsidRPr="00C9115B" w:rsidR="00615D2B">
        <w:t>Topics</w:t>
      </w:r>
      <w:r w:rsidRPr="00C9115B">
        <w:t xml:space="preserve"> </w:t>
      </w:r>
    </w:p>
    <w:p w:rsidRPr="00C9115B" w:rsidR="00707CB3" w:rsidP="00707CB3" w:rsidRDefault="00707CB3" w14:paraId="5DAF228B" w14:textId="1BB93EE4">
      <w:pPr>
        <w:pStyle w:val="ListBullet"/>
      </w:pPr>
      <w:r w:rsidRPr="00C9115B">
        <w:t xml:space="preserve">Appendix </w:t>
      </w:r>
      <w:r>
        <w:t>H</w:t>
      </w:r>
      <w:r w:rsidRPr="00C9115B">
        <w:t xml:space="preserve">-1: </w:t>
      </w:r>
      <w:r w:rsidR="00814DB3">
        <w:tab/>
      </w:r>
      <w:r w:rsidRPr="00C9115B">
        <w:t xml:space="preserve">Recruitment </w:t>
      </w:r>
      <w:r w:rsidRPr="00C9115B" w:rsidR="004D19EE">
        <w:t xml:space="preserve">Follow-Up </w:t>
      </w:r>
      <w:r w:rsidRPr="00C9115B">
        <w:t xml:space="preserve">Script for Non-FMI Members (no contact </w:t>
      </w:r>
      <w:r w:rsidR="00814DB3">
        <w:t xml:space="preserve">                   identified)</w:t>
      </w:r>
    </w:p>
    <w:p w:rsidR="00707CB3" w:rsidP="00707CB3" w:rsidRDefault="00707CB3" w14:paraId="22CD1D9E" w14:textId="6284CF87">
      <w:pPr>
        <w:pStyle w:val="ListBullet"/>
      </w:pPr>
      <w:r w:rsidRPr="00C9115B">
        <w:t xml:space="preserve">Appendix </w:t>
      </w:r>
      <w:r>
        <w:t>H</w:t>
      </w:r>
      <w:r w:rsidRPr="00C9115B">
        <w:t xml:space="preserve">-2: </w:t>
      </w:r>
      <w:r w:rsidR="00814DB3">
        <w:tab/>
      </w:r>
      <w:r w:rsidRPr="00C9115B">
        <w:t xml:space="preserve">Recruitment </w:t>
      </w:r>
      <w:r w:rsidRPr="00C9115B" w:rsidR="004D19EE">
        <w:t xml:space="preserve">Follow-Up </w:t>
      </w:r>
      <w:r w:rsidRPr="00C9115B">
        <w:t xml:space="preserve">Script for Non-FMI Members (contact </w:t>
      </w:r>
      <w:r w:rsidR="00814DB3">
        <w:t>identified)</w:t>
      </w:r>
    </w:p>
    <w:p w:rsidRPr="00C9115B" w:rsidR="00707CB3" w:rsidP="00707CB3" w:rsidRDefault="00707CB3" w14:paraId="31F5F830" w14:textId="4AF81E63">
      <w:pPr>
        <w:pStyle w:val="ListBullet"/>
      </w:pPr>
      <w:r w:rsidRPr="00C9115B">
        <w:lastRenderedPageBreak/>
        <w:t xml:space="preserve">Appendix </w:t>
      </w:r>
      <w:r>
        <w:t>H</w:t>
      </w:r>
      <w:r w:rsidRPr="00C9115B">
        <w:t xml:space="preserve">-3: </w:t>
      </w:r>
      <w:r w:rsidR="00814DB3">
        <w:tab/>
      </w:r>
      <w:r w:rsidRPr="00C9115B" w:rsidR="00C06449">
        <w:t xml:space="preserve">Recruitment </w:t>
      </w:r>
      <w:r w:rsidRPr="00C9115B" w:rsidR="009630F6">
        <w:t xml:space="preserve">Follow-Up </w:t>
      </w:r>
      <w:r w:rsidRPr="00C9115B" w:rsidR="00C06449">
        <w:t>Email for Non-FMI Members</w:t>
      </w:r>
    </w:p>
    <w:p w:rsidRPr="00C9115B" w:rsidR="00DA6B05" w:rsidP="00C9115B" w:rsidRDefault="008879C5" w14:paraId="658F7C27" w14:textId="1492F153">
      <w:pPr>
        <w:pStyle w:val="ListBullet"/>
      </w:pPr>
      <w:r w:rsidRPr="00C9115B">
        <w:t>Appendix</w:t>
      </w:r>
      <w:r w:rsidRPr="00C9115B" w:rsidR="000E64D4">
        <w:t xml:space="preserve"> </w:t>
      </w:r>
      <w:r w:rsidR="00707CB3">
        <w:t>I</w:t>
      </w:r>
      <w:r w:rsidRPr="00C9115B">
        <w:t xml:space="preserve">: </w:t>
      </w:r>
      <w:r w:rsidR="00814DB3">
        <w:tab/>
      </w:r>
      <w:r w:rsidRPr="00C9115B" w:rsidR="00DA6B05">
        <w:t xml:space="preserve">Reminder Email </w:t>
      </w:r>
    </w:p>
    <w:p w:rsidRPr="00C9115B" w:rsidR="00401211" w:rsidP="00C9115B" w:rsidRDefault="00DA6B05" w14:paraId="065AC355" w14:textId="246DF800">
      <w:pPr>
        <w:pStyle w:val="ListBullet"/>
      </w:pPr>
      <w:r w:rsidRPr="00C9115B">
        <w:t xml:space="preserve">Appendix </w:t>
      </w:r>
      <w:r w:rsidR="00707CB3">
        <w:t>J</w:t>
      </w:r>
      <w:r w:rsidRPr="00C9115B">
        <w:t xml:space="preserve">: </w:t>
      </w:r>
      <w:r w:rsidR="00814DB3">
        <w:tab/>
      </w:r>
      <w:r w:rsidRPr="00C9115B" w:rsidR="000E64D4">
        <w:t>Interview Guide</w:t>
      </w:r>
    </w:p>
    <w:p w:rsidRPr="00C9115B" w:rsidR="007A7AAD" w:rsidP="00C9115B" w:rsidRDefault="007A7AAD" w14:paraId="79C3E1A6" w14:textId="29CFF0A4">
      <w:pPr>
        <w:pStyle w:val="ListBullet"/>
      </w:pPr>
      <w:r w:rsidRPr="00C9115B">
        <w:t xml:space="preserve">Appendix </w:t>
      </w:r>
      <w:r w:rsidR="00707CB3">
        <w:t>K</w:t>
      </w:r>
      <w:r w:rsidRPr="00C9115B">
        <w:t xml:space="preserve">: </w:t>
      </w:r>
      <w:r w:rsidR="00814DB3">
        <w:tab/>
      </w:r>
      <w:r w:rsidRPr="00C9115B">
        <w:t>IRB Determination</w:t>
      </w:r>
    </w:p>
    <w:p w:rsidRPr="00DA6B05" w:rsidR="00B10C37" w:rsidP="00E835B2" w:rsidRDefault="00B10C37" w14:paraId="5F726329" w14:textId="027FC6FF">
      <w:pPr>
        <w:pStyle w:val="ListBullet"/>
        <w:numPr>
          <w:ilvl w:val="0"/>
          <w:numId w:val="0"/>
        </w:numPr>
      </w:pPr>
    </w:p>
    <w:sectPr w:rsidRPr="00DA6B05" w:rsidR="00B10C37" w:rsidSect="007E1E6B">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12FF" w14:textId="77777777" w:rsidR="0013585D" w:rsidRDefault="0013585D" w:rsidP="003248B1">
      <w:r>
        <w:separator/>
      </w:r>
    </w:p>
  </w:endnote>
  <w:endnote w:type="continuationSeparator" w:id="0">
    <w:p w14:paraId="1811CDC0" w14:textId="77777777" w:rsidR="0013585D" w:rsidRDefault="0013585D"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Lucida Grande">
    <w:altName w:val="Franklin Gothic Medium Con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433E" w14:textId="49EA9E88" w:rsidR="0013585D" w:rsidRDefault="0013585D" w:rsidP="00895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207F" w14:textId="77777777" w:rsidR="0013585D" w:rsidRDefault="0013585D" w:rsidP="003248B1">
      <w:r>
        <w:separator/>
      </w:r>
    </w:p>
  </w:footnote>
  <w:footnote w:type="continuationSeparator" w:id="0">
    <w:p w14:paraId="550065B1" w14:textId="77777777" w:rsidR="0013585D" w:rsidRDefault="0013585D" w:rsidP="003248B1">
      <w:r>
        <w:continuationSeparator/>
      </w:r>
    </w:p>
  </w:footnote>
  <w:footnote w:id="1">
    <w:p w14:paraId="1330BC58" w14:textId="585D3EFF" w:rsidR="0013585D" w:rsidRPr="00AB517F" w:rsidRDefault="0013585D" w:rsidP="00AB517F">
      <w:pPr>
        <w:pStyle w:val="FootnoteText"/>
      </w:pPr>
      <w:r>
        <w:rPr>
          <w:rStyle w:val="FootnoteReference"/>
        </w:rPr>
        <w:footnoteRef/>
      </w:r>
      <w:r>
        <w:t xml:space="preserve"> </w:t>
      </w:r>
      <w:r w:rsidRPr="008553D0">
        <w:t>U.S. Government Accountability Office. (2019, June).</w:t>
      </w:r>
      <w:r>
        <w:t xml:space="preserve"> </w:t>
      </w:r>
      <w:r w:rsidRPr="008553D0">
        <w:rPr>
          <w:i/>
          <w:iCs/>
        </w:rPr>
        <w:t>Food loss and waste: Building on existing federal efforts could help to achieve national reduction goal</w:t>
      </w:r>
      <w:r>
        <w:t xml:space="preserve">. </w:t>
      </w:r>
      <w:r w:rsidRPr="00AB517F">
        <w:t xml:space="preserve">GAO-19-391. </w:t>
      </w:r>
      <w:hyperlink r:id="rId1" w:history="1">
        <w:r w:rsidRPr="00AB517F">
          <w:rPr>
            <w:rStyle w:val="Hyperlink"/>
          </w:rPr>
          <w:t>https://www.gao.gov/assets/710/700118.pdf</w:t>
        </w:r>
      </w:hyperlink>
    </w:p>
  </w:footnote>
  <w:footnote w:id="2">
    <w:p w14:paraId="595450CC" w14:textId="180CE00A" w:rsidR="0013585D" w:rsidRDefault="0013585D" w:rsidP="00AB517F">
      <w:pPr>
        <w:pStyle w:val="FootnoteText"/>
      </w:pPr>
      <w:r>
        <w:rPr>
          <w:rStyle w:val="FootnoteReference"/>
        </w:rPr>
        <w:footnoteRef/>
      </w:r>
      <w:r>
        <w:t xml:space="preserve"> U.S. Department of Agriculture, Economic Research Service. (2020, November 12). </w:t>
      </w:r>
      <w:r w:rsidRPr="009079BB">
        <w:rPr>
          <w:i/>
          <w:iCs/>
        </w:rPr>
        <w:t>Loss-</w:t>
      </w:r>
      <w:r w:rsidRPr="00A67CD7">
        <w:rPr>
          <w:i/>
          <w:iCs/>
        </w:rPr>
        <w:t>Adjusted Food Availability docu</w:t>
      </w:r>
      <w:r w:rsidRPr="009079BB">
        <w:rPr>
          <w:i/>
          <w:iCs/>
        </w:rPr>
        <w:t>mentation</w:t>
      </w:r>
      <w:r>
        <w:t xml:space="preserve">. </w:t>
      </w:r>
      <w:hyperlink r:id="rId2" w:history="1">
        <w:r w:rsidRPr="006D521F">
          <w:rPr>
            <w:rStyle w:val="Hyperlink"/>
          </w:rPr>
          <w:t>https://www.ers.usda.gov/data-products/food-availability-per-capita-data-system/loss-adjusted-food-availability-documentation/</w:t>
        </w:r>
      </w:hyperlink>
    </w:p>
  </w:footnote>
  <w:footnote w:id="3">
    <w:p w14:paraId="03A9694E" w14:textId="43B39F3C" w:rsidR="0013585D" w:rsidRDefault="0013585D" w:rsidP="00AB517F">
      <w:pPr>
        <w:pStyle w:val="FootnoteText"/>
      </w:pPr>
      <w:r>
        <w:rPr>
          <w:rStyle w:val="FootnoteReference"/>
        </w:rPr>
        <w:footnoteRef/>
      </w:r>
      <w:r>
        <w:t xml:space="preserve"> EPA maintains data on the flows of excess food and food waste throughout the food system and generates annual estimates of generation and management of excess food and food waste by sector. See </w:t>
      </w:r>
      <w:hyperlink r:id="rId3" w:history="1">
        <w:r w:rsidRPr="00674661">
          <w:rPr>
            <w:rStyle w:val="Hyperlink"/>
          </w:rPr>
          <w:t>https://www.epa.gov/sites/production/files/2020-06/documents/food_measurement_methodology_scoping_memo-6-18-20.pdf</w:t>
        </w:r>
      </w:hyperlink>
      <w:r>
        <w:t xml:space="preserve"> for additional information.</w:t>
      </w:r>
    </w:p>
  </w:footnote>
  <w:footnote w:id="4">
    <w:p w14:paraId="387B62FA" w14:textId="538A3E28" w:rsidR="0013585D" w:rsidRDefault="0013585D" w:rsidP="00AB517F">
      <w:pPr>
        <w:pStyle w:val="FootnoteText"/>
      </w:pPr>
      <w:r>
        <w:rPr>
          <w:rStyle w:val="FootnoteReference"/>
        </w:rPr>
        <w:footnoteRef/>
      </w:r>
      <w:r>
        <w:t xml:space="preserve"> Buzby, J. C., Wells, H. F., Axtman, B., &amp; Mickey, J. (2009, March). </w:t>
      </w:r>
      <w:r w:rsidRPr="00AB517F">
        <w:rPr>
          <w:i/>
          <w:iCs/>
        </w:rPr>
        <w:t>Supermarket loss estimates for fresh fruit, vegetables, meat, poultry, and seafood and their use in the ERS Loss-Adjusted Food Availability data</w:t>
      </w:r>
      <w:r>
        <w:t xml:space="preserve">. </w:t>
      </w:r>
      <w:hyperlink r:id="rId4" w:history="1">
        <w:r w:rsidRPr="006D521F">
          <w:rPr>
            <w:rStyle w:val="Hyperlink"/>
          </w:rPr>
          <w:t>https://www.ers.usda.gov/webdocs/publications/44306/10895_eib44.pdf?v=2533.6</w:t>
        </w:r>
      </w:hyperlink>
    </w:p>
  </w:footnote>
  <w:footnote w:id="5">
    <w:p w14:paraId="2A5547F1" w14:textId="41E39D8A" w:rsidR="0013585D" w:rsidRDefault="0013585D" w:rsidP="00AB517F">
      <w:pPr>
        <w:pStyle w:val="FootnoteText"/>
      </w:pPr>
      <w:r>
        <w:rPr>
          <w:rStyle w:val="FootnoteReference"/>
        </w:rPr>
        <w:footnoteRef/>
      </w:r>
      <w:r>
        <w:t xml:space="preserve"> Buzby, J. C., Bentley, J. T., Padera, B., Campuzano, J., &amp; Ammon, C. (2016, June). </w:t>
      </w:r>
      <w:r>
        <w:rPr>
          <w:i/>
          <w:iCs/>
        </w:rPr>
        <w:t>U</w:t>
      </w:r>
      <w:r w:rsidRPr="009079BB">
        <w:rPr>
          <w:i/>
          <w:iCs/>
        </w:rPr>
        <w:t xml:space="preserve">pdated </w:t>
      </w:r>
      <w:proofErr w:type="gramStart"/>
      <w:r w:rsidRPr="009079BB">
        <w:rPr>
          <w:i/>
          <w:iCs/>
        </w:rPr>
        <w:t>supermarket</w:t>
      </w:r>
      <w:proofErr w:type="gramEnd"/>
      <w:r w:rsidRPr="009079BB">
        <w:rPr>
          <w:i/>
          <w:iCs/>
        </w:rPr>
        <w:t xml:space="preserve"> shrink estimates for fresh foods and their implications for ERS Loss-Adjusted Food Availability data</w:t>
      </w:r>
      <w:r>
        <w:rPr>
          <w:i/>
          <w:iCs/>
        </w:rPr>
        <w:t xml:space="preserve">. </w:t>
      </w:r>
      <w:hyperlink r:id="rId5" w:history="1">
        <w:r w:rsidRPr="006D521F">
          <w:rPr>
            <w:rStyle w:val="Hyperlink"/>
          </w:rPr>
          <w:t>https://www.ers.usda.gov/webdocs/publications/44100/eib-155.pdf?v=4892.8</w:t>
        </w:r>
      </w:hyperlink>
    </w:p>
  </w:footnote>
  <w:footnote w:id="6">
    <w:p w14:paraId="55443DD8" w14:textId="245F7B65" w:rsidR="0013585D" w:rsidRDefault="0013585D" w:rsidP="00AB517F">
      <w:pPr>
        <w:pStyle w:val="FootnoteText"/>
      </w:pPr>
      <w:r>
        <w:rPr>
          <w:rStyle w:val="FootnoteReference"/>
        </w:rPr>
        <w:footnoteRef/>
      </w:r>
      <w:r>
        <w:t xml:space="preserve"> RTI International. (2018, May). </w:t>
      </w:r>
      <w:r w:rsidRPr="009079BB">
        <w:rPr>
          <w:i/>
          <w:iCs/>
        </w:rPr>
        <w:t>Expert panel on technical questions and data gaps for the ERS Loss-Adjusted Food Availability (LAFA) data series</w:t>
      </w:r>
      <w:r w:rsidR="00AB517F">
        <w:t xml:space="preserve"> (</w:t>
      </w:r>
      <w:r>
        <w:t>Contractor and Cooperator Report. No. CCR-70</w:t>
      </w:r>
      <w:r w:rsidR="00AB517F">
        <w:t>)</w:t>
      </w:r>
      <w:r>
        <w:t xml:space="preserve">. </w:t>
      </w:r>
      <w:r w:rsidR="00AB517F">
        <w:t xml:space="preserve">U.S. Department of Agriculture. </w:t>
      </w:r>
      <w:hyperlink r:id="rId6" w:history="1">
        <w:r w:rsidR="00AB517F" w:rsidRPr="000374EE">
          <w:rPr>
            <w:rStyle w:val="Hyperlink"/>
          </w:rPr>
          <w:t>https://www.ers.usda.gov/webdocs/publications/92409/ccr-70.pdf?v=5391</w:t>
        </w:r>
      </w:hyperlink>
    </w:p>
  </w:footnote>
  <w:footnote w:id="7">
    <w:p w14:paraId="0B60CCC3" w14:textId="4A72A204" w:rsidR="00441144" w:rsidRDefault="00441144" w:rsidP="00AB517F">
      <w:pPr>
        <w:pStyle w:val="FootnoteText"/>
      </w:pPr>
      <w:r>
        <w:rPr>
          <w:rStyle w:val="FootnoteReference"/>
        </w:rPr>
        <w:footnoteRef/>
      </w:r>
      <w:r>
        <w:t xml:space="preserve"> See </w:t>
      </w:r>
      <w:hyperlink r:id="rId7" w:history="1">
        <w:r w:rsidR="00F52620">
          <w:rPr>
            <w:rStyle w:val="Hyperlink"/>
          </w:rPr>
          <w:t>https://www.census.gov/programs-surveys/acs.html</w:t>
        </w:r>
      </w:hyperlink>
      <w:r w:rsidR="00F52620">
        <w:t xml:space="preserve"> </w:t>
      </w:r>
      <w:r>
        <w:t xml:space="preserve">for additional information on the ABS. See </w:t>
      </w:r>
      <w:hyperlink r:id="rId8" w:history="1">
        <w:r w:rsidR="00CC541B">
          <w:rPr>
            <w:rStyle w:val="Hyperlink"/>
          </w:rPr>
          <w:t>abs_2021.pdf (census.gov)</w:t>
        </w:r>
      </w:hyperlink>
      <w:r>
        <w:t xml:space="preserve"> for the questionnaire for the 2021 ABS.</w:t>
      </w:r>
    </w:p>
  </w:footnote>
  <w:footnote w:id="8">
    <w:p w14:paraId="25538A6B" w14:textId="7CF622C6" w:rsidR="0013585D" w:rsidRDefault="0013585D" w:rsidP="00AB517F">
      <w:pPr>
        <w:pStyle w:val="FootnoteText"/>
      </w:pPr>
      <w:r>
        <w:rPr>
          <w:rStyle w:val="FootnoteReference"/>
        </w:rPr>
        <w:footnoteRef/>
      </w:r>
      <w:r>
        <w:t xml:space="preserve"> </w:t>
      </w:r>
      <w:r w:rsidRPr="00BB6A26">
        <w:t xml:space="preserve">ReFED is a national nonprofit working to end food loss and waste across the U.S. food </w:t>
      </w:r>
      <w:r w:rsidRPr="00B43D8D">
        <w:t>system</w:t>
      </w:r>
      <w:r>
        <w:t xml:space="preserve"> (</w:t>
      </w:r>
      <w:hyperlink r:id="rId9" w:history="1">
        <w:r w:rsidRPr="00A75CB3">
          <w:rPr>
            <w:rStyle w:val="Hyperlink"/>
          </w:rPr>
          <w:t>https://refed.com/</w:t>
        </w:r>
      </w:hyperlink>
      <w:r w:rsidRPr="00A67CD7">
        <w:t>).</w:t>
      </w:r>
    </w:p>
  </w:footnote>
  <w:footnote w:id="9">
    <w:p w14:paraId="7AF588D3" w14:textId="77777777" w:rsidR="0013585D" w:rsidRDefault="0013585D" w:rsidP="00AB517F">
      <w:pPr>
        <w:pStyle w:val="FootnoteText"/>
      </w:pPr>
      <w:r>
        <w:rPr>
          <w:rStyle w:val="FootnoteReference"/>
        </w:rPr>
        <w:footnoteRef/>
      </w:r>
      <w:r>
        <w:t xml:space="preserve"> </w:t>
      </w:r>
      <w:r w:rsidRPr="00213A75">
        <w:t xml:space="preserve">Pacific Coast Collaborative. (n.d.). </w:t>
      </w:r>
      <w:r w:rsidRPr="00213A75">
        <w:rPr>
          <w:i/>
          <w:iCs/>
        </w:rPr>
        <w:t>Food waste reduction: Benefits for the planet, people – and your business</w:t>
      </w:r>
      <w:r w:rsidRPr="00213A75">
        <w:t xml:space="preserve">. </w:t>
      </w:r>
      <w:hyperlink r:id="rId10" w:history="1">
        <w:r w:rsidRPr="00CB1174">
          <w:rPr>
            <w:rStyle w:val="Hyperlink"/>
          </w:rPr>
          <w:t>https://pacificcoastcollaborative.org/food-waste/</w:t>
        </w:r>
      </w:hyperlink>
    </w:p>
  </w:footnote>
  <w:footnote w:id="10">
    <w:p w14:paraId="6DBA5959" w14:textId="6E242007" w:rsidR="00F61C21" w:rsidRDefault="00F61C21">
      <w:pPr>
        <w:pStyle w:val="FootnoteText"/>
      </w:pPr>
      <w:r>
        <w:rPr>
          <w:rStyle w:val="FootnoteReference"/>
        </w:rPr>
        <w:footnoteRef/>
      </w:r>
      <w:r>
        <w:t xml:space="preserve"> ReFED. 2020.  </w:t>
      </w:r>
      <w:r w:rsidRPr="00F453B0">
        <w:rPr>
          <w:i/>
          <w:iCs/>
        </w:rPr>
        <w:t>Insights Engine Food Waste Monitor</w:t>
      </w:r>
      <w:r>
        <w:t xml:space="preserve">: 2020 Methodology, </w:t>
      </w:r>
      <w:r w:rsidRPr="00F61C21">
        <w:t>https://insights.refed.org/uploads/documents/refed_insights_enginefood_waste_monitormethodology_vfinal_2021.04.12.pdf?_cchid=4f1d745d5f50363e83869ef5f3b2e962</w:t>
      </w:r>
    </w:p>
  </w:footnote>
  <w:footnote w:id="11">
    <w:p w14:paraId="027C7C79" w14:textId="7BFF8E4F" w:rsidR="0013585D" w:rsidRPr="00A94BDD" w:rsidRDefault="0013585D" w:rsidP="00AB517F">
      <w:pPr>
        <w:pStyle w:val="FootnoteText"/>
      </w:pPr>
      <w:r w:rsidRPr="00A94BDD">
        <w:rPr>
          <w:rStyle w:val="FootnoteReference"/>
        </w:rPr>
        <w:footnoteRef/>
      </w:r>
      <w:r w:rsidRPr="00A94BDD">
        <w:t xml:space="preserve"> </w:t>
      </w:r>
      <w:r w:rsidRPr="00520B57">
        <w:t>A supermarket sells a wide variety of food, beverages, and household products. It has a wider selection than grocery stores but is smaller and more limited in the range of merchandise than a supercenter or club store.</w:t>
      </w:r>
      <w:r w:rsidRPr="00520B57">
        <w:rPr>
          <w:rFonts w:ascii="Roboto" w:hAnsi="Roboto"/>
          <w:color w:val="4D5156"/>
          <w:shd w:val="clear" w:color="auto" w:fill="FFFFFF"/>
        </w:rPr>
        <w:t xml:space="preserve"> </w:t>
      </w:r>
      <w:r w:rsidRPr="00520B57">
        <w:t xml:space="preserve">Supercenters are large stores that combine nonfood mass merchandise with supermarkets. Club stores are large outlet stores that sell food and beverages in bulk and require consumers to buy a membership. </w:t>
      </w:r>
    </w:p>
  </w:footnote>
  <w:footnote w:id="12">
    <w:p w14:paraId="709B2ADB" w14:textId="27D67FFC" w:rsidR="00226A7B" w:rsidRDefault="00226A7B" w:rsidP="00AB517F">
      <w:pPr>
        <w:pStyle w:val="FootnoteText"/>
      </w:pPr>
      <w:r>
        <w:rPr>
          <w:rStyle w:val="FootnoteReference"/>
        </w:rPr>
        <w:footnoteRef/>
      </w:r>
      <w:r>
        <w:t xml:space="preserve"> Muth, M.K., </w:t>
      </w:r>
      <w:r w:rsidRPr="002C1235">
        <w:t>Kinney, S</w:t>
      </w:r>
      <w:r w:rsidR="00F77DFB">
        <w:t>., Gargano, M., Looby, C</w:t>
      </w:r>
      <w:r w:rsidRPr="002C1235">
        <w:t>.</w:t>
      </w:r>
      <w:r>
        <w:t xml:space="preserve">, &amp; </w:t>
      </w:r>
      <w:r w:rsidRPr="002C1235">
        <w:t xml:space="preserve">Siegel, P. </w:t>
      </w:r>
      <w:r>
        <w:t>(2021</w:t>
      </w:r>
      <w:r w:rsidR="00C5372F">
        <w:t>,</w:t>
      </w:r>
      <w:r w:rsidR="00C5372F" w:rsidRPr="00C5372F">
        <w:t xml:space="preserve"> </w:t>
      </w:r>
      <w:r w:rsidR="00C5372F">
        <w:t>April</w:t>
      </w:r>
      <w:r>
        <w:t xml:space="preserve">). </w:t>
      </w:r>
      <w:r w:rsidRPr="00673383">
        <w:rPr>
          <w:i/>
          <w:iCs/>
        </w:rPr>
        <w:t xml:space="preserve">User </w:t>
      </w:r>
      <w:r w:rsidR="00C5372F" w:rsidRPr="00673383">
        <w:rPr>
          <w:i/>
          <w:iCs/>
        </w:rPr>
        <w:t>documentation</w:t>
      </w:r>
      <w:r w:rsidRPr="00673383">
        <w:rPr>
          <w:i/>
          <w:iCs/>
        </w:rPr>
        <w:t xml:space="preserve">: Store </w:t>
      </w:r>
      <w:r w:rsidR="00C5372F" w:rsidRPr="00673383">
        <w:rPr>
          <w:i/>
          <w:iCs/>
        </w:rPr>
        <w:t xml:space="preserve">weights </w:t>
      </w:r>
      <w:r w:rsidRPr="00673383">
        <w:rPr>
          <w:i/>
          <w:iCs/>
        </w:rPr>
        <w:t xml:space="preserve">for InfoScan </w:t>
      </w:r>
      <w:r w:rsidR="00C5372F" w:rsidRPr="00673383">
        <w:rPr>
          <w:i/>
          <w:iCs/>
        </w:rPr>
        <w:t>data</w:t>
      </w:r>
      <w:r w:rsidRPr="00673383">
        <w:rPr>
          <w:i/>
          <w:iCs/>
        </w:rPr>
        <w:t>, 2012–2018.</w:t>
      </w:r>
      <w:r>
        <w:t xml:space="preserve"> </w:t>
      </w:r>
      <w:r w:rsidR="00C5372F">
        <w:t>RTI International</w:t>
      </w:r>
      <w:r>
        <w:t>.</w:t>
      </w:r>
    </w:p>
  </w:footnote>
  <w:footnote w:id="13">
    <w:p w14:paraId="28E35E94" w14:textId="63D40951" w:rsidR="00840651" w:rsidRDefault="00975C40" w:rsidP="00AB517F">
      <w:pPr>
        <w:pStyle w:val="FootnoteText"/>
      </w:pPr>
      <w:r>
        <w:rPr>
          <w:rStyle w:val="FootnoteReference"/>
        </w:rPr>
        <w:footnoteRef/>
      </w:r>
      <w:r>
        <w:t xml:space="preserve"> </w:t>
      </w:r>
      <w:r w:rsidR="00840651">
        <w:t>Cho, C</w:t>
      </w:r>
      <w:r w:rsidR="009C6CA9">
        <w:t>.</w:t>
      </w:r>
      <w:r w:rsidR="00840651">
        <w:t>, Mc</w:t>
      </w:r>
      <w:r w:rsidR="00C63D4F">
        <w:t>L</w:t>
      </w:r>
      <w:r w:rsidR="00840651">
        <w:t xml:space="preserve">aughlin, </w:t>
      </w:r>
      <w:r w:rsidR="009C6CA9">
        <w:t xml:space="preserve">P.W., </w:t>
      </w:r>
      <w:r w:rsidR="00840651">
        <w:t xml:space="preserve">Zeballos, </w:t>
      </w:r>
      <w:r w:rsidR="009C6CA9">
        <w:t xml:space="preserve">E., </w:t>
      </w:r>
      <w:r w:rsidR="00840651">
        <w:t xml:space="preserve">Kent, </w:t>
      </w:r>
      <w:r w:rsidR="009C6CA9">
        <w:t xml:space="preserve">J., &amp; </w:t>
      </w:r>
      <w:r w:rsidR="00840651">
        <w:t>Dicken</w:t>
      </w:r>
      <w:r w:rsidR="009C6CA9">
        <w:t>, C.</w:t>
      </w:r>
      <w:r w:rsidR="00840651">
        <w:t xml:space="preserve"> (2019).</w:t>
      </w:r>
      <w:r w:rsidR="00F0534B">
        <w:t xml:space="preserve"> </w:t>
      </w:r>
      <w:r w:rsidR="00840651" w:rsidRPr="0032021D">
        <w:rPr>
          <w:i/>
          <w:iCs/>
        </w:rPr>
        <w:t xml:space="preserve">Capturing the </w:t>
      </w:r>
      <w:r w:rsidR="009C6CA9" w:rsidRPr="0032021D">
        <w:rPr>
          <w:i/>
          <w:iCs/>
        </w:rPr>
        <w:t>complete food environment with commercial data</w:t>
      </w:r>
      <w:r w:rsidR="00840651" w:rsidRPr="0032021D">
        <w:rPr>
          <w:i/>
          <w:iCs/>
        </w:rPr>
        <w:t>:</w:t>
      </w:r>
      <w:r w:rsidR="00F0534B" w:rsidRPr="0032021D">
        <w:rPr>
          <w:i/>
          <w:iCs/>
        </w:rPr>
        <w:t xml:space="preserve"> </w:t>
      </w:r>
      <w:r w:rsidR="00840651" w:rsidRPr="0032021D">
        <w:rPr>
          <w:i/>
          <w:iCs/>
        </w:rPr>
        <w:t xml:space="preserve">A </w:t>
      </w:r>
      <w:r w:rsidR="009C6CA9" w:rsidRPr="0032021D">
        <w:rPr>
          <w:i/>
          <w:iCs/>
        </w:rPr>
        <w:t xml:space="preserve">comparison </w:t>
      </w:r>
      <w:r w:rsidR="00840651" w:rsidRPr="0032021D">
        <w:rPr>
          <w:i/>
          <w:iCs/>
        </w:rPr>
        <w:t xml:space="preserve">of TDLinx, ReCount and NETS </w:t>
      </w:r>
      <w:r w:rsidR="009C6CA9" w:rsidRPr="0032021D">
        <w:rPr>
          <w:i/>
          <w:iCs/>
        </w:rPr>
        <w:t>databases</w:t>
      </w:r>
      <w:r w:rsidR="009C6CA9">
        <w:t xml:space="preserve"> (TB-1953).</w:t>
      </w:r>
      <w:r w:rsidR="00840651">
        <w:t xml:space="preserve"> U.S. Department of Agriculture, Economic Research Servic</w:t>
      </w:r>
      <w:r w:rsidR="00A8493E">
        <w:t>e</w:t>
      </w:r>
      <w:r w:rsidR="009C6CA9">
        <w:t>.</w:t>
      </w:r>
      <w:r w:rsidR="00840651">
        <w:t xml:space="preserve"> </w:t>
      </w:r>
      <w:hyperlink r:id="rId11" w:history="1">
        <w:r w:rsidR="00840651" w:rsidRPr="003A6C7B">
          <w:rPr>
            <w:rStyle w:val="Hyperlink"/>
          </w:rPr>
          <w:t>https://www.ers.usda.gov/publications/pub-details/?pubid=92628</w:t>
        </w:r>
      </w:hyperlink>
    </w:p>
  </w:footnote>
  <w:footnote w:id="14">
    <w:p w14:paraId="5B1E6D94" w14:textId="77777777" w:rsidR="003252EA" w:rsidRDefault="003252EA" w:rsidP="00AB517F">
      <w:pPr>
        <w:pStyle w:val="FootnoteText"/>
      </w:pPr>
      <w:r>
        <w:rPr>
          <w:rStyle w:val="FootnoteReference"/>
        </w:rPr>
        <w:footnoteRef/>
      </w:r>
      <w:r>
        <w:t xml:space="preserve"> </w:t>
      </w:r>
      <w:r w:rsidRPr="00C62541">
        <w:t xml:space="preserve">Cates, S. C., Viator, C. L., Karns, S. A., &amp; Muth, M. K. (2008). Food safety practices of meat slaughter plants: Findings from a national survey. </w:t>
      </w:r>
      <w:r w:rsidRPr="00C62541">
        <w:rPr>
          <w:i/>
          <w:iCs/>
        </w:rPr>
        <w:t>Food Protection Trends,</w:t>
      </w:r>
      <w:r w:rsidRPr="00C62541">
        <w:rPr>
          <w:i/>
        </w:rPr>
        <w:t xml:space="preserve"> 28</w:t>
      </w:r>
      <w:r w:rsidRPr="00C62541">
        <w:t>(1), 26–36.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14641"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936"/>
    </w:tblGrid>
    <w:tr w:rsidR="00593DD0" w:rsidRPr="00410326" w14:paraId="7B015197" w14:textId="77777777" w:rsidTr="00410326">
      <w:trPr>
        <w:cantSplit/>
        <w:trHeight w:hRule="exact" w:val="9342"/>
      </w:trPr>
      <w:tc>
        <w:tcPr>
          <w:tcW w:w="936" w:type="dxa"/>
          <w:tcMar>
            <w:left w:w="0" w:type="dxa"/>
            <w:right w:w="0" w:type="dxa"/>
          </w:tcMar>
          <w:textDirection w:val="tbRl"/>
        </w:tcPr>
        <w:p w14:paraId="54587772" w14:textId="77777777" w:rsidR="00593DD0" w:rsidRPr="00410326" w:rsidRDefault="00593DD0" w:rsidP="00410326">
          <w:pPr>
            <w:rPr>
              <w:rFonts w:eastAsia="Times New Roman" w:cs="Times New Roman"/>
              <w:iCs/>
              <w:sz w:val="24"/>
              <w:szCs w:val="18"/>
            </w:rPr>
          </w:pPr>
          <w:r w:rsidRPr="00410326">
            <w:rPr>
              <w:rFonts w:eastAsia="Times New Roman" w:cs="Times New Roman"/>
              <w:iCs/>
              <w:sz w:val="24"/>
              <w:szCs w:val="18"/>
            </w:rPr>
            <w:t>Nerino</w:t>
          </w:r>
        </w:p>
        <w:p w14:paraId="60EB4274" w14:textId="77777777" w:rsidR="00593DD0" w:rsidRPr="00410326" w:rsidRDefault="00593DD0" w:rsidP="00410326">
          <w:pPr>
            <w:rPr>
              <w:rFonts w:eastAsia="Times New Roman" w:cs="Times New Roman"/>
              <w:iCs/>
              <w:sz w:val="24"/>
              <w:szCs w:val="18"/>
            </w:rPr>
          </w:pPr>
          <w:r>
            <w:rPr>
              <w:rFonts w:eastAsia="Times New Roman" w:cs="Times New Roman"/>
              <w:iCs/>
              <w:sz w:val="24"/>
              <w:szCs w:val="18"/>
            </w:rPr>
            <w:t>March 11</w:t>
          </w:r>
          <w:r w:rsidRPr="00410326">
            <w:rPr>
              <w:rFonts w:eastAsia="Times New Roman" w:cs="Times New Roman"/>
              <w:iCs/>
              <w:sz w:val="24"/>
              <w:szCs w:val="18"/>
            </w:rPr>
            <w:t>, 202</w:t>
          </w:r>
          <w:r>
            <w:rPr>
              <w:rFonts w:eastAsia="Times New Roman" w:cs="Times New Roman"/>
              <w:iCs/>
              <w:sz w:val="24"/>
              <w:szCs w:val="18"/>
            </w:rPr>
            <w:t>2</w:t>
          </w:r>
        </w:p>
        <w:p w14:paraId="3C614783" w14:textId="77777777" w:rsidR="00593DD0" w:rsidRPr="00410326" w:rsidRDefault="00593DD0" w:rsidP="00410326">
          <w:pPr>
            <w:rPr>
              <w:rFonts w:eastAsia="Times New Roman" w:cs="Times New Roman"/>
              <w:sz w:val="24"/>
              <w:szCs w:val="22"/>
            </w:rPr>
          </w:pPr>
          <w:r w:rsidRPr="00410326">
            <w:rPr>
              <w:rFonts w:eastAsia="Times New Roman" w:cs="Times New Roman"/>
              <w:iCs/>
              <w:sz w:val="24"/>
              <w:szCs w:val="18"/>
            </w:rPr>
            <w:t>Page 10</w:t>
          </w:r>
        </w:p>
      </w:tc>
    </w:tr>
  </w:tbl>
  <w:p w14:paraId="7CA4085C" w14:textId="77777777" w:rsidR="00593DD0" w:rsidRDefault="00593DD0" w:rsidP="0095748A">
    <w:r w:rsidRPr="008B3735">
      <w:rPr>
        <w:bCs/>
        <w:sz w:val="24"/>
      </w:rPr>
      <w:t>Nerino</w:t>
    </w:r>
  </w:p>
  <w:p w14:paraId="3BE1B106" w14:textId="46CA7FD8" w:rsidR="00593DD0" w:rsidRDefault="00593DD0" w:rsidP="0095748A">
    <w:r>
      <w:t xml:space="preserve">March </w:t>
    </w:r>
    <w:r w:rsidR="00860E58">
      <w:t>22</w:t>
    </w:r>
    <w:r>
      <w:t>, 2022</w:t>
    </w:r>
  </w:p>
  <w:p w14:paraId="5C5119E8" w14:textId="77777777" w:rsidR="00593DD0" w:rsidRDefault="00593DD0" w:rsidP="0095748A">
    <w:r>
      <w:t xml:space="preserve">Page </w:t>
    </w:r>
    <w:r>
      <w:fldChar w:fldCharType="begin"/>
    </w:r>
    <w:r>
      <w:instrText xml:space="preserve"> PAGE </w:instrText>
    </w:r>
    <w:r>
      <w:fldChar w:fldCharType="separate"/>
    </w:r>
    <w:r>
      <w:t>12</w:t>
    </w:r>
    <w:r>
      <w:fldChar w:fldCharType="end"/>
    </w:r>
  </w:p>
  <w:p w14:paraId="29EDA640" w14:textId="77777777" w:rsidR="00593DD0" w:rsidRDefault="00593DD0" w:rsidP="0084233D">
    <w:pPr>
      <w:pStyle w:val="Header"/>
    </w:pPr>
  </w:p>
  <w:p w14:paraId="1D0FA28B" w14:textId="77777777" w:rsidR="00593DD0" w:rsidRDefault="00593DD0" w:rsidP="0084233D">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9F35" w14:textId="6C588B11" w:rsidR="00C9115B" w:rsidRDefault="00C9115B" w:rsidP="00C9115B">
    <w:pPr>
      <w:pStyle w:val="Header"/>
      <w:ind w:left="-1440"/>
    </w:pPr>
    <w:r>
      <w:rPr>
        <w:noProof/>
      </w:rPr>
      <w:drawing>
        <wp:inline distT="0" distB="0" distL="0" distR="0" wp14:anchorId="1BDBF9B3" wp14:editId="6106F881">
          <wp:extent cx="3314700" cy="633062"/>
          <wp:effectExtent l="0" t="0" r="0" b="0"/>
          <wp:docPr id="10" name="Picture 10" descr="Logo for R-T-I International, 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png"/>
                  <pic:cNvPicPr/>
                </pic:nvPicPr>
                <pic:blipFill rotWithShape="1">
                  <a:blip r:embed="rId1">
                    <a:extLst>
                      <a:ext uri="{28A0092B-C50C-407E-A947-70E740481C1C}">
                        <a14:useLocalDpi xmlns:a14="http://schemas.microsoft.com/office/drawing/2010/main" val="0"/>
                      </a:ext>
                    </a:extLst>
                  </a:blip>
                  <a:srcRect t="38151" r="57202"/>
                  <a:stretch/>
                </pic:blipFill>
                <pic:spPr bwMode="auto">
                  <a:xfrm>
                    <a:off x="0" y="0"/>
                    <a:ext cx="3316515" cy="633409"/>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14641"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936"/>
    </w:tblGrid>
    <w:tr w:rsidR="00593DD0" w:rsidRPr="00410326" w14:paraId="4DB52DF1" w14:textId="77777777" w:rsidTr="00410326">
      <w:trPr>
        <w:cantSplit/>
        <w:trHeight w:hRule="exact" w:val="9342"/>
      </w:trPr>
      <w:tc>
        <w:tcPr>
          <w:tcW w:w="936" w:type="dxa"/>
          <w:tcMar>
            <w:left w:w="0" w:type="dxa"/>
            <w:right w:w="0" w:type="dxa"/>
          </w:tcMar>
          <w:textDirection w:val="tbRl"/>
        </w:tcPr>
        <w:p w14:paraId="2DA2F897" w14:textId="77777777" w:rsidR="00593DD0" w:rsidRPr="00410326" w:rsidRDefault="00593DD0" w:rsidP="00410326">
          <w:pPr>
            <w:rPr>
              <w:rFonts w:eastAsia="Times New Roman" w:cs="Times New Roman"/>
              <w:iCs/>
              <w:sz w:val="24"/>
              <w:szCs w:val="18"/>
            </w:rPr>
          </w:pPr>
          <w:r w:rsidRPr="00410326">
            <w:rPr>
              <w:rFonts w:eastAsia="Times New Roman" w:cs="Times New Roman"/>
              <w:iCs/>
              <w:sz w:val="24"/>
              <w:szCs w:val="18"/>
            </w:rPr>
            <w:t>Nerino</w:t>
          </w:r>
        </w:p>
        <w:p w14:paraId="602791CB" w14:textId="45CF87A5" w:rsidR="00593DD0" w:rsidRPr="00410326" w:rsidRDefault="00593DD0" w:rsidP="00410326">
          <w:pPr>
            <w:rPr>
              <w:rFonts w:eastAsia="Times New Roman" w:cs="Times New Roman"/>
              <w:iCs/>
              <w:sz w:val="24"/>
              <w:szCs w:val="18"/>
            </w:rPr>
          </w:pPr>
          <w:r>
            <w:rPr>
              <w:rFonts w:eastAsia="Times New Roman" w:cs="Times New Roman"/>
              <w:iCs/>
              <w:sz w:val="24"/>
              <w:szCs w:val="18"/>
            </w:rPr>
            <w:t xml:space="preserve">March </w:t>
          </w:r>
          <w:r w:rsidR="00860E58">
            <w:rPr>
              <w:rFonts w:eastAsia="Times New Roman" w:cs="Times New Roman"/>
              <w:iCs/>
              <w:sz w:val="24"/>
              <w:szCs w:val="18"/>
            </w:rPr>
            <w:t>22</w:t>
          </w:r>
          <w:r w:rsidRPr="00410326">
            <w:rPr>
              <w:rFonts w:eastAsia="Times New Roman" w:cs="Times New Roman"/>
              <w:iCs/>
              <w:sz w:val="24"/>
              <w:szCs w:val="18"/>
            </w:rPr>
            <w:t>, 202</w:t>
          </w:r>
          <w:r>
            <w:rPr>
              <w:rFonts w:eastAsia="Times New Roman" w:cs="Times New Roman"/>
              <w:iCs/>
              <w:sz w:val="24"/>
              <w:szCs w:val="18"/>
            </w:rPr>
            <w:t>2</w:t>
          </w:r>
        </w:p>
        <w:p w14:paraId="691109E3" w14:textId="4E84AB5C" w:rsidR="00593DD0" w:rsidRPr="00410326" w:rsidRDefault="00593DD0" w:rsidP="00410326">
          <w:pPr>
            <w:rPr>
              <w:rFonts w:eastAsia="Times New Roman" w:cs="Times New Roman"/>
              <w:sz w:val="24"/>
              <w:szCs w:val="22"/>
            </w:rPr>
          </w:pPr>
          <w:r w:rsidRPr="00410326">
            <w:rPr>
              <w:rFonts w:eastAsia="Times New Roman" w:cs="Times New Roman"/>
              <w:iCs/>
              <w:sz w:val="24"/>
              <w:szCs w:val="18"/>
            </w:rPr>
            <w:t>Page 1</w:t>
          </w:r>
          <w:r w:rsidR="00C9115B">
            <w:rPr>
              <w:rFonts w:eastAsia="Times New Roman" w:cs="Times New Roman"/>
              <w:iCs/>
              <w:sz w:val="24"/>
              <w:szCs w:val="18"/>
            </w:rPr>
            <w:t>5</w:t>
          </w:r>
        </w:p>
      </w:tc>
    </w:tr>
  </w:tbl>
  <w:p w14:paraId="3AB066A5" w14:textId="77777777" w:rsidR="00593DD0" w:rsidRDefault="00593DD0" w:rsidP="0084233D">
    <w:pPr>
      <w:pStyle w:val="Header"/>
    </w:pPr>
  </w:p>
  <w:p w14:paraId="1C5E9798" w14:textId="77777777" w:rsidR="00593DD0" w:rsidRDefault="00593DD0" w:rsidP="0084233D">
    <w:pPr>
      <w:pStyle w:val="Header"/>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14641"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936"/>
    </w:tblGrid>
    <w:tr w:rsidR="00C9115B" w:rsidRPr="00410326" w14:paraId="79F1A9CE" w14:textId="77777777" w:rsidTr="00410326">
      <w:trPr>
        <w:cantSplit/>
        <w:trHeight w:hRule="exact" w:val="9342"/>
      </w:trPr>
      <w:tc>
        <w:tcPr>
          <w:tcW w:w="936" w:type="dxa"/>
          <w:tcMar>
            <w:left w:w="0" w:type="dxa"/>
            <w:right w:w="0" w:type="dxa"/>
          </w:tcMar>
          <w:textDirection w:val="tbRl"/>
        </w:tcPr>
        <w:p w14:paraId="7EF6893D" w14:textId="77777777" w:rsidR="00C9115B" w:rsidRPr="00410326" w:rsidRDefault="00C9115B" w:rsidP="00410326">
          <w:pPr>
            <w:rPr>
              <w:rFonts w:eastAsia="Times New Roman" w:cs="Times New Roman"/>
              <w:iCs/>
              <w:sz w:val="24"/>
              <w:szCs w:val="18"/>
            </w:rPr>
          </w:pPr>
          <w:r w:rsidRPr="00410326">
            <w:rPr>
              <w:rFonts w:eastAsia="Times New Roman" w:cs="Times New Roman"/>
              <w:iCs/>
              <w:sz w:val="24"/>
              <w:szCs w:val="18"/>
            </w:rPr>
            <w:t>Nerino</w:t>
          </w:r>
        </w:p>
        <w:p w14:paraId="52FBEBFC" w14:textId="77777777" w:rsidR="00C9115B" w:rsidRPr="00410326" w:rsidRDefault="00C9115B" w:rsidP="00410326">
          <w:pPr>
            <w:rPr>
              <w:rFonts w:eastAsia="Times New Roman" w:cs="Times New Roman"/>
              <w:iCs/>
              <w:sz w:val="24"/>
              <w:szCs w:val="18"/>
            </w:rPr>
          </w:pPr>
          <w:r>
            <w:rPr>
              <w:rFonts w:eastAsia="Times New Roman" w:cs="Times New Roman"/>
              <w:iCs/>
              <w:sz w:val="24"/>
              <w:szCs w:val="18"/>
            </w:rPr>
            <w:t>March 11</w:t>
          </w:r>
          <w:r w:rsidRPr="00410326">
            <w:rPr>
              <w:rFonts w:eastAsia="Times New Roman" w:cs="Times New Roman"/>
              <w:iCs/>
              <w:sz w:val="24"/>
              <w:szCs w:val="18"/>
            </w:rPr>
            <w:t>, 202</w:t>
          </w:r>
          <w:r>
            <w:rPr>
              <w:rFonts w:eastAsia="Times New Roman" w:cs="Times New Roman"/>
              <w:iCs/>
              <w:sz w:val="24"/>
              <w:szCs w:val="18"/>
            </w:rPr>
            <w:t>2</w:t>
          </w:r>
        </w:p>
        <w:p w14:paraId="25990215" w14:textId="77777777" w:rsidR="00C9115B" w:rsidRPr="00410326" w:rsidRDefault="00C9115B" w:rsidP="00410326">
          <w:pPr>
            <w:rPr>
              <w:rFonts w:eastAsia="Times New Roman" w:cs="Times New Roman"/>
              <w:sz w:val="24"/>
              <w:szCs w:val="22"/>
            </w:rPr>
          </w:pPr>
          <w:r w:rsidRPr="00410326">
            <w:rPr>
              <w:rFonts w:eastAsia="Times New Roman" w:cs="Times New Roman"/>
              <w:iCs/>
              <w:sz w:val="24"/>
              <w:szCs w:val="18"/>
            </w:rPr>
            <w:t>Page 10</w:t>
          </w:r>
        </w:p>
      </w:tc>
    </w:tr>
  </w:tbl>
  <w:p w14:paraId="705E1D91" w14:textId="77777777" w:rsidR="00C9115B" w:rsidRDefault="00C9115B" w:rsidP="00C9115B">
    <w:r w:rsidRPr="008B3735">
      <w:rPr>
        <w:bCs/>
        <w:sz w:val="24"/>
      </w:rPr>
      <w:t>Nerino</w:t>
    </w:r>
  </w:p>
  <w:p w14:paraId="65A125AE" w14:textId="498262D8" w:rsidR="00C9115B" w:rsidRDefault="00C9115B" w:rsidP="00C9115B">
    <w:r>
      <w:t xml:space="preserve">March </w:t>
    </w:r>
    <w:r w:rsidR="00860E58">
      <w:t>22</w:t>
    </w:r>
    <w:r>
      <w:t>, 2022</w:t>
    </w:r>
  </w:p>
  <w:p w14:paraId="722F7487" w14:textId="77777777" w:rsidR="00C9115B" w:rsidRDefault="00C9115B" w:rsidP="00C9115B">
    <w:r>
      <w:t xml:space="preserve">Page </w:t>
    </w:r>
    <w:r>
      <w:fldChar w:fldCharType="begin"/>
    </w:r>
    <w:r>
      <w:instrText xml:space="preserve"> PAGE </w:instrText>
    </w:r>
    <w:r>
      <w:fldChar w:fldCharType="separate"/>
    </w:r>
    <w:r>
      <w:t>16</w:t>
    </w:r>
    <w:r>
      <w:fldChar w:fldCharType="end"/>
    </w:r>
  </w:p>
  <w:p w14:paraId="470C3D4B" w14:textId="77777777" w:rsidR="00C9115B" w:rsidRDefault="00C9115B" w:rsidP="0084233D">
    <w:pPr>
      <w:pStyle w:val="Header"/>
    </w:pPr>
  </w:p>
  <w:p w14:paraId="3B985105" w14:textId="77777777" w:rsidR="00C9115B" w:rsidRDefault="00C9115B" w:rsidP="0084233D">
    <w:pPr>
      <w:pStyle w:val="Header"/>
      <w:ind w:left="-1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878A" w14:textId="77777777" w:rsidR="006D3FE9" w:rsidRDefault="006D3FE9" w:rsidP="006D3FE9">
    <w:r w:rsidRPr="008B3735">
      <w:rPr>
        <w:bCs/>
        <w:sz w:val="24"/>
      </w:rPr>
      <w:t>Nerino</w:t>
    </w:r>
  </w:p>
  <w:p w14:paraId="55618778" w14:textId="2925249A" w:rsidR="006D3FE9" w:rsidRDefault="006D3FE9" w:rsidP="006D3FE9">
    <w:r>
      <w:t xml:space="preserve">March </w:t>
    </w:r>
    <w:r w:rsidR="00860E58">
      <w:t>22</w:t>
    </w:r>
    <w:r>
      <w:t>, 2022</w:t>
    </w:r>
  </w:p>
  <w:p w14:paraId="158F080D" w14:textId="77777777" w:rsidR="0013585D" w:rsidRDefault="0013585D" w:rsidP="00E73AFC">
    <w:r>
      <w:t xml:space="preserve">Page </w:t>
    </w:r>
    <w:r>
      <w:fldChar w:fldCharType="begin"/>
    </w:r>
    <w:r>
      <w:instrText xml:space="preserve"> PAGE </w:instrText>
    </w:r>
    <w:r>
      <w:fldChar w:fldCharType="separate"/>
    </w:r>
    <w:r>
      <w:t>9</w:t>
    </w:r>
    <w:r>
      <w:fldChar w:fldCharType="end"/>
    </w:r>
  </w:p>
  <w:p w14:paraId="7252B8C0" w14:textId="2B3498EA" w:rsidR="0013585D" w:rsidRDefault="0013585D" w:rsidP="0079649A">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693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1C0B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0AEF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FA43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A87D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6A5A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9"/>
    <w:multiLevelType w:val="singleLevel"/>
    <w:tmpl w:val="ED2A192C"/>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9070352"/>
    <w:multiLevelType w:val="hybridMultilevel"/>
    <w:tmpl w:val="30160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65608A"/>
    <w:multiLevelType w:val="hybridMultilevel"/>
    <w:tmpl w:val="71E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35F8B"/>
    <w:multiLevelType w:val="hybridMultilevel"/>
    <w:tmpl w:val="2940D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77654"/>
    <w:multiLevelType w:val="hybridMultilevel"/>
    <w:tmpl w:val="1A7C8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90622"/>
    <w:multiLevelType w:val="hybridMultilevel"/>
    <w:tmpl w:val="C7D4C05E"/>
    <w:lvl w:ilvl="0" w:tplc="80246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53FEE"/>
    <w:multiLevelType w:val="hybridMultilevel"/>
    <w:tmpl w:val="9DC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60C46"/>
    <w:multiLevelType w:val="hybridMultilevel"/>
    <w:tmpl w:val="05866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E87EFB"/>
    <w:multiLevelType w:val="hybridMultilevel"/>
    <w:tmpl w:val="A230B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C34948"/>
    <w:multiLevelType w:val="hybridMultilevel"/>
    <w:tmpl w:val="6C58C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02F5E"/>
    <w:multiLevelType w:val="hybridMultilevel"/>
    <w:tmpl w:val="A6708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9575AA"/>
    <w:multiLevelType w:val="hybridMultilevel"/>
    <w:tmpl w:val="4AE4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249CB"/>
    <w:multiLevelType w:val="hybridMultilevel"/>
    <w:tmpl w:val="66BE2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6C065F"/>
    <w:multiLevelType w:val="hybridMultilevel"/>
    <w:tmpl w:val="1F68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C7B06"/>
    <w:multiLevelType w:val="hybridMultilevel"/>
    <w:tmpl w:val="00D0863C"/>
    <w:lvl w:ilvl="0" w:tplc="FB4428FE">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1C2C"/>
    <w:multiLevelType w:val="hybridMultilevel"/>
    <w:tmpl w:val="DBD4F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123B41"/>
    <w:multiLevelType w:val="hybridMultilevel"/>
    <w:tmpl w:val="0978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A5156"/>
    <w:multiLevelType w:val="hybridMultilevel"/>
    <w:tmpl w:val="05866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34F3A"/>
    <w:multiLevelType w:val="hybridMultilevel"/>
    <w:tmpl w:val="05BEA3A8"/>
    <w:lvl w:ilvl="0" w:tplc="AFDAC6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B38"/>
    <w:multiLevelType w:val="hybridMultilevel"/>
    <w:tmpl w:val="89E461CE"/>
    <w:lvl w:ilvl="0" w:tplc="753E6E36">
      <w:start w:val="1"/>
      <w:numFmt w:val="bullet"/>
      <w:pStyle w:val="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37348"/>
    <w:multiLevelType w:val="hybridMultilevel"/>
    <w:tmpl w:val="D0362C58"/>
    <w:lvl w:ilvl="0" w:tplc="78167634">
      <w:start w:val="1"/>
      <w:numFmt w:val="bullet"/>
      <w:pStyle w:val="ListBullet"/>
      <w:lvlText w:val="•"/>
      <w:lvlJc w:val="left"/>
      <w:pPr>
        <w:ind w:left="1170" w:hanging="360"/>
      </w:pPr>
      <w:rPr>
        <w:rFonts w:ascii="Times New Roman"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E4A2D4B"/>
    <w:multiLevelType w:val="hybridMultilevel"/>
    <w:tmpl w:val="8B5C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0"/>
  </w:num>
  <w:num w:numId="4">
    <w:abstractNumId w:val="15"/>
  </w:num>
  <w:num w:numId="5">
    <w:abstractNumId w:val="29"/>
    <w:lvlOverride w:ilvl="0">
      <w:startOverride w:val="1"/>
    </w:lvlOverride>
  </w:num>
  <w:num w:numId="6">
    <w:abstractNumId w:val="5"/>
  </w:num>
  <w:num w:numId="7">
    <w:abstractNumId w:val="4"/>
  </w:num>
  <w:num w:numId="8">
    <w:abstractNumId w:val="3"/>
  </w:num>
  <w:num w:numId="9">
    <w:abstractNumId w:val="2"/>
  </w:num>
  <w:num w:numId="10">
    <w:abstractNumId w:val="1"/>
  </w:num>
  <w:num w:numId="11">
    <w:abstractNumId w:val="0"/>
  </w:num>
  <w:num w:numId="12">
    <w:abstractNumId w:val="23"/>
  </w:num>
  <w:num w:numId="13">
    <w:abstractNumId w:val="6"/>
  </w:num>
  <w:num w:numId="14">
    <w:abstractNumId w:val="30"/>
  </w:num>
  <w:num w:numId="15">
    <w:abstractNumId w:val="22"/>
  </w:num>
  <w:num w:numId="16">
    <w:abstractNumId w:val="7"/>
  </w:num>
  <w:num w:numId="17">
    <w:abstractNumId w:val="7"/>
  </w:num>
  <w:num w:numId="18">
    <w:abstractNumId w:val="29"/>
  </w:num>
  <w:num w:numId="19">
    <w:abstractNumId w:val="29"/>
  </w:num>
  <w:num w:numId="20">
    <w:abstractNumId w:val="29"/>
  </w:num>
  <w:num w:numId="21">
    <w:abstractNumId w:val="11"/>
  </w:num>
  <w:num w:numId="22">
    <w:abstractNumId w:val="9"/>
  </w:num>
  <w:num w:numId="23">
    <w:abstractNumId w:val="19"/>
  </w:num>
  <w:num w:numId="24">
    <w:abstractNumId w:val="13"/>
  </w:num>
  <w:num w:numId="25">
    <w:abstractNumId w:val="17"/>
  </w:num>
  <w:num w:numId="26">
    <w:abstractNumId w:val="26"/>
  </w:num>
  <w:num w:numId="27">
    <w:abstractNumId w:val="16"/>
  </w:num>
  <w:num w:numId="28">
    <w:abstractNumId w:val="27"/>
  </w:num>
  <w:num w:numId="29">
    <w:abstractNumId w:val="14"/>
  </w:num>
  <w:num w:numId="30">
    <w:abstractNumId w:val="28"/>
  </w:num>
  <w:num w:numId="31">
    <w:abstractNumId w:val="25"/>
  </w:num>
  <w:num w:numId="32">
    <w:abstractNumId w:val="12"/>
  </w:num>
  <w:num w:numId="33">
    <w:abstractNumId w:val="18"/>
  </w:num>
  <w:num w:numId="34">
    <w:abstractNumId w:val="24"/>
  </w:num>
  <w:num w:numId="35">
    <w:abstractNumId w:val="8"/>
  </w:num>
  <w:num w:numId="36">
    <w:abstractNumId w:val="2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52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C"/>
    <w:rsid w:val="0000153A"/>
    <w:rsid w:val="000062B1"/>
    <w:rsid w:val="0000632F"/>
    <w:rsid w:val="00007A89"/>
    <w:rsid w:val="000121DB"/>
    <w:rsid w:val="00012F2E"/>
    <w:rsid w:val="00017F57"/>
    <w:rsid w:val="00020069"/>
    <w:rsid w:val="00024F00"/>
    <w:rsid w:val="000275C2"/>
    <w:rsid w:val="00034F32"/>
    <w:rsid w:val="0003540C"/>
    <w:rsid w:val="00036C28"/>
    <w:rsid w:val="0004052C"/>
    <w:rsid w:val="00041D7F"/>
    <w:rsid w:val="00041EFD"/>
    <w:rsid w:val="00042B87"/>
    <w:rsid w:val="00047960"/>
    <w:rsid w:val="00050CE5"/>
    <w:rsid w:val="0005797A"/>
    <w:rsid w:val="00057E5A"/>
    <w:rsid w:val="00063E5D"/>
    <w:rsid w:val="000646AA"/>
    <w:rsid w:val="0006648E"/>
    <w:rsid w:val="00066760"/>
    <w:rsid w:val="00070D52"/>
    <w:rsid w:val="000773DD"/>
    <w:rsid w:val="000821B1"/>
    <w:rsid w:val="00087687"/>
    <w:rsid w:val="0009097A"/>
    <w:rsid w:val="00090E97"/>
    <w:rsid w:val="00090F23"/>
    <w:rsid w:val="0009244D"/>
    <w:rsid w:val="00095D12"/>
    <w:rsid w:val="000A02BD"/>
    <w:rsid w:val="000A0BB5"/>
    <w:rsid w:val="000A0FAF"/>
    <w:rsid w:val="000A173E"/>
    <w:rsid w:val="000A1851"/>
    <w:rsid w:val="000B0E39"/>
    <w:rsid w:val="000B2098"/>
    <w:rsid w:val="000C2626"/>
    <w:rsid w:val="000C7CD5"/>
    <w:rsid w:val="000D3CA3"/>
    <w:rsid w:val="000D4403"/>
    <w:rsid w:val="000D54A9"/>
    <w:rsid w:val="000D7742"/>
    <w:rsid w:val="000D7DA7"/>
    <w:rsid w:val="000E0C46"/>
    <w:rsid w:val="000E1C03"/>
    <w:rsid w:val="000E1C65"/>
    <w:rsid w:val="000E2A5D"/>
    <w:rsid w:val="000E30DD"/>
    <w:rsid w:val="000E336A"/>
    <w:rsid w:val="000E3BB5"/>
    <w:rsid w:val="000E433D"/>
    <w:rsid w:val="000E4E0A"/>
    <w:rsid w:val="000E64D4"/>
    <w:rsid w:val="000F212E"/>
    <w:rsid w:val="000F36C4"/>
    <w:rsid w:val="000F3B59"/>
    <w:rsid w:val="000F549C"/>
    <w:rsid w:val="000F77D9"/>
    <w:rsid w:val="000F7973"/>
    <w:rsid w:val="00115F84"/>
    <w:rsid w:val="00116839"/>
    <w:rsid w:val="0012033C"/>
    <w:rsid w:val="00122401"/>
    <w:rsid w:val="00123F7B"/>
    <w:rsid w:val="0012449E"/>
    <w:rsid w:val="00126F98"/>
    <w:rsid w:val="0012740C"/>
    <w:rsid w:val="0013585D"/>
    <w:rsid w:val="00136DAB"/>
    <w:rsid w:val="00141D9E"/>
    <w:rsid w:val="00142161"/>
    <w:rsid w:val="00142E71"/>
    <w:rsid w:val="00143CAB"/>
    <w:rsid w:val="0015065B"/>
    <w:rsid w:val="0015096A"/>
    <w:rsid w:val="001526D3"/>
    <w:rsid w:val="00154534"/>
    <w:rsid w:val="00154C4B"/>
    <w:rsid w:val="0015678A"/>
    <w:rsid w:val="00157266"/>
    <w:rsid w:val="00157861"/>
    <w:rsid w:val="001579D9"/>
    <w:rsid w:val="0016000D"/>
    <w:rsid w:val="00162E42"/>
    <w:rsid w:val="00163219"/>
    <w:rsid w:val="00164B0B"/>
    <w:rsid w:val="001703D7"/>
    <w:rsid w:val="001708BF"/>
    <w:rsid w:val="00171791"/>
    <w:rsid w:val="0017285F"/>
    <w:rsid w:val="00173398"/>
    <w:rsid w:val="0017449B"/>
    <w:rsid w:val="00175F9E"/>
    <w:rsid w:val="0017720D"/>
    <w:rsid w:val="00177A20"/>
    <w:rsid w:val="00181316"/>
    <w:rsid w:val="00181D76"/>
    <w:rsid w:val="001822E1"/>
    <w:rsid w:val="00182BAC"/>
    <w:rsid w:val="00183E69"/>
    <w:rsid w:val="001849BE"/>
    <w:rsid w:val="00185518"/>
    <w:rsid w:val="001857E9"/>
    <w:rsid w:val="00192D31"/>
    <w:rsid w:val="00192EEC"/>
    <w:rsid w:val="00193F39"/>
    <w:rsid w:val="00194E1C"/>
    <w:rsid w:val="00196B94"/>
    <w:rsid w:val="001A3016"/>
    <w:rsid w:val="001B19E6"/>
    <w:rsid w:val="001B29F9"/>
    <w:rsid w:val="001B5CEC"/>
    <w:rsid w:val="001B6764"/>
    <w:rsid w:val="001B7313"/>
    <w:rsid w:val="001C0117"/>
    <w:rsid w:val="001C1382"/>
    <w:rsid w:val="001C313A"/>
    <w:rsid w:val="001C4570"/>
    <w:rsid w:val="001C6E32"/>
    <w:rsid w:val="001C7CD6"/>
    <w:rsid w:val="001D0520"/>
    <w:rsid w:val="001D069C"/>
    <w:rsid w:val="001D11E9"/>
    <w:rsid w:val="001D2FC6"/>
    <w:rsid w:val="001D3C50"/>
    <w:rsid w:val="001D4370"/>
    <w:rsid w:val="001D4BDA"/>
    <w:rsid w:val="001D6CBB"/>
    <w:rsid w:val="001E1AC4"/>
    <w:rsid w:val="001E2E34"/>
    <w:rsid w:val="001E3236"/>
    <w:rsid w:val="001E3D83"/>
    <w:rsid w:val="001E604E"/>
    <w:rsid w:val="001F4912"/>
    <w:rsid w:val="001F4D2B"/>
    <w:rsid w:val="0020021B"/>
    <w:rsid w:val="00204D17"/>
    <w:rsid w:val="00205097"/>
    <w:rsid w:val="00210096"/>
    <w:rsid w:val="00210607"/>
    <w:rsid w:val="00211749"/>
    <w:rsid w:val="00212A33"/>
    <w:rsid w:val="00213A75"/>
    <w:rsid w:val="00215AAF"/>
    <w:rsid w:val="00222355"/>
    <w:rsid w:val="002252FB"/>
    <w:rsid w:val="00226A7B"/>
    <w:rsid w:val="00236BD7"/>
    <w:rsid w:val="002428CF"/>
    <w:rsid w:val="00242CAB"/>
    <w:rsid w:val="00242D5C"/>
    <w:rsid w:val="00247B6E"/>
    <w:rsid w:val="0025468A"/>
    <w:rsid w:val="00255760"/>
    <w:rsid w:val="00255EF4"/>
    <w:rsid w:val="002646C9"/>
    <w:rsid w:val="00264A09"/>
    <w:rsid w:val="00265429"/>
    <w:rsid w:val="0027034D"/>
    <w:rsid w:val="00280D24"/>
    <w:rsid w:val="00282D56"/>
    <w:rsid w:val="00285F08"/>
    <w:rsid w:val="002870DB"/>
    <w:rsid w:val="00291E3C"/>
    <w:rsid w:val="002949D6"/>
    <w:rsid w:val="002958ED"/>
    <w:rsid w:val="0029683A"/>
    <w:rsid w:val="002A0048"/>
    <w:rsid w:val="002A0D9B"/>
    <w:rsid w:val="002A1793"/>
    <w:rsid w:val="002A2564"/>
    <w:rsid w:val="002A2828"/>
    <w:rsid w:val="002A2EB1"/>
    <w:rsid w:val="002A4960"/>
    <w:rsid w:val="002A716C"/>
    <w:rsid w:val="002B0E3F"/>
    <w:rsid w:val="002B10A0"/>
    <w:rsid w:val="002B15AF"/>
    <w:rsid w:val="002B20EE"/>
    <w:rsid w:val="002B214B"/>
    <w:rsid w:val="002C27E8"/>
    <w:rsid w:val="002D04C8"/>
    <w:rsid w:val="002D2154"/>
    <w:rsid w:val="002D5415"/>
    <w:rsid w:val="002D57CC"/>
    <w:rsid w:val="002D6A6C"/>
    <w:rsid w:val="002D7685"/>
    <w:rsid w:val="002D7CBF"/>
    <w:rsid w:val="002E1126"/>
    <w:rsid w:val="002E7DA1"/>
    <w:rsid w:val="002F05DF"/>
    <w:rsid w:val="002F0EFA"/>
    <w:rsid w:val="002F549D"/>
    <w:rsid w:val="002F59E7"/>
    <w:rsid w:val="002F65BE"/>
    <w:rsid w:val="003042EF"/>
    <w:rsid w:val="00304872"/>
    <w:rsid w:val="00306568"/>
    <w:rsid w:val="00306B18"/>
    <w:rsid w:val="00307579"/>
    <w:rsid w:val="003118AB"/>
    <w:rsid w:val="00314327"/>
    <w:rsid w:val="00316F9F"/>
    <w:rsid w:val="0032021D"/>
    <w:rsid w:val="00321BDA"/>
    <w:rsid w:val="0032366A"/>
    <w:rsid w:val="003248B1"/>
    <w:rsid w:val="003252EA"/>
    <w:rsid w:val="00330652"/>
    <w:rsid w:val="00330971"/>
    <w:rsid w:val="003340EF"/>
    <w:rsid w:val="00336F15"/>
    <w:rsid w:val="00340088"/>
    <w:rsid w:val="00340251"/>
    <w:rsid w:val="00340CA4"/>
    <w:rsid w:val="003546EF"/>
    <w:rsid w:val="00357A79"/>
    <w:rsid w:val="0036329B"/>
    <w:rsid w:val="003644ED"/>
    <w:rsid w:val="00365792"/>
    <w:rsid w:val="003659B2"/>
    <w:rsid w:val="00365F88"/>
    <w:rsid w:val="0037125B"/>
    <w:rsid w:val="003730C7"/>
    <w:rsid w:val="00373E5D"/>
    <w:rsid w:val="003750BA"/>
    <w:rsid w:val="003755BE"/>
    <w:rsid w:val="00376802"/>
    <w:rsid w:val="0038090C"/>
    <w:rsid w:val="0038126C"/>
    <w:rsid w:val="0038217D"/>
    <w:rsid w:val="00382C78"/>
    <w:rsid w:val="00383BA9"/>
    <w:rsid w:val="00386516"/>
    <w:rsid w:val="00386E7E"/>
    <w:rsid w:val="00393DDA"/>
    <w:rsid w:val="003969B5"/>
    <w:rsid w:val="0039766F"/>
    <w:rsid w:val="003A13A4"/>
    <w:rsid w:val="003A19AE"/>
    <w:rsid w:val="003A2F87"/>
    <w:rsid w:val="003A4CF6"/>
    <w:rsid w:val="003A6A6C"/>
    <w:rsid w:val="003B17E3"/>
    <w:rsid w:val="003B54B0"/>
    <w:rsid w:val="003B6705"/>
    <w:rsid w:val="003C0A2F"/>
    <w:rsid w:val="003C322A"/>
    <w:rsid w:val="003C393B"/>
    <w:rsid w:val="003C4E92"/>
    <w:rsid w:val="003C759C"/>
    <w:rsid w:val="003D0464"/>
    <w:rsid w:val="003D05D5"/>
    <w:rsid w:val="003D27E1"/>
    <w:rsid w:val="003D2DE0"/>
    <w:rsid w:val="003D75D6"/>
    <w:rsid w:val="003E1D2D"/>
    <w:rsid w:val="003E3AD2"/>
    <w:rsid w:val="003F0CAD"/>
    <w:rsid w:val="003F21D9"/>
    <w:rsid w:val="003F29D8"/>
    <w:rsid w:val="003F664E"/>
    <w:rsid w:val="003F70CE"/>
    <w:rsid w:val="003F7580"/>
    <w:rsid w:val="00400225"/>
    <w:rsid w:val="00401211"/>
    <w:rsid w:val="00402077"/>
    <w:rsid w:val="00404122"/>
    <w:rsid w:val="00405C41"/>
    <w:rsid w:val="00407DB9"/>
    <w:rsid w:val="00410326"/>
    <w:rsid w:val="004117D8"/>
    <w:rsid w:val="0041288A"/>
    <w:rsid w:val="004133F6"/>
    <w:rsid w:val="004134C9"/>
    <w:rsid w:val="00414A7F"/>
    <w:rsid w:val="00414D71"/>
    <w:rsid w:val="00415B1A"/>
    <w:rsid w:val="00416020"/>
    <w:rsid w:val="00416C95"/>
    <w:rsid w:val="00417D98"/>
    <w:rsid w:val="00421AE6"/>
    <w:rsid w:val="00426511"/>
    <w:rsid w:val="00430178"/>
    <w:rsid w:val="00432024"/>
    <w:rsid w:val="00441144"/>
    <w:rsid w:val="00451CA9"/>
    <w:rsid w:val="00460317"/>
    <w:rsid w:val="004605A9"/>
    <w:rsid w:val="00461EBD"/>
    <w:rsid w:val="004629F9"/>
    <w:rsid w:val="00463CD2"/>
    <w:rsid w:val="004644B9"/>
    <w:rsid w:val="0047314C"/>
    <w:rsid w:val="00477D9D"/>
    <w:rsid w:val="0048098E"/>
    <w:rsid w:val="004848BA"/>
    <w:rsid w:val="00484D50"/>
    <w:rsid w:val="00490A32"/>
    <w:rsid w:val="004924A5"/>
    <w:rsid w:val="00493240"/>
    <w:rsid w:val="00496351"/>
    <w:rsid w:val="00496B1F"/>
    <w:rsid w:val="004A0219"/>
    <w:rsid w:val="004A0AD3"/>
    <w:rsid w:val="004A1F4B"/>
    <w:rsid w:val="004A3A05"/>
    <w:rsid w:val="004A5B2D"/>
    <w:rsid w:val="004B15A5"/>
    <w:rsid w:val="004B24ED"/>
    <w:rsid w:val="004B48AD"/>
    <w:rsid w:val="004B4F46"/>
    <w:rsid w:val="004B5571"/>
    <w:rsid w:val="004B6D07"/>
    <w:rsid w:val="004C0B67"/>
    <w:rsid w:val="004C1601"/>
    <w:rsid w:val="004C1DB7"/>
    <w:rsid w:val="004D19EE"/>
    <w:rsid w:val="004D55D5"/>
    <w:rsid w:val="004D659E"/>
    <w:rsid w:val="004D7A38"/>
    <w:rsid w:val="004E0010"/>
    <w:rsid w:val="004E7311"/>
    <w:rsid w:val="004F0D27"/>
    <w:rsid w:val="004F637A"/>
    <w:rsid w:val="004F7A82"/>
    <w:rsid w:val="005001E3"/>
    <w:rsid w:val="00503651"/>
    <w:rsid w:val="00505256"/>
    <w:rsid w:val="005061C1"/>
    <w:rsid w:val="00507310"/>
    <w:rsid w:val="00511DFD"/>
    <w:rsid w:val="00512BF8"/>
    <w:rsid w:val="005149AF"/>
    <w:rsid w:val="005209F2"/>
    <w:rsid w:val="00520B57"/>
    <w:rsid w:val="005252D9"/>
    <w:rsid w:val="00531E9F"/>
    <w:rsid w:val="005326BD"/>
    <w:rsid w:val="00532E12"/>
    <w:rsid w:val="00532F98"/>
    <w:rsid w:val="005348FF"/>
    <w:rsid w:val="00534F53"/>
    <w:rsid w:val="00535406"/>
    <w:rsid w:val="005374D4"/>
    <w:rsid w:val="00537A55"/>
    <w:rsid w:val="00537C69"/>
    <w:rsid w:val="00544BAF"/>
    <w:rsid w:val="005459AA"/>
    <w:rsid w:val="00550330"/>
    <w:rsid w:val="005620F4"/>
    <w:rsid w:val="00564CA1"/>
    <w:rsid w:val="00565D05"/>
    <w:rsid w:val="00565D78"/>
    <w:rsid w:val="00583459"/>
    <w:rsid w:val="005837DF"/>
    <w:rsid w:val="005837F3"/>
    <w:rsid w:val="00584897"/>
    <w:rsid w:val="00584899"/>
    <w:rsid w:val="005905F2"/>
    <w:rsid w:val="00590AC2"/>
    <w:rsid w:val="00591CBC"/>
    <w:rsid w:val="00593DD0"/>
    <w:rsid w:val="00596702"/>
    <w:rsid w:val="005A4559"/>
    <w:rsid w:val="005A47D2"/>
    <w:rsid w:val="005A6DCC"/>
    <w:rsid w:val="005B0E03"/>
    <w:rsid w:val="005B15EB"/>
    <w:rsid w:val="005B6934"/>
    <w:rsid w:val="005B73AD"/>
    <w:rsid w:val="005C44B9"/>
    <w:rsid w:val="005D2DB0"/>
    <w:rsid w:val="005D3D67"/>
    <w:rsid w:val="005D484F"/>
    <w:rsid w:val="005D65BC"/>
    <w:rsid w:val="005D66B2"/>
    <w:rsid w:val="005E2D5C"/>
    <w:rsid w:val="005E648B"/>
    <w:rsid w:val="005F64FB"/>
    <w:rsid w:val="005F6D46"/>
    <w:rsid w:val="0060156C"/>
    <w:rsid w:val="00603DB4"/>
    <w:rsid w:val="00606688"/>
    <w:rsid w:val="006073B4"/>
    <w:rsid w:val="006074F1"/>
    <w:rsid w:val="00612BAE"/>
    <w:rsid w:val="00615307"/>
    <w:rsid w:val="00615D2B"/>
    <w:rsid w:val="00615E12"/>
    <w:rsid w:val="00616123"/>
    <w:rsid w:val="00616A76"/>
    <w:rsid w:val="00617D2F"/>
    <w:rsid w:val="00621134"/>
    <w:rsid w:val="00621B59"/>
    <w:rsid w:val="006220BD"/>
    <w:rsid w:val="0063657D"/>
    <w:rsid w:val="00640DA5"/>
    <w:rsid w:val="00641232"/>
    <w:rsid w:val="00641A43"/>
    <w:rsid w:val="006433DB"/>
    <w:rsid w:val="0064491C"/>
    <w:rsid w:val="00645BB2"/>
    <w:rsid w:val="00646660"/>
    <w:rsid w:val="00646723"/>
    <w:rsid w:val="00651011"/>
    <w:rsid w:val="0065346A"/>
    <w:rsid w:val="0065795D"/>
    <w:rsid w:val="006606FB"/>
    <w:rsid w:val="00660AEE"/>
    <w:rsid w:val="006651FE"/>
    <w:rsid w:val="006701C3"/>
    <w:rsid w:val="00672CE9"/>
    <w:rsid w:val="00673383"/>
    <w:rsid w:val="006745F6"/>
    <w:rsid w:val="006759D4"/>
    <w:rsid w:val="00681961"/>
    <w:rsid w:val="0069399D"/>
    <w:rsid w:val="00694353"/>
    <w:rsid w:val="00694AC5"/>
    <w:rsid w:val="00696886"/>
    <w:rsid w:val="00697AA7"/>
    <w:rsid w:val="006A2F10"/>
    <w:rsid w:val="006A48F7"/>
    <w:rsid w:val="006A4E1D"/>
    <w:rsid w:val="006A65B4"/>
    <w:rsid w:val="006A7213"/>
    <w:rsid w:val="006A7726"/>
    <w:rsid w:val="006B2A21"/>
    <w:rsid w:val="006B3426"/>
    <w:rsid w:val="006C1F77"/>
    <w:rsid w:val="006C24DD"/>
    <w:rsid w:val="006C3150"/>
    <w:rsid w:val="006C5B1C"/>
    <w:rsid w:val="006C5BEB"/>
    <w:rsid w:val="006D0482"/>
    <w:rsid w:val="006D09D0"/>
    <w:rsid w:val="006D115B"/>
    <w:rsid w:val="006D1B99"/>
    <w:rsid w:val="006D2754"/>
    <w:rsid w:val="006D3FE9"/>
    <w:rsid w:val="006D521F"/>
    <w:rsid w:val="006D6CEF"/>
    <w:rsid w:val="006E39A0"/>
    <w:rsid w:val="006E4DC3"/>
    <w:rsid w:val="006F2587"/>
    <w:rsid w:val="006F3ED0"/>
    <w:rsid w:val="006F505B"/>
    <w:rsid w:val="00701AC8"/>
    <w:rsid w:val="00705031"/>
    <w:rsid w:val="0070679A"/>
    <w:rsid w:val="00707BD9"/>
    <w:rsid w:val="00707CB3"/>
    <w:rsid w:val="007110A2"/>
    <w:rsid w:val="0071383C"/>
    <w:rsid w:val="00713C84"/>
    <w:rsid w:val="00713D28"/>
    <w:rsid w:val="00714DB7"/>
    <w:rsid w:val="00714EDE"/>
    <w:rsid w:val="00722286"/>
    <w:rsid w:val="00722CA1"/>
    <w:rsid w:val="00726062"/>
    <w:rsid w:val="00726561"/>
    <w:rsid w:val="00731A70"/>
    <w:rsid w:val="0073204A"/>
    <w:rsid w:val="007327FE"/>
    <w:rsid w:val="00743408"/>
    <w:rsid w:val="007458EF"/>
    <w:rsid w:val="007469F4"/>
    <w:rsid w:val="00747A32"/>
    <w:rsid w:val="0075010A"/>
    <w:rsid w:val="00751057"/>
    <w:rsid w:val="00754ECE"/>
    <w:rsid w:val="0075620B"/>
    <w:rsid w:val="007634C1"/>
    <w:rsid w:val="0076711B"/>
    <w:rsid w:val="007705C5"/>
    <w:rsid w:val="00771E4F"/>
    <w:rsid w:val="0077345E"/>
    <w:rsid w:val="007735FD"/>
    <w:rsid w:val="00774AD6"/>
    <w:rsid w:val="0077545D"/>
    <w:rsid w:val="007766E5"/>
    <w:rsid w:val="0078761B"/>
    <w:rsid w:val="00790164"/>
    <w:rsid w:val="007904BA"/>
    <w:rsid w:val="00790807"/>
    <w:rsid w:val="007943A8"/>
    <w:rsid w:val="00794A61"/>
    <w:rsid w:val="0079649A"/>
    <w:rsid w:val="0079709B"/>
    <w:rsid w:val="007A1F78"/>
    <w:rsid w:val="007A5420"/>
    <w:rsid w:val="007A545A"/>
    <w:rsid w:val="007A6016"/>
    <w:rsid w:val="007A7AAD"/>
    <w:rsid w:val="007B038E"/>
    <w:rsid w:val="007B12F5"/>
    <w:rsid w:val="007B493F"/>
    <w:rsid w:val="007B4FB1"/>
    <w:rsid w:val="007B7245"/>
    <w:rsid w:val="007B7DE5"/>
    <w:rsid w:val="007B7F2C"/>
    <w:rsid w:val="007C2215"/>
    <w:rsid w:val="007C5C5A"/>
    <w:rsid w:val="007D05BF"/>
    <w:rsid w:val="007D0CD2"/>
    <w:rsid w:val="007D2F4B"/>
    <w:rsid w:val="007D41F9"/>
    <w:rsid w:val="007D4AC4"/>
    <w:rsid w:val="007D579E"/>
    <w:rsid w:val="007D59B0"/>
    <w:rsid w:val="007D6A38"/>
    <w:rsid w:val="007D77D6"/>
    <w:rsid w:val="007E0772"/>
    <w:rsid w:val="007E1E6B"/>
    <w:rsid w:val="007E3387"/>
    <w:rsid w:val="007E4A6A"/>
    <w:rsid w:val="007E73A0"/>
    <w:rsid w:val="007F0892"/>
    <w:rsid w:val="007F16D4"/>
    <w:rsid w:val="007F3FAB"/>
    <w:rsid w:val="007F5073"/>
    <w:rsid w:val="00800E55"/>
    <w:rsid w:val="00801BA9"/>
    <w:rsid w:val="008028F2"/>
    <w:rsid w:val="00804475"/>
    <w:rsid w:val="00806A05"/>
    <w:rsid w:val="0080779D"/>
    <w:rsid w:val="0081025B"/>
    <w:rsid w:val="00810429"/>
    <w:rsid w:val="00814339"/>
    <w:rsid w:val="00814DB3"/>
    <w:rsid w:val="00816015"/>
    <w:rsid w:val="00821384"/>
    <w:rsid w:val="008213EE"/>
    <w:rsid w:val="008226AC"/>
    <w:rsid w:val="0082341C"/>
    <w:rsid w:val="0082657B"/>
    <w:rsid w:val="00831AFB"/>
    <w:rsid w:val="00836F08"/>
    <w:rsid w:val="00840651"/>
    <w:rsid w:val="008409F7"/>
    <w:rsid w:val="0084233D"/>
    <w:rsid w:val="00844D2B"/>
    <w:rsid w:val="008452FE"/>
    <w:rsid w:val="0084547D"/>
    <w:rsid w:val="00845A7E"/>
    <w:rsid w:val="00847094"/>
    <w:rsid w:val="008472E0"/>
    <w:rsid w:val="0085087D"/>
    <w:rsid w:val="00850AC6"/>
    <w:rsid w:val="00850FF0"/>
    <w:rsid w:val="008514C1"/>
    <w:rsid w:val="008553D0"/>
    <w:rsid w:val="00860CB4"/>
    <w:rsid w:val="00860E58"/>
    <w:rsid w:val="0086352E"/>
    <w:rsid w:val="00865D4B"/>
    <w:rsid w:val="0086622A"/>
    <w:rsid w:val="00866542"/>
    <w:rsid w:val="008667A2"/>
    <w:rsid w:val="008668CD"/>
    <w:rsid w:val="00867CBA"/>
    <w:rsid w:val="00873D0A"/>
    <w:rsid w:val="008746CE"/>
    <w:rsid w:val="00874F24"/>
    <w:rsid w:val="00881322"/>
    <w:rsid w:val="008849E9"/>
    <w:rsid w:val="00886D22"/>
    <w:rsid w:val="00887754"/>
    <w:rsid w:val="008879C5"/>
    <w:rsid w:val="0089034B"/>
    <w:rsid w:val="008909A9"/>
    <w:rsid w:val="00891A89"/>
    <w:rsid w:val="008928A1"/>
    <w:rsid w:val="00892A93"/>
    <w:rsid w:val="00892B32"/>
    <w:rsid w:val="00894338"/>
    <w:rsid w:val="00895007"/>
    <w:rsid w:val="00895372"/>
    <w:rsid w:val="0089582A"/>
    <w:rsid w:val="008A112E"/>
    <w:rsid w:val="008A1F77"/>
    <w:rsid w:val="008A24D6"/>
    <w:rsid w:val="008A3E6E"/>
    <w:rsid w:val="008B08D4"/>
    <w:rsid w:val="008B2FA0"/>
    <w:rsid w:val="008B3735"/>
    <w:rsid w:val="008B40DD"/>
    <w:rsid w:val="008B6466"/>
    <w:rsid w:val="008D1C44"/>
    <w:rsid w:val="008D5E5B"/>
    <w:rsid w:val="008D5FA7"/>
    <w:rsid w:val="008D654D"/>
    <w:rsid w:val="008E0CFA"/>
    <w:rsid w:val="008E3AD8"/>
    <w:rsid w:val="008E4435"/>
    <w:rsid w:val="008E451A"/>
    <w:rsid w:val="008E5199"/>
    <w:rsid w:val="008E604B"/>
    <w:rsid w:val="008E778C"/>
    <w:rsid w:val="008E78AD"/>
    <w:rsid w:val="008F152C"/>
    <w:rsid w:val="008F24F7"/>
    <w:rsid w:val="008F2B98"/>
    <w:rsid w:val="008F2D24"/>
    <w:rsid w:val="00900FA7"/>
    <w:rsid w:val="009018FB"/>
    <w:rsid w:val="00901CFB"/>
    <w:rsid w:val="00904631"/>
    <w:rsid w:val="009070DB"/>
    <w:rsid w:val="00912582"/>
    <w:rsid w:val="00916A52"/>
    <w:rsid w:val="00916BA2"/>
    <w:rsid w:val="00916FCC"/>
    <w:rsid w:val="00923947"/>
    <w:rsid w:val="009269E1"/>
    <w:rsid w:val="00926D61"/>
    <w:rsid w:val="009371CA"/>
    <w:rsid w:val="00946EB8"/>
    <w:rsid w:val="009470A7"/>
    <w:rsid w:val="0094744F"/>
    <w:rsid w:val="00947674"/>
    <w:rsid w:val="0094778F"/>
    <w:rsid w:val="00951645"/>
    <w:rsid w:val="0095748A"/>
    <w:rsid w:val="00961F3B"/>
    <w:rsid w:val="009630F6"/>
    <w:rsid w:val="00967003"/>
    <w:rsid w:val="0096719C"/>
    <w:rsid w:val="0097133B"/>
    <w:rsid w:val="0097174E"/>
    <w:rsid w:val="009728DA"/>
    <w:rsid w:val="00974212"/>
    <w:rsid w:val="00975C40"/>
    <w:rsid w:val="009809E6"/>
    <w:rsid w:val="00987220"/>
    <w:rsid w:val="00987D59"/>
    <w:rsid w:val="0099005B"/>
    <w:rsid w:val="00995611"/>
    <w:rsid w:val="00995E01"/>
    <w:rsid w:val="009A3826"/>
    <w:rsid w:val="009A3884"/>
    <w:rsid w:val="009A471E"/>
    <w:rsid w:val="009A5F8E"/>
    <w:rsid w:val="009A6AB7"/>
    <w:rsid w:val="009B05AD"/>
    <w:rsid w:val="009B24D2"/>
    <w:rsid w:val="009B5477"/>
    <w:rsid w:val="009C350B"/>
    <w:rsid w:val="009C4A5A"/>
    <w:rsid w:val="009C5116"/>
    <w:rsid w:val="009C6CA9"/>
    <w:rsid w:val="009C7715"/>
    <w:rsid w:val="009D291C"/>
    <w:rsid w:val="009D3F5B"/>
    <w:rsid w:val="009D7080"/>
    <w:rsid w:val="009E0A57"/>
    <w:rsid w:val="009E2ECC"/>
    <w:rsid w:val="009E3E63"/>
    <w:rsid w:val="009E4688"/>
    <w:rsid w:val="009F34B9"/>
    <w:rsid w:val="009F578F"/>
    <w:rsid w:val="009F7EAB"/>
    <w:rsid w:val="00A0379F"/>
    <w:rsid w:val="00A10A1F"/>
    <w:rsid w:val="00A127DD"/>
    <w:rsid w:val="00A15555"/>
    <w:rsid w:val="00A162DD"/>
    <w:rsid w:val="00A17837"/>
    <w:rsid w:val="00A209CF"/>
    <w:rsid w:val="00A213A4"/>
    <w:rsid w:val="00A21C46"/>
    <w:rsid w:val="00A25828"/>
    <w:rsid w:val="00A30ED4"/>
    <w:rsid w:val="00A33466"/>
    <w:rsid w:val="00A35298"/>
    <w:rsid w:val="00A36780"/>
    <w:rsid w:val="00A449D0"/>
    <w:rsid w:val="00A50E13"/>
    <w:rsid w:val="00A516A8"/>
    <w:rsid w:val="00A52A44"/>
    <w:rsid w:val="00A532EC"/>
    <w:rsid w:val="00A569F3"/>
    <w:rsid w:val="00A63B14"/>
    <w:rsid w:val="00A64D1C"/>
    <w:rsid w:val="00A64E4C"/>
    <w:rsid w:val="00A6536C"/>
    <w:rsid w:val="00A65F7A"/>
    <w:rsid w:val="00A667A1"/>
    <w:rsid w:val="00A67CBF"/>
    <w:rsid w:val="00A67CD7"/>
    <w:rsid w:val="00A70379"/>
    <w:rsid w:val="00A70973"/>
    <w:rsid w:val="00A71B3C"/>
    <w:rsid w:val="00A721C7"/>
    <w:rsid w:val="00A72E78"/>
    <w:rsid w:val="00A75233"/>
    <w:rsid w:val="00A7556C"/>
    <w:rsid w:val="00A75CB3"/>
    <w:rsid w:val="00A80620"/>
    <w:rsid w:val="00A808BD"/>
    <w:rsid w:val="00A80A42"/>
    <w:rsid w:val="00A81F3C"/>
    <w:rsid w:val="00A8493E"/>
    <w:rsid w:val="00A900A6"/>
    <w:rsid w:val="00A93C1D"/>
    <w:rsid w:val="00A94BDD"/>
    <w:rsid w:val="00A959C1"/>
    <w:rsid w:val="00A96311"/>
    <w:rsid w:val="00AA70B0"/>
    <w:rsid w:val="00AB19C8"/>
    <w:rsid w:val="00AB22A2"/>
    <w:rsid w:val="00AB517F"/>
    <w:rsid w:val="00AB7C63"/>
    <w:rsid w:val="00AC1F5B"/>
    <w:rsid w:val="00AC25B9"/>
    <w:rsid w:val="00AC2CF9"/>
    <w:rsid w:val="00AC3601"/>
    <w:rsid w:val="00AC3857"/>
    <w:rsid w:val="00AC39D6"/>
    <w:rsid w:val="00AC40DC"/>
    <w:rsid w:val="00AC60EC"/>
    <w:rsid w:val="00AC6ED1"/>
    <w:rsid w:val="00AD1869"/>
    <w:rsid w:val="00AD21C0"/>
    <w:rsid w:val="00AD5EFB"/>
    <w:rsid w:val="00AD6109"/>
    <w:rsid w:val="00AD79FA"/>
    <w:rsid w:val="00AE0C05"/>
    <w:rsid w:val="00AE5B9D"/>
    <w:rsid w:val="00AE6338"/>
    <w:rsid w:val="00AE651B"/>
    <w:rsid w:val="00AE7F70"/>
    <w:rsid w:val="00AF0751"/>
    <w:rsid w:val="00AF39ED"/>
    <w:rsid w:val="00AF40C9"/>
    <w:rsid w:val="00AF4725"/>
    <w:rsid w:val="00AF610E"/>
    <w:rsid w:val="00AF730B"/>
    <w:rsid w:val="00B032CF"/>
    <w:rsid w:val="00B072C9"/>
    <w:rsid w:val="00B077F3"/>
    <w:rsid w:val="00B10C37"/>
    <w:rsid w:val="00B219E8"/>
    <w:rsid w:val="00B21D1C"/>
    <w:rsid w:val="00B22CCC"/>
    <w:rsid w:val="00B23C9A"/>
    <w:rsid w:val="00B248B3"/>
    <w:rsid w:val="00B25837"/>
    <w:rsid w:val="00B2626B"/>
    <w:rsid w:val="00B269A2"/>
    <w:rsid w:val="00B3212B"/>
    <w:rsid w:val="00B347A9"/>
    <w:rsid w:val="00B36B81"/>
    <w:rsid w:val="00B37E9D"/>
    <w:rsid w:val="00B40A11"/>
    <w:rsid w:val="00B41CF1"/>
    <w:rsid w:val="00B43253"/>
    <w:rsid w:val="00B438AA"/>
    <w:rsid w:val="00B43D8D"/>
    <w:rsid w:val="00B44A53"/>
    <w:rsid w:val="00B46012"/>
    <w:rsid w:val="00B463F6"/>
    <w:rsid w:val="00B46565"/>
    <w:rsid w:val="00B53640"/>
    <w:rsid w:val="00B60519"/>
    <w:rsid w:val="00B613EB"/>
    <w:rsid w:val="00B71595"/>
    <w:rsid w:val="00B71E35"/>
    <w:rsid w:val="00B8067F"/>
    <w:rsid w:val="00B8222F"/>
    <w:rsid w:val="00B84466"/>
    <w:rsid w:val="00B858F0"/>
    <w:rsid w:val="00B87834"/>
    <w:rsid w:val="00B92A69"/>
    <w:rsid w:val="00B946EE"/>
    <w:rsid w:val="00B9474A"/>
    <w:rsid w:val="00B94758"/>
    <w:rsid w:val="00B95B4C"/>
    <w:rsid w:val="00B977CF"/>
    <w:rsid w:val="00BA25AF"/>
    <w:rsid w:val="00BA329D"/>
    <w:rsid w:val="00BA4D31"/>
    <w:rsid w:val="00BB18E1"/>
    <w:rsid w:val="00BB27F8"/>
    <w:rsid w:val="00BB6340"/>
    <w:rsid w:val="00BC152D"/>
    <w:rsid w:val="00BC17CF"/>
    <w:rsid w:val="00BC2C42"/>
    <w:rsid w:val="00BC6DF2"/>
    <w:rsid w:val="00BC787A"/>
    <w:rsid w:val="00BD1691"/>
    <w:rsid w:val="00BD1883"/>
    <w:rsid w:val="00BD2A86"/>
    <w:rsid w:val="00BD4D2A"/>
    <w:rsid w:val="00BD50C0"/>
    <w:rsid w:val="00BD50CF"/>
    <w:rsid w:val="00BE766B"/>
    <w:rsid w:val="00BE7A39"/>
    <w:rsid w:val="00BF0206"/>
    <w:rsid w:val="00BF07C6"/>
    <w:rsid w:val="00BF5056"/>
    <w:rsid w:val="00BF6792"/>
    <w:rsid w:val="00C01BC6"/>
    <w:rsid w:val="00C02158"/>
    <w:rsid w:val="00C02AF6"/>
    <w:rsid w:val="00C046E8"/>
    <w:rsid w:val="00C06449"/>
    <w:rsid w:val="00C203DE"/>
    <w:rsid w:val="00C21CD2"/>
    <w:rsid w:val="00C24DED"/>
    <w:rsid w:val="00C2718C"/>
    <w:rsid w:val="00C32C20"/>
    <w:rsid w:val="00C344D0"/>
    <w:rsid w:val="00C36C08"/>
    <w:rsid w:val="00C36D96"/>
    <w:rsid w:val="00C41948"/>
    <w:rsid w:val="00C4544F"/>
    <w:rsid w:val="00C45AD8"/>
    <w:rsid w:val="00C46FD3"/>
    <w:rsid w:val="00C514FD"/>
    <w:rsid w:val="00C5372F"/>
    <w:rsid w:val="00C5400C"/>
    <w:rsid w:val="00C54E6D"/>
    <w:rsid w:val="00C55162"/>
    <w:rsid w:val="00C56985"/>
    <w:rsid w:val="00C60F8E"/>
    <w:rsid w:val="00C6116A"/>
    <w:rsid w:val="00C63D4F"/>
    <w:rsid w:val="00C64521"/>
    <w:rsid w:val="00C66CF0"/>
    <w:rsid w:val="00C706BE"/>
    <w:rsid w:val="00C76375"/>
    <w:rsid w:val="00C77E89"/>
    <w:rsid w:val="00C83454"/>
    <w:rsid w:val="00C83D5F"/>
    <w:rsid w:val="00C845CA"/>
    <w:rsid w:val="00C85522"/>
    <w:rsid w:val="00C87B71"/>
    <w:rsid w:val="00C9115B"/>
    <w:rsid w:val="00C97B0C"/>
    <w:rsid w:val="00CA3284"/>
    <w:rsid w:val="00CA3292"/>
    <w:rsid w:val="00CA4ECF"/>
    <w:rsid w:val="00CA5B9E"/>
    <w:rsid w:val="00CB0643"/>
    <w:rsid w:val="00CB0719"/>
    <w:rsid w:val="00CB09F6"/>
    <w:rsid w:val="00CB5FF2"/>
    <w:rsid w:val="00CB608B"/>
    <w:rsid w:val="00CC14FD"/>
    <w:rsid w:val="00CC255B"/>
    <w:rsid w:val="00CC47A8"/>
    <w:rsid w:val="00CC541B"/>
    <w:rsid w:val="00CC776F"/>
    <w:rsid w:val="00CD3A01"/>
    <w:rsid w:val="00CD5BF1"/>
    <w:rsid w:val="00CD7DCA"/>
    <w:rsid w:val="00CE06C4"/>
    <w:rsid w:val="00CE2644"/>
    <w:rsid w:val="00CE6B89"/>
    <w:rsid w:val="00CF04F2"/>
    <w:rsid w:val="00CF2177"/>
    <w:rsid w:val="00CF2479"/>
    <w:rsid w:val="00CF3ABF"/>
    <w:rsid w:val="00CF51FD"/>
    <w:rsid w:val="00CF5A86"/>
    <w:rsid w:val="00CF77C3"/>
    <w:rsid w:val="00D019E0"/>
    <w:rsid w:val="00D02228"/>
    <w:rsid w:val="00D02600"/>
    <w:rsid w:val="00D03496"/>
    <w:rsid w:val="00D04CE1"/>
    <w:rsid w:val="00D06FCE"/>
    <w:rsid w:val="00D10661"/>
    <w:rsid w:val="00D118F0"/>
    <w:rsid w:val="00D1232C"/>
    <w:rsid w:val="00D123A6"/>
    <w:rsid w:val="00D13189"/>
    <w:rsid w:val="00D14FAC"/>
    <w:rsid w:val="00D17025"/>
    <w:rsid w:val="00D1798C"/>
    <w:rsid w:val="00D24C26"/>
    <w:rsid w:val="00D27B27"/>
    <w:rsid w:val="00D30DB3"/>
    <w:rsid w:val="00D34A9B"/>
    <w:rsid w:val="00D35CDE"/>
    <w:rsid w:val="00D44B74"/>
    <w:rsid w:val="00D45382"/>
    <w:rsid w:val="00D45650"/>
    <w:rsid w:val="00D46807"/>
    <w:rsid w:val="00D47A0E"/>
    <w:rsid w:val="00D47F15"/>
    <w:rsid w:val="00D5247B"/>
    <w:rsid w:val="00D52AB3"/>
    <w:rsid w:val="00D54ADA"/>
    <w:rsid w:val="00D56560"/>
    <w:rsid w:val="00D601CE"/>
    <w:rsid w:val="00D60486"/>
    <w:rsid w:val="00D629BA"/>
    <w:rsid w:val="00D635DE"/>
    <w:rsid w:val="00D66DCF"/>
    <w:rsid w:val="00D67417"/>
    <w:rsid w:val="00D74EA7"/>
    <w:rsid w:val="00D80016"/>
    <w:rsid w:val="00D83408"/>
    <w:rsid w:val="00D85190"/>
    <w:rsid w:val="00D86CD1"/>
    <w:rsid w:val="00D9250A"/>
    <w:rsid w:val="00D950FE"/>
    <w:rsid w:val="00D956C2"/>
    <w:rsid w:val="00D964C7"/>
    <w:rsid w:val="00DA0DCC"/>
    <w:rsid w:val="00DA211B"/>
    <w:rsid w:val="00DA56CE"/>
    <w:rsid w:val="00DA6B05"/>
    <w:rsid w:val="00DA7E2C"/>
    <w:rsid w:val="00DB2678"/>
    <w:rsid w:val="00DB32EC"/>
    <w:rsid w:val="00DB58C2"/>
    <w:rsid w:val="00DB772A"/>
    <w:rsid w:val="00DB79E9"/>
    <w:rsid w:val="00DC141C"/>
    <w:rsid w:val="00DC1BB2"/>
    <w:rsid w:val="00DC64C4"/>
    <w:rsid w:val="00DC670C"/>
    <w:rsid w:val="00DC7F07"/>
    <w:rsid w:val="00DD137F"/>
    <w:rsid w:val="00DD3F3A"/>
    <w:rsid w:val="00DE1097"/>
    <w:rsid w:val="00DE1685"/>
    <w:rsid w:val="00DE224A"/>
    <w:rsid w:val="00DE27C8"/>
    <w:rsid w:val="00DE49A1"/>
    <w:rsid w:val="00DE54CE"/>
    <w:rsid w:val="00DE5F14"/>
    <w:rsid w:val="00DF0726"/>
    <w:rsid w:val="00DF1BB1"/>
    <w:rsid w:val="00E064C0"/>
    <w:rsid w:val="00E101D6"/>
    <w:rsid w:val="00E10871"/>
    <w:rsid w:val="00E14417"/>
    <w:rsid w:val="00E16A04"/>
    <w:rsid w:val="00E17432"/>
    <w:rsid w:val="00E17D1A"/>
    <w:rsid w:val="00E21326"/>
    <w:rsid w:val="00E22F59"/>
    <w:rsid w:val="00E23CC4"/>
    <w:rsid w:val="00E24871"/>
    <w:rsid w:val="00E25960"/>
    <w:rsid w:val="00E37EAD"/>
    <w:rsid w:val="00E4016F"/>
    <w:rsid w:val="00E40422"/>
    <w:rsid w:val="00E41339"/>
    <w:rsid w:val="00E41595"/>
    <w:rsid w:val="00E452F3"/>
    <w:rsid w:val="00E4663B"/>
    <w:rsid w:val="00E52CF6"/>
    <w:rsid w:val="00E52F0A"/>
    <w:rsid w:val="00E52F98"/>
    <w:rsid w:val="00E5336D"/>
    <w:rsid w:val="00E67C37"/>
    <w:rsid w:val="00E73AFC"/>
    <w:rsid w:val="00E82262"/>
    <w:rsid w:val="00E835B2"/>
    <w:rsid w:val="00E85836"/>
    <w:rsid w:val="00E95CE5"/>
    <w:rsid w:val="00E96BDB"/>
    <w:rsid w:val="00E9764A"/>
    <w:rsid w:val="00EA1251"/>
    <w:rsid w:val="00EA1789"/>
    <w:rsid w:val="00EB029D"/>
    <w:rsid w:val="00EC335C"/>
    <w:rsid w:val="00EC370F"/>
    <w:rsid w:val="00EC412B"/>
    <w:rsid w:val="00EC4C9E"/>
    <w:rsid w:val="00EC559D"/>
    <w:rsid w:val="00EC7B11"/>
    <w:rsid w:val="00ED04B4"/>
    <w:rsid w:val="00ED33AA"/>
    <w:rsid w:val="00EE2908"/>
    <w:rsid w:val="00EE37B7"/>
    <w:rsid w:val="00EE3AF7"/>
    <w:rsid w:val="00EF0834"/>
    <w:rsid w:val="00EF1D59"/>
    <w:rsid w:val="00F02491"/>
    <w:rsid w:val="00F02B58"/>
    <w:rsid w:val="00F0392E"/>
    <w:rsid w:val="00F046F5"/>
    <w:rsid w:val="00F0534B"/>
    <w:rsid w:val="00F0631B"/>
    <w:rsid w:val="00F1001D"/>
    <w:rsid w:val="00F11826"/>
    <w:rsid w:val="00F13950"/>
    <w:rsid w:val="00F14506"/>
    <w:rsid w:val="00F22409"/>
    <w:rsid w:val="00F235BD"/>
    <w:rsid w:val="00F2572F"/>
    <w:rsid w:val="00F25F8C"/>
    <w:rsid w:val="00F308A5"/>
    <w:rsid w:val="00F3238B"/>
    <w:rsid w:val="00F334D0"/>
    <w:rsid w:val="00F37B13"/>
    <w:rsid w:val="00F453B0"/>
    <w:rsid w:val="00F45D16"/>
    <w:rsid w:val="00F4608F"/>
    <w:rsid w:val="00F468AD"/>
    <w:rsid w:val="00F50B48"/>
    <w:rsid w:val="00F51275"/>
    <w:rsid w:val="00F524B9"/>
    <w:rsid w:val="00F52620"/>
    <w:rsid w:val="00F531AF"/>
    <w:rsid w:val="00F54028"/>
    <w:rsid w:val="00F55898"/>
    <w:rsid w:val="00F55ACE"/>
    <w:rsid w:val="00F55E82"/>
    <w:rsid w:val="00F55F6F"/>
    <w:rsid w:val="00F578C2"/>
    <w:rsid w:val="00F61C21"/>
    <w:rsid w:val="00F6582F"/>
    <w:rsid w:val="00F71CFE"/>
    <w:rsid w:val="00F71F83"/>
    <w:rsid w:val="00F75469"/>
    <w:rsid w:val="00F76DCA"/>
    <w:rsid w:val="00F77DFB"/>
    <w:rsid w:val="00F80FAA"/>
    <w:rsid w:val="00F81EF3"/>
    <w:rsid w:val="00F8277F"/>
    <w:rsid w:val="00F83E71"/>
    <w:rsid w:val="00F857E9"/>
    <w:rsid w:val="00F85F3C"/>
    <w:rsid w:val="00F90ED2"/>
    <w:rsid w:val="00F92864"/>
    <w:rsid w:val="00F9481C"/>
    <w:rsid w:val="00F96A67"/>
    <w:rsid w:val="00F97AA8"/>
    <w:rsid w:val="00FA7F2A"/>
    <w:rsid w:val="00FB085D"/>
    <w:rsid w:val="00FB0972"/>
    <w:rsid w:val="00FB0980"/>
    <w:rsid w:val="00FB0D73"/>
    <w:rsid w:val="00FB3788"/>
    <w:rsid w:val="00FB467B"/>
    <w:rsid w:val="00FB5113"/>
    <w:rsid w:val="00FC09A5"/>
    <w:rsid w:val="00FC0EE7"/>
    <w:rsid w:val="00FC2D15"/>
    <w:rsid w:val="00FC5BE6"/>
    <w:rsid w:val="00FD06A1"/>
    <w:rsid w:val="00FD1556"/>
    <w:rsid w:val="00FD1E71"/>
    <w:rsid w:val="00FD2059"/>
    <w:rsid w:val="00FD24DA"/>
    <w:rsid w:val="00FD6373"/>
    <w:rsid w:val="00FD6A40"/>
    <w:rsid w:val="00FE308D"/>
    <w:rsid w:val="00FE3438"/>
    <w:rsid w:val="00FE3EB1"/>
    <w:rsid w:val="00FE5EE4"/>
    <w:rsid w:val="00FE6701"/>
    <w:rsid w:val="00FF138F"/>
    <w:rsid w:val="00FF180D"/>
    <w:rsid w:val="00FF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2577"/>
    <o:shapelayout v:ext="edit">
      <o:idmap v:ext="edit" data="1"/>
    </o:shapelayout>
  </w:shapeDefaults>
  <w:decimalSymbol w:val="."/>
  <w:listSeparator w:val=","/>
  <w14:docId w14:val="6A435EB7"/>
  <w14:defaultImageDpi w14:val="300"/>
  <w15:docId w15:val="{97C9A835-2864-46DD-8FC5-B72F9928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34"/>
    <w:rPr>
      <w:rFonts w:ascii="Times New Roman" w:hAnsi="Times New Roman"/>
      <w:sz w:val="22"/>
      <w:szCs w:val="24"/>
    </w:rPr>
  </w:style>
  <w:style w:type="paragraph" w:styleId="Heading1">
    <w:name w:val="heading 1"/>
    <w:basedOn w:val="Heading2"/>
    <w:next w:val="Normal"/>
    <w:link w:val="Heading1Char"/>
    <w:uiPriority w:val="9"/>
    <w:qFormat/>
    <w:rsid w:val="00E10871"/>
    <w:pPr>
      <w:pBdr>
        <w:top w:val="single" w:sz="6" w:space="4" w:color="auto"/>
      </w:pBdr>
      <w:spacing w:before="240"/>
      <w:outlineLvl w:val="0"/>
    </w:pPr>
    <w:rPr>
      <w:rFonts w:cs="Arial"/>
      <w:i w:val="0"/>
      <w:caps/>
      <w:szCs w:val="22"/>
    </w:rPr>
  </w:style>
  <w:style w:type="paragraph" w:styleId="Heading2">
    <w:name w:val="heading 2"/>
    <w:basedOn w:val="Normal"/>
    <w:next w:val="BodyText"/>
    <w:link w:val="Heading2Char"/>
    <w:uiPriority w:val="9"/>
    <w:qFormat/>
    <w:rsid w:val="00B84466"/>
    <w:pPr>
      <w:keepNext/>
      <w:spacing w:before="200" w:after="80"/>
      <w:outlineLvl w:val="1"/>
    </w:pPr>
    <w:rPr>
      <w:rFonts w:ascii="Arial" w:eastAsia="Times New Roman" w:hAnsi="Arial" w:cs="Times New Roman"/>
      <w:b/>
      <w:i/>
      <w:szCs w:val="26"/>
    </w:rPr>
  </w:style>
  <w:style w:type="paragraph" w:styleId="Heading3">
    <w:name w:val="heading 3"/>
    <w:basedOn w:val="Normal"/>
    <w:next w:val="Normal"/>
    <w:link w:val="Heading3Char"/>
    <w:uiPriority w:val="9"/>
    <w:unhideWhenUsed/>
    <w:qFormat/>
    <w:rsid w:val="008F2D24"/>
    <w:pPr>
      <w:keepNext/>
      <w:keepLines/>
      <w:spacing w:before="200" w:after="80"/>
      <w:outlineLvl w:val="2"/>
    </w:pPr>
    <w:rPr>
      <w:rFonts w:ascii="Arial" w:eastAsiaTheme="majorEastAsia" w:hAnsi="Arial"/>
      <w:i/>
      <w:szCs w:val="22"/>
    </w:rPr>
  </w:style>
  <w:style w:type="paragraph" w:styleId="Heading4">
    <w:name w:val="heading 4"/>
    <w:basedOn w:val="Normal"/>
    <w:next w:val="Normal"/>
    <w:link w:val="Heading4Char"/>
    <w:uiPriority w:val="9"/>
    <w:unhideWhenUsed/>
    <w:qFormat/>
    <w:rsid w:val="00BA25AF"/>
    <w:pPr>
      <w:keepNext/>
      <w:keepLines/>
      <w:spacing w:before="40"/>
      <w:outlineLvl w:val="3"/>
    </w:pPr>
    <w:rPr>
      <w:rFonts w:ascii="Arial" w:eastAsiaTheme="majorEastAsia"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link w:val="BalloonText"/>
    <w:uiPriority w:val="99"/>
    <w:semiHidden/>
    <w:rsid w:val="003248B1"/>
    <w:rPr>
      <w:rFonts w:ascii="Lucida Grande" w:hAnsi="Lucida Grande"/>
      <w:sz w:val="18"/>
      <w:szCs w:val="18"/>
    </w:rPr>
  </w:style>
  <w:style w:type="character" w:customStyle="1" w:styleId="Heading2Char">
    <w:name w:val="Heading 2 Char"/>
    <w:link w:val="Heading2"/>
    <w:uiPriority w:val="9"/>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szCs w:val="21"/>
    </w:rPr>
  </w:style>
  <w:style w:type="paragraph" w:customStyle="1" w:styleId="Heading">
    <w:name w:val="Heading"/>
    <w:basedOn w:val="Normal"/>
    <w:qFormat/>
    <w:rsid w:val="00E41595"/>
    <w:pPr>
      <w:spacing w:before="240" w:after="240"/>
      <w:ind w:left="1267" w:hanging="1267"/>
    </w:pPr>
    <w:rPr>
      <w:rFonts w:ascii="Arial" w:eastAsia="Times New Roman" w:hAnsi="Arial" w:cs="Times New Roman"/>
      <w:sz w:val="20"/>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pPr>
    <w:rPr>
      <w:rFonts w:eastAsia="Times New Roman" w:cs="Times New Roman"/>
      <w:szCs w:val="22"/>
    </w:rPr>
  </w:style>
  <w:style w:type="paragraph" w:styleId="ListBullet">
    <w:name w:val="List Bullet"/>
    <w:basedOn w:val="Normal"/>
    <w:uiPriority w:val="99"/>
    <w:unhideWhenUsed/>
    <w:rsid w:val="00F0534B"/>
    <w:pPr>
      <w:numPr>
        <w:numId w:val="1"/>
      </w:numPr>
      <w:spacing w:after="120"/>
      <w:ind w:left="1080"/>
    </w:pPr>
    <w:rPr>
      <w:rFonts w:eastAsia="Times New Roman" w:cs="Times New Roman"/>
      <w:sz w:val="24"/>
    </w:rPr>
  </w:style>
  <w:style w:type="paragraph" w:styleId="ListBullet2">
    <w:name w:val="List Bullet 2"/>
    <w:basedOn w:val="Normal"/>
    <w:uiPriority w:val="99"/>
    <w:unhideWhenUsed/>
    <w:rsid w:val="00895372"/>
    <w:pPr>
      <w:numPr>
        <w:numId w:val="2"/>
      </w:numPr>
      <w:spacing w:after="12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cs="Times New Roman"/>
    </w:rPr>
  </w:style>
  <w:style w:type="paragraph" w:styleId="BodyText">
    <w:name w:val="Body Text"/>
    <w:basedOn w:val="Normal"/>
    <w:link w:val="BodyTextChar"/>
    <w:uiPriority w:val="99"/>
    <w:rsid w:val="0084233D"/>
    <w:pPr>
      <w:spacing w:after="160" w:line="320" w:lineRule="exact"/>
    </w:pPr>
    <w:rPr>
      <w:rFonts w:eastAsia="Times New Roman" w:cs="Times New Roman"/>
      <w:sz w:val="24"/>
    </w:rPr>
  </w:style>
  <w:style w:type="character" w:customStyle="1" w:styleId="BodyTextChar">
    <w:name w:val="Body Text Char"/>
    <w:link w:val="BodyText"/>
    <w:uiPriority w:val="99"/>
    <w:rsid w:val="0084233D"/>
    <w:rPr>
      <w:rFonts w:ascii="Times New Roman" w:eastAsia="Times New Roman" w:hAnsi="Times New Roman" w:cs="Times New Roman"/>
      <w:sz w:val="24"/>
      <w:szCs w:val="24"/>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F0534B"/>
    <w:pPr>
      <w:spacing w:before="80" w:after="80"/>
    </w:pPr>
    <w:rPr>
      <w:rFonts w:eastAsia="Times New Roman" w:cs="Times New Roman"/>
      <w:szCs w:val="22"/>
    </w:rPr>
  </w:style>
  <w:style w:type="paragraph" w:customStyle="1" w:styleId="TableHeader">
    <w:name w:val="Table Header"/>
    <w:basedOn w:val="Normal"/>
    <w:qFormat/>
    <w:rsid w:val="00090F23"/>
    <w:pPr>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10871"/>
    <w:rPr>
      <w:rFonts w:ascii="Arial" w:eastAsia="Times New Roman" w:hAnsi="Arial"/>
      <w:b/>
      <w:caps/>
      <w:sz w:val="22"/>
      <w:szCs w:val="22"/>
    </w:rPr>
  </w:style>
  <w:style w:type="character" w:styleId="Hyperlink">
    <w:name w:val="Hyperlink"/>
    <w:uiPriority w:val="99"/>
    <w:unhideWhenUsed/>
    <w:rsid w:val="00714EDE"/>
    <w:rPr>
      <w:color w:val="1F419A"/>
      <w:u w:val="single"/>
    </w:rPr>
  </w:style>
  <w:style w:type="character" w:styleId="FollowedHyperlink">
    <w:name w:val="FollowedHyperlink"/>
    <w:uiPriority w:val="99"/>
    <w:rsid w:val="00714EDE"/>
    <w:rPr>
      <w:color w:val="CD3835"/>
      <w:u w:val="single"/>
    </w:rPr>
  </w:style>
  <w:style w:type="paragraph" w:styleId="FootnoteText">
    <w:name w:val="footnote text"/>
    <w:aliases w:val="F1"/>
    <w:basedOn w:val="Normal"/>
    <w:link w:val="FootnoteTextChar"/>
    <w:uiPriority w:val="99"/>
    <w:rsid w:val="00AB517F"/>
    <w:pPr>
      <w:ind w:left="180" w:hanging="180"/>
    </w:pPr>
    <w:rPr>
      <w:sz w:val="20"/>
      <w:szCs w:val="20"/>
    </w:rPr>
  </w:style>
  <w:style w:type="character" w:customStyle="1" w:styleId="FootnoteTextChar">
    <w:name w:val="Footnote Text Char"/>
    <w:aliases w:val="F1 Char"/>
    <w:link w:val="FootnoteText"/>
    <w:uiPriority w:val="99"/>
    <w:rsid w:val="00AB517F"/>
    <w:rPr>
      <w:rFonts w:ascii="Times New Roman" w:hAnsi="Times New Roman"/>
    </w:rPr>
  </w:style>
  <w:style w:type="character" w:styleId="FootnoteReference">
    <w:name w:val="footnote reference"/>
    <w:uiPriority w:val="99"/>
    <w:rsid w:val="006F2587"/>
    <w:rPr>
      <w:color w:val="auto"/>
      <w:vertAlign w:val="superscript"/>
    </w:rPr>
  </w:style>
  <w:style w:type="paragraph" w:customStyle="1" w:styleId="Source6-0">
    <w:name w:val="Source_6-0"/>
    <w:basedOn w:val="Normal"/>
    <w:rsid w:val="008F2D24"/>
    <w:pPr>
      <w:keepLines/>
      <w:spacing w:before="120"/>
      <w:ind w:left="216" w:hanging="216"/>
    </w:pPr>
    <w:rPr>
      <w:rFonts w:eastAsia="Times New Roman" w:cs="Times New Roman"/>
      <w:sz w:val="18"/>
      <w:szCs w:val="18"/>
    </w:rPr>
  </w:style>
  <w:style w:type="paragraph" w:customStyle="1" w:styleId="Source3-0">
    <w:name w:val="Source_3-0"/>
    <w:basedOn w:val="Normal"/>
    <w:qFormat/>
    <w:rsid w:val="008F2D24"/>
    <w:pPr>
      <w:spacing w:before="60"/>
      <w:ind w:left="720" w:hanging="720"/>
    </w:pPr>
    <w:rPr>
      <w:rFonts w:eastAsia="Times New Roman" w:cs="Times New Roman"/>
      <w:sz w:val="18"/>
      <w:szCs w:val="18"/>
    </w:rPr>
  </w:style>
  <w:style w:type="paragraph" w:customStyle="1" w:styleId="Source6-20">
    <w:name w:val="Source_6-20"/>
    <w:basedOn w:val="Normal"/>
    <w:qFormat/>
    <w:rsid w:val="008F2D24"/>
    <w:pPr>
      <w:spacing w:before="120" w:after="400"/>
      <w:ind w:left="720" w:hanging="720"/>
    </w:pPr>
    <w:rPr>
      <w:rFonts w:eastAsia="Times New Roman" w:cs="Times New Roman"/>
      <w:sz w:val="18"/>
      <w:szCs w:val="18"/>
    </w:rPr>
  </w:style>
  <w:style w:type="paragraph" w:customStyle="1" w:styleId="Source3-20">
    <w:name w:val="Source_3-20"/>
    <w:basedOn w:val="Normal"/>
    <w:qFormat/>
    <w:rsid w:val="008F2D24"/>
    <w:pPr>
      <w:spacing w:before="60" w:after="400"/>
      <w:ind w:left="216" w:hanging="216"/>
    </w:pPr>
    <w:rPr>
      <w:rFonts w:eastAsiaTheme="minorEastAsia" w:cstheme="minorBidi"/>
      <w:sz w:val="18"/>
    </w:rPr>
  </w:style>
  <w:style w:type="character" w:customStyle="1" w:styleId="Heading3Char">
    <w:name w:val="Heading 3 Char"/>
    <w:basedOn w:val="DefaultParagraphFont"/>
    <w:link w:val="Heading3"/>
    <w:uiPriority w:val="9"/>
    <w:rsid w:val="008F2D24"/>
    <w:rPr>
      <w:rFonts w:ascii="Arial" w:eastAsiaTheme="majorEastAsia" w:hAnsi="Arial"/>
      <w:i/>
      <w:sz w:val="22"/>
      <w:szCs w:val="22"/>
    </w:rPr>
  </w:style>
  <w:style w:type="paragraph" w:styleId="CommentText">
    <w:name w:val="annotation text"/>
    <w:basedOn w:val="Normal"/>
    <w:link w:val="CommentTextChar"/>
    <w:uiPriority w:val="99"/>
    <w:unhideWhenUsed/>
    <w:rsid w:val="00215AAF"/>
    <w:rPr>
      <w:rFonts w:eastAsia="Times New Roman" w:cs="Times New Roman"/>
      <w:sz w:val="20"/>
      <w:szCs w:val="20"/>
    </w:rPr>
  </w:style>
  <w:style w:type="character" w:customStyle="1" w:styleId="CommentTextChar">
    <w:name w:val="Comment Text Char"/>
    <w:basedOn w:val="DefaultParagraphFont"/>
    <w:link w:val="CommentText"/>
    <w:uiPriority w:val="99"/>
    <w:rsid w:val="00215AAF"/>
    <w:rPr>
      <w:rFonts w:ascii="Times New Roman" w:eastAsia="Times New Roman" w:hAnsi="Times New Roman" w:cs="Times New Roman"/>
    </w:rPr>
  </w:style>
  <w:style w:type="paragraph" w:styleId="ListParagraph">
    <w:name w:val="List Paragraph"/>
    <w:basedOn w:val="Normal"/>
    <w:uiPriority w:val="34"/>
    <w:qFormat/>
    <w:rsid w:val="00215AAF"/>
    <w:pPr>
      <w:spacing w:line="240" w:lineRule="atLeast"/>
      <w:ind w:left="720"/>
      <w:contextualSpacing/>
    </w:pPr>
    <w:rPr>
      <w:rFonts w:ascii="Arial" w:eastAsia="Times New Roman" w:hAnsi="Arial"/>
      <w:szCs w:val="22"/>
    </w:rPr>
  </w:style>
  <w:style w:type="character" w:styleId="CommentReference">
    <w:name w:val="annotation reference"/>
    <w:basedOn w:val="DefaultParagraphFont"/>
    <w:uiPriority w:val="99"/>
    <w:semiHidden/>
    <w:unhideWhenUsed/>
    <w:rsid w:val="00215AAF"/>
    <w:rPr>
      <w:sz w:val="16"/>
      <w:szCs w:val="16"/>
    </w:rPr>
  </w:style>
  <w:style w:type="paragraph" w:styleId="NoSpacing">
    <w:name w:val="No Spacing"/>
    <w:uiPriority w:val="1"/>
    <w:qFormat/>
    <w:rsid w:val="00532F98"/>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32F98"/>
    <w:rPr>
      <w:rFonts w:eastAsia="MS Mincho" w:cs="Arial"/>
      <w:b/>
      <w:bCs/>
    </w:rPr>
  </w:style>
  <w:style w:type="character" w:customStyle="1" w:styleId="CommentSubjectChar">
    <w:name w:val="Comment Subject Char"/>
    <w:basedOn w:val="CommentTextChar"/>
    <w:link w:val="CommentSubject"/>
    <w:uiPriority w:val="99"/>
    <w:semiHidden/>
    <w:rsid w:val="00532F98"/>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946EB8"/>
    <w:rPr>
      <w:color w:val="605E5C"/>
      <w:shd w:val="clear" w:color="auto" w:fill="E1DFDD"/>
    </w:rPr>
  </w:style>
  <w:style w:type="paragraph" w:styleId="Revision">
    <w:name w:val="Revision"/>
    <w:hidden/>
    <w:uiPriority w:val="99"/>
    <w:semiHidden/>
    <w:rsid w:val="00400225"/>
    <w:rPr>
      <w:rFonts w:ascii="Times New Roman" w:hAnsi="Times New Roman"/>
      <w:sz w:val="22"/>
      <w:szCs w:val="24"/>
    </w:rPr>
  </w:style>
  <w:style w:type="paragraph" w:styleId="EndnoteText">
    <w:name w:val="endnote text"/>
    <w:basedOn w:val="Normal"/>
    <w:link w:val="EndnoteTextChar"/>
    <w:uiPriority w:val="99"/>
    <w:semiHidden/>
    <w:unhideWhenUsed/>
    <w:rsid w:val="00DC141C"/>
    <w:rPr>
      <w:sz w:val="20"/>
      <w:szCs w:val="20"/>
    </w:rPr>
  </w:style>
  <w:style w:type="character" w:customStyle="1" w:styleId="EndnoteTextChar">
    <w:name w:val="Endnote Text Char"/>
    <w:basedOn w:val="DefaultParagraphFont"/>
    <w:link w:val="EndnoteText"/>
    <w:uiPriority w:val="99"/>
    <w:semiHidden/>
    <w:rsid w:val="00DC141C"/>
    <w:rPr>
      <w:rFonts w:ascii="Times New Roman" w:hAnsi="Times New Roman"/>
    </w:rPr>
  </w:style>
  <w:style w:type="character" w:styleId="EndnoteReference">
    <w:name w:val="endnote reference"/>
    <w:basedOn w:val="DefaultParagraphFont"/>
    <w:uiPriority w:val="99"/>
    <w:semiHidden/>
    <w:unhideWhenUsed/>
    <w:rsid w:val="00DC141C"/>
    <w:rPr>
      <w:vertAlign w:val="superscript"/>
    </w:rPr>
  </w:style>
  <w:style w:type="table" w:customStyle="1" w:styleId="TableGrid2">
    <w:name w:val="Table Grid2"/>
    <w:basedOn w:val="TableNormal"/>
    <w:next w:val="TableGrid"/>
    <w:uiPriority w:val="39"/>
    <w:rsid w:val="003632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ubs-Pres">
    <w:name w:val="R-Pubs-Pres"/>
    <w:basedOn w:val="Normal"/>
    <w:link w:val="R-Pubs-PresChar"/>
    <w:rsid w:val="00A162DD"/>
    <w:pPr>
      <w:keepLines/>
      <w:spacing w:after="120"/>
      <w:ind w:left="446" w:hanging="446"/>
    </w:pPr>
    <w:rPr>
      <w:rFonts w:eastAsia="Times New Roman" w:cs="Times New Roman"/>
      <w:szCs w:val="20"/>
    </w:rPr>
  </w:style>
  <w:style w:type="character" w:customStyle="1" w:styleId="R-Pubs-PresChar">
    <w:name w:val="R-Pubs-Pres Char"/>
    <w:link w:val="R-Pubs-Pres"/>
    <w:rsid w:val="00A162DD"/>
    <w:rPr>
      <w:rFonts w:ascii="Times New Roman" w:eastAsia="Times New Roman" w:hAnsi="Times New Roman" w:cs="Times New Roman"/>
      <w:sz w:val="22"/>
    </w:rPr>
  </w:style>
  <w:style w:type="character" w:styleId="Emphasis">
    <w:name w:val="Emphasis"/>
    <w:basedOn w:val="DefaultParagraphFont"/>
    <w:uiPriority w:val="20"/>
    <w:qFormat/>
    <w:rsid w:val="000062B1"/>
    <w:rPr>
      <w:i/>
      <w:iCs/>
    </w:rPr>
  </w:style>
  <w:style w:type="paragraph" w:customStyle="1" w:styleId="TableBullets">
    <w:name w:val="TableBullets"/>
    <w:basedOn w:val="NoSpacing"/>
    <w:qFormat/>
    <w:rsid w:val="00F0534B"/>
    <w:pPr>
      <w:numPr>
        <w:numId w:val="30"/>
      </w:numPr>
    </w:pPr>
    <w:rPr>
      <w:rFonts w:ascii="Times New Roman" w:hAnsi="Times New Roman" w:cs="Times New Roman"/>
    </w:rPr>
  </w:style>
  <w:style w:type="character" w:customStyle="1" w:styleId="cf01">
    <w:name w:val="cf01"/>
    <w:basedOn w:val="DefaultParagraphFont"/>
    <w:rsid w:val="00291E3C"/>
    <w:rPr>
      <w:rFonts w:ascii="Segoe UI" w:hAnsi="Segoe UI" w:cs="Segoe UI" w:hint="default"/>
      <w:sz w:val="18"/>
      <w:szCs w:val="18"/>
      <w:shd w:val="clear" w:color="auto" w:fill="00FFFF"/>
    </w:rPr>
  </w:style>
  <w:style w:type="character" w:customStyle="1" w:styleId="Heading4Char">
    <w:name w:val="Heading 4 Char"/>
    <w:basedOn w:val="DefaultParagraphFont"/>
    <w:link w:val="Heading4"/>
    <w:uiPriority w:val="9"/>
    <w:rsid w:val="00BA25AF"/>
    <w:rPr>
      <w:rFonts w:ascii="Arial" w:eastAsiaTheme="majorEastAsia"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7929">
      <w:bodyDiv w:val="1"/>
      <w:marLeft w:val="0"/>
      <w:marRight w:val="0"/>
      <w:marTop w:val="0"/>
      <w:marBottom w:val="0"/>
      <w:divBdr>
        <w:top w:val="none" w:sz="0" w:space="0" w:color="auto"/>
        <w:left w:val="none" w:sz="0" w:space="0" w:color="auto"/>
        <w:bottom w:val="none" w:sz="0" w:space="0" w:color="auto"/>
        <w:right w:val="none" w:sz="0" w:space="0" w:color="auto"/>
      </w:divBdr>
    </w:div>
    <w:div w:id="426466117">
      <w:bodyDiv w:val="1"/>
      <w:marLeft w:val="0"/>
      <w:marRight w:val="0"/>
      <w:marTop w:val="0"/>
      <w:marBottom w:val="0"/>
      <w:divBdr>
        <w:top w:val="none" w:sz="0" w:space="0" w:color="auto"/>
        <w:left w:val="none" w:sz="0" w:space="0" w:color="auto"/>
        <w:bottom w:val="none" w:sz="0" w:space="0" w:color="auto"/>
        <w:right w:val="none" w:sz="0" w:space="0" w:color="auto"/>
      </w:divBdr>
    </w:div>
    <w:div w:id="1062755270">
      <w:bodyDiv w:val="1"/>
      <w:marLeft w:val="0"/>
      <w:marRight w:val="0"/>
      <w:marTop w:val="0"/>
      <w:marBottom w:val="0"/>
      <w:divBdr>
        <w:top w:val="none" w:sz="0" w:space="0" w:color="auto"/>
        <w:left w:val="none" w:sz="0" w:space="0" w:color="auto"/>
        <w:bottom w:val="none" w:sz="0" w:space="0" w:color="auto"/>
        <w:right w:val="none" w:sz="0" w:space="0" w:color="auto"/>
      </w:divBdr>
    </w:div>
    <w:div w:id="1242300941">
      <w:bodyDiv w:val="1"/>
      <w:marLeft w:val="0"/>
      <w:marRight w:val="0"/>
      <w:marTop w:val="0"/>
      <w:marBottom w:val="0"/>
      <w:divBdr>
        <w:top w:val="none" w:sz="0" w:space="0" w:color="auto"/>
        <w:left w:val="none" w:sz="0" w:space="0" w:color="auto"/>
        <w:bottom w:val="none" w:sz="0" w:space="0" w:color="auto"/>
        <w:right w:val="none" w:sz="0" w:space="0" w:color="auto"/>
      </w:divBdr>
    </w:div>
    <w:div w:id="1341616304">
      <w:bodyDiv w:val="1"/>
      <w:marLeft w:val="0"/>
      <w:marRight w:val="0"/>
      <w:marTop w:val="0"/>
      <w:marBottom w:val="0"/>
      <w:divBdr>
        <w:top w:val="none" w:sz="0" w:space="0" w:color="auto"/>
        <w:left w:val="none" w:sz="0" w:space="0" w:color="auto"/>
        <w:bottom w:val="none" w:sz="0" w:space="0" w:color="auto"/>
        <w:right w:val="none" w:sz="0" w:space="0" w:color="auto"/>
      </w:divBdr>
    </w:div>
    <w:div w:id="1889293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2.census.gov/programs-surveys/abs/information/abs_2021.pdf" TargetMode="External"/><Relationship Id="rId3" Type="http://schemas.openxmlformats.org/officeDocument/2006/relationships/hyperlink" Target="https://www.epa.gov/sites/production/files/2020-06/documents/food_measurement_methodology_scoping_memo-6-18-20.pdf" TargetMode="External"/><Relationship Id="rId7" Type="http://schemas.openxmlformats.org/officeDocument/2006/relationships/hyperlink" Target="https://www.census.gov/programs-surveys/acs.html" TargetMode="External"/><Relationship Id="rId2" Type="http://schemas.openxmlformats.org/officeDocument/2006/relationships/hyperlink" Target="https://www.ers.usda.gov/data-products/food-availability-per-capita-data-system/loss-adjusted-food-availability-documentation/" TargetMode="External"/><Relationship Id="rId1" Type="http://schemas.openxmlformats.org/officeDocument/2006/relationships/hyperlink" Target="https://www.gao.gov/assets/710/700118.pdf" TargetMode="External"/><Relationship Id="rId6" Type="http://schemas.openxmlformats.org/officeDocument/2006/relationships/hyperlink" Target="https://www.ers.usda.gov/webdocs/publications/92409/ccr-70.pdf?v=5391" TargetMode="External"/><Relationship Id="rId11" Type="http://schemas.openxmlformats.org/officeDocument/2006/relationships/hyperlink" Target="https://www.ers.usda.gov/publications/pub-details/?pubid=92628" TargetMode="External"/><Relationship Id="rId5" Type="http://schemas.openxmlformats.org/officeDocument/2006/relationships/hyperlink" Target="https://www.ers.usda.gov/webdocs/publications/44100/eib-155.pdf?v=4892.8" TargetMode="External"/><Relationship Id="rId10" Type="http://schemas.openxmlformats.org/officeDocument/2006/relationships/hyperlink" Target="https://pacificcoastcollaborative.org/food-waste/" TargetMode="External"/><Relationship Id="rId4" Type="http://schemas.openxmlformats.org/officeDocument/2006/relationships/hyperlink" Target="https://www.ers.usda.gov/webdocs/publications/44306/10895_eib44.pdf?v=2533.6" TargetMode="External"/><Relationship Id="rId9" Type="http://schemas.openxmlformats.org/officeDocument/2006/relationships/hyperlink" Target="https://refe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4302-131A-4BC1-9A52-9B3C6B9C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6457</Words>
  <Characters>36809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Barrell, Sharon M.</dc:creator>
  <cp:keywords/>
  <dc:description/>
  <cp:lastModifiedBy>Kantor, Linda - REE-ERS, Washington, DC</cp:lastModifiedBy>
  <cp:revision>4</cp:revision>
  <dcterms:created xsi:type="dcterms:W3CDTF">2022-05-26T12:48:00Z</dcterms:created>
  <dcterms:modified xsi:type="dcterms:W3CDTF">2022-05-26T15:24:00Z</dcterms:modified>
</cp:coreProperties>
</file>