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A6" w:rsidP="00B91258" w:rsidRDefault="000B6DA6" w14:paraId="442BEA68" w14:textId="3579D3D7">
      <w:pPr>
        <w:framePr w:hSpace="180" w:wrap="auto" w:hAnchor="page" w:vAnchor="text" w:x="2161" w:y="-1004"/>
      </w:pPr>
    </w:p>
    <w:p w:rsidRPr="006C282C" w:rsidR="00C1509C" w:rsidP="00B91258" w:rsidRDefault="00DE3D9A" w14:paraId="442BEA6A" w14:textId="041ADADD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drawing>
          <wp:inline distT="0" distB="0" distL="0" distR="0" wp14:anchorId="154B081C" wp14:editId="7A82DA02">
            <wp:extent cx="7467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6C282C" w:rsidR="00C1509C" w:rsidP="00290C51" w:rsidRDefault="00D1493F" w14:paraId="442BEA6C" w14:textId="4535CCD1">
      <w:pPr>
        <w:tabs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1C49AA">
        <w:rPr>
          <w:sz w:val="24"/>
          <w:szCs w:val="24"/>
        </w:rPr>
        <w:t>4</w:t>
      </w:r>
      <w:bookmarkStart w:name="_GoBack" w:id="0"/>
      <w:bookmarkEnd w:id="0"/>
      <w:r>
        <w:rPr>
          <w:sz w:val="24"/>
          <w:szCs w:val="24"/>
        </w:rPr>
        <w:t xml:space="preserve"> </w:t>
      </w:r>
      <w:r w:rsidR="00AD16EE">
        <w:rPr>
          <w:sz w:val="24"/>
          <w:szCs w:val="24"/>
        </w:rPr>
        <w:t>May</w:t>
      </w:r>
      <w:r w:rsidR="00460392">
        <w:rPr>
          <w:sz w:val="24"/>
          <w:szCs w:val="24"/>
        </w:rPr>
        <w:t xml:space="preserve"> 2021</w:t>
      </w:r>
    </w:p>
    <w:p w:rsidR="00C1509C" w:rsidP="00B91258" w:rsidRDefault="00C1509C" w14:paraId="442BEA6D" w14:textId="77777777">
      <w:pPr>
        <w:tabs>
          <w:tab w:val="left" w:pos="5760"/>
        </w:tabs>
        <w:rPr>
          <w:sz w:val="24"/>
          <w:szCs w:val="24"/>
        </w:rPr>
      </w:pPr>
    </w:p>
    <w:p w:rsidR="009D3606" w:rsidP="00B91258" w:rsidRDefault="009D3606" w14:paraId="6E75D53C" w14:textId="77777777">
      <w:pPr>
        <w:rPr>
          <w:sz w:val="24"/>
          <w:szCs w:val="24"/>
        </w:rPr>
      </w:pPr>
    </w:p>
    <w:p w:rsidRPr="002C2E88" w:rsidR="002C2E88" w:rsidP="00B91258" w:rsidRDefault="002C2E88" w14:paraId="442BEA6E" w14:textId="5F377AFB">
      <w:pPr>
        <w:rPr>
          <w:sz w:val="24"/>
          <w:szCs w:val="24"/>
        </w:rPr>
      </w:pPr>
      <w:r w:rsidRPr="002C2E88"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7D397A">
        <w:rPr>
          <w:sz w:val="24"/>
          <w:szCs w:val="24"/>
        </w:rPr>
        <w:t>Jordan Cohen</w:t>
      </w:r>
      <w:r w:rsidR="00575027">
        <w:rPr>
          <w:sz w:val="24"/>
          <w:szCs w:val="24"/>
        </w:rPr>
        <w:t>, OMB Desk Officer</w:t>
      </w:r>
    </w:p>
    <w:p w:rsidR="00CD5D1E" w:rsidP="00B91258" w:rsidRDefault="002C2E88" w14:paraId="630919B8" w14:textId="4AC3B4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="00CD5D1E">
        <w:rPr>
          <w:sz w:val="24"/>
          <w:szCs w:val="24"/>
        </w:rPr>
        <w:t>Office of Information and Regulatory Affairs</w:t>
      </w:r>
    </w:p>
    <w:p w:rsidRPr="002C2E88" w:rsidR="00CD5D1E" w:rsidP="00B91258" w:rsidRDefault="00CD5D1E" w14:paraId="04642BD9" w14:textId="7EB987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 w:rsidRPr="002C2E88">
        <w:rPr>
          <w:sz w:val="24"/>
          <w:szCs w:val="24"/>
        </w:rPr>
        <w:t>Office of Management and Budget</w:t>
      </w:r>
    </w:p>
    <w:p w:rsidRPr="002C2E88" w:rsidR="002C2E88" w:rsidP="00B91258" w:rsidRDefault="002C2E88" w14:paraId="442BEA70" w14:textId="77777777">
      <w:pPr>
        <w:rPr>
          <w:sz w:val="24"/>
          <w:szCs w:val="24"/>
        </w:rPr>
      </w:pPr>
    </w:p>
    <w:p w:rsidR="00575027" w:rsidP="00B91258" w:rsidRDefault="002C2E88" w14:paraId="2968E4C1" w14:textId="09135774">
      <w:pPr>
        <w:rPr>
          <w:sz w:val="24"/>
          <w:szCs w:val="24"/>
        </w:rPr>
      </w:pPr>
      <w:r w:rsidRPr="002C2E88">
        <w:rPr>
          <w:sz w:val="24"/>
          <w:szCs w:val="24"/>
        </w:rPr>
        <w:t>T</w:t>
      </w:r>
      <w:r w:rsidR="00297327">
        <w:rPr>
          <w:sz w:val="24"/>
          <w:szCs w:val="24"/>
        </w:rPr>
        <w:t>H</w:t>
      </w:r>
      <w:r w:rsidRPr="002C2E88">
        <w:rPr>
          <w:sz w:val="24"/>
          <w:szCs w:val="24"/>
        </w:rPr>
        <w:t>ROUGH:</w:t>
      </w:r>
      <w:r w:rsidRPr="002C2E88">
        <w:rPr>
          <w:sz w:val="24"/>
          <w:szCs w:val="24"/>
        </w:rPr>
        <w:tab/>
      </w:r>
      <w:r w:rsidR="00F94EAB">
        <w:rPr>
          <w:sz w:val="24"/>
          <w:szCs w:val="24"/>
        </w:rPr>
        <w:tab/>
      </w:r>
      <w:r w:rsidR="00AD16EE">
        <w:rPr>
          <w:sz w:val="24"/>
          <w:szCs w:val="24"/>
        </w:rPr>
        <w:t>Jamia Franklin</w:t>
      </w:r>
      <w:r w:rsidR="00575027">
        <w:rPr>
          <w:sz w:val="24"/>
          <w:szCs w:val="24"/>
        </w:rPr>
        <w:t>, FNS Information Collection Officer</w:t>
      </w:r>
    </w:p>
    <w:p w:rsidR="00575027" w:rsidP="00B91258" w:rsidRDefault="00575027" w14:paraId="58698DFE" w14:textId="55436D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Planning and Regulatory Affairs</w:t>
      </w:r>
    </w:p>
    <w:p w:rsidR="00AD16EE" w:rsidP="00B91258" w:rsidRDefault="00575027" w14:paraId="72BDCCF6" w14:textId="025FFD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455">
        <w:rPr>
          <w:sz w:val="24"/>
          <w:szCs w:val="24"/>
        </w:rPr>
        <w:tab/>
      </w:r>
      <w:r>
        <w:rPr>
          <w:sz w:val="24"/>
          <w:szCs w:val="24"/>
        </w:rPr>
        <w:t>Food and Nutrition Service (FNS)</w:t>
      </w:r>
    </w:p>
    <w:p w:rsidR="00AD16EE" w:rsidP="00B91258" w:rsidRDefault="00AD16EE" w14:paraId="0D7E2C7F" w14:textId="3C7DBCEF">
      <w:pPr>
        <w:rPr>
          <w:sz w:val="24"/>
          <w:szCs w:val="24"/>
        </w:rPr>
      </w:pPr>
    </w:p>
    <w:p w:rsidR="00AD16EE" w:rsidP="00B91258" w:rsidRDefault="00AD16EE" w14:paraId="34A54A35" w14:textId="30DAC8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Ruth Brown, Desk Officer</w:t>
      </w:r>
      <w:r w:rsidRPr="00AD16EE">
        <w:rPr>
          <w:sz w:val="24"/>
          <w:szCs w:val="24"/>
        </w:rPr>
        <w:t xml:space="preserve"> </w:t>
      </w:r>
    </w:p>
    <w:p w:rsidR="00AD16EE" w:rsidP="00B91258" w:rsidRDefault="00AD16EE" w14:paraId="372FED11" w14:textId="2680EB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U.S. Department of Agriculture</w:t>
      </w:r>
    </w:p>
    <w:p w:rsidR="00AD16EE" w:rsidP="00B91258" w:rsidRDefault="00AD16EE" w14:paraId="3EC5EA86" w14:textId="5EE7C4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D16EE">
        <w:rPr>
          <w:sz w:val="24"/>
          <w:szCs w:val="24"/>
        </w:rPr>
        <w:t>Office of the Chief Information Officer</w:t>
      </w:r>
    </w:p>
    <w:p w:rsidRPr="002C2E88" w:rsidR="002C2E88" w:rsidP="00B91258" w:rsidRDefault="002C2E88" w14:paraId="442BEA78" w14:textId="77777777">
      <w:pPr>
        <w:rPr>
          <w:sz w:val="24"/>
          <w:szCs w:val="24"/>
        </w:rPr>
      </w:pPr>
    </w:p>
    <w:p w:rsidRPr="00F417E3" w:rsidR="003859F1" w:rsidP="00B91258" w:rsidRDefault="002C2E88" w14:paraId="442BEA7A" w14:textId="60F2E749">
      <w:pPr>
        <w:rPr>
          <w:sz w:val="24"/>
          <w:szCs w:val="24"/>
        </w:rPr>
      </w:pPr>
      <w:r w:rsidRPr="002C2E88">
        <w:rPr>
          <w:sz w:val="24"/>
          <w:szCs w:val="24"/>
        </w:rPr>
        <w:t>FROM:</w:t>
      </w:r>
      <w:r w:rsidRPr="002C2E88">
        <w:rPr>
          <w:sz w:val="24"/>
          <w:szCs w:val="24"/>
        </w:rPr>
        <w:tab/>
      </w:r>
      <w:r w:rsidR="00A52455">
        <w:rPr>
          <w:sz w:val="24"/>
          <w:szCs w:val="24"/>
        </w:rPr>
        <w:tab/>
        <w:t>Chan Chanhatasilpa</w:t>
      </w:r>
      <w:r w:rsidR="008C32CC">
        <w:rPr>
          <w:sz w:val="24"/>
          <w:szCs w:val="24"/>
        </w:rPr>
        <w:t xml:space="preserve">, </w:t>
      </w:r>
      <w:r w:rsidRPr="00F417E3" w:rsidR="00F417E3">
        <w:rPr>
          <w:sz w:val="24"/>
          <w:szCs w:val="24"/>
        </w:rPr>
        <w:t>Social Science Research Analyst</w:t>
      </w:r>
    </w:p>
    <w:p w:rsidR="002F0EA7" w:rsidP="00B91258" w:rsidRDefault="003859F1" w14:paraId="442BEA7B" w14:textId="12295F90">
      <w:pPr>
        <w:ind w:left="1440" w:hanging="1440"/>
        <w:rPr>
          <w:sz w:val="24"/>
        </w:rPr>
      </w:pPr>
      <w:r w:rsidRPr="00F417E3">
        <w:rPr>
          <w:sz w:val="24"/>
          <w:szCs w:val="24"/>
        </w:rPr>
        <w:tab/>
      </w:r>
      <w:r w:rsidR="00CD6B18">
        <w:rPr>
          <w:sz w:val="24"/>
          <w:szCs w:val="24"/>
        </w:rPr>
        <w:tab/>
      </w:r>
      <w:r w:rsidRPr="00F417E3" w:rsidR="00F417E3">
        <w:rPr>
          <w:sz w:val="24"/>
          <w:szCs w:val="24"/>
        </w:rPr>
        <w:t xml:space="preserve">Special Nutrition Evaluation </w:t>
      </w:r>
      <w:r w:rsidRPr="00F417E3" w:rsidR="00911D64">
        <w:rPr>
          <w:sz w:val="24"/>
        </w:rPr>
        <w:t>Branch</w:t>
      </w:r>
    </w:p>
    <w:p w:rsidRPr="00F417E3" w:rsidR="007D397A" w:rsidP="00B91258" w:rsidRDefault="007D397A" w14:paraId="2059BF6E" w14:textId="5843DDD2">
      <w:pPr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Office of Policy Support</w:t>
      </w:r>
    </w:p>
    <w:p w:rsidRPr="002F0EA7" w:rsidR="002F0EA7" w:rsidP="00B91258" w:rsidRDefault="002F0EA7" w14:paraId="442BEA7C" w14:textId="3EA19835">
      <w:pPr>
        <w:ind w:left="1440" w:hanging="1440"/>
        <w:rPr>
          <w:sz w:val="24"/>
        </w:rPr>
      </w:pPr>
      <w:r w:rsidRPr="00F417E3">
        <w:rPr>
          <w:sz w:val="24"/>
        </w:rPr>
        <w:tab/>
      </w:r>
      <w:r w:rsidR="00CD6B18">
        <w:rPr>
          <w:sz w:val="24"/>
        </w:rPr>
        <w:tab/>
      </w:r>
      <w:r w:rsidRPr="00F417E3" w:rsidR="00F417E3">
        <w:rPr>
          <w:sz w:val="24"/>
        </w:rPr>
        <w:t>Food and Nutrition Service (FNS)</w:t>
      </w:r>
    </w:p>
    <w:p w:rsidRPr="002C2E88" w:rsidR="002C2E88" w:rsidP="00B91258" w:rsidRDefault="002C2E88" w14:paraId="442BEA7D" w14:textId="77777777">
      <w:pPr>
        <w:rPr>
          <w:sz w:val="24"/>
          <w:szCs w:val="24"/>
        </w:rPr>
      </w:pPr>
    </w:p>
    <w:p w:rsidRPr="00EA3BC2" w:rsidR="00F5757F" w:rsidP="00E1444F" w:rsidRDefault="002C2E88" w14:paraId="0BD54B4B" w14:textId="5E4523FC">
      <w:pPr>
        <w:ind w:left="2160" w:right="-144" w:hanging="2160"/>
        <w:rPr>
          <w:sz w:val="24"/>
          <w:szCs w:val="24"/>
        </w:rPr>
      </w:pPr>
      <w:r w:rsidRPr="002C2E88">
        <w:rPr>
          <w:sz w:val="24"/>
          <w:szCs w:val="24"/>
        </w:rPr>
        <w:t>SUBJECT</w:t>
      </w:r>
      <w:r w:rsidRPr="00F5757F">
        <w:rPr>
          <w:sz w:val="24"/>
          <w:szCs w:val="24"/>
        </w:rPr>
        <w:t xml:space="preserve">: </w:t>
      </w:r>
      <w:r w:rsidRPr="00F5757F" w:rsidR="00F5757F">
        <w:rPr>
          <w:sz w:val="24"/>
          <w:szCs w:val="24"/>
        </w:rPr>
        <w:t xml:space="preserve"> </w:t>
      </w:r>
      <w:r w:rsidR="00CD6B18">
        <w:rPr>
          <w:sz w:val="24"/>
          <w:szCs w:val="24"/>
        </w:rPr>
        <w:tab/>
      </w:r>
      <w:r w:rsidRPr="00EA3BC2" w:rsidR="00DD51C2">
        <w:rPr>
          <w:sz w:val="24"/>
          <w:szCs w:val="24"/>
        </w:rPr>
        <w:t xml:space="preserve">Justification </w:t>
      </w:r>
      <w:r w:rsidRPr="00EA3BC2" w:rsidR="00575027">
        <w:rPr>
          <w:sz w:val="24"/>
          <w:szCs w:val="24"/>
        </w:rPr>
        <w:t xml:space="preserve">for </w:t>
      </w:r>
      <w:r w:rsidR="00854ED8">
        <w:rPr>
          <w:sz w:val="24"/>
          <w:szCs w:val="24"/>
        </w:rPr>
        <w:t>Non-Substantive Change</w:t>
      </w:r>
      <w:r w:rsidRPr="00EA3BC2" w:rsidR="00854ED8">
        <w:rPr>
          <w:sz w:val="24"/>
          <w:szCs w:val="24"/>
        </w:rPr>
        <w:t xml:space="preserve"> </w:t>
      </w:r>
      <w:r w:rsidRPr="00EA3BC2" w:rsidR="00575027">
        <w:rPr>
          <w:sz w:val="24"/>
          <w:szCs w:val="24"/>
        </w:rPr>
        <w:t xml:space="preserve">to OMB Control No:  </w:t>
      </w:r>
      <w:r w:rsidRPr="00EA3BC2" w:rsidR="00A52455">
        <w:rPr>
          <w:sz w:val="24"/>
          <w:szCs w:val="24"/>
        </w:rPr>
        <w:t>0584-0</w:t>
      </w:r>
      <w:r w:rsidRPr="00EA3BC2" w:rsidR="00177D63">
        <w:rPr>
          <w:sz w:val="24"/>
          <w:szCs w:val="24"/>
        </w:rPr>
        <w:t>524</w:t>
      </w:r>
      <w:r w:rsidRPr="00EA3BC2" w:rsidR="00E542E1">
        <w:rPr>
          <w:sz w:val="24"/>
          <w:szCs w:val="24"/>
        </w:rPr>
        <w:t xml:space="preserve"> </w:t>
      </w:r>
      <w:r w:rsidRPr="00EA3BC2" w:rsidR="00B83785">
        <w:rPr>
          <w:sz w:val="24"/>
          <w:szCs w:val="24"/>
        </w:rPr>
        <w:t>Evaluation of FY 2019 Summer Electronic Benefit Transfer (EBT) Demonstrations</w:t>
      </w:r>
      <w:r w:rsidRPr="00EA3BC2" w:rsidR="001360F1">
        <w:rPr>
          <w:sz w:val="24"/>
          <w:szCs w:val="24"/>
        </w:rPr>
        <w:t xml:space="preserve"> </w:t>
      </w:r>
      <w:r w:rsidRPr="00EA3BC2" w:rsidR="003C5380">
        <w:rPr>
          <w:sz w:val="24"/>
          <w:szCs w:val="24"/>
        </w:rPr>
        <w:t>to add</w:t>
      </w:r>
      <w:r w:rsidRPr="00EA3BC2" w:rsidR="004522C3">
        <w:rPr>
          <w:sz w:val="24"/>
          <w:szCs w:val="24"/>
        </w:rPr>
        <w:t xml:space="preserve"> </w:t>
      </w:r>
      <w:r w:rsidR="008B2432">
        <w:rPr>
          <w:sz w:val="24"/>
          <w:szCs w:val="24"/>
        </w:rPr>
        <w:t>one</w:t>
      </w:r>
      <w:r w:rsidRPr="00EA3BC2" w:rsidR="00CB365D">
        <w:rPr>
          <w:sz w:val="24"/>
          <w:szCs w:val="24"/>
        </w:rPr>
        <w:t xml:space="preserve"> </w:t>
      </w:r>
      <w:r w:rsidRPr="00EA3BC2" w:rsidR="004522C3">
        <w:rPr>
          <w:sz w:val="24"/>
          <w:szCs w:val="24"/>
        </w:rPr>
        <w:t>grantee</w:t>
      </w:r>
      <w:r w:rsidR="008B2432">
        <w:rPr>
          <w:sz w:val="24"/>
          <w:szCs w:val="24"/>
        </w:rPr>
        <w:t xml:space="preserve"> and remove two grantee</w:t>
      </w:r>
      <w:r w:rsidRPr="00EA3BC2" w:rsidR="004522C3">
        <w:rPr>
          <w:sz w:val="24"/>
          <w:szCs w:val="24"/>
        </w:rPr>
        <w:t>s</w:t>
      </w:r>
      <w:r w:rsidRPr="00EA3BC2" w:rsidR="00926CAD">
        <w:rPr>
          <w:sz w:val="24"/>
          <w:szCs w:val="24"/>
        </w:rPr>
        <w:t xml:space="preserve"> </w:t>
      </w:r>
      <w:r w:rsidRPr="00EA3BC2" w:rsidR="00CB365D">
        <w:rPr>
          <w:sz w:val="24"/>
          <w:szCs w:val="24"/>
        </w:rPr>
        <w:t>with no changes to data collection protocols</w:t>
      </w:r>
      <w:r w:rsidR="007225D7">
        <w:rPr>
          <w:sz w:val="24"/>
          <w:szCs w:val="24"/>
        </w:rPr>
        <w:t xml:space="preserve"> or burden</w:t>
      </w:r>
    </w:p>
    <w:p w:rsidRPr="00EA3BC2" w:rsidR="002C2E88" w:rsidP="00B91258" w:rsidRDefault="002C2E88" w14:paraId="442BEA7F" w14:textId="5B43CAD5">
      <w:pPr>
        <w:rPr>
          <w:sz w:val="24"/>
          <w:szCs w:val="24"/>
        </w:rPr>
      </w:pPr>
    </w:p>
    <w:p w:rsidR="00E21AA3" w:rsidP="00E21AA3" w:rsidRDefault="001360F1" w14:paraId="5C5E84E7" w14:textId="2D77F9E8">
      <w:pPr>
        <w:rPr>
          <w:sz w:val="24"/>
          <w:szCs w:val="24"/>
        </w:rPr>
      </w:pPr>
      <w:r w:rsidRPr="00E21AA3">
        <w:rPr>
          <w:sz w:val="24"/>
          <w:szCs w:val="24"/>
        </w:rPr>
        <w:lastRenderedPageBreak/>
        <w:t>FNS is requesting a</w:t>
      </w:r>
      <w:r w:rsidR="00854ED8">
        <w:rPr>
          <w:sz w:val="24"/>
          <w:szCs w:val="24"/>
        </w:rPr>
        <w:t xml:space="preserve"> non-substantive</w:t>
      </w:r>
      <w:r w:rsidRPr="00E21AA3">
        <w:rPr>
          <w:sz w:val="24"/>
          <w:szCs w:val="24"/>
        </w:rPr>
        <w:t xml:space="preserve"> change to the </w:t>
      </w:r>
      <w:r w:rsidR="00854ED8">
        <w:rPr>
          <w:sz w:val="24"/>
          <w:szCs w:val="24"/>
        </w:rPr>
        <w:t xml:space="preserve">previously approved collection </w:t>
      </w:r>
      <w:r w:rsidRPr="00E21AA3" w:rsidR="00EA3BC2">
        <w:rPr>
          <w:sz w:val="24"/>
          <w:szCs w:val="24"/>
        </w:rPr>
        <w:t xml:space="preserve">Evaluation of FY 2019 Summer Electronic Benefit Transfer (EBT) Demonstrations </w:t>
      </w:r>
      <w:r w:rsidRPr="00E21AA3" w:rsidR="00B0489A">
        <w:rPr>
          <w:sz w:val="24"/>
          <w:szCs w:val="24"/>
        </w:rPr>
        <w:t>(SEBT-X)</w:t>
      </w:r>
      <w:r w:rsidR="00220C1E">
        <w:rPr>
          <w:sz w:val="24"/>
          <w:szCs w:val="24"/>
        </w:rPr>
        <w:t xml:space="preserve"> under the </w:t>
      </w:r>
      <w:r w:rsidRPr="00220C1E" w:rsidR="00220C1E">
        <w:rPr>
          <w:sz w:val="24"/>
          <w:szCs w:val="24"/>
        </w:rPr>
        <w:t>Generic Clearance to Conduct Formative Research or Development of Nutrition Education and Promotion Materials and Related Tools and Grants for FNS Population Groups</w:t>
      </w:r>
      <w:r w:rsidR="00220C1E">
        <w:rPr>
          <w:sz w:val="24"/>
          <w:szCs w:val="24"/>
        </w:rPr>
        <w:t xml:space="preserve"> (</w:t>
      </w:r>
      <w:r w:rsidRPr="00E21AA3">
        <w:rPr>
          <w:sz w:val="24"/>
          <w:szCs w:val="24"/>
        </w:rPr>
        <w:t xml:space="preserve">OMB Control No. </w:t>
      </w:r>
      <w:r w:rsidRPr="00E21AA3" w:rsidR="00A52455">
        <w:rPr>
          <w:sz w:val="24"/>
          <w:szCs w:val="24"/>
        </w:rPr>
        <w:t>0584-0</w:t>
      </w:r>
      <w:r w:rsidRPr="00E21AA3" w:rsidR="00B0489A">
        <w:rPr>
          <w:sz w:val="24"/>
          <w:szCs w:val="24"/>
        </w:rPr>
        <w:t>524</w:t>
      </w:r>
      <w:r w:rsidR="00220C1E">
        <w:rPr>
          <w:sz w:val="24"/>
          <w:szCs w:val="24"/>
        </w:rPr>
        <w:t>, exp. 12/31/202</w:t>
      </w:r>
      <w:r w:rsidR="00D1493F">
        <w:rPr>
          <w:sz w:val="24"/>
          <w:szCs w:val="24"/>
        </w:rPr>
        <w:t>2</w:t>
      </w:r>
      <w:r w:rsidR="00220C1E">
        <w:rPr>
          <w:sz w:val="24"/>
          <w:szCs w:val="24"/>
        </w:rPr>
        <w:t>.</w:t>
      </w:r>
    </w:p>
    <w:p w:rsidR="00E21AA3" w:rsidP="00E21AA3" w:rsidRDefault="00E21AA3" w14:paraId="52D26B18" w14:textId="77777777">
      <w:pPr>
        <w:rPr>
          <w:sz w:val="24"/>
          <w:szCs w:val="24"/>
        </w:rPr>
      </w:pPr>
    </w:p>
    <w:p w:rsidR="00E21AA3" w:rsidP="004C7A57" w:rsidRDefault="004C7A57" w14:paraId="64CC38B7" w14:textId="77777777">
      <w:pPr>
        <w:rPr>
          <w:rFonts w:eastAsiaTheme="minorEastAsia"/>
          <w:sz w:val="24"/>
          <w:szCs w:val="24"/>
        </w:rPr>
      </w:pPr>
      <w:r w:rsidRPr="00E21AA3">
        <w:rPr>
          <w:rFonts w:eastAsiaTheme="minorEastAsia"/>
          <w:sz w:val="24"/>
          <w:szCs w:val="24"/>
        </w:rPr>
        <w:t xml:space="preserve">The </w:t>
      </w:r>
      <w:r w:rsidRPr="00E21AA3" w:rsidR="00DF718D">
        <w:rPr>
          <w:rFonts w:eastAsiaTheme="minorEastAsia"/>
          <w:sz w:val="24"/>
          <w:szCs w:val="24"/>
        </w:rPr>
        <w:t xml:space="preserve">SEBT-X </w:t>
      </w:r>
      <w:r w:rsidRPr="00E21AA3" w:rsidR="00AC5844">
        <w:rPr>
          <w:rFonts w:eastAsiaTheme="minorEastAsia"/>
          <w:sz w:val="24"/>
          <w:szCs w:val="24"/>
        </w:rPr>
        <w:t>P</w:t>
      </w:r>
      <w:r w:rsidRPr="00E21AA3">
        <w:rPr>
          <w:rFonts w:eastAsiaTheme="minorEastAsia"/>
          <w:sz w:val="24"/>
          <w:szCs w:val="24"/>
        </w:rPr>
        <w:t>rocess Study aims to 1) document grantee implementation processes, challenges, and successes and 2) describe participant and retailer experiences with Summer EBT over a three-year period.</w:t>
      </w:r>
      <w:r w:rsidRPr="00E21AA3" w:rsidR="00DF718D">
        <w:rPr>
          <w:rFonts w:eastAsiaTheme="minorEastAsia"/>
          <w:sz w:val="24"/>
          <w:szCs w:val="24"/>
        </w:rPr>
        <w:t xml:space="preserve"> </w:t>
      </w:r>
      <w:r w:rsidRPr="00E21AA3">
        <w:rPr>
          <w:rFonts w:eastAsiaTheme="minorEastAsia"/>
          <w:sz w:val="24"/>
          <w:szCs w:val="24"/>
        </w:rPr>
        <w:t>Results from this evaluation will help FNS understand how Summer EBT projects can be implemented in new and varying settings.</w:t>
      </w:r>
    </w:p>
    <w:p w:rsidR="00E21AA3" w:rsidP="004C7A57" w:rsidRDefault="00E21AA3" w14:paraId="27440524" w14:textId="77777777">
      <w:pPr>
        <w:rPr>
          <w:rFonts w:eastAsiaTheme="minorEastAsia"/>
          <w:sz w:val="24"/>
          <w:szCs w:val="24"/>
        </w:rPr>
      </w:pPr>
    </w:p>
    <w:p w:rsidRPr="00E21AA3" w:rsidR="00E542E1" w:rsidP="004C7A57" w:rsidRDefault="004C7A57" w14:paraId="4D3C438A" w14:textId="1B882401">
      <w:pPr>
        <w:rPr>
          <w:sz w:val="24"/>
          <w:szCs w:val="24"/>
        </w:rPr>
      </w:pPr>
      <w:r w:rsidRPr="00E21AA3">
        <w:rPr>
          <w:rFonts w:eastAsiaTheme="minorEastAsia"/>
          <w:sz w:val="24"/>
          <w:szCs w:val="24"/>
        </w:rPr>
        <w:t>To obtain information from grantees, retailers, S</w:t>
      </w:r>
      <w:r w:rsidR="00845949">
        <w:rPr>
          <w:rFonts w:eastAsiaTheme="minorEastAsia"/>
          <w:sz w:val="24"/>
          <w:szCs w:val="24"/>
        </w:rPr>
        <w:t xml:space="preserve">chool </w:t>
      </w:r>
      <w:r w:rsidRPr="00E21AA3">
        <w:rPr>
          <w:rFonts w:eastAsiaTheme="minorEastAsia"/>
          <w:sz w:val="24"/>
          <w:szCs w:val="24"/>
        </w:rPr>
        <w:t>F</w:t>
      </w:r>
      <w:r w:rsidR="00845949">
        <w:rPr>
          <w:rFonts w:eastAsiaTheme="minorEastAsia"/>
          <w:sz w:val="24"/>
          <w:szCs w:val="24"/>
        </w:rPr>
        <w:t xml:space="preserve">ood </w:t>
      </w:r>
      <w:r w:rsidRPr="00E21AA3">
        <w:rPr>
          <w:rFonts w:eastAsiaTheme="minorEastAsia"/>
          <w:sz w:val="24"/>
          <w:szCs w:val="24"/>
        </w:rPr>
        <w:t>A</w:t>
      </w:r>
      <w:r w:rsidR="00845949">
        <w:rPr>
          <w:rFonts w:eastAsiaTheme="minorEastAsia"/>
          <w:sz w:val="24"/>
          <w:szCs w:val="24"/>
        </w:rPr>
        <w:t>uthorities (SFAs)</w:t>
      </w:r>
      <w:r w:rsidRPr="00E21AA3">
        <w:rPr>
          <w:rFonts w:eastAsiaTheme="minorEastAsia"/>
          <w:sz w:val="24"/>
          <w:szCs w:val="24"/>
        </w:rPr>
        <w:t xml:space="preserve"> and participants while the project is active, FNS aims to conduct annual in-person</w:t>
      </w:r>
      <w:r w:rsidR="001247FB">
        <w:rPr>
          <w:rFonts w:eastAsiaTheme="minorEastAsia"/>
          <w:sz w:val="24"/>
          <w:szCs w:val="24"/>
        </w:rPr>
        <w:t xml:space="preserve"> or virtual</w:t>
      </w:r>
      <w:r w:rsidRPr="00E21AA3">
        <w:rPr>
          <w:rFonts w:eastAsiaTheme="minorEastAsia"/>
          <w:sz w:val="24"/>
          <w:szCs w:val="24"/>
        </w:rPr>
        <w:t xml:space="preserve"> primary data collection (interviews and focus groups) during the summer months (July and August). To achieve this, the study team must begin respondent recruitment in late spring/early summer 202</w:t>
      </w:r>
      <w:r w:rsidRPr="00E21AA3" w:rsidR="00983551">
        <w:rPr>
          <w:rFonts w:eastAsiaTheme="minorEastAsia"/>
          <w:sz w:val="24"/>
          <w:szCs w:val="24"/>
        </w:rPr>
        <w:t>1</w:t>
      </w:r>
      <w:r w:rsidRPr="00E21AA3">
        <w:rPr>
          <w:rFonts w:eastAsiaTheme="minorEastAsia"/>
          <w:sz w:val="24"/>
          <w:szCs w:val="24"/>
        </w:rPr>
        <w:t xml:space="preserve"> to be able to recruit active parents/caregivers of children for focus group participation.  Conducting data collection while the project is active is essential for the success of the evaluation; respondents and participants will be able to provide better, more accurate information regarding successes, challenges, and desired project changes or improvements, while the project is operational. </w:t>
      </w:r>
      <w:r w:rsidRPr="00E21AA3" w:rsidR="00603087">
        <w:rPr>
          <w:sz w:val="24"/>
          <w:szCs w:val="24"/>
        </w:rPr>
        <w:t xml:space="preserve"> </w:t>
      </w:r>
      <w:r w:rsidRPr="00E21AA3" w:rsidR="001360F1">
        <w:rPr>
          <w:sz w:val="24"/>
          <w:szCs w:val="24"/>
        </w:rPr>
        <w:t xml:space="preserve"> </w:t>
      </w:r>
    </w:p>
    <w:p w:rsidRPr="00E21AA3" w:rsidR="002F3452" w:rsidP="00B91258" w:rsidRDefault="002F3452" w14:paraId="6647AE7B" w14:textId="6A96F83D">
      <w:pPr>
        <w:rPr>
          <w:rFonts w:eastAsiaTheme="minorHAnsi"/>
          <w:color w:val="000000"/>
          <w:sz w:val="24"/>
          <w:szCs w:val="24"/>
        </w:rPr>
      </w:pPr>
    </w:p>
    <w:p w:rsidR="00B47F38" w:rsidP="00B47F38" w:rsidRDefault="00160037" w14:paraId="28DBCC06" w14:textId="2056360C">
      <w:pPr>
        <w:pStyle w:val="Default"/>
        <w:rPr>
          <w:rFonts w:eastAsiaTheme="minorEastAsia"/>
        </w:rPr>
      </w:pPr>
      <w:r w:rsidRPr="00E21AA3">
        <w:rPr>
          <w:rFonts w:eastAsiaTheme="minorEastAsia"/>
        </w:rPr>
        <w:t xml:space="preserve">FNS recently awarded </w:t>
      </w:r>
      <w:r w:rsidR="00EA2BA9">
        <w:rPr>
          <w:rFonts w:eastAsiaTheme="minorEastAsia"/>
        </w:rPr>
        <w:t>a</w:t>
      </w:r>
      <w:r w:rsidR="0026736C">
        <w:rPr>
          <w:rFonts w:eastAsiaTheme="minorEastAsia"/>
        </w:rPr>
        <w:t xml:space="preserve"> </w:t>
      </w:r>
      <w:r w:rsidRPr="00E21AA3" w:rsidR="009C4E53">
        <w:rPr>
          <w:rFonts w:eastAsiaTheme="minorEastAsia"/>
        </w:rPr>
        <w:t xml:space="preserve">Summer EBT </w:t>
      </w:r>
      <w:r w:rsidRPr="00E21AA3">
        <w:rPr>
          <w:rFonts w:eastAsiaTheme="minorEastAsia"/>
        </w:rPr>
        <w:t xml:space="preserve">grant to </w:t>
      </w:r>
      <w:r w:rsidR="00EC0699">
        <w:rPr>
          <w:rFonts w:eastAsiaTheme="minorEastAsia"/>
        </w:rPr>
        <w:t xml:space="preserve">an </w:t>
      </w:r>
      <w:r w:rsidR="00617F0B">
        <w:rPr>
          <w:rFonts w:eastAsiaTheme="minorEastAsia"/>
        </w:rPr>
        <w:t>Inter-Tribal</w:t>
      </w:r>
      <w:r w:rsidR="00FF0359">
        <w:rPr>
          <w:rFonts w:eastAsiaTheme="minorEastAsia"/>
        </w:rPr>
        <w:t xml:space="preserve"> Organization (</w:t>
      </w:r>
      <w:r w:rsidRPr="00E21AA3">
        <w:rPr>
          <w:rFonts w:eastAsiaTheme="minorEastAsia"/>
        </w:rPr>
        <w:t>ITO</w:t>
      </w:r>
      <w:r w:rsidR="00FF0359">
        <w:rPr>
          <w:rFonts w:eastAsiaTheme="minorEastAsia"/>
        </w:rPr>
        <w:t>)</w:t>
      </w:r>
      <w:r w:rsidR="00B30B44">
        <w:rPr>
          <w:rFonts w:eastAsiaTheme="minorEastAsia"/>
        </w:rPr>
        <w:t xml:space="preserve"> for the 2021-2023 cycle</w:t>
      </w:r>
      <w:r w:rsidR="00EC0699">
        <w:rPr>
          <w:rFonts w:eastAsiaTheme="minorEastAsia"/>
        </w:rPr>
        <w:t xml:space="preserve">:  </w:t>
      </w:r>
      <w:r w:rsidRPr="00E21AA3">
        <w:rPr>
          <w:rFonts w:eastAsiaTheme="minorEastAsia"/>
        </w:rPr>
        <w:t xml:space="preserve">Cherokee Nation and </w:t>
      </w:r>
      <w:r w:rsidR="003D6EA5">
        <w:rPr>
          <w:rFonts w:eastAsiaTheme="minorEastAsia"/>
        </w:rPr>
        <w:t>requests</w:t>
      </w:r>
      <w:r w:rsidRPr="00E21AA3">
        <w:rPr>
          <w:rFonts w:eastAsiaTheme="minorEastAsia"/>
        </w:rPr>
        <w:t xml:space="preserve"> add</w:t>
      </w:r>
      <w:r w:rsidR="003D6EA5">
        <w:rPr>
          <w:rFonts w:eastAsiaTheme="minorEastAsia"/>
        </w:rPr>
        <w:t>ing</w:t>
      </w:r>
      <w:r w:rsidRPr="00E21AA3">
        <w:rPr>
          <w:rFonts w:eastAsiaTheme="minorEastAsia"/>
        </w:rPr>
        <w:t xml:space="preserve"> </w:t>
      </w:r>
      <w:r w:rsidR="00EA2BA9">
        <w:rPr>
          <w:rFonts w:eastAsiaTheme="minorEastAsia"/>
        </w:rPr>
        <w:t>Cherokee Nation</w:t>
      </w:r>
      <w:r w:rsidRPr="00E21AA3">
        <w:rPr>
          <w:rFonts w:eastAsiaTheme="minorEastAsia"/>
        </w:rPr>
        <w:t xml:space="preserve"> to the evaluation sample</w:t>
      </w:r>
      <w:r w:rsidR="00EA2BA9">
        <w:rPr>
          <w:rFonts w:eastAsiaTheme="minorEastAsia"/>
        </w:rPr>
        <w:t xml:space="preserve">. Additionally, FNS </w:t>
      </w:r>
      <w:r w:rsidR="00841D94">
        <w:rPr>
          <w:rFonts w:eastAsiaTheme="minorEastAsia"/>
        </w:rPr>
        <w:t xml:space="preserve">asked two current state grantees, Michigan and Wisconsin, to pause implementation of their Summer EBT projects </w:t>
      </w:r>
      <w:r w:rsidR="00D765C7">
        <w:rPr>
          <w:rFonts w:eastAsiaTheme="minorEastAsia"/>
        </w:rPr>
        <w:t>for the summer of 2021.</w:t>
      </w:r>
      <w:r w:rsidR="00A40780">
        <w:rPr>
          <w:rFonts w:eastAsiaTheme="minorEastAsia"/>
        </w:rPr>
        <w:t xml:space="preserve"> FNS requests to remove these two states from the evaluation sample.</w:t>
      </w:r>
      <w:r w:rsidR="00914B6E">
        <w:rPr>
          <w:rFonts w:eastAsiaTheme="minorEastAsia"/>
        </w:rPr>
        <w:t xml:space="preserve"> This change request is to simply add Cherokee Nation to the </w:t>
      </w:r>
      <w:r w:rsidR="00BF3A9F">
        <w:rPr>
          <w:rFonts w:eastAsiaTheme="minorEastAsia"/>
        </w:rPr>
        <w:t xml:space="preserve">evaluation </w:t>
      </w:r>
      <w:r w:rsidR="00914B6E">
        <w:rPr>
          <w:rFonts w:eastAsiaTheme="minorEastAsia"/>
        </w:rPr>
        <w:t xml:space="preserve">sample </w:t>
      </w:r>
      <w:r w:rsidR="00BF3A9F">
        <w:rPr>
          <w:rFonts w:eastAsiaTheme="minorEastAsia"/>
        </w:rPr>
        <w:t>for 2021-</w:t>
      </w:r>
      <w:r w:rsidR="00BF3A9F">
        <w:rPr>
          <w:rFonts w:eastAsiaTheme="minorEastAsia"/>
        </w:rPr>
        <w:lastRenderedPageBreak/>
        <w:t>2023 and remove Michigan and Wisconsin f</w:t>
      </w:r>
      <w:r w:rsidR="00E44A50">
        <w:rPr>
          <w:rFonts w:eastAsiaTheme="minorEastAsia"/>
        </w:rPr>
        <w:t>rom 2021 and forward from the sample.</w:t>
      </w:r>
      <w:r w:rsidR="00460640">
        <w:rPr>
          <w:rFonts w:eastAsiaTheme="minorEastAsia"/>
        </w:rPr>
        <w:t xml:space="preserve"> </w:t>
      </w:r>
      <w:r w:rsidR="001050A7">
        <w:rPr>
          <w:rFonts w:eastAsiaTheme="minorEastAsia"/>
        </w:rPr>
        <w:t>T</w:t>
      </w:r>
      <w:r w:rsidR="00460640">
        <w:rPr>
          <w:rFonts w:eastAsiaTheme="minorEastAsia"/>
        </w:rPr>
        <w:t>able</w:t>
      </w:r>
      <w:r w:rsidR="001050A7">
        <w:rPr>
          <w:rFonts w:eastAsiaTheme="minorEastAsia"/>
        </w:rPr>
        <w:t xml:space="preserve"> 1</w:t>
      </w:r>
      <w:r w:rsidR="00460640">
        <w:rPr>
          <w:rFonts w:eastAsiaTheme="minorEastAsia"/>
        </w:rPr>
        <w:t xml:space="preserve"> summariz</w:t>
      </w:r>
      <w:r w:rsidR="001050A7">
        <w:rPr>
          <w:rFonts w:eastAsiaTheme="minorEastAsia"/>
        </w:rPr>
        <w:t>es</w:t>
      </w:r>
      <w:r w:rsidR="00460640">
        <w:rPr>
          <w:rFonts w:eastAsiaTheme="minorEastAsia"/>
        </w:rPr>
        <w:t xml:space="preserve"> the </w:t>
      </w:r>
      <w:r w:rsidR="00D4779D">
        <w:rPr>
          <w:rFonts w:eastAsiaTheme="minorEastAsia"/>
        </w:rPr>
        <w:t>revised</w:t>
      </w:r>
      <w:r w:rsidR="00460640">
        <w:rPr>
          <w:rFonts w:eastAsiaTheme="minorEastAsia"/>
        </w:rPr>
        <w:t xml:space="preserve"> evaluation sample members:</w:t>
      </w:r>
    </w:p>
    <w:p w:rsidR="00460640" w:rsidP="00B47F38" w:rsidRDefault="00460640" w14:paraId="6D9A5C12" w14:textId="0CF795D8">
      <w:pPr>
        <w:pStyle w:val="Default"/>
        <w:rPr>
          <w:rFonts w:eastAsiaTheme="minorEastAsia"/>
        </w:rPr>
      </w:pPr>
    </w:p>
    <w:p w:rsidR="001050A7" w:rsidP="00B47F38" w:rsidRDefault="001050A7" w14:paraId="113C46CE" w14:textId="3995366A">
      <w:pPr>
        <w:pStyle w:val="Default"/>
        <w:rPr>
          <w:rFonts w:eastAsiaTheme="minorEastAsia"/>
        </w:rPr>
      </w:pPr>
      <w:r>
        <w:rPr>
          <w:b/>
          <w:sz w:val="22"/>
          <w:szCs w:val="22"/>
        </w:rPr>
        <w:t xml:space="preserve">Table 1. Requested Change to </w:t>
      </w:r>
      <w:r w:rsidR="002F19FB">
        <w:rPr>
          <w:b/>
          <w:sz w:val="22"/>
          <w:szCs w:val="22"/>
        </w:rPr>
        <w:t>Evaluation Sample Grantees</w:t>
      </w:r>
    </w:p>
    <w:p w:rsidR="001050A7" w:rsidP="00B47F38" w:rsidRDefault="001050A7" w14:paraId="3326D3E9" w14:textId="77777777">
      <w:pPr>
        <w:pStyle w:val="Default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050"/>
        <w:gridCol w:w="2965"/>
      </w:tblGrid>
      <w:tr w:rsidR="006F4BFC" w:rsidTr="00836D0C" w14:paraId="6F21A0CB" w14:textId="77777777">
        <w:tc>
          <w:tcPr>
            <w:tcW w:w="2335" w:type="dxa"/>
          </w:tcPr>
          <w:p w:rsidRPr="00BF1516" w:rsidR="006F4BFC" w:rsidP="00836D0C" w:rsidRDefault="00836D0C" w14:paraId="40275F96" w14:textId="64E3089F">
            <w:pPr>
              <w:pStyle w:val="Default"/>
              <w:jc w:val="center"/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  <w:t>Data Collection Year</w:t>
            </w:r>
          </w:p>
        </w:tc>
        <w:tc>
          <w:tcPr>
            <w:tcW w:w="4050" w:type="dxa"/>
          </w:tcPr>
          <w:p w:rsidRPr="00BF1516" w:rsidR="006F4BFC" w:rsidP="00836D0C" w:rsidRDefault="00836D0C" w14:paraId="418AD10A" w14:textId="5311D313">
            <w:pPr>
              <w:pStyle w:val="Default"/>
              <w:jc w:val="center"/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  <w:t>Grantees Included</w:t>
            </w:r>
          </w:p>
        </w:tc>
        <w:tc>
          <w:tcPr>
            <w:tcW w:w="2965" w:type="dxa"/>
          </w:tcPr>
          <w:p w:rsidRPr="00BF1516" w:rsidR="006F4BFC" w:rsidP="00836D0C" w:rsidRDefault="00836D0C" w14:paraId="0582346B" w14:textId="5ED0B885">
            <w:pPr>
              <w:pStyle w:val="Default"/>
              <w:jc w:val="center"/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b/>
                <w:bCs/>
                <w:sz w:val="18"/>
                <w:szCs w:val="18"/>
              </w:rPr>
              <w:t>Grant Cycle Year</w:t>
            </w:r>
          </w:p>
        </w:tc>
      </w:tr>
      <w:tr w:rsidR="002F19FB" w:rsidTr="00836D0C" w14:paraId="19B3F272" w14:textId="77777777">
        <w:tc>
          <w:tcPr>
            <w:tcW w:w="2335" w:type="dxa"/>
            <w:vMerge w:val="restart"/>
          </w:tcPr>
          <w:p w:rsidRPr="00BF1516" w:rsidR="002F19FB" w:rsidP="002F19FB" w:rsidRDefault="002F19FB" w14:paraId="7822873A" w14:textId="16EFAA73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2021</w:t>
            </w:r>
          </w:p>
        </w:tc>
        <w:tc>
          <w:tcPr>
            <w:tcW w:w="4050" w:type="dxa"/>
          </w:tcPr>
          <w:p w:rsidRPr="00BF1516" w:rsidR="002F19FB" w:rsidP="00B47F38" w:rsidRDefault="002F19FB" w14:paraId="5FAAA318" w14:textId="6FAE9F8D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Cherokee Nation</w:t>
            </w:r>
          </w:p>
        </w:tc>
        <w:tc>
          <w:tcPr>
            <w:tcW w:w="2965" w:type="dxa"/>
          </w:tcPr>
          <w:p w:rsidRPr="00BF1516" w:rsidR="002F19FB" w:rsidP="002F19FB" w:rsidRDefault="002F19FB" w14:paraId="303FC6A2" w14:textId="245C5A79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1</w:t>
            </w:r>
          </w:p>
        </w:tc>
      </w:tr>
      <w:tr w:rsidR="002F19FB" w:rsidTr="00836D0C" w14:paraId="12005A2B" w14:textId="77777777">
        <w:tc>
          <w:tcPr>
            <w:tcW w:w="2335" w:type="dxa"/>
            <w:vMerge/>
          </w:tcPr>
          <w:p w:rsidRPr="00BF1516" w:rsidR="002F19FB" w:rsidP="002F19FB" w:rsidRDefault="002F19FB" w14:paraId="2768BEBB" w14:textId="77777777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Pr="00BF1516" w:rsidR="002F19FB" w:rsidP="00B47F38" w:rsidRDefault="002F19FB" w14:paraId="7869D210" w14:textId="6FB5F45C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ITCA</w:t>
            </w:r>
          </w:p>
        </w:tc>
        <w:tc>
          <w:tcPr>
            <w:tcW w:w="2965" w:type="dxa"/>
          </w:tcPr>
          <w:p w:rsidRPr="00BF1516" w:rsidR="002F19FB" w:rsidP="002F19FB" w:rsidRDefault="002F19FB" w14:paraId="0EACB09E" w14:textId="20DD123D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2</w:t>
            </w:r>
          </w:p>
        </w:tc>
      </w:tr>
      <w:tr w:rsidR="002F19FB" w:rsidTr="00836D0C" w14:paraId="3508C754" w14:textId="77777777">
        <w:tc>
          <w:tcPr>
            <w:tcW w:w="2335" w:type="dxa"/>
            <w:vMerge/>
          </w:tcPr>
          <w:p w:rsidRPr="00BF1516" w:rsidR="002F19FB" w:rsidP="002F19FB" w:rsidRDefault="002F19FB" w14:paraId="328FE303" w14:textId="77777777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Pr="00BF1516" w:rsidR="002F19FB" w:rsidP="00B47F38" w:rsidRDefault="002F19FB" w14:paraId="5504B731" w14:textId="7BCCF27F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Chickasaw Nation</w:t>
            </w:r>
          </w:p>
        </w:tc>
        <w:tc>
          <w:tcPr>
            <w:tcW w:w="2965" w:type="dxa"/>
          </w:tcPr>
          <w:p w:rsidRPr="00BF1516" w:rsidR="002F19FB" w:rsidP="002F19FB" w:rsidRDefault="002F19FB" w14:paraId="30F4A91F" w14:textId="4024F6B7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3</w:t>
            </w:r>
          </w:p>
        </w:tc>
      </w:tr>
      <w:tr w:rsidR="002F19FB" w:rsidTr="00836D0C" w14:paraId="5FA8CA88" w14:textId="77777777">
        <w:tc>
          <w:tcPr>
            <w:tcW w:w="2335" w:type="dxa"/>
            <w:vMerge w:val="restart"/>
          </w:tcPr>
          <w:p w:rsidRPr="00BF1516" w:rsidR="002F19FB" w:rsidP="002F19FB" w:rsidRDefault="002F19FB" w14:paraId="51E660BF" w14:textId="41DF130C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2022</w:t>
            </w:r>
          </w:p>
        </w:tc>
        <w:tc>
          <w:tcPr>
            <w:tcW w:w="4050" w:type="dxa"/>
          </w:tcPr>
          <w:p w:rsidRPr="00BF1516" w:rsidR="002F19FB" w:rsidP="00B47F38" w:rsidRDefault="002F19FB" w14:paraId="0E1A503D" w14:textId="4919E23B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Cherokee Nation</w:t>
            </w:r>
          </w:p>
        </w:tc>
        <w:tc>
          <w:tcPr>
            <w:tcW w:w="2965" w:type="dxa"/>
          </w:tcPr>
          <w:p w:rsidRPr="00BF1516" w:rsidR="002F19FB" w:rsidP="002F19FB" w:rsidRDefault="002F19FB" w14:paraId="2284E743" w14:textId="084021C5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2</w:t>
            </w:r>
          </w:p>
        </w:tc>
      </w:tr>
      <w:tr w:rsidR="002F19FB" w:rsidTr="00836D0C" w14:paraId="11EC7CF3" w14:textId="77777777">
        <w:tc>
          <w:tcPr>
            <w:tcW w:w="2335" w:type="dxa"/>
            <w:vMerge/>
          </w:tcPr>
          <w:p w:rsidRPr="00BF1516" w:rsidR="002F19FB" w:rsidP="002F19FB" w:rsidRDefault="002F19FB" w14:paraId="564CCC60" w14:textId="77777777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</w:p>
        </w:tc>
        <w:tc>
          <w:tcPr>
            <w:tcW w:w="4050" w:type="dxa"/>
          </w:tcPr>
          <w:p w:rsidRPr="00BF1516" w:rsidR="002F19FB" w:rsidP="00B47F38" w:rsidRDefault="002F19FB" w14:paraId="5B495664" w14:textId="388F9CEE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ITCA</w:t>
            </w:r>
          </w:p>
        </w:tc>
        <w:tc>
          <w:tcPr>
            <w:tcW w:w="2965" w:type="dxa"/>
          </w:tcPr>
          <w:p w:rsidRPr="00BF1516" w:rsidR="002F19FB" w:rsidP="002F19FB" w:rsidRDefault="002F19FB" w14:paraId="27841A2A" w14:textId="2546A387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3</w:t>
            </w:r>
          </w:p>
        </w:tc>
      </w:tr>
      <w:tr w:rsidR="00836D0C" w:rsidTr="00836D0C" w14:paraId="1166DB80" w14:textId="77777777">
        <w:tc>
          <w:tcPr>
            <w:tcW w:w="2335" w:type="dxa"/>
          </w:tcPr>
          <w:p w:rsidRPr="00BF1516" w:rsidR="00836D0C" w:rsidP="002F19FB" w:rsidRDefault="00836D0C" w14:paraId="31A11D68" w14:textId="2FC29725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2023</w:t>
            </w:r>
          </w:p>
        </w:tc>
        <w:tc>
          <w:tcPr>
            <w:tcW w:w="4050" w:type="dxa"/>
          </w:tcPr>
          <w:p w:rsidRPr="00BF1516" w:rsidR="00836D0C" w:rsidP="00B47F38" w:rsidRDefault="001B7EB2" w14:paraId="0CF1DCAD" w14:textId="0BFFB20E">
            <w:pPr>
              <w:pStyle w:val="Default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Cherokee Nation</w:t>
            </w:r>
          </w:p>
        </w:tc>
        <w:tc>
          <w:tcPr>
            <w:tcW w:w="2965" w:type="dxa"/>
          </w:tcPr>
          <w:p w:rsidRPr="00BF1516" w:rsidR="00836D0C" w:rsidP="002F19FB" w:rsidRDefault="001B7EB2" w14:paraId="35AB8DAC" w14:textId="564B77A6">
            <w:pPr>
              <w:pStyle w:val="Default"/>
              <w:jc w:val="center"/>
              <w:rPr>
                <w:rFonts w:asciiTheme="majorBidi" w:hAnsiTheme="majorBidi" w:eastAsiaTheme="minorEastAsia" w:cstheme="majorBidi"/>
                <w:sz w:val="18"/>
                <w:szCs w:val="18"/>
              </w:rPr>
            </w:pPr>
            <w:r w:rsidRPr="00BF1516">
              <w:rPr>
                <w:rFonts w:asciiTheme="majorBidi" w:hAnsiTheme="majorBidi" w:eastAsiaTheme="minorEastAsia" w:cstheme="majorBidi"/>
                <w:sz w:val="18"/>
                <w:szCs w:val="18"/>
              </w:rPr>
              <w:t>Year 3</w:t>
            </w:r>
          </w:p>
        </w:tc>
      </w:tr>
    </w:tbl>
    <w:p w:rsidRPr="00E21AA3" w:rsidR="00460640" w:rsidP="00B47F38" w:rsidRDefault="00460640" w14:paraId="67B5A6D4" w14:textId="77777777">
      <w:pPr>
        <w:pStyle w:val="Default"/>
        <w:rPr>
          <w:rFonts w:eastAsiaTheme="minorEastAsia"/>
        </w:rPr>
      </w:pPr>
    </w:p>
    <w:p w:rsidR="004659DA" w:rsidP="004659DA" w:rsidRDefault="008664EF" w14:paraId="43C02A88" w14:textId="29CC0BC5">
      <w:pPr>
        <w:pStyle w:val="Default"/>
        <w:rPr>
          <w:rFonts w:eastAsiaTheme="minorEastAsia"/>
        </w:rPr>
      </w:pPr>
      <w:r w:rsidRPr="006C50DD">
        <w:rPr>
          <w:rFonts w:eastAsiaTheme="minorEastAsia"/>
        </w:rPr>
        <w:t>Attachments B.1 and D have been updated to reflect the new grantees and are included with this non-substantive change request.  Attachment B.2 has been removed because it is only applicable for a previous grantee.</w:t>
      </w:r>
      <w:r>
        <w:rPr>
          <w:rFonts w:eastAsiaTheme="minorEastAsia"/>
        </w:rPr>
        <w:t xml:space="preserve"> </w:t>
      </w:r>
      <w:r w:rsidRPr="008664EF">
        <w:rPr>
          <w:rFonts w:eastAsiaTheme="minorEastAsia"/>
        </w:rPr>
        <w:t xml:space="preserve"> </w:t>
      </w:r>
      <w:r w:rsidR="00395E5F">
        <w:rPr>
          <w:rFonts w:eastAsiaTheme="minorEastAsia"/>
        </w:rPr>
        <w:t>No changes are proposed to the level of burden.</w:t>
      </w:r>
      <w:r w:rsidR="004659DA">
        <w:rPr>
          <w:rFonts w:eastAsiaTheme="minorEastAsia"/>
        </w:rPr>
        <w:t xml:space="preserve"> </w:t>
      </w:r>
      <w:r w:rsidRPr="00E21AA3" w:rsidR="00B30B44">
        <w:rPr>
          <w:rFonts w:eastAsiaTheme="minorEastAsia"/>
        </w:rPr>
        <w:t xml:space="preserve">The respondent groups (Grantees, </w:t>
      </w:r>
      <w:r w:rsidR="00B30B44">
        <w:rPr>
          <w:rFonts w:eastAsiaTheme="minorEastAsia"/>
        </w:rPr>
        <w:t>SFAs</w:t>
      </w:r>
      <w:r w:rsidRPr="00E21AA3" w:rsidR="00B30B44">
        <w:rPr>
          <w:rFonts w:eastAsiaTheme="minorEastAsia"/>
        </w:rPr>
        <w:t>, Retailers</w:t>
      </w:r>
      <w:r w:rsidR="00B30B44">
        <w:rPr>
          <w:rFonts w:eastAsiaTheme="minorEastAsia"/>
        </w:rPr>
        <w:t>,</w:t>
      </w:r>
      <w:r w:rsidRPr="00E21AA3" w:rsidR="00B30B44">
        <w:rPr>
          <w:rFonts w:eastAsiaTheme="minorEastAsia"/>
        </w:rPr>
        <w:t xml:space="preserve"> and </w:t>
      </w:r>
      <w:r w:rsidR="00B30B44">
        <w:rPr>
          <w:rFonts w:eastAsiaTheme="minorEastAsia"/>
        </w:rPr>
        <w:t>Caregivers of Participant Children</w:t>
      </w:r>
      <w:r w:rsidRPr="00E21AA3" w:rsidR="00B30B44">
        <w:rPr>
          <w:rFonts w:eastAsiaTheme="minorEastAsia"/>
        </w:rPr>
        <w:t>) will remain the same as those in the original submission for the OMB clearance.</w:t>
      </w:r>
      <w:r w:rsidR="00D1493F">
        <w:rPr>
          <w:rFonts w:eastAsiaTheme="minorEastAsia"/>
        </w:rPr>
        <w:t xml:space="preserve"> </w:t>
      </w:r>
    </w:p>
    <w:p w:rsidR="004659DA" w:rsidP="004659DA" w:rsidRDefault="004659DA" w14:paraId="4BED4A23" w14:textId="77777777">
      <w:pPr>
        <w:pStyle w:val="Default"/>
        <w:rPr>
          <w:rFonts w:eastAsiaTheme="minorEastAsia"/>
        </w:rPr>
      </w:pPr>
    </w:p>
    <w:p w:rsidR="007D46AE" w:rsidP="004659DA" w:rsidRDefault="00A0008D" w14:paraId="58D296A2" w14:textId="400C0DA2">
      <w:pPr>
        <w:pStyle w:val="Default"/>
        <w:rPr>
          <w:rFonts w:eastAsiaTheme="minorEastAsia"/>
        </w:rPr>
      </w:pPr>
      <w:r>
        <w:rPr>
          <w:rFonts w:eastAsiaTheme="minorEastAsia"/>
        </w:rPr>
        <w:t xml:space="preserve">The burden remains the same as the original OMB submission because the </w:t>
      </w:r>
      <w:r w:rsidR="0033344F">
        <w:rPr>
          <w:rFonts w:eastAsiaTheme="minorEastAsia"/>
        </w:rPr>
        <w:t xml:space="preserve">third year of data collection for the Michigan grantee and the second and third years of data collection for the Wisconsin grantee </w:t>
      </w:r>
      <w:r w:rsidR="00495567">
        <w:rPr>
          <w:rFonts w:eastAsiaTheme="minorEastAsia"/>
        </w:rPr>
        <w:t>are</w:t>
      </w:r>
      <w:r w:rsidR="0033344F">
        <w:rPr>
          <w:rFonts w:eastAsiaTheme="minorEastAsia"/>
        </w:rPr>
        <w:t xml:space="preserve"> removed.</w:t>
      </w:r>
      <w:r w:rsidR="00495567">
        <w:rPr>
          <w:rFonts w:eastAsiaTheme="minorEastAsia"/>
        </w:rPr>
        <w:t xml:space="preserve"> The </w:t>
      </w:r>
      <w:r w:rsidR="00DE6C58">
        <w:rPr>
          <w:rFonts w:eastAsiaTheme="minorEastAsia"/>
        </w:rPr>
        <w:t xml:space="preserve">Cherokee Nation </w:t>
      </w:r>
      <w:r w:rsidR="00495567">
        <w:rPr>
          <w:rFonts w:eastAsiaTheme="minorEastAsia"/>
        </w:rPr>
        <w:t>data collection</w:t>
      </w:r>
      <w:r w:rsidR="00C170EC">
        <w:rPr>
          <w:rFonts w:eastAsiaTheme="minorEastAsia"/>
        </w:rPr>
        <w:t xml:space="preserve"> for Summer 2021, Summer 2022 and Summer 2023</w:t>
      </w:r>
      <w:r w:rsidR="00495567">
        <w:rPr>
          <w:rFonts w:eastAsiaTheme="minorEastAsia"/>
        </w:rPr>
        <w:t xml:space="preserve"> for the Cherokee Nation grantee replaces</w:t>
      </w:r>
      <w:r w:rsidR="00DE6C58">
        <w:rPr>
          <w:rFonts w:eastAsiaTheme="minorEastAsia"/>
        </w:rPr>
        <w:t xml:space="preserve"> the collective three points of data collection for Michigan and Wisconsin.</w:t>
      </w:r>
      <w:r>
        <w:rPr>
          <w:rFonts w:eastAsiaTheme="minorEastAsia"/>
        </w:rPr>
        <w:t xml:space="preserve"> </w:t>
      </w:r>
      <w:r w:rsidR="00D774F5">
        <w:rPr>
          <w:rFonts w:eastAsiaTheme="minorEastAsia"/>
        </w:rPr>
        <w:t xml:space="preserve">As such, </w:t>
      </w:r>
      <w:r w:rsidR="0009284A">
        <w:rPr>
          <w:rFonts w:eastAsiaTheme="minorEastAsia"/>
        </w:rPr>
        <w:t xml:space="preserve">the </w:t>
      </w:r>
      <w:r w:rsidR="007D46AE">
        <w:rPr>
          <w:rFonts w:eastAsiaTheme="minorEastAsia"/>
        </w:rPr>
        <w:t>respondent groups</w:t>
      </w:r>
      <w:r w:rsidR="001B0F27">
        <w:rPr>
          <w:rFonts w:eastAsiaTheme="minorEastAsia"/>
        </w:rPr>
        <w:t xml:space="preserve"> </w:t>
      </w:r>
      <w:r w:rsidR="00D774F5">
        <w:rPr>
          <w:rFonts w:eastAsiaTheme="minorEastAsia"/>
        </w:rPr>
        <w:t>remain the same,</w:t>
      </w:r>
      <w:r w:rsidR="007D46AE">
        <w:rPr>
          <w:rFonts w:eastAsiaTheme="minorEastAsia"/>
        </w:rPr>
        <w:t xml:space="preserve"> as follows:</w:t>
      </w:r>
    </w:p>
    <w:p w:rsidR="007D46AE" w:rsidP="005A7DD6" w:rsidRDefault="0009284A" w14:paraId="29665126" w14:textId="75F8BECE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>The</w:t>
      </w:r>
      <w:r w:rsidRPr="007D46AE" w:rsidR="00D1493F">
        <w:rPr>
          <w:rFonts w:eastAsiaTheme="minorEastAsia"/>
        </w:rPr>
        <w:t xml:space="preserve"> number of </w:t>
      </w:r>
      <w:r w:rsidRPr="007D46AE">
        <w:rPr>
          <w:rFonts w:eastAsiaTheme="minorEastAsia"/>
        </w:rPr>
        <w:t xml:space="preserve">Grantee </w:t>
      </w:r>
      <w:r w:rsidRPr="007D46AE" w:rsidR="00D1493F">
        <w:rPr>
          <w:rFonts w:eastAsiaTheme="minorEastAsia"/>
        </w:rPr>
        <w:t xml:space="preserve">respondents </w:t>
      </w:r>
      <w:r w:rsidR="00CA4794">
        <w:rPr>
          <w:rFonts w:eastAsiaTheme="minorEastAsia"/>
        </w:rPr>
        <w:t xml:space="preserve">is four with </w:t>
      </w:r>
      <w:r w:rsidR="003B5056">
        <w:rPr>
          <w:rFonts w:eastAsiaTheme="minorEastAsia"/>
        </w:rPr>
        <w:t>4</w:t>
      </w:r>
      <w:r w:rsidR="008608C2">
        <w:rPr>
          <w:rFonts w:eastAsiaTheme="minorEastAsia"/>
        </w:rPr>
        <w:t xml:space="preserve">.5 </w:t>
      </w:r>
      <w:r w:rsidRPr="007D46AE" w:rsidR="00E06A8E">
        <w:rPr>
          <w:rFonts w:eastAsiaTheme="minorEastAsia"/>
        </w:rPr>
        <w:t>burden</w:t>
      </w:r>
      <w:r w:rsidR="008608C2">
        <w:rPr>
          <w:rFonts w:eastAsiaTheme="minorEastAsia"/>
        </w:rPr>
        <w:t xml:space="preserve"> </w:t>
      </w:r>
      <w:r w:rsidRPr="007D46AE" w:rsidR="00E06A8E">
        <w:rPr>
          <w:rFonts w:eastAsiaTheme="minorEastAsia"/>
        </w:rPr>
        <w:t>hours</w:t>
      </w:r>
      <w:r w:rsidRPr="007D46AE" w:rsidR="00D1493F">
        <w:rPr>
          <w:rFonts w:eastAsiaTheme="minorEastAsia"/>
        </w:rPr>
        <w:t>.</w:t>
      </w:r>
    </w:p>
    <w:p w:rsidR="007D46AE" w:rsidP="005A7DD6" w:rsidRDefault="00D1493F" w14:paraId="27009928" w14:textId="1B7FF4E4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 xml:space="preserve">The number of SFA respondents </w:t>
      </w:r>
      <w:r w:rsidR="003B5056">
        <w:rPr>
          <w:rFonts w:eastAsiaTheme="minorEastAsia"/>
        </w:rPr>
        <w:t xml:space="preserve">is eight with </w:t>
      </w:r>
      <w:r w:rsidR="00345DA0">
        <w:rPr>
          <w:rFonts w:eastAsiaTheme="minorEastAsia"/>
        </w:rPr>
        <w:t>six burden hours.</w:t>
      </w:r>
    </w:p>
    <w:p w:rsidR="00CB1058" w:rsidP="005A7DD6" w:rsidRDefault="00E06A8E" w14:paraId="060AB3A5" w14:textId="4474FE17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 xml:space="preserve">The number of Retailer respondents </w:t>
      </w:r>
      <w:r w:rsidR="00345DA0">
        <w:rPr>
          <w:rFonts w:eastAsiaTheme="minorEastAsia"/>
        </w:rPr>
        <w:t>is</w:t>
      </w:r>
      <w:r w:rsidRPr="007D46AE">
        <w:rPr>
          <w:rFonts w:eastAsiaTheme="minorEastAsia"/>
        </w:rPr>
        <w:t xml:space="preserve"> 20 </w:t>
      </w:r>
      <w:r w:rsidR="00345DA0">
        <w:rPr>
          <w:rFonts w:eastAsiaTheme="minorEastAsia"/>
        </w:rPr>
        <w:t>with</w:t>
      </w:r>
      <w:r w:rsidR="0066095D">
        <w:rPr>
          <w:rFonts w:eastAsiaTheme="minorEastAsia"/>
        </w:rPr>
        <w:t xml:space="preserve"> 7.5</w:t>
      </w:r>
      <w:r w:rsidRPr="007D46AE" w:rsidR="000E52DC">
        <w:rPr>
          <w:rFonts w:eastAsiaTheme="minorEastAsia"/>
        </w:rPr>
        <w:t xml:space="preserve"> burden hours</w:t>
      </w:r>
      <w:r w:rsidR="0066095D">
        <w:rPr>
          <w:rFonts w:eastAsiaTheme="minorEastAsia"/>
        </w:rPr>
        <w:t>.</w:t>
      </w:r>
      <w:r w:rsidRPr="007D46AE">
        <w:rPr>
          <w:rFonts w:eastAsiaTheme="minorEastAsia"/>
        </w:rPr>
        <w:t xml:space="preserve"> </w:t>
      </w:r>
    </w:p>
    <w:p w:rsidRPr="007D46AE" w:rsidR="00D1493F" w:rsidP="005A7DD6" w:rsidRDefault="00E06A8E" w14:paraId="1E830542" w14:textId="327902B2">
      <w:pPr>
        <w:pStyle w:val="Default"/>
        <w:numPr>
          <w:ilvl w:val="0"/>
          <w:numId w:val="6"/>
        </w:numPr>
        <w:rPr>
          <w:rFonts w:eastAsiaTheme="minorEastAsia"/>
        </w:rPr>
      </w:pPr>
      <w:r w:rsidRPr="007D46AE">
        <w:rPr>
          <w:rFonts w:eastAsiaTheme="minorEastAsia"/>
        </w:rPr>
        <w:t xml:space="preserve">The number of Caregivers of Participant Children respondents participating in focus groups </w:t>
      </w:r>
      <w:r w:rsidR="0066095D">
        <w:rPr>
          <w:rFonts w:eastAsiaTheme="minorEastAsia"/>
        </w:rPr>
        <w:t>is</w:t>
      </w:r>
      <w:r w:rsidRPr="007D46AE">
        <w:rPr>
          <w:rFonts w:eastAsiaTheme="minorEastAsia"/>
        </w:rPr>
        <w:t xml:space="preserve"> 160 </w:t>
      </w:r>
      <w:r w:rsidR="001050A7">
        <w:rPr>
          <w:rFonts w:eastAsiaTheme="minorEastAsia"/>
        </w:rPr>
        <w:t>with 120</w:t>
      </w:r>
      <w:r w:rsidRPr="007D46AE" w:rsidR="000E52DC">
        <w:rPr>
          <w:rFonts w:eastAsiaTheme="minorEastAsia"/>
        </w:rPr>
        <w:t xml:space="preserve"> burden hours</w:t>
      </w:r>
      <w:r w:rsidRPr="007D46AE">
        <w:rPr>
          <w:rFonts w:eastAsiaTheme="minorEastAsia"/>
        </w:rPr>
        <w:t>.</w:t>
      </w:r>
      <w:r w:rsidRPr="007D46AE" w:rsidR="00D1493F">
        <w:rPr>
          <w:rFonts w:eastAsiaTheme="minorEastAsia"/>
        </w:rPr>
        <w:t xml:space="preserve"> </w:t>
      </w:r>
    </w:p>
    <w:p w:rsidR="00AE2EC5" w:rsidP="00B30B44" w:rsidRDefault="00AE2EC5" w14:paraId="79721017" w14:textId="77777777">
      <w:pPr>
        <w:pStyle w:val="Default"/>
        <w:rPr>
          <w:rFonts w:eastAsiaTheme="minorEastAsia"/>
        </w:rPr>
      </w:pPr>
    </w:p>
    <w:p w:rsidR="00B30B44" w:rsidP="00B30B44" w:rsidRDefault="000E52DC" w14:paraId="1BD3DA9A" w14:textId="3F11EB59">
      <w:pPr>
        <w:pStyle w:val="Default"/>
        <w:rPr>
          <w:rFonts w:eastAsiaTheme="minorEastAsia"/>
        </w:rPr>
      </w:pPr>
      <w:r>
        <w:rPr>
          <w:rFonts w:eastAsiaTheme="minorEastAsia"/>
        </w:rPr>
        <w:lastRenderedPageBreak/>
        <w:t xml:space="preserve">The total number of </w:t>
      </w:r>
      <w:r w:rsidR="0033024F">
        <w:rPr>
          <w:rFonts w:eastAsiaTheme="minorEastAsia"/>
        </w:rPr>
        <w:t xml:space="preserve">respondents, </w:t>
      </w:r>
      <w:r>
        <w:rPr>
          <w:rFonts w:eastAsiaTheme="minorEastAsia"/>
        </w:rPr>
        <w:t>burden hours</w:t>
      </w:r>
      <w:r w:rsidR="0033024F">
        <w:rPr>
          <w:rFonts w:eastAsiaTheme="minorEastAsia"/>
        </w:rPr>
        <w:t>, and responses</w:t>
      </w:r>
      <w:r>
        <w:rPr>
          <w:rFonts w:eastAsiaTheme="minorEastAsia"/>
        </w:rPr>
        <w:t xml:space="preserve"> are </w:t>
      </w:r>
      <w:r w:rsidR="005B5673">
        <w:rPr>
          <w:rFonts w:eastAsiaTheme="minorEastAsia"/>
        </w:rPr>
        <w:t>summarized</w:t>
      </w:r>
      <w:r>
        <w:rPr>
          <w:rFonts w:eastAsiaTheme="minorEastAsia"/>
        </w:rPr>
        <w:t xml:space="preserve"> in Table </w:t>
      </w:r>
      <w:r w:rsidR="00AE2EC5">
        <w:rPr>
          <w:rFonts w:eastAsiaTheme="minorEastAsia"/>
        </w:rPr>
        <w:t>2</w:t>
      </w:r>
      <w:r>
        <w:rPr>
          <w:rFonts w:eastAsiaTheme="minorEastAsia"/>
        </w:rPr>
        <w:t xml:space="preserve"> below: </w:t>
      </w:r>
    </w:p>
    <w:p w:rsidR="00B30B44" w:rsidP="00B30B44" w:rsidRDefault="00B30B44" w14:paraId="7FD1EC7C" w14:textId="044291F3">
      <w:pPr>
        <w:pStyle w:val="Default"/>
        <w:rPr>
          <w:rFonts w:eastAsiaTheme="minorEastAsia"/>
        </w:rPr>
      </w:pPr>
    </w:p>
    <w:p w:rsidR="00B30B44" w:rsidP="00B30B44" w:rsidRDefault="00B30B44" w14:paraId="3A8713DB" w14:textId="5661E7BA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Table </w:t>
      </w:r>
      <w:r w:rsidR="00AE2EC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Overall Requested Change to Annualized Burden on this Collection</w:t>
      </w:r>
    </w:p>
    <w:p w:rsidRPr="00800064" w:rsidR="00B30B44" w:rsidP="00B30B44" w:rsidRDefault="00B30B44" w14:paraId="6B117DF1" w14:textId="77777777">
      <w:pPr>
        <w:tabs>
          <w:tab w:val="left" w:pos="360"/>
          <w:tab w:val="left" w:pos="1440"/>
          <w:tab w:val="left" w:pos="3960"/>
        </w:tabs>
        <w:rPr>
          <w:b/>
          <w:sz w:val="22"/>
          <w:szCs w:val="22"/>
        </w:rPr>
      </w:pPr>
    </w:p>
    <w:tbl>
      <w:tblPr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431"/>
        <w:gridCol w:w="2432"/>
        <w:gridCol w:w="2432"/>
      </w:tblGrid>
      <w:tr w:rsidRPr="00DF7138" w:rsidR="00B30B44" w:rsidTr="0059100F" w14:paraId="19B65C2E" w14:textId="77777777">
        <w:trPr>
          <w:trHeight w:val="42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19196809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7EB8E0E1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Approved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1598201C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Additional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F7138">
              <w:rPr>
                <w:b/>
                <w:bCs/>
                <w:color w:val="000000"/>
                <w:sz w:val="18"/>
                <w:szCs w:val="18"/>
              </w:rPr>
              <w:t>Requested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08149C21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Revised Estimates</w:t>
            </w:r>
          </w:p>
        </w:tc>
      </w:tr>
      <w:tr w:rsidRPr="00DF7138" w:rsidR="00B30B44" w:rsidTr="0059100F" w14:paraId="15FA23CC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F7138" w:rsidR="00B30B44" w:rsidP="0059100F" w:rsidRDefault="00B30B44" w14:paraId="03FB216A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Respondents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F7138" w:rsidR="00B30B44" w:rsidP="0059100F" w:rsidRDefault="00B30B44" w14:paraId="543D84AC" w14:textId="777777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F7138" w:rsidR="00B30B44" w:rsidP="0059100F" w:rsidRDefault="000043D2" w14:paraId="571797EB" w14:textId="0EA872FE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F7138" w:rsidR="00B30B44" w:rsidP="0059100F" w:rsidRDefault="000043D2" w14:paraId="3F2BFF9E" w14:textId="32E8155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</w:t>
            </w:r>
          </w:p>
        </w:tc>
      </w:tr>
      <w:tr w:rsidRPr="00DF7138" w:rsidR="00B30B44" w:rsidTr="0059100F" w14:paraId="4D1B2144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383C02F4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Burden Hours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714A2D2B" w14:textId="30B61AD6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A7768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0043D2" w14:paraId="45B3C55B" w14:textId="72904991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0043D2" w14:paraId="1CA6FBEB" w14:textId="3CDBE53E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A77687">
              <w:rPr>
                <w:color w:val="000000"/>
                <w:sz w:val="18"/>
                <w:szCs w:val="18"/>
              </w:rPr>
              <w:t>9</w:t>
            </w:r>
          </w:p>
        </w:tc>
      </w:tr>
      <w:tr w:rsidRPr="00DF7138" w:rsidR="00B30B44" w:rsidTr="0059100F" w14:paraId="50781EA3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24D7FEB4" w14:textId="77777777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F7138">
              <w:rPr>
                <w:b/>
                <w:bCs/>
                <w:color w:val="000000"/>
                <w:sz w:val="18"/>
                <w:szCs w:val="18"/>
              </w:rPr>
              <w:t>Responses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B30B44" w14:paraId="0D53006F" w14:textId="61C82AF3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</w:t>
            </w:r>
            <w:r w:rsidR="00A77687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0043D2" w14:paraId="444448EA" w14:textId="0A8B9B0C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F7138" w:rsidR="00B30B44" w:rsidP="0059100F" w:rsidRDefault="000043D2" w14:paraId="0AAE0164" w14:textId="636C1812">
            <w:pPr>
              <w:jc w:val="center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1</w:t>
            </w:r>
            <w:r w:rsidR="00A77687">
              <w:rPr>
                <w:rFonts w:eastAsiaTheme="minorHAnsi"/>
                <w:color w:val="000000"/>
                <w:sz w:val="18"/>
                <w:szCs w:val="18"/>
              </w:rPr>
              <w:t>833</w:t>
            </w:r>
          </w:p>
        </w:tc>
      </w:tr>
    </w:tbl>
    <w:p w:rsidRPr="00E21AA3" w:rsidR="00403CF3" w:rsidP="00B30B44" w:rsidRDefault="00403CF3" w14:paraId="40667DE9" w14:textId="77777777">
      <w:pPr>
        <w:pStyle w:val="Default"/>
      </w:pPr>
    </w:p>
    <w:p w:rsidR="00540DB0" w:rsidP="00BF1516" w:rsidRDefault="00B56661" w14:paraId="39748FDD" w14:textId="77777777">
      <w:pPr>
        <w:rPr>
          <w:sz w:val="24"/>
          <w:szCs w:val="24"/>
        </w:rPr>
      </w:pPr>
      <w:bookmarkStart w:name="_Hlk499156006" w:id="1"/>
      <w:r w:rsidRPr="00E21AA3">
        <w:rPr>
          <w:sz w:val="24"/>
          <w:szCs w:val="24"/>
        </w:rPr>
        <w:t xml:space="preserve">Once OMB approves the change, FNS intends to </w:t>
      </w:r>
      <w:r w:rsidRPr="00E21AA3" w:rsidR="00400EA7">
        <w:rPr>
          <w:sz w:val="24"/>
          <w:szCs w:val="24"/>
        </w:rPr>
        <w:t xml:space="preserve">recruit the </w:t>
      </w:r>
      <w:r w:rsidRPr="00E21AA3" w:rsidR="00EA489B">
        <w:rPr>
          <w:sz w:val="24"/>
          <w:szCs w:val="24"/>
        </w:rPr>
        <w:t>respondents within the groups mentioned and</w:t>
      </w:r>
      <w:r w:rsidRPr="00E21AA3">
        <w:rPr>
          <w:sz w:val="24"/>
          <w:szCs w:val="24"/>
        </w:rPr>
        <w:t xml:space="preserve"> proceed with data collection.</w:t>
      </w:r>
    </w:p>
    <w:p w:rsidR="00BF1516" w:rsidP="00BF1516" w:rsidRDefault="00B56661" w14:paraId="1CA86E81" w14:textId="455A6F81">
      <w:pPr>
        <w:rPr>
          <w:sz w:val="24"/>
          <w:szCs w:val="24"/>
        </w:rPr>
      </w:pPr>
      <w:r w:rsidRPr="00E21AA3">
        <w:rPr>
          <w:sz w:val="24"/>
          <w:szCs w:val="24"/>
        </w:rPr>
        <w:t xml:space="preserve"> </w:t>
      </w:r>
    </w:p>
    <w:p w:rsidRPr="005E1755" w:rsidR="00B56661" w:rsidP="00BF1516" w:rsidRDefault="00B56661" w14:paraId="642F4397" w14:textId="09273B3E">
      <w:pPr>
        <w:rPr>
          <w:sz w:val="24"/>
          <w:szCs w:val="24"/>
        </w:rPr>
      </w:pPr>
      <w:r w:rsidRPr="00E21AA3">
        <w:rPr>
          <w:sz w:val="24"/>
          <w:szCs w:val="24"/>
        </w:rPr>
        <w:t>If you have any questions regarding this request, p</w:t>
      </w:r>
      <w:r w:rsidR="00824A1F">
        <w:rPr>
          <w:sz w:val="24"/>
          <w:szCs w:val="24"/>
        </w:rPr>
        <w:t>lease contact Jamia Franklin</w:t>
      </w:r>
      <w:r w:rsidRPr="00E21AA3">
        <w:rPr>
          <w:sz w:val="24"/>
          <w:szCs w:val="24"/>
        </w:rPr>
        <w:t>, FNS Information Collection Clearance Officer for the Food and Nutrition Service, Planning &amp; Regulatory Affa</w:t>
      </w:r>
      <w:r w:rsidR="00824A1F">
        <w:rPr>
          <w:sz w:val="24"/>
          <w:szCs w:val="24"/>
        </w:rPr>
        <w:t>irs Office at (703) 305-2403</w:t>
      </w:r>
      <w:r w:rsidRPr="00E21AA3">
        <w:rPr>
          <w:sz w:val="24"/>
          <w:szCs w:val="24"/>
        </w:rPr>
        <w:t>.</w:t>
      </w:r>
    </w:p>
    <w:bookmarkEnd w:id="1"/>
    <w:p w:rsidR="00E4548C" w:rsidP="00B91258" w:rsidRDefault="00E4548C" w14:paraId="7ABCC23D" w14:textId="77777777"/>
    <w:sectPr w:rsidR="00E4548C" w:rsidSect="00DE3A31">
      <w:pgSz w:w="12240" w:h="15840" w:code="1"/>
      <w:pgMar w:top="1440" w:right="1440" w:bottom="1440" w:left="1440" w:header="72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B1C82" w14:textId="77777777" w:rsidR="009E3D34" w:rsidRDefault="009E3D34">
      <w:r>
        <w:separator/>
      </w:r>
    </w:p>
  </w:endnote>
  <w:endnote w:type="continuationSeparator" w:id="0">
    <w:p w14:paraId="18CA92E8" w14:textId="77777777" w:rsidR="009E3D34" w:rsidRDefault="009E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61F7" w14:textId="77777777" w:rsidR="009E3D34" w:rsidRDefault="009E3D34">
      <w:r>
        <w:separator/>
      </w:r>
    </w:p>
  </w:footnote>
  <w:footnote w:type="continuationSeparator" w:id="0">
    <w:p w14:paraId="1BA91A41" w14:textId="77777777" w:rsidR="009E3D34" w:rsidRDefault="009E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A9D"/>
    <w:multiLevelType w:val="hybridMultilevel"/>
    <w:tmpl w:val="6B2C059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D2127B"/>
    <w:multiLevelType w:val="hybridMultilevel"/>
    <w:tmpl w:val="3D82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3FB"/>
    <w:multiLevelType w:val="hybridMultilevel"/>
    <w:tmpl w:val="BDD6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7EED"/>
    <w:multiLevelType w:val="hybridMultilevel"/>
    <w:tmpl w:val="4D66D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08EA"/>
    <w:multiLevelType w:val="hybridMultilevel"/>
    <w:tmpl w:val="2764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8176A"/>
    <w:multiLevelType w:val="hybridMultilevel"/>
    <w:tmpl w:val="039C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FE"/>
    <w:rsid w:val="00002941"/>
    <w:rsid w:val="000043D2"/>
    <w:rsid w:val="00005B42"/>
    <w:rsid w:val="000104B4"/>
    <w:rsid w:val="000162F9"/>
    <w:rsid w:val="00033D49"/>
    <w:rsid w:val="00050ABA"/>
    <w:rsid w:val="00056848"/>
    <w:rsid w:val="00065DE9"/>
    <w:rsid w:val="00067F31"/>
    <w:rsid w:val="000738FD"/>
    <w:rsid w:val="00086EB6"/>
    <w:rsid w:val="0009284A"/>
    <w:rsid w:val="00092C67"/>
    <w:rsid w:val="00093D89"/>
    <w:rsid w:val="000B6DA6"/>
    <w:rsid w:val="000C170D"/>
    <w:rsid w:val="000C732F"/>
    <w:rsid w:val="000D3197"/>
    <w:rsid w:val="000D3635"/>
    <w:rsid w:val="000D6D60"/>
    <w:rsid w:val="000E0E38"/>
    <w:rsid w:val="000E52DB"/>
    <w:rsid w:val="000E52DC"/>
    <w:rsid w:val="000E56C6"/>
    <w:rsid w:val="000F0115"/>
    <w:rsid w:val="001050A7"/>
    <w:rsid w:val="00107EDD"/>
    <w:rsid w:val="00111B39"/>
    <w:rsid w:val="001159E8"/>
    <w:rsid w:val="00115C20"/>
    <w:rsid w:val="001247FB"/>
    <w:rsid w:val="001360F1"/>
    <w:rsid w:val="00141D98"/>
    <w:rsid w:val="00145046"/>
    <w:rsid w:val="00151CDF"/>
    <w:rsid w:val="0015344D"/>
    <w:rsid w:val="00156987"/>
    <w:rsid w:val="00160037"/>
    <w:rsid w:val="001608ED"/>
    <w:rsid w:val="00167523"/>
    <w:rsid w:val="00171317"/>
    <w:rsid w:val="00175F0C"/>
    <w:rsid w:val="00177D63"/>
    <w:rsid w:val="00186CC4"/>
    <w:rsid w:val="00192CC5"/>
    <w:rsid w:val="001A24A1"/>
    <w:rsid w:val="001A2F96"/>
    <w:rsid w:val="001A640E"/>
    <w:rsid w:val="001A705B"/>
    <w:rsid w:val="001B0F27"/>
    <w:rsid w:val="001B7EB2"/>
    <w:rsid w:val="001C19F7"/>
    <w:rsid w:val="001C49AA"/>
    <w:rsid w:val="001D067C"/>
    <w:rsid w:val="001D3007"/>
    <w:rsid w:val="001D6095"/>
    <w:rsid w:val="001E087E"/>
    <w:rsid w:val="002016A2"/>
    <w:rsid w:val="0020235D"/>
    <w:rsid w:val="00205C94"/>
    <w:rsid w:val="00213EC1"/>
    <w:rsid w:val="00220C1E"/>
    <w:rsid w:val="00223888"/>
    <w:rsid w:val="00225F1A"/>
    <w:rsid w:val="00245A48"/>
    <w:rsid w:val="00250B6A"/>
    <w:rsid w:val="002568C9"/>
    <w:rsid w:val="0026693A"/>
    <w:rsid w:val="0026736C"/>
    <w:rsid w:val="00272A3C"/>
    <w:rsid w:val="00273C27"/>
    <w:rsid w:val="002765E7"/>
    <w:rsid w:val="002850C5"/>
    <w:rsid w:val="00290C51"/>
    <w:rsid w:val="00293A08"/>
    <w:rsid w:val="002947A1"/>
    <w:rsid w:val="002963E4"/>
    <w:rsid w:val="00297327"/>
    <w:rsid w:val="002B3776"/>
    <w:rsid w:val="002B4F31"/>
    <w:rsid w:val="002C0166"/>
    <w:rsid w:val="002C2E88"/>
    <w:rsid w:val="002C5AE6"/>
    <w:rsid w:val="002E0E37"/>
    <w:rsid w:val="002E5669"/>
    <w:rsid w:val="002F0EA7"/>
    <w:rsid w:val="002F19FB"/>
    <w:rsid w:val="002F2387"/>
    <w:rsid w:val="002F3452"/>
    <w:rsid w:val="003033B7"/>
    <w:rsid w:val="00321FEC"/>
    <w:rsid w:val="00323E3F"/>
    <w:rsid w:val="00327E3D"/>
    <w:rsid w:val="00327EBE"/>
    <w:rsid w:val="0033024F"/>
    <w:rsid w:val="0033344F"/>
    <w:rsid w:val="00343DE8"/>
    <w:rsid w:val="00345DA0"/>
    <w:rsid w:val="0034772A"/>
    <w:rsid w:val="003546DF"/>
    <w:rsid w:val="00354935"/>
    <w:rsid w:val="003564A6"/>
    <w:rsid w:val="00364366"/>
    <w:rsid w:val="00370147"/>
    <w:rsid w:val="003859F1"/>
    <w:rsid w:val="00395E5F"/>
    <w:rsid w:val="00396DA1"/>
    <w:rsid w:val="003B5056"/>
    <w:rsid w:val="003C5380"/>
    <w:rsid w:val="003C570C"/>
    <w:rsid w:val="003D0006"/>
    <w:rsid w:val="003D2876"/>
    <w:rsid w:val="003D2D74"/>
    <w:rsid w:val="003D6EA5"/>
    <w:rsid w:val="003D7B70"/>
    <w:rsid w:val="003E2F4D"/>
    <w:rsid w:val="003F0F46"/>
    <w:rsid w:val="003F272E"/>
    <w:rsid w:val="003F52D6"/>
    <w:rsid w:val="003F58E4"/>
    <w:rsid w:val="003F61FF"/>
    <w:rsid w:val="003F6A0D"/>
    <w:rsid w:val="00400EA7"/>
    <w:rsid w:val="0040104E"/>
    <w:rsid w:val="00401F4A"/>
    <w:rsid w:val="00403CF3"/>
    <w:rsid w:val="00404C06"/>
    <w:rsid w:val="004070E7"/>
    <w:rsid w:val="00417B0E"/>
    <w:rsid w:val="00424B43"/>
    <w:rsid w:val="004254B1"/>
    <w:rsid w:val="004278E4"/>
    <w:rsid w:val="0044044A"/>
    <w:rsid w:val="004522C3"/>
    <w:rsid w:val="004531AB"/>
    <w:rsid w:val="00460392"/>
    <w:rsid w:val="00460640"/>
    <w:rsid w:val="004659DA"/>
    <w:rsid w:val="00487B90"/>
    <w:rsid w:val="00495567"/>
    <w:rsid w:val="004A4720"/>
    <w:rsid w:val="004A7687"/>
    <w:rsid w:val="004B3316"/>
    <w:rsid w:val="004C7A57"/>
    <w:rsid w:val="004D5DEA"/>
    <w:rsid w:val="004E706B"/>
    <w:rsid w:val="004F1925"/>
    <w:rsid w:val="0050431C"/>
    <w:rsid w:val="00507E56"/>
    <w:rsid w:val="0051372A"/>
    <w:rsid w:val="005253D0"/>
    <w:rsid w:val="0052552B"/>
    <w:rsid w:val="00525DC5"/>
    <w:rsid w:val="00540AFE"/>
    <w:rsid w:val="00540C2D"/>
    <w:rsid w:val="00540DB0"/>
    <w:rsid w:val="005517F0"/>
    <w:rsid w:val="005568C7"/>
    <w:rsid w:val="00567311"/>
    <w:rsid w:val="00575027"/>
    <w:rsid w:val="005962C3"/>
    <w:rsid w:val="0059681D"/>
    <w:rsid w:val="00597E5C"/>
    <w:rsid w:val="005A0F66"/>
    <w:rsid w:val="005A5E70"/>
    <w:rsid w:val="005B5673"/>
    <w:rsid w:val="005C04C1"/>
    <w:rsid w:val="005C26CD"/>
    <w:rsid w:val="005C59D9"/>
    <w:rsid w:val="005D18CC"/>
    <w:rsid w:val="005E01C4"/>
    <w:rsid w:val="005E1755"/>
    <w:rsid w:val="005F2573"/>
    <w:rsid w:val="005F7DD7"/>
    <w:rsid w:val="00603087"/>
    <w:rsid w:val="00607EFC"/>
    <w:rsid w:val="00613B06"/>
    <w:rsid w:val="006146C0"/>
    <w:rsid w:val="00617F0B"/>
    <w:rsid w:val="00630DDA"/>
    <w:rsid w:val="0063187C"/>
    <w:rsid w:val="00634E95"/>
    <w:rsid w:val="0065082C"/>
    <w:rsid w:val="0066095D"/>
    <w:rsid w:val="00663EB1"/>
    <w:rsid w:val="00664EEF"/>
    <w:rsid w:val="006656B6"/>
    <w:rsid w:val="00666125"/>
    <w:rsid w:val="0067153C"/>
    <w:rsid w:val="006756FE"/>
    <w:rsid w:val="00675A86"/>
    <w:rsid w:val="006852BF"/>
    <w:rsid w:val="00685B50"/>
    <w:rsid w:val="006A181E"/>
    <w:rsid w:val="006C50DD"/>
    <w:rsid w:val="006C72A6"/>
    <w:rsid w:val="006D1A44"/>
    <w:rsid w:val="006E25D3"/>
    <w:rsid w:val="006E3EC1"/>
    <w:rsid w:val="006E7BAB"/>
    <w:rsid w:val="006F4BFC"/>
    <w:rsid w:val="00721EDE"/>
    <w:rsid w:val="007225D7"/>
    <w:rsid w:val="00723E10"/>
    <w:rsid w:val="00736118"/>
    <w:rsid w:val="00741462"/>
    <w:rsid w:val="00745A3F"/>
    <w:rsid w:val="00747F62"/>
    <w:rsid w:val="007534B1"/>
    <w:rsid w:val="00760B83"/>
    <w:rsid w:val="0076705A"/>
    <w:rsid w:val="00792A70"/>
    <w:rsid w:val="007A123C"/>
    <w:rsid w:val="007A618A"/>
    <w:rsid w:val="007A6C68"/>
    <w:rsid w:val="007B09F3"/>
    <w:rsid w:val="007B29F3"/>
    <w:rsid w:val="007C229E"/>
    <w:rsid w:val="007D397A"/>
    <w:rsid w:val="007D46AE"/>
    <w:rsid w:val="007F1FB0"/>
    <w:rsid w:val="00800382"/>
    <w:rsid w:val="00807CDA"/>
    <w:rsid w:val="00813823"/>
    <w:rsid w:val="00824A1F"/>
    <w:rsid w:val="00831158"/>
    <w:rsid w:val="00831B33"/>
    <w:rsid w:val="00836D0C"/>
    <w:rsid w:val="00841D94"/>
    <w:rsid w:val="00845949"/>
    <w:rsid w:val="00854ED8"/>
    <w:rsid w:val="008553B6"/>
    <w:rsid w:val="008578A8"/>
    <w:rsid w:val="008608C2"/>
    <w:rsid w:val="00864140"/>
    <w:rsid w:val="008664EF"/>
    <w:rsid w:val="00871DA9"/>
    <w:rsid w:val="00880442"/>
    <w:rsid w:val="008828A3"/>
    <w:rsid w:val="00885878"/>
    <w:rsid w:val="00885E54"/>
    <w:rsid w:val="00892A56"/>
    <w:rsid w:val="0089324E"/>
    <w:rsid w:val="008947D6"/>
    <w:rsid w:val="00894F83"/>
    <w:rsid w:val="008B2432"/>
    <w:rsid w:val="008B25AA"/>
    <w:rsid w:val="008B2E4F"/>
    <w:rsid w:val="008B2FBA"/>
    <w:rsid w:val="008C0E41"/>
    <w:rsid w:val="008C2EDD"/>
    <w:rsid w:val="008C32CC"/>
    <w:rsid w:val="008C3DF9"/>
    <w:rsid w:val="008D0238"/>
    <w:rsid w:val="008D1968"/>
    <w:rsid w:val="008F40B1"/>
    <w:rsid w:val="008F6B71"/>
    <w:rsid w:val="008F77C5"/>
    <w:rsid w:val="00906528"/>
    <w:rsid w:val="00911D64"/>
    <w:rsid w:val="00914B6E"/>
    <w:rsid w:val="00922095"/>
    <w:rsid w:val="00926CAD"/>
    <w:rsid w:val="00937A87"/>
    <w:rsid w:val="00952A93"/>
    <w:rsid w:val="00983551"/>
    <w:rsid w:val="00983875"/>
    <w:rsid w:val="00994019"/>
    <w:rsid w:val="009A39D0"/>
    <w:rsid w:val="009A694A"/>
    <w:rsid w:val="009C2AB3"/>
    <w:rsid w:val="009C4E53"/>
    <w:rsid w:val="009D3606"/>
    <w:rsid w:val="009E3D34"/>
    <w:rsid w:val="009E466E"/>
    <w:rsid w:val="00A0008D"/>
    <w:rsid w:val="00A03A08"/>
    <w:rsid w:val="00A072C5"/>
    <w:rsid w:val="00A15C2D"/>
    <w:rsid w:val="00A362FF"/>
    <w:rsid w:val="00A40780"/>
    <w:rsid w:val="00A45BE0"/>
    <w:rsid w:val="00A52455"/>
    <w:rsid w:val="00A54557"/>
    <w:rsid w:val="00A57052"/>
    <w:rsid w:val="00A62728"/>
    <w:rsid w:val="00A737B9"/>
    <w:rsid w:val="00A762AB"/>
    <w:rsid w:val="00A77687"/>
    <w:rsid w:val="00A835D7"/>
    <w:rsid w:val="00A905C4"/>
    <w:rsid w:val="00A93527"/>
    <w:rsid w:val="00A9751F"/>
    <w:rsid w:val="00AA41A5"/>
    <w:rsid w:val="00AA5601"/>
    <w:rsid w:val="00AA65EF"/>
    <w:rsid w:val="00AB02F2"/>
    <w:rsid w:val="00AB1DF4"/>
    <w:rsid w:val="00AB4D2D"/>
    <w:rsid w:val="00AC5844"/>
    <w:rsid w:val="00AD16EE"/>
    <w:rsid w:val="00AD4FFC"/>
    <w:rsid w:val="00AE11A7"/>
    <w:rsid w:val="00AE1D47"/>
    <w:rsid w:val="00AE2EC5"/>
    <w:rsid w:val="00AF225B"/>
    <w:rsid w:val="00AF291E"/>
    <w:rsid w:val="00AF49F4"/>
    <w:rsid w:val="00AF5472"/>
    <w:rsid w:val="00AF6CD8"/>
    <w:rsid w:val="00B0489A"/>
    <w:rsid w:val="00B05A91"/>
    <w:rsid w:val="00B12925"/>
    <w:rsid w:val="00B13163"/>
    <w:rsid w:val="00B132D7"/>
    <w:rsid w:val="00B211D7"/>
    <w:rsid w:val="00B21CFA"/>
    <w:rsid w:val="00B25949"/>
    <w:rsid w:val="00B30B44"/>
    <w:rsid w:val="00B34B97"/>
    <w:rsid w:val="00B3595D"/>
    <w:rsid w:val="00B4214C"/>
    <w:rsid w:val="00B47F38"/>
    <w:rsid w:val="00B53553"/>
    <w:rsid w:val="00B56661"/>
    <w:rsid w:val="00B5737C"/>
    <w:rsid w:val="00B7337D"/>
    <w:rsid w:val="00B76E90"/>
    <w:rsid w:val="00B83785"/>
    <w:rsid w:val="00B90291"/>
    <w:rsid w:val="00B90FBE"/>
    <w:rsid w:val="00B91258"/>
    <w:rsid w:val="00B93D4B"/>
    <w:rsid w:val="00B95BB9"/>
    <w:rsid w:val="00BB1160"/>
    <w:rsid w:val="00BC4AC4"/>
    <w:rsid w:val="00BD62B2"/>
    <w:rsid w:val="00BD6601"/>
    <w:rsid w:val="00BE4806"/>
    <w:rsid w:val="00BF0DD8"/>
    <w:rsid w:val="00BF1516"/>
    <w:rsid w:val="00BF2CD1"/>
    <w:rsid w:val="00BF3A9F"/>
    <w:rsid w:val="00C10DD0"/>
    <w:rsid w:val="00C11FAC"/>
    <w:rsid w:val="00C1509C"/>
    <w:rsid w:val="00C15A44"/>
    <w:rsid w:val="00C170EC"/>
    <w:rsid w:val="00C22C2E"/>
    <w:rsid w:val="00C36CC7"/>
    <w:rsid w:val="00C377E4"/>
    <w:rsid w:val="00C52D72"/>
    <w:rsid w:val="00C738A0"/>
    <w:rsid w:val="00CA4794"/>
    <w:rsid w:val="00CA7454"/>
    <w:rsid w:val="00CB1058"/>
    <w:rsid w:val="00CB365D"/>
    <w:rsid w:val="00CC2070"/>
    <w:rsid w:val="00CC7651"/>
    <w:rsid w:val="00CD5D1E"/>
    <w:rsid w:val="00CD6B18"/>
    <w:rsid w:val="00D03F34"/>
    <w:rsid w:val="00D1493F"/>
    <w:rsid w:val="00D33B8C"/>
    <w:rsid w:val="00D36483"/>
    <w:rsid w:val="00D42A73"/>
    <w:rsid w:val="00D4779D"/>
    <w:rsid w:val="00D6745B"/>
    <w:rsid w:val="00D7022F"/>
    <w:rsid w:val="00D765C7"/>
    <w:rsid w:val="00D774F5"/>
    <w:rsid w:val="00D84860"/>
    <w:rsid w:val="00D85F28"/>
    <w:rsid w:val="00DA341C"/>
    <w:rsid w:val="00DB08E2"/>
    <w:rsid w:val="00DB299C"/>
    <w:rsid w:val="00DB3F82"/>
    <w:rsid w:val="00DB4CF3"/>
    <w:rsid w:val="00DB584C"/>
    <w:rsid w:val="00DC08DD"/>
    <w:rsid w:val="00DD322D"/>
    <w:rsid w:val="00DD34F3"/>
    <w:rsid w:val="00DD51C2"/>
    <w:rsid w:val="00DE1EB7"/>
    <w:rsid w:val="00DE3A31"/>
    <w:rsid w:val="00DE3D9A"/>
    <w:rsid w:val="00DE649B"/>
    <w:rsid w:val="00DE6C58"/>
    <w:rsid w:val="00DF718D"/>
    <w:rsid w:val="00E02266"/>
    <w:rsid w:val="00E06A8E"/>
    <w:rsid w:val="00E1444F"/>
    <w:rsid w:val="00E21AA3"/>
    <w:rsid w:val="00E257AB"/>
    <w:rsid w:val="00E26AD8"/>
    <w:rsid w:val="00E2761A"/>
    <w:rsid w:val="00E30603"/>
    <w:rsid w:val="00E32BDB"/>
    <w:rsid w:val="00E44A50"/>
    <w:rsid w:val="00E4548C"/>
    <w:rsid w:val="00E509CD"/>
    <w:rsid w:val="00E51F41"/>
    <w:rsid w:val="00E53D36"/>
    <w:rsid w:val="00E542E1"/>
    <w:rsid w:val="00E65EC2"/>
    <w:rsid w:val="00E671A5"/>
    <w:rsid w:val="00E70774"/>
    <w:rsid w:val="00E73749"/>
    <w:rsid w:val="00E8063E"/>
    <w:rsid w:val="00E8202E"/>
    <w:rsid w:val="00E8551C"/>
    <w:rsid w:val="00EA2BA9"/>
    <w:rsid w:val="00EA3BC2"/>
    <w:rsid w:val="00EA489B"/>
    <w:rsid w:val="00EB3514"/>
    <w:rsid w:val="00EB4A08"/>
    <w:rsid w:val="00EC0699"/>
    <w:rsid w:val="00EC18D5"/>
    <w:rsid w:val="00EC1ECA"/>
    <w:rsid w:val="00EC3A70"/>
    <w:rsid w:val="00EC509E"/>
    <w:rsid w:val="00ED3B09"/>
    <w:rsid w:val="00ED744E"/>
    <w:rsid w:val="00EE0A22"/>
    <w:rsid w:val="00EE1C0B"/>
    <w:rsid w:val="00EE32DC"/>
    <w:rsid w:val="00EF1B30"/>
    <w:rsid w:val="00EF27A1"/>
    <w:rsid w:val="00EF2CA0"/>
    <w:rsid w:val="00F02ACA"/>
    <w:rsid w:val="00F11D95"/>
    <w:rsid w:val="00F13E82"/>
    <w:rsid w:val="00F3183F"/>
    <w:rsid w:val="00F31CB9"/>
    <w:rsid w:val="00F417E3"/>
    <w:rsid w:val="00F4601E"/>
    <w:rsid w:val="00F55684"/>
    <w:rsid w:val="00F5757F"/>
    <w:rsid w:val="00F77E55"/>
    <w:rsid w:val="00F90142"/>
    <w:rsid w:val="00F92B46"/>
    <w:rsid w:val="00F947CB"/>
    <w:rsid w:val="00F94EAB"/>
    <w:rsid w:val="00FA7BDF"/>
    <w:rsid w:val="00FB3523"/>
    <w:rsid w:val="00FB4CDC"/>
    <w:rsid w:val="00FB6102"/>
    <w:rsid w:val="00FC3E3F"/>
    <w:rsid w:val="00FC5E65"/>
    <w:rsid w:val="00FC610D"/>
    <w:rsid w:val="00FE0086"/>
    <w:rsid w:val="00FF0359"/>
    <w:rsid w:val="00FF07A1"/>
    <w:rsid w:val="00FF21D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42BEA21"/>
  <w15:docId w15:val="{AD27FABD-81E5-4E4D-B7CB-78EC217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71317"/>
    <w:pPr>
      <w:keepNext/>
      <w:widowControl w:val="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911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D64"/>
  </w:style>
  <w:style w:type="character" w:customStyle="1" w:styleId="CommentTextChar">
    <w:name w:val="Comment Text Char"/>
    <w:basedOn w:val="DefaultParagraphFont"/>
    <w:link w:val="CommentText"/>
    <w:rsid w:val="00911D64"/>
  </w:style>
  <w:style w:type="paragraph" w:styleId="CommentSubject">
    <w:name w:val="annotation subject"/>
    <w:basedOn w:val="CommentText"/>
    <w:next w:val="CommentText"/>
    <w:link w:val="CommentSubjectChar"/>
    <w:rsid w:val="0091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D64"/>
    <w:rPr>
      <w:b/>
      <w:bCs/>
    </w:rPr>
  </w:style>
  <w:style w:type="paragraph" w:customStyle="1" w:styleId="Default">
    <w:name w:val="Default"/>
    <w:rsid w:val="001360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D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E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528"/>
  </w:style>
  <w:style w:type="paragraph" w:styleId="Caption">
    <w:name w:val="caption"/>
    <w:basedOn w:val="Normal"/>
    <w:next w:val="Normal"/>
    <w:unhideWhenUsed/>
    <w:qFormat/>
    <w:rsid w:val="002F34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rmalcontinued">
    <w:name w:val="Normal (continued)"/>
    <w:basedOn w:val="Normal"/>
    <w:next w:val="Normal"/>
    <w:qFormat/>
    <w:rsid w:val="00B30B44"/>
    <w:pPr>
      <w:spacing w:line="48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DEE50806CC641A80D8D20CBA91F16" ma:contentTypeVersion="6" ma:contentTypeDescription="Create a new document." ma:contentTypeScope="" ma:versionID="8025a165df8b44e38f6c08f688fe9a32">
  <xsd:schema xmlns:xsd="http://www.w3.org/2001/XMLSchema" xmlns:xs="http://www.w3.org/2001/XMLSchema" xmlns:p="http://schemas.microsoft.com/office/2006/metadata/properties" xmlns:ns3="cf4d41b3-ce81-4c80-8fa2-d44de1136e35" targetNamespace="http://schemas.microsoft.com/office/2006/metadata/properties" ma:root="true" ma:fieldsID="82b2bf833f5c3fb47b671184169dd3b9" ns3:_="">
    <xsd:import namespace="cf4d41b3-ce81-4c80-8fa2-d44de1136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d41b3-ce81-4c80-8fa2-d44de11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88B8-2A5A-4D9D-9C22-FC3EB5E42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d41b3-ce81-4c80-8fa2-d44de11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0B123-C7D7-4D1B-9551-5C392AEB775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cf4d41b3-ce81-4c80-8fa2-d44de1136e35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0BDD5AB-1550-479B-854E-5E61E480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4287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Justification Merge Memo</vt:lpstr>
    </vt:vector>
  </TitlesOfParts>
  <Company>USDA FSC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Justification Merge Memo</dc:title>
  <dc:creator>USDA FCS</dc:creator>
  <cp:lastModifiedBy>Franklin, Jamia - FNS</cp:lastModifiedBy>
  <cp:revision>2</cp:revision>
  <cp:lastPrinted>2013-01-16T15:27:00Z</cp:lastPrinted>
  <dcterms:created xsi:type="dcterms:W3CDTF">2021-06-02T10:43:00Z</dcterms:created>
  <dcterms:modified xsi:type="dcterms:W3CDTF">2021-06-02T10:43:00Z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0x0101007A6DEE50806CC641A80D8D20CBA91F16</vt:lpwstr>
  </property>
  <property fmtid="{D5CDD505-2E9C-101B-9397-08002B2CF9AE}" pid="3" name="Order">
    <vt:r8>900</vt:r8>
  </property>
</Properties>
</file>