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B0946" w:rsidR="00914054" w:rsidP="00914054" w:rsidRDefault="00CC7EDA">
      <w:pPr>
        <w:pStyle w:val="Heading1"/>
      </w:pPr>
      <w:bookmarkStart w:name="_Toc6211270" w:id="0"/>
      <w:r>
        <w:t>Appendix A:</w:t>
      </w:r>
      <w:r w:rsidRPr="006B0946" w:rsidR="00914054">
        <w:t xml:space="preserve"> Legal Authority</w:t>
      </w:r>
      <w:bookmarkEnd w:id="0"/>
    </w:p>
    <w:p w:rsidR="00914054" w:rsidP="00914054" w:rsidRDefault="00914054">
      <w:pPr>
        <w:widowControl/>
        <w:overflowPunct/>
        <w:jc w:val="center"/>
        <w:textAlignment w:val="auto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t>Section 4032, AGRICULTURE ACT OF 2014 (THE 2014 FARM BILL)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Arial Black" w:hAnsi="Arial Black" w:cs="Arial Black"/>
          <w:sz w:val="22"/>
          <w:szCs w:val="22"/>
        </w:rPr>
      </w:pPr>
    </w:p>
    <w:p w:rsidR="00914054" w:rsidP="00914054" w:rsidRDefault="00914054">
      <w:pPr>
        <w:widowControl/>
        <w:overflowPunct/>
        <w:textAlignment w:val="auto"/>
        <w:rPr>
          <w:rFonts w:ascii="Arial Black" w:hAnsi="Arial Black" w:cs="Arial Black"/>
          <w:sz w:val="22"/>
          <w:szCs w:val="22"/>
        </w:rPr>
      </w:pPr>
    </w:p>
    <w:p w:rsidR="00914054" w:rsidP="00914054" w:rsidRDefault="00914054">
      <w:pPr>
        <w:widowControl/>
        <w:overflowPunct/>
        <w:textAlignment w:val="auto"/>
        <w:rPr>
          <w:rFonts w:ascii="Arial Black" w:hAnsi="Arial Black" w:cs="Arial Black"/>
          <w:sz w:val="22"/>
          <w:szCs w:val="22"/>
        </w:rPr>
      </w:pP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Bold" w:hAnsi="NewCenturySchlbk-Bold" w:cs="NewCenturySchlbk-Bold"/>
          <w:b/>
          <w:bCs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sz w:val="16"/>
          <w:szCs w:val="16"/>
        </w:rPr>
        <w:t>SEC. 4032. ANNUAL STATE REPORT ON VERIFICATION OF SNAP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Bold" w:hAnsi="NewCenturySchlbk-Bold" w:cs="NewCenturySchlbk-Bold"/>
          <w:b/>
          <w:bCs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sz w:val="16"/>
          <w:szCs w:val="16"/>
        </w:rPr>
        <w:t>PARTICIPATION.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(a) A</w:t>
      </w:r>
      <w:r>
        <w:rPr>
          <w:rFonts w:ascii="NewCenturySchlbk-Roman" w:hAnsi="NewCenturySchlbk-Roman" w:cs="NewCenturySchlbk-Roman"/>
          <w:sz w:val="15"/>
          <w:szCs w:val="15"/>
        </w:rPr>
        <w:t xml:space="preserve">NNUAL </w:t>
      </w:r>
      <w:r>
        <w:rPr>
          <w:rFonts w:ascii="NewCenturySchlbk-Roman" w:hAnsi="NewCenturySchlbk-Roman" w:cs="NewCenturySchlbk-Roman"/>
          <w:sz w:val="20"/>
        </w:rPr>
        <w:t>R</w:t>
      </w:r>
      <w:r>
        <w:rPr>
          <w:rFonts w:ascii="NewCenturySchlbk-Roman" w:hAnsi="NewCenturySchlbk-Roman" w:cs="NewCenturySchlbk-Roman"/>
          <w:sz w:val="15"/>
          <w:szCs w:val="15"/>
        </w:rPr>
        <w:t>EPORT</w:t>
      </w:r>
      <w:r>
        <w:rPr>
          <w:rFonts w:ascii="NewCenturySchlbk-Roman" w:hAnsi="NewCenturySchlbk-Roman" w:cs="NewCenturySchlbk-Roman"/>
          <w:sz w:val="20"/>
        </w:rPr>
        <w:t>.—Not later than 1 year after the date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specified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by the Secretary during the 180-day period beginning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on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the date of enactment of this Act, and annually thereafter,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each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State agency that carries out the supplemental nutrition assistance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program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established under the Food and Nutrition Act of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2008 (7 U.S.C. 2011 et seq.) shall submit to the Secretary a report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containing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sufficient information for the Secretary to determine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whether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the State agency has, for the most recently concluded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fiscal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year preceding that annual date, verified that the State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agency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in that fiscal year—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 xml:space="preserve">(1) </w:t>
      </w:r>
      <w:proofErr w:type="gramStart"/>
      <w:r>
        <w:rPr>
          <w:rFonts w:ascii="NewCenturySchlbk-Roman" w:hAnsi="NewCenturySchlbk-Roman" w:cs="NewCenturySchlbk-Roman"/>
          <w:sz w:val="20"/>
        </w:rPr>
        <w:t>did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not issue benefits to a deceased individual; and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 xml:space="preserve">(2) </w:t>
      </w:r>
      <w:proofErr w:type="gramStart"/>
      <w:r>
        <w:rPr>
          <w:rFonts w:ascii="NewCenturySchlbk-Roman" w:hAnsi="NewCenturySchlbk-Roman" w:cs="NewCenturySchlbk-Roman"/>
          <w:sz w:val="20"/>
        </w:rPr>
        <w:t>did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not issue benefits to an individual who had been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permanently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disqualified from receiving benefits.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(b) P</w:t>
      </w:r>
      <w:r>
        <w:rPr>
          <w:rFonts w:ascii="NewCenturySchlbk-Roman" w:hAnsi="NewCenturySchlbk-Roman" w:cs="NewCenturySchlbk-Roman"/>
          <w:sz w:val="15"/>
          <w:szCs w:val="15"/>
        </w:rPr>
        <w:t xml:space="preserve">ENALTY FOR </w:t>
      </w:r>
      <w:r>
        <w:rPr>
          <w:rFonts w:ascii="NewCenturySchlbk-Roman" w:hAnsi="NewCenturySchlbk-Roman" w:cs="NewCenturySchlbk-Roman"/>
          <w:sz w:val="20"/>
        </w:rPr>
        <w:t>N</w:t>
      </w:r>
      <w:r>
        <w:rPr>
          <w:rFonts w:ascii="NewCenturySchlbk-Roman" w:hAnsi="NewCenturySchlbk-Roman" w:cs="NewCenturySchlbk-Roman"/>
          <w:sz w:val="15"/>
          <w:szCs w:val="15"/>
        </w:rPr>
        <w:t>ONCOMPLIANCE</w:t>
      </w:r>
      <w:r>
        <w:rPr>
          <w:rFonts w:ascii="NewCenturySchlbk-Roman" w:hAnsi="NewCenturySchlbk-Roman" w:cs="NewCenturySchlbk-Roman"/>
          <w:sz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any fiscal year for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which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a State agency fails to comply with subsection (a), the Secretary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shall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impose a penalty that includes a reduction of up to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50 percent of the amount that would be otherwise payable to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State agency under section 16(a) of the Food and Nutrition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Act of 2008 (7 U.S.C. 2025(a)) with respect to that fiscal year.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20"/>
        </w:rPr>
        <w:t>(c) R</w:t>
      </w:r>
      <w:r>
        <w:rPr>
          <w:rFonts w:ascii="NewCenturySchlbk-Roman" w:hAnsi="NewCenturySchlbk-Roman" w:cs="NewCenturySchlbk-Roman"/>
          <w:sz w:val="15"/>
          <w:szCs w:val="15"/>
        </w:rPr>
        <w:t xml:space="preserve">EPORT OF </w:t>
      </w:r>
      <w:r>
        <w:rPr>
          <w:rFonts w:ascii="NewCenturySchlbk-Roman" w:hAnsi="NewCenturySchlbk-Roman" w:cs="NewCenturySchlbk-Roman"/>
          <w:sz w:val="20"/>
        </w:rPr>
        <w:t>P</w:t>
      </w:r>
      <w:r>
        <w:rPr>
          <w:rFonts w:ascii="NewCenturySchlbk-Roman" w:hAnsi="NewCenturySchlbk-Roman" w:cs="NewCenturySchlbk-Roman"/>
          <w:sz w:val="15"/>
          <w:szCs w:val="15"/>
        </w:rPr>
        <w:t xml:space="preserve">ILOT </w:t>
      </w:r>
      <w:r>
        <w:rPr>
          <w:rFonts w:ascii="NewCenturySchlbk-Roman" w:hAnsi="NewCenturySchlbk-Roman" w:cs="NewCenturySchlbk-Roman"/>
          <w:sz w:val="20"/>
        </w:rPr>
        <w:t>P</w:t>
      </w:r>
      <w:r>
        <w:rPr>
          <w:rFonts w:ascii="NewCenturySchlbk-Roman" w:hAnsi="NewCenturySchlbk-Roman" w:cs="NewCenturySchlbk-Roman"/>
          <w:sz w:val="15"/>
          <w:szCs w:val="15"/>
        </w:rPr>
        <w:t xml:space="preserve">ROGRAM TO </w:t>
      </w:r>
      <w:r>
        <w:rPr>
          <w:rFonts w:ascii="NewCenturySchlbk-Roman" w:hAnsi="NewCenturySchlbk-Roman" w:cs="NewCenturySchlbk-Roman"/>
          <w:sz w:val="20"/>
        </w:rPr>
        <w:t>T</w:t>
      </w:r>
      <w:r>
        <w:rPr>
          <w:rFonts w:ascii="NewCenturySchlbk-Roman" w:hAnsi="NewCenturySchlbk-Roman" w:cs="NewCenturySchlbk-Roman"/>
          <w:sz w:val="15"/>
          <w:szCs w:val="15"/>
        </w:rPr>
        <w:t xml:space="preserve">EST </w:t>
      </w:r>
      <w:r>
        <w:rPr>
          <w:rFonts w:ascii="NewCenturySchlbk-Roman" w:hAnsi="NewCenturySchlbk-Roman" w:cs="NewCenturySchlbk-Roman"/>
          <w:sz w:val="20"/>
        </w:rPr>
        <w:t>P</w:t>
      </w:r>
      <w:r>
        <w:rPr>
          <w:rFonts w:ascii="NewCenturySchlbk-Roman" w:hAnsi="NewCenturySchlbk-Roman" w:cs="NewCenturySchlbk-Roman"/>
          <w:sz w:val="15"/>
          <w:szCs w:val="15"/>
        </w:rPr>
        <w:t xml:space="preserve">REVENTION OF </w:t>
      </w:r>
      <w:r>
        <w:rPr>
          <w:rFonts w:ascii="NewCenturySchlbk-Roman" w:hAnsi="NewCenturySchlbk-Roman" w:cs="NewCenturySchlbk-Roman"/>
          <w:sz w:val="20"/>
        </w:rPr>
        <w:t>D</w:t>
      </w:r>
      <w:r>
        <w:rPr>
          <w:rFonts w:ascii="NewCenturySchlbk-Roman" w:hAnsi="NewCenturySchlbk-Roman" w:cs="NewCenturySchlbk-Roman"/>
          <w:sz w:val="15"/>
          <w:szCs w:val="15"/>
        </w:rPr>
        <w:t>UPLICATE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P</w:t>
      </w:r>
      <w:r>
        <w:rPr>
          <w:rFonts w:ascii="NewCenturySchlbk-Roman" w:hAnsi="NewCenturySchlbk-Roman" w:cs="NewCenturySchlbk-Roman"/>
          <w:sz w:val="15"/>
          <w:szCs w:val="15"/>
        </w:rPr>
        <w:t>ARTICIPATION</w:t>
      </w:r>
      <w:r>
        <w:rPr>
          <w:rFonts w:ascii="NewCenturySchlbk-Roman" w:hAnsi="NewCenturySchlbk-Roman" w:cs="NewCenturySchlbk-Roman"/>
          <w:sz w:val="20"/>
        </w:rPr>
        <w:t>.—Not later than 90 days after the completion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in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multiple States of a temporary pilot program to test the detection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prevention of duplicate participation by beneficiaries of the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supplemental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nutrition assistance program established under the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Food and Nutrition Act of 2008 (7 U.S.C. 2011 et seq.), the Secretary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shall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submit to the Committee on Agriculture of the House of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Representatives and the Committee on Agriculture, Nutrition, and</w:t>
      </w:r>
    </w:p>
    <w:p w:rsidR="00914054" w:rsidP="00914054" w:rsidRDefault="00914054">
      <w:pPr>
        <w:widowControl/>
        <w:overflowPunct/>
        <w:jc w:val="center"/>
        <w:textAlignment w:val="auto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Forestry of the Senate a report assessing the feasibility, effectiveness,</w:t>
      </w:r>
    </w:p>
    <w:p w:rsidR="00914054" w:rsidP="00914054" w:rsidRDefault="00914054">
      <w:pPr>
        <w:tabs>
          <w:tab w:val="left" w:pos="0"/>
        </w:tabs>
        <w:suppressAutoHyphens/>
        <w:jc w:val="center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cost for the expansion of the pilot program nationwide.</w:t>
      </w:r>
    </w:p>
    <w:p w:rsidR="00225ECC" w:rsidRDefault="00CC7EDA">
      <w:bookmarkStart w:name="_GoBack" w:id="1"/>
      <w:bookmarkEnd w:id="1"/>
    </w:p>
    <w:sectPr w:rsidR="00225E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DA" w:rsidRDefault="00CC7EDA" w:rsidP="00CC7EDA">
      <w:r>
        <w:separator/>
      </w:r>
    </w:p>
  </w:endnote>
  <w:endnote w:type="continuationSeparator" w:id="0">
    <w:p w:rsidR="00CC7EDA" w:rsidRDefault="00CC7EDA" w:rsidP="00CC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CenturySchlb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DA" w:rsidRDefault="00CC7EDA" w:rsidP="00CC7EDA">
      <w:r>
        <w:separator/>
      </w:r>
    </w:p>
  </w:footnote>
  <w:footnote w:type="continuationSeparator" w:id="0">
    <w:p w:rsidR="00CC7EDA" w:rsidRDefault="00CC7EDA" w:rsidP="00CC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DA" w:rsidRDefault="00CC7EDA">
    <w:pPr>
      <w:pStyle w:val="Header"/>
      <w:rPr>
        <w:rFonts w:ascii="Times New Roman" w:hAnsi="Times New Roman"/>
      </w:rPr>
    </w:pPr>
    <w:r>
      <w:tab/>
    </w:r>
    <w:r>
      <w:tab/>
    </w:r>
    <w:r>
      <w:rPr>
        <w:rFonts w:ascii="Times New Roman" w:hAnsi="Times New Roman"/>
      </w:rPr>
      <w:t>OMB Control Number 0584-0605</w:t>
    </w:r>
  </w:p>
  <w:p w:rsidR="00CC7EDA" w:rsidRPr="00CC7EDA" w:rsidRDefault="00CC7EDA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Expiration Date: 07/31/2022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54"/>
    <w:rsid w:val="00304A67"/>
    <w:rsid w:val="006215AA"/>
    <w:rsid w:val="00914054"/>
    <w:rsid w:val="00C40901"/>
    <w:rsid w:val="00CC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FDF4"/>
  <w15:chartTrackingRefBased/>
  <w15:docId w15:val="{980DE3BA-CB81-455C-A938-A684DD71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5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4054"/>
    <w:pPr>
      <w:keepNext/>
      <w:tabs>
        <w:tab w:val="center" w:pos="4680"/>
      </w:tabs>
      <w:suppressAutoHyphens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05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EDA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7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EDA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Sieradzki, Evan - FNS</dc:creator>
  <cp:keywords/>
  <dc:description/>
  <cp:lastModifiedBy>Sieradzki, Evan - FNS</cp:lastModifiedBy>
  <cp:revision>1</cp:revision>
  <dcterms:created xsi:type="dcterms:W3CDTF">2022-01-07T14:50:00Z</dcterms:created>
  <dcterms:modified xsi:type="dcterms:W3CDTF">2022-01-07T19:15:00Z</dcterms:modified>
</cp:coreProperties>
</file>