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CB62CC" w:rsidRDefault="00CB62CC" w14:paraId="001AB27C" w14:textId="77777777">
      <w:pPr>
        <w:pStyle w:val="BodyText"/>
        <w:spacing w:before="8"/>
        <w:rPr>
          <w:rFonts w:ascii="Times New Roman"/>
          <w:sz w:val="26"/>
        </w:rPr>
      </w:pPr>
      <w:bookmarkStart w:name="_Hlk92374982" w:id="0"/>
      <w:bookmarkEnd w:id="0"/>
    </w:p>
    <w:p w:rsidR="00D45F2E" w:rsidRDefault="00D45F2E" w14:paraId="0D58FBB7" w14:textId="77777777">
      <w:pPr>
        <w:spacing w:before="181" w:line="206" w:lineRule="auto"/>
        <w:ind w:left="420" w:right="2627"/>
        <w:rPr>
          <w:rFonts w:ascii="Tahoma"/>
          <w:b/>
          <w:color w:val="205392"/>
          <w:sz w:val="52"/>
        </w:rPr>
        <w:sectPr w:rsidR="00D45F2E">
          <w:type w:val="continuous"/>
          <w:pgSz w:w="12240" w:h="15840"/>
          <w:pgMar w:top="780" w:right="960" w:bottom="280" w:left="880" w:header="720" w:footer="720" w:gutter="0"/>
          <w:cols w:equalWidth="0" w:space="720" w:num="2">
            <w:col w:w="5009" w:space="175"/>
            <w:col w:w="5216"/>
          </w:cols>
        </w:sectPr>
      </w:pPr>
    </w:p>
    <w:p w:rsidRPr="00421EA9" w:rsidR="00CB62CC" w:rsidP="00D72F3B" w:rsidRDefault="461A5824" w14:paraId="1B3DE93C" w14:textId="64E317D3">
      <w:pPr>
        <w:spacing w:before="181" w:line="206" w:lineRule="auto"/>
        <w:ind w:left="420" w:right="2627"/>
        <w:rPr>
          <w:rFonts w:ascii="Tahoma"/>
          <w:b/>
          <w:bCs/>
          <w:sz w:val="52"/>
          <w:szCs w:val="52"/>
        </w:rPr>
      </w:pPr>
      <w:r w:rsidRPr="05BDFB97">
        <w:rPr>
          <w:rFonts w:ascii="Tahoma"/>
          <w:b/>
          <w:bCs/>
          <w:color w:val="205392"/>
          <w:sz w:val="52"/>
          <w:szCs w:val="52"/>
        </w:rPr>
        <w:t xml:space="preserve">2020 </w:t>
      </w:r>
      <w:r w:rsidRPr="05BDFB97" w:rsidR="4FE0606B">
        <w:rPr>
          <w:rFonts w:ascii="Tahoma"/>
          <w:b/>
          <w:bCs/>
          <w:color w:val="205392"/>
          <w:sz w:val="52"/>
          <w:szCs w:val="52"/>
        </w:rPr>
        <w:t>Post-</w:t>
      </w:r>
      <w:r w:rsidRPr="05BDFB97">
        <w:rPr>
          <w:rFonts w:ascii="Tahoma"/>
          <w:b/>
          <w:bCs/>
          <w:color w:val="205392"/>
          <w:sz w:val="52"/>
          <w:szCs w:val="52"/>
        </w:rPr>
        <w:t xml:space="preserve">Census </w:t>
      </w:r>
      <w:r w:rsidRPr="05BDFB97" w:rsidR="4FE0606B">
        <w:rPr>
          <w:rFonts w:ascii="Tahoma"/>
          <w:b/>
          <w:bCs/>
          <w:color w:val="205392"/>
          <w:sz w:val="52"/>
          <w:szCs w:val="52"/>
        </w:rPr>
        <w:t>Group Quarters Review</w:t>
      </w:r>
    </w:p>
    <w:p w:rsidR="00CB62CC" w:rsidRDefault="00CB62CC" w14:paraId="6D225158" w14:textId="54183142">
      <w:pPr>
        <w:pStyle w:val="BodyText"/>
        <w:rPr>
          <w:rFonts w:ascii="Tahoma"/>
          <w:b/>
          <w:sz w:val="20"/>
        </w:rPr>
      </w:pPr>
    </w:p>
    <w:p w:rsidRPr="00421EA9" w:rsidR="00D45F2E" w:rsidRDefault="00D45F2E" w14:paraId="3F26A63D" w14:textId="77777777">
      <w:pPr>
        <w:pStyle w:val="BodyText"/>
        <w:rPr>
          <w:rFonts w:ascii="Tahoma"/>
          <w:b/>
          <w:sz w:val="20"/>
        </w:rPr>
      </w:pPr>
    </w:p>
    <w:p w:rsidRPr="00421EA9" w:rsidR="00CB62CC" w:rsidP="00D45F2E" w:rsidRDefault="00CB62CC" w14:paraId="5897A197" w14:textId="77777777">
      <w:pPr>
        <w:pStyle w:val="BodyText"/>
        <w:spacing w:before="3"/>
        <w:contextualSpacing/>
        <w:jc w:val="both"/>
        <w:rPr>
          <w:rFonts w:ascii="Tahoma"/>
          <w:b/>
          <w:sz w:val="16"/>
        </w:rPr>
      </w:pPr>
    </w:p>
    <w:p w:rsidRPr="005C40FE" w:rsidR="00F143B4" w:rsidP="00F143B4" w:rsidRDefault="00F143B4" w14:paraId="477D8B19" w14:textId="291BF94D">
      <w:pPr>
        <w:pStyle w:val="BodyText"/>
        <w:contextualSpacing/>
        <w:jc w:val="both"/>
        <w:rPr>
          <w:bdr w:val="none" w:color="auto" w:sz="0" w:space="0" w:frame="1"/>
          <w:shd w:val="clear" w:color="auto" w:fill="FFFFFF"/>
        </w:rPr>
      </w:pPr>
      <w:bookmarkStart w:name="_Hlk95298383" w:id="1"/>
      <w:r w:rsidRPr="005C40FE">
        <w:rPr>
          <w:bdr w:val="none" w:color="auto" w:sz="0" w:space="0" w:frame="1"/>
          <w:shd w:val="clear" w:color="auto" w:fill="FFFFFF"/>
        </w:rPr>
        <w:t xml:space="preserve">The 2020 Post-Census Group Quarters Review (PCGQR) provides a mechanism for governmental units in the United States and Puerto Rico to </w:t>
      </w:r>
      <w:r w:rsidRPr="005C40FE" w:rsidR="004B2953">
        <w:rPr>
          <w:bdr w:val="none" w:color="auto" w:sz="0" w:space="0" w:frame="1"/>
          <w:shd w:val="clear" w:color="auto" w:fill="FFFFFF"/>
        </w:rPr>
        <w:t>request that the Census Bureau review the population counts of group quarters they believe were undercounted on April 1, 2020.</w:t>
      </w:r>
      <w:r w:rsidRPr="005C40FE">
        <w:rPr>
          <w:bdr w:val="none" w:color="auto" w:sz="0" w:space="0" w:frame="1"/>
          <w:shd w:val="clear" w:color="auto" w:fill="FFFFFF"/>
        </w:rPr>
        <w:t xml:space="preserve"> If the review process finds errors in these population counts, the errors will be corrected, </w:t>
      </w:r>
      <w:r w:rsidRPr="005C40FE" w:rsidR="00C02E12">
        <w:rPr>
          <w:bdr w:val="none" w:color="auto" w:sz="0" w:space="0" w:frame="1"/>
          <w:shd w:val="clear" w:color="auto" w:fill="FFFFFF"/>
        </w:rPr>
        <w:t xml:space="preserve">and the revised group quarters population will be provided to the Population Estimates Program for incorporation into the base population for upcoming vintages of estimates and will be included in the next possible population base as the production schedule allows. The estimates developed from the updated population base will also be used by the American Community Survey and the Puerto Rico Community Survey. Governmental units include tribal, state, and local officials or their designated representatives. </w:t>
      </w:r>
    </w:p>
    <w:p w:rsidRPr="005A7169" w:rsidR="00C02E12" w:rsidP="00F143B4" w:rsidRDefault="00C02E12" w14:paraId="3137CC3A" w14:textId="77777777">
      <w:pPr>
        <w:pStyle w:val="BodyText"/>
        <w:contextualSpacing/>
        <w:jc w:val="both"/>
        <w:rPr>
          <w:color w:val="231F20"/>
          <w:w w:val="105"/>
        </w:rPr>
      </w:pPr>
    </w:p>
    <w:p w:rsidRPr="00FC1083" w:rsidR="00F143B4" w:rsidP="00F143B4" w:rsidRDefault="00FC1083" w14:paraId="63EFAD0A" w14:textId="7A270A6A">
      <w:pPr>
        <w:pStyle w:val="BodyText"/>
        <w:contextualSpacing/>
        <w:jc w:val="both"/>
        <w:rPr>
          <w:w w:val="105"/>
        </w:rPr>
      </w:pPr>
      <w:r w:rsidRPr="00FC1083">
        <w:rPr>
          <w:bdr w:val="none" w:color="auto" w:sz="0" w:space="0" w:frame="1"/>
          <w:shd w:val="clear" w:color="auto" w:fill="FFFFFF"/>
        </w:rPr>
        <w:t>Please note that the </w:t>
      </w:r>
      <w:r w:rsidRPr="00FC1083">
        <w:rPr>
          <w:rFonts w:ascii="Arial" w:hAnsi="Arial" w:cs="Arial"/>
          <w:bdr w:val="none" w:color="auto" w:sz="0" w:space="0" w:frame="1"/>
          <w:shd w:val="clear" w:color="auto" w:fill="FFFFFF"/>
        </w:rPr>
        <w:t>​</w:t>
      </w:r>
      <w:r w:rsidRPr="00FC1083">
        <w:rPr>
          <w:bdr w:val="none" w:color="auto" w:sz="0" w:space="0" w:frame="1"/>
          <w:shd w:val="clear" w:color="auto" w:fill="FFFFFF"/>
        </w:rPr>
        <w:t>2020 PCGQR does not collect new data or conduct a recount for the 2020 Census. </w:t>
      </w:r>
      <w:r w:rsidRPr="00FC1083">
        <w:rPr>
          <w:rFonts w:ascii="Arial" w:hAnsi="Arial" w:cs="Arial"/>
          <w:bdr w:val="none" w:color="auto" w:sz="0" w:space="0" w:frame="1"/>
          <w:shd w:val="clear" w:color="auto" w:fill="FFFFFF"/>
        </w:rPr>
        <w:t>​</w:t>
      </w:r>
      <w:r w:rsidRPr="00FC1083">
        <w:rPr>
          <w:bdr w:val="none" w:color="auto" w:sz="0" w:space="0" w:frame="1"/>
          <w:shd w:val="clear" w:color="auto" w:fill="FFFFFF"/>
        </w:rPr>
        <w:t>For example, </w:t>
      </w:r>
      <w:r w:rsidR="005E076A">
        <w:rPr>
          <w:bdr w:val="none" w:color="auto" w:sz="0" w:space="0" w:frame="1"/>
          <w:shd w:val="clear" w:color="auto" w:fill="FFFFFF"/>
        </w:rPr>
        <w:t xml:space="preserve">neither the </w:t>
      </w:r>
      <w:r w:rsidRPr="00FC1083">
        <w:rPr>
          <w:bdr w:val="none" w:color="auto" w:sz="0" w:space="0" w:frame="1"/>
          <w:shd w:val="clear" w:color="auto" w:fill="FFFFFF"/>
        </w:rPr>
        <w:t>2020 Census data products and counts delivered to the President for apportionment</w:t>
      </w:r>
      <w:r w:rsidR="00C22213">
        <w:rPr>
          <w:bdr w:val="none" w:color="auto" w:sz="0" w:space="0" w:frame="1"/>
          <w:shd w:val="clear" w:color="auto" w:fill="FFFFFF"/>
        </w:rPr>
        <w:t>,</w:t>
      </w:r>
      <w:r w:rsidRPr="00FC1083">
        <w:rPr>
          <w:bdr w:val="none" w:color="auto" w:sz="0" w:space="0" w:frame="1"/>
          <w:shd w:val="clear" w:color="auto" w:fill="FFFFFF"/>
        </w:rPr>
        <w:t xml:space="preserve"> </w:t>
      </w:r>
      <w:r w:rsidR="005E076A">
        <w:rPr>
          <w:bdr w:val="none" w:color="auto" w:sz="0" w:space="0" w:frame="1"/>
          <w:shd w:val="clear" w:color="auto" w:fill="FFFFFF"/>
        </w:rPr>
        <w:t>n</w:t>
      </w:r>
      <w:r w:rsidRPr="00FC1083">
        <w:rPr>
          <w:bdr w:val="none" w:color="auto" w:sz="0" w:space="0" w:frame="1"/>
          <w:shd w:val="clear" w:color="auto" w:fill="FFFFFF"/>
        </w:rPr>
        <w:t>or the 2020 Census Public Law 94-171 Redistricting Data Files and Geographic Products </w:t>
      </w:r>
      <w:r w:rsidRPr="00FC1083">
        <w:rPr>
          <w:rFonts w:ascii="Arial" w:hAnsi="Arial" w:cs="Arial"/>
          <w:bdr w:val="none" w:color="auto" w:sz="0" w:space="0" w:frame="1"/>
          <w:shd w:val="clear" w:color="auto" w:fill="FFFFFF"/>
        </w:rPr>
        <w:t>​</w:t>
      </w:r>
      <w:r w:rsidRPr="00FC1083">
        <w:rPr>
          <w:bdr w:val="none" w:color="auto" w:sz="0" w:space="0" w:frame="1"/>
          <w:shd w:val="clear" w:color="auto" w:fill="FFFFFF"/>
        </w:rPr>
        <w:t xml:space="preserve">will not be updated </w:t>
      </w:r>
      <w:proofErr w:type="gramStart"/>
      <w:r w:rsidRPr="00FC1083">
        <w:rPr>
          <w:bdr w:val="none" w:color="auto" w:sz="0" w:space="0" w:frame="1"/>
          <w:shd w:val="clear" w:color="auto" w:fill="FFFFFF"/>
        </w:rPr>
        <w:t>as a result of</w:t>
      </w:r>
      <w:proofErr w:type="gramEnd"/>
      <w:r w:rsidRPr="00FC1083">
        <w:rPr>
          <w:bdr w:val="none" w:color="auto" w:sz="0" w:space="0" w:frame="1"/>
          <w:shd w:val="clear" w:color="auto" w:fill="FFFFFF"/>
        </w:rPr>
        <w:t xml:space="preserve"> the 2020 PCGQR.</w:t>
      </w:r>
      <w:r w:rsidRPr="00FC1083" w:rsidR="001E51DF">
        <w:rPr>
          <w:w w:val="105"/>
        </w:rPr>
        <w:t xml:space="preserve"> </w:t>
      </w:r>
    </w:p>
    <w:p w:rsidRPr="00F143B4" w:rsidR="001E51DF" w:rsidP="00F143B4" w:rsidRDefault="001E51DF" w14:paraId="726184B6" w14:textId="77777777">
      <w:pPr>
        <w:pStyle w:val="BodyText"/>
        <w:contextualSpacing/>
        <w:jc w:val="both"/>
        <w:rPr>
          <w:rFonts w:asciiTheme="minorHAnsi" w:hAnsiTheme="minorHAnsi" w:cstheme="minorHAnsi"/>
          <w:color w:val="231F20"/>
          <w:w w:val="105"/>
        </w:rPr>
      </w:pPr>
    </w:p>
    <w:p w:rsidRPr="00A210B6" w:rsidR="00D6041C" w:rsidP="00D45F2E" w:rsidRDefault="42649B9A" w14:paraId="2D065A14" w14:textId="006FD57E">
      <w:pPr>
        <w:pStyle w:val="Heading1"/>
        <w:spacing w:before="0" w:after="240"/>
        <w:ind w:left="0"/>
        <w:contextualSpacing/>
        <w:jc w:val="both"/>
        <w:rPr>
          <w:rFonts w:ascii="Century Gothic" w:hAnsi="Century Gothic" w:eastAsia="Century Gothic" w:cs="Century Gothic"/>
          <w:b w:val="0"/>
          <w:bCs w:val="0"/>
          <w:color w:val="231F20"/>
          <w:w w:val="105"/>
          <w:sz w:val="20"/>
          <w:szCs w:val="20"/>
        </w:rPr>
      </w:pPr>
      <w:bookmarkStart w:name="_Hlk92790253" w:id="2"/>
      <w:bookmarkEnd w:id="1"/>
      <w:r w:rsidRPr="00533A34">
        <w:rPr>
          <w:rFonts w:ascii="Century Gothic" w:hAnsi="Century Gothic" w:eastAsia="Century Gothic" w:cs="Century Gothic"/>
          <w:b w:val="0"/>
          <w:bCs w:val="0"/>
          <w:color w:val="231F20"/>
          <w:w w:val="105"/>
        </w:rPr>
        <w:t xml:space="preserve">A </w:t>
      </w:r>
      <w:r w:rsidRPr="00533A34" w:rsidR="6E2A364F">
        <w:rPr>
          <w:rFonts w:ascii="Century Gothic" w:hAnsi="Century Gothic" w:eastAsia="Century Gothic" w:cs="Century Gothic"/>
          <w:b w:val="0"/>
          <w:bCs w:val="0"/>
          <w:color w:val="231F20"/>
        </w:rPr>
        <w:t>g</w:t>
      </w:r>
      <w:r w:rsidRPr="00533A34">
        <w:rPr>
          <w:rFonts w:ascii="Century Gothic" w:hAnsi="Century Gothic" w:eastAsia="Century Gothic" w:cs="Century Gothic"/>
          <w:b w:val="0"/>
          <w:bCs w:val="0"/>
          <w:color w:val="231F20"/>
          <w:w w:val="105"/>
        </w:rPr>
        <w:t xml:space="preserve">roup </w:t>
      </w:r>
      <w:r w:rsidRPr="00533A34" w:rsidR="6E2A364F">
        <w:rPr>
          <w:rFonts w:ascii="Century Gothic" w:hAnsi="Century Gothic" w:eastAsia="Century Gothic" w:cs="Century Gothic"/>
          <w:b w:val="0"/>
          <w:bCs w:val="0"/>
          <w:color w:val="231F20"/>
        </w:rPr>
        <w:t>q</w:t>
      </w:r>
      <w:r w:rsidRPr="00533A34">
        <w:rPr>
          <w:rFonts w:ascii="Century Gothic" w:hAnsi="Century Gothic" w:eastAsia="Century Gothic" w:cs="Century Gothic"/>
          <w:b w:val="0"/>
          <w:bCs w:val="0"/>
          <w:color w:val="231F20"/>
          <w:w w:val="105"/>
        </w:rPr>
        <w:t xml:space="preserve">uarter is a place where people live or stay in a group living arrangement that is owned or managed by an entity or organization providing housing and/or services for the residents. </w:t>
      </w:r>
      <w:r w:rsidRPr="00533A34" w:rsidR="6E2A364F">
        <w:rPr>
          <w:rFonts w:ascii="Century Gothic" w:hAnsi="Century Gothic" w:eastAsia="Century Gothic" w:cs="Century Gothic"/>
          <w:b w:val="0"/>
          <w:bCs w:val="0"/>
          <w:color w:val="231F20"/>
        </w:rPr>
        <w:t xml:space="preserve">These services may include custodial or medical care as well as other types of assistance, and residency is commonly restricted to those receiving these services. </w:t>
      </w:r>
      <w:r w:rsidRPr="2E6C2642" w:rsidR="6E9E3194">
        <w:rPr>
          <w:rFonts w:ascii="Century Gothic" w:hAnsi="Century Gothic" w:eastAsia="Century Gothic" w:cs="Century Gothic"/>
          <w:b w:val="0"/>
          <w:bCs w:val="0"/>
          <w:color w:val="231F20"/>
        </w:rPr>
        <w:t xml:space="preserve">This is not a typical household-type living arrangement. People </w:t>
      </w:r>
      <w:r w:rsidRPr="00533A34">
        <w:rPr>
          <w:rFonts w:ascii="Century Gothic" w:hAnsi="Century Gothic" w:eastAsia="Century Gothic" w:cs="Century Gothic"/>
          <w:b w:val="0"/>
          <w:bCs w:val="0"/>
          <w:color w:val="231F20"/>
          <w:w w:val="105"/>
        </w:rPr>
        <w:t>living in group quarters are usually not related to each other. Group quarters include such places as college/university student housing, residential treatment centers, nursing/skilled</w:t>
      </w:r>
      <w:r w:rsidRPr="00533A34" w:rsidR="0ED8F7BF">
        <w:rPr>
          <w:rFonts w:ascii="Century Gothic" w:hAnsi="Century Gothic" w:eastAsia="Century Gothic" w:cs="Century Gothic"/>
          <w:b w:val="0"/>
          <w:bCs w:val="0"/>
          <w:color w:val="231F20"/>
          <w:w w:val="105"/>
        </w:rPr>
        <w:t>-</w:t>
      </w:r>
      <w:r w:rsidRPr="00533A34">
        <w:rPr>
          <w:rFonts w:ascii="Century Gothic" w:hAnsi="Century Gothic" w:eastAsia="Century Gothic" w:cs="Century Gothic"/>
          <w:b w:val="0"/>
          <w:bCs w:val="0"/>
          <w:color w:val="231F20"/>
          <w:w w:val="105"/>
        </w:rPr>
        <w:t xml:space="preserve">nursing facilities, group homes, </w:t>
      </w:r>
      <w:proofErr w:type="gramStart"/>
      <w:r w:rsidRPr="00533A34">
        <w:rPr>
          <w:rFonts w:ascii="Century Gothic" w:hAnsi="Century Gothic" w:eastAsia="Century Gothic" w:cs="Century Gothic"/>
          <w:b w:val="0"/>
          <w:bCs w:val="0"/>
          <w:color w:val="231F20"/>
          <w:w w:val="105"/>
        </w:rPr>
        <w:t>correctional facilities</w:t>
      </w:r>
      <w:proofErr w:type="gramEnd"/>
      <w:r w:rsidRPr="00533A34">
        <w:rPr>
          <w:rFonts w:ascii="Century Gothic" w:hAnsi="Century Gothic" w:eastAsia="Century Gothic" w:cs="Century Gothic"/>
          <w:b w:val="0"/>
          <w:bCs w:val="0"/>
          <w:color w:val="231F20"/>
          <w:w w:val="105"/>
        </w:rPr>
        <w:t>, and workers’ group living quarters and job corps centers</w:t>
      </w:r>
      <w:r w:rsidRPr="00533A34" w:rsidR="1649D540">
        <w:rPr>
          <w:rFonts w:ascii="Century Gothic" w:hAnsi="Century Gothic" w:eastAsia="Century Gothic" w:cs="Century Gothic"/>
          <w:b w:val="0"/>
          <w:bCs w:val="0"/>
          <w:color w:val="231F20"/>
          <w:w w:val="105"/>
        </w:rPr>
        <w:t>.</w:t>
      </w:r>
    </w:p>
    <w:bookmarkEnd w:id="2"/>
    <w:p w:rsidR="00D45F2E" w:rsidP="001B5D20" w:rsidRDefault="00D45F2E" w14:paraId="2980C6DF" w14:textId="77777777">
      <w:pPr>
        <w:pStyle w:val="BodyText"/>
        <w:tabs>
          <w:tab w:val="left" w:pos="900"/>
        </w:tabs>
        <w:spacing w:before="102" w:line="235" w:lineRule="auto"/>
        <w:ind w:left="164" w:right="369"/>
        <w:jc w:val="both"/>
        <w:rPr>
          <w:color w:val="231F20"/>
          <w:w w:val="105"/>
          <w:sz w:val="20"/>
          <w:szCs w:val="20"/>
        </w:rPr>
      </w:pPr>
    </w:p>
    <w:p w:rsidRPr="00A210B6" w:rsidR="005A7169" w:rsidP="00D6041C" w:rsidRDefault="005A7169" w14:paraId="5D854A71" w14:textId="412AFEE1">
      <w:pPr>
        <w:pStyle w:val="BodyText"/>
        <w:spacing w:before="102" w:line="235" w:lineRule="auto"/>
        <w:ind w:left="164" w:right="369"/>
        <w:jc w:val="both"/>
        <w:rPr>
          <w:color w:val="231F20"/>
          <w:w w:val="105"/>
          <w:sz w:val="20"/>
          <w:szCs w:val="20"/>
        </w:rPr>
        <w:sectPr w:rsidRPr="00A210B6" w:rsidR="005A7169" w:rsidSect="00D45F2E">
          <w:type w:val="continuous"/>
          <w:pgSz w:w="12240" w:h="15840"/>
          <w:pgMar w:top="780" w:right="960" w:bottom="280" w:left="880" w:header="720" w:footer="720" w:gutter="0"/>
          <w:cols w:space="175"/>
        </w:sectPr>
      </w:pPr>
    </w:p>
    <w:p w:rsidRPr="00A210B6" w:rsidR="00D6041C" w:rsidP="00A210B6" w:rsidRDefault="4C02F16E" w14:paraId="4B3582B4" w14:textId="45C8E7EF">
      <w:pPr>
        <w:pStyle w:val="BodyText"/>
        <w:spacing w:before="102" w:line="235" w:lineRule="auto"/>
        <w:ind w:left="164" w:right="369"/>
        <w:jc w:val="both"/>
        <w:rPr>
          <w:sz w:val="20"/>
          <w:szCs w:val="20"/>
        </w:rPr>
      </w:pPr>
      <w:r w:rsidRPr="00A210B6">
        <w:rPr>
          <w:color w:val="231F20"/>
          <w:w w:val="105"/>
          <w:sz w:val="20"/>
          <w:szCs w:val="20"/>
        </w:rPr>
        <w:t>Government</w:t>
      </w:r>
      <w:r w:rsidR="00C3355B">
        <w:rPr>
          <w:color w:val="231F20"/>
          <w:w w:val="105"/>
          <w:sz w:val="20"/>
          <w:szCs w:val="20"/>
        </w:rPr>
        <w:t>al unit</w:t>
      </w:r>
      <w:r w:rsidRPr="00A210B6">
        <w:rPr>
          <w:color w:val="231F20"/>
          <w:w w:val="105"/>
          <w:sz w:val="20"/>
          <w:szCs w:val="20"/>
        </w:rPr>
        <w:t xml:space="preserve">s with questions about their </w:t>
      </w:r>
      <w:r w:rsidR="420740FD">
        <w:rPr>
          <w:color w:val="231F20"/>
          <w:w w:val="105"/>
          <w:sz w:val="20"/>
          <w:szCs w:val="20"/>
        </w:rPr>
        <w:t xml:space="preserve">population </w:t>
      </w:r>
      <w:r w:rsidRPr="00A210B6">
        <w:rPr>
          <w:color w:val="231F20"/>
          <w:w w:val="105"/>
          <w:sz w:val="20"/>
          <w:szCs w:val="20"/>
        </w:rPr>
        <w:t xml:space="preserve">counts can use the </w:t>
      </w:r>
      <w:r w:rsidRPr="00A210B6" w:rsidR="34AD655F">
        <w:rPr>
          <w:color w:val="231F20"/>
          <w:w w:val="105"/>
          <w:sz w:val="20"/>
          <w:szCs w:val="20"/>
        </w:rPr>
        <w:t xml:space="preserve">2020 PCGQR </w:t>
      </w:r>
      <w:r w:rsidRPr="00A210B6">
        <w:rPr>
          <w:color w:val="231F20"/>
          <w:w w:val="105"/>
          <w:sz w:val="20"/>
          <w:szCs w:val="20"/>
        </w:rPr>
        <w:t>process to request a review of:</w:t>
      </w:r>
    </w:p>
    <w:p w:rsidR="004E5D53" w:rsidP="00A210B6" w:rsidRDefault="4FE0606B" w14:paraId="5F3C76B8" w14:textId="75E3AE69">
      <w:pPr>
        <w:pStyle w:val="Heading1"/>
        <w:spacing w:before="175"/>
        <w:ind w:right="369"/>
        <w:jc w:val="both"/>
        <w:rPr>
          <w:rFonts w:ascii="Century Gothic" w:hAnsi="Century Gothic" w:eastAsia="Century Gothic" w:cs="Century Gothic"/>
          <w:b w:val="0"/>
          <w:bCs w:val="0"/>
          <w:w w:val="105"/>
          <w:sz w:val="20"/>
          <w:szCs w:val="20"/>
        </w:rPr>
      </w:pPr>
      <w:r w:rsidRPr="00A210B6">
        <w:rPr>
          <w:color w:val="205392"/>
          <w:sz w:val="20"/>
          <w:szCs w:val="20"/>
        </w:rPr>
        <w:t xml:space="preserve">Group </w:t>
      </w:r>
      <w:r w:rsidR="00FF4315">
        <w:rPr>
          <w:color w:val="205392"/>
          <w:sz w:val="20"/>
          <w:szCs w:val="20"/>
        </w:rPr>
        <w:t>q</w:t>
      </w:r>
      <w:r w:rsidRPr="00A210B6">
        <w:rPr>
          <w:color w:val="205392"/>
          <w:sz w:val="20"/>
          <w:szCs w:val="20"/>
        </w:rPr>
        <w:t>uarters population counts</w:t>
      </w:r>
      <w:r w:rsidRPr="00A210B6" w:rsidR="461A5824">
        <w:rPr>
          <w:color w:val="205392"/>
          <w:sz w:val="20"/>
          <w:szCs w:val="20"/>
        </w:rPr>
        <w:t>.</w:t>
      </w:r>
      <w:r w:rsidRPr="00A210B6" w:rsidR="461A5824">
        <w:rPr>
          <w:rFonts w:ascii="Verdana" w:hAnsi="Verdana"/>
          <w:color w:val="205392"/>
          <w:sz w:val="20"/>
          <w:szCs w:val="20"/>
        </w:rPr>
        <w:t xml:space="preserve"> </w:t>
      </w:r>
      <w:r w:rsidRPr="09A79798" w:rsidR="00956C4A">
        <w:rPr>
          <w:rFonts w:ascii="Century Gothic" w:hAnsi="Century Gothic" w:eastAsia="Century Gothic" w:cs="Century Gothic"/>
          <w:b w:val="0"/>
          <w:bCs w:val="0"/>
          <w:color w:val="231F20"/>
          <w:sz w:val="20"/>
          <w:szCs w:val="20"/>
        </w:rPr>
        <w:t>The Census Bureau</w:t>
      </w:r>
      <w:r w:rsidRPr="09A79798" w:rsidR="00956C4A">
        <w:rPr>
          <w:rFonts w:ascii="Verdana" w:hAnsi="Verdana"/>
          <w:color w:val="205392"/>
          <w:sz w:val="20"/>
          <w:szCs w:val="20"/>
        </w:rPr>
        <w:t xml:space="preserve"> </w:t>
      </w:r>
      <w:r w:rsidRPr="00A210B6" w:rsidR="461A5824">
        <w:rPr>
          <w:rFonts w:ascii="Century Gothic" w:hAnsi="Century Gothic" w:eastAsia="Century Gothic" w:cs="Century Gothic"/>
          <w:b w:val="0"/>
          <w:bCs w:val="0"/>
          <w:color w:val="231F20"/>
          <w:w w:val="105"/>
          <w:sz w:val="20"/>
          <w:szCs w:val="20"/>
        </w:rPr>
        <w:t xml:space="preserve">can review </w:t>
      </w:r>
      <w:r w:rsidRPr="00A210B6">
        <w:rPr>
          <w:rFonts w:ascii="Century Gothic" w:hAnsi="Century Gothic" w:eastAsia="Century Gothic" w:cs="Century Gothic"/>
          <w:b w:val="0"/>
          <w:bCs w:val="0"/>
          <w:color w:val="231F20"/>
          <w:w w:val="105"/>
          <w:sz w:val="20"/>
          <w:szCs w:val="20"/>
        </w:rPr>
        <w:t xml:space="preserve">the population count of </w:t>
      </w:r>
      <w:r w:rsidRPr="09A79798" w:rsidR="5270434A">
        <w:rPr>
          <w:rFonts w:ascii="Century Gothic" w:hAnsi="Century Gothic" w:eastAsia="Century Gothic" w:cs="Century Gothic"/>
          <w:b w:val="0"/>
          <w:bCs w:val="0"/>
          <w:color w:val="231F20"/>
          <w:sz w:val="20"/>
          <w:szCs w:val="20"/>
        </w:rPr>
        <w:t xml:space="preserve">a </w:t>
      </w:r>
      <w:r w:rsidRPr="00A210B6" w:rsidR="004E5D53">
        <w:rPr>
          <w:rFonts w:ascii="Century Gothic" w:hAnsi="Century Gothic" w:eastAsia="Century Gothic" w:cs="Century Gothic"/>
          <w:b w:val="0"/>
          <w:bCs w:val="0"/>
          <w:color w:val="231F20"/>
          <w:w w:val="105"/>
          <w:sz w:val="20"/>
          <w:szCs w:val="20"/>
        </w:rPr>
        <w:t>group quarter</w:t>
      </w:r>
      <w:r w:rsidRPr="00A210B6">
        <w:rPr>
          <w:rFonts w:ascii="Century Gothic" w:hAnsi="Century Gothic" w:eastAsia="Century Gothic" w:cs="Century Gothic"/>
          <w:b w:val="0"/>
          <w:bCs w:val="0"/>
          <w:color w:val="231F20"/>
          <w:w w:val="105"/>
          <w:sz w:val="20"/>
          <w:szCs w:val="20"/>
        </w:rPr>
        <w:t xml:space="preserve"> that (1) existed on April 1, </w:t>
      </w:r>
      <w:proofErr w:type="gramStart"/>
      <w:r w:rsidRPr="00A210B6">
        <w:rPr>
          <w:rFonts w:ascii="Century Gothic" w:hAnsi="Century Gothic" w:eastAsia="Century Gothic" w:cs="Century Gothic"/>
          <w:b w:val="0"/>
          <w:bCs w:val="0"/>
          <w:color w:val="231F20"/>
          <w:w w:val="105"/>
          <w:sz w:val="20"/>
          <w:szCs w:val="20"/>
        </w:rPr>
        <w:t>2020</w:t>
      </w:r>
      <w:proofErr w:type="gramEnd"/>
      <w:r w:rsidRPr="00A210B6">
        <w:rPr>
          <w:rFonts w:ascii="Century Gothic" w:hAnsi="Century Gothic" w:eastAsia="Century Gothic" w:cs="Century Gothic"/>
          <w:b w:val="0"/>
          <w:bCs w:val="0"/>
          <w:color w:val="231F20"/>
          <w:w w:val="105"/>
          <w:sz w:val="20"/>
          <w:szCs w:val="20"/>
        </w:rPr>
        <w:t xml:space="preserve"> and (2) what the population would have been on April 1, 2020 based on 2020 Census residency criteria if not for residents needing to vacate the facility because of COVID-19</w:t>
      </w:r>
      <w:r w:rsidR="001C2701">
        <w:rPr>
          <w:rFonts w:ascii="Century Gothic" w:hAnsi="Century Gothic" w:eastAsia="Century Gothic" w:cs="Century Gothic"/>
          <w:b w:val="0"/>
          <w:bCs w:val="0"/>
          <w:color w:val="231F20"/>
          <w:w w:val="105"/>
          <w:sz w:val="20"/>
          <w:szCs w:val="20"/>
        </w:rPr>
        <w:t>.</w:t>
      </w:r>
      <w:r w:rsidRPr="00A210B6">
        <w:rPr>
          <w:rFonts w:ascii="Century Gothic" w:hAnsi="Century Gothic" w:eastAsia="Century Gothic" w:cs="Century Gothic"/>
          <w:b w:val="0"/>
          <w:bCs w:val="0"/>
          <w:color w:val="231F20"/>
          <w:w w:val="105"/>
          <w:sz w:val="20"/>
          <w:szCs w:val="20"/>
        </w:rPr>
        <w:t xml:space="preserve"> </w:t>
      </w:r>
      <w:r w:rsidRPr="00A210B6" w:rsidR="00792F5E">
        <w:rPr>
          <w:rFonts w:ascii="Century Gothic" w:hAnsi="Century Gothic" w:eastAsia="Century Gothic" w:cs="Century Gothic"/>
          <w:b w:val="0"/>
          <w:bCs w:val="0"/>
          <w:color w:val="231F20"/>
          <w:w w:val="105"/>
          <w:sz w:val="20"/>
          <w:szCs w:val="20"/>
        </w:rPr>
        <w:t xml:space="preserve"> </w:t>
      </w:r>
    </w:p>
    <w:p w:rsidRPr="00A210B6" w:rsidR="00CB62CC" w:rsidP="00A210B6" w:rsidRDefault="002F6985" w14:paraId="4CA700F0" w14:textId="4E6635D9">
      <w:pPr>
        <w:pStyle w:val="Heading1"/>
        <w:spacing w:before="175"/>
        <w:ind w:right="369"/>
        <w:jc w:val="both"/>
        <w:rPr>
          <w:sz w:val="20"/>
          <w:szCs w:val="20"/>
        </w:rPr>
      </w:pPr>
      <w:r w:rsidRPr="00A210B6">
        <w:rPr>
          <w:color w:val="205392"/>
          <w:sz w:val="20"/>
          <w:szCs w:val="20"/>
        </w:rPr>
        <w:t xml:space="preserve">Can </w:t>
      </w:r>
      <w:r w:rsidRPr="00A210B6" w:rsidR="00A2012B">
        <w:rPr>
          <w:color w:val="205392"/>
          <w:sz w:val="20"/>
          <w:szCs w:val="20"/>
        </w:rPr>
        <w:t>2020 PCGQR</w:t>
      </w:r>
      <w:r w:rsidRPr="00A210B6">
        <w:rPr>
          <w:color w:val="205392"/>
          <w:sz w:val="20"/>
          <w:szCs w:val="20"/>
        </w:rPr>
        <w:t xml:space="preserve"> alter the redistricting data, apportionment results, or other 2020 Census data products?</w:t>
      </w:r>
    </w:p>
    <w:p w:rsidRPr="00445D0F" w:rsidR="00CB62CC" w:rsidP="00A210B6" w:rsidRDefault="00A2012B" w14:paraId="3DDBCCC2" w14:textId="010AD66B">
      <w:pPr>
        <w:pStyle w:val="ListParagraph"/>
        <w:numPr>
          <w:ilvl w:val="0"/>
          <w:numId w:val="1"/>
        </w:numPr>
        <w:tabs>
          <w:tab w:val="left" w:pos="484"/>
          <w:tab w:val="left" w:pos="485"/>
        </w:tabs>
        <w:spacing w:line="235" w:lineRule="auto"/>
        <w:ind w:right="369"/>
        <w:rPr>
          <w:sz w:val="20"/>
          <w:szCs w:val="20"/>
        </w:rPr>
      </w:pPr>
      <w:r w:rsidRPr="00A210B6">
        <w:rPr>
          <w:color w:val="231F20"/>
          <w:sz w:val="20"/>
          <w:szCs w:val="20"/>
        </w:rPr>
        <w:t>2020 PCGQR</w:t>
      </w:r>
      <w:r w:rsidRPr="00A210B6" w:rsidR="002F6985">
        <w:rPr>
          <w:color w:val="231F20"/>
          <w:sz w:val="20"/>
          <w:szCs w:val="20"/>
        </w:rPr>
        <w:t xml:space="preserve"> does not change official 2020 Census</w:t>
      </w:r>
      <w:r w:rsidRPr="00A210B6" w:rsidR="002F6985">
        <w:rPr>
          <w:color w:val="231F20"/>
          <w:spacing w:val="9"/>
          <w:sz w:val="20"/>
          <w:szCs w:val="20"/>
        </w:rPr>
        <w:t xml:space="preserve"> </w:t>
      </w:r>
      <w:r w:rsidRPr="00A210B6" w:rsidR="002F6985">
        <w:rPr>
          <w:color w:val="231F20"/>
          <w:sz w:val="20"/>
          <w:szCs w:val="20"/>
        </w:rPr>
        <w:t>data</w:t>
      </w:r>
      <w:r w:rsidR="00DF5C2B">
        <w:rPr>
          <w:color w:val="231F20"/>
          <w:sz w:val="20"/>
          <w:szCs w:val="20"/>
        </w:rPr>
        <w:t xml:space="preserve"> </w:t>
      </w:r>
      <w:r w:rsidR="00950BDA">
        <w:rPr>
          <w:color w:val="231F20"/>
          <w:sz w:val="20"/>
          <w:szCs w:val="20"/>
        </w:rPr>
        <w:t>and data products</w:t>
      </w:r>
      <w:r w:rsidRPr="00A210B6" w:rsidR="002F6985">
        <w:rPr>
          <w:color w:val="231F20"/>
          <w:sz w:val="20"/>
          <w:szCs w:val="20"/>
        </w:rPr>
        <w:t>.</w:t>
      </w:r>
    </w:p>
    <w:p w:rsidRPr="00A210B6" w:rsidR="00D825E9" w:rsidP="00943203" w:rsidRDefault="00D825E9" w14:paraId="62502F18" w14:textId="45371C1E">
      <w:pPr>
        <w:pStyle w:val="BodyText"/>
        <w:numPr>
          <w:ilvl w:val="0"/>
          <w:numId w:val="1"/>
        </w:numPr>
        <w:spacing w:line="264" w:lineRule="exact"/>
        <w:rPr>
          <w:sz w:val="20"/>
          <w:szCs w:val="20"/>
        </w:rPr>
      </w:pPr>
      <w:r w:rsidRPr="00A210B6">
        <w:rPr>
          <w:color w:val="231F20"/>
          <w:sz w:val="20"/>
          <w:szCs w:val="20"/>
        </w:rPr>
        <w:t xml:space="preserve">2020 PCGQR does not impact or change </w:t>
      </w:r>
      <w:r w:rsidR="00886E66">
        <w:rPr>
          <w:color w:val="231F20"/>
          <w:sz w:val="20"/>
          <w:szCs w:val="20"/>
        </w:rPr>
        <w:t>the</w:t>
      </w:r>
      <w:r w:rsidRPr="00A210B6" w:rsidR="00886E66">
        <w:rPr>
          <w:color w:val="231F20"/>
          <w:sz w:val="20"/>
          <w:szCs w:val="20"/>
        </w:rPr>
        <w:t xml:space="preserve"> </w:t>
      </w:r>
      <w:r w:rsidRPr="00A210B6">
        <w:rPr>
          <w:color w:val="231F20"/>
          <w:sz w:val="20"/>
          <w:szCs w:val="20"/>
        </w:rPr>
        <w:t xml:space="preserve">overall population in </w:t>
      </w:r>
      <w:r w:rsidR="001E7821">
        <w:rPr>
          <w:color w:val="231F20"/>
          <w:sz w:val="20"/>
          <w:szCs w:val="20"/>
        </w:rPr>
        <w:t>a state’s</w:t>
      </w:r>
      <w:r w:rsidRPr="00A210B6">
        <w:rPr>
          <w:color w:val="231F20"/>
          <w:sz w:val="20"/>
          <w:szCs w:val="20"/>
        </w:rPr>
        <w:t xml:space="preserve"> apportionment count</w:t>
      </w:r>
      <w:r w:rsidRPr="00A210B6">
        <w:rPr>
          <w:color w:val="231F20"/>
          <w:spacing w:val="20"/>
          <w:sz w:val="20"/>
          <w:szCs w:val="20"/>
        </w:rPr>
        <w:t xml:space="preserve"> </w:t>
      </w:r>
      <w:r w:rsidRPr="00A210B6">
        <w:rPr>
          <w:color w:val="231F20"/>
          <w:sz w:val="20"/>
          <w:szCs w:val="20"/>
        </w:rPr>
        <w:t>or</w:t>
      </w:r>
      <w:r w:rsidRPr="00A210B6">
        <w:rPr>
          <w:color w:val="231F20"/>
          <w:spacing w:val="21"/>
          <w:sz w:val="20"/>
          <w:szCs w:val="20"/>
        </w:rPr>
        <w:t xml:space="preserve"> </w:t>
      </w:r>
      <w:r w:rsidR="00886E66">
        <w:rPr>
          <w:color w:val="231F20"/>
          <w:spacing w:val="21"/>
          <w:sz w:val="20"/>
          <w:szCs w:val="20"/>
        </w:rPr>
        <w:t xml:space="preserve">the </w:t>
      </w:r>
      <w:r w:rsidRPr="00A210B6">
        <w:rPr>
          <w:color w:val="231F20"/>
          <w:sz w:val="20"/>
          <w:szCs w:val="20"/>
        </w:rPr>
        <w:t>number</w:t>
      </w:r>
      <w:r w:rsidRPr="00A210B6">
        <w:rPr>
          <w:color w:val="231F20"/>
          <w:spacing w:val="20"/>
          <w:sz w:val="20"/>
          <w:szCs w:val="20"/>
        </w:rPr>
        <w:t xml:space="preserve"> </w:t>
      </w:r>
      <w:r w:rsidRPr="00A210B6">
        <w:rPr>
          <w:color w:val="231F20"/>
          <w:sz w:val="20"/>
          <w:szCs w:val="20"/>
        </w:rPr>
        <w:t>of</w:t>
      </w:r>
      <w:r w:rsidRPr="00A210B6">
        <w:rPr>
          <w:color w:val="231F20"/>
          <w:spacing w:val="21"/>
          <w:sz w:val="20"/>
          <w:szCs w:val="20"/>
        </w:rPr>
        <w:t xml:space="preserve"> </w:t>
      </w:r>
      <w:r w:rsidRPr="00A210B6">
        <w:rPr>
          <w:color w:val="231F20"/>
          <w:sz w:val="20"/>
          <w:szCs w:val="20"/>
        </w:rPr>
        <w:t>seats</w:t>
      </w:r>
      <w:r w:rsidRPr="00A210B6">
        <w:rPr>
          <w:color w:val="231F20"/>
          <w:spacing w:val="20"/>
          <w:sz w:val="20"/>
          <w:szCs w:val="20"/>
        </w:rPr>
        <w:t xml:space="preserve"> </w:t>
      </w:r>
      <w:r w:rsidRPr="00A210B6">
        <w:rPr>
          <w:color w:val="231F20"/>
          <w:sz w:val="20"/>
          <w:szCs w:val="20"/>
        </w:rPr>
        <w:t>in</w:t>
      </w:r>
      <w:r w:rsidRPr="00A210B6">
        <w:rPr>
          <w:color w:val="231F20"/>
          <w:spacing w:val="21"/>
          <w:sz w:val="20"/>
          <w:szCs w:val="20"/>
        </w:rPr>
        <w:t xml:space="preserve"> </w:t>
      </w:r>
      <w:r w:rsidRPr="00A210B6">
        <w:rPr>
          <w:color w:val="231F20"/>
          <w:spacing w:val="2"/>
          <w:sz w:val="20"/>
          <w:szCs w:val="20"/>
        </w:rPr>
        <w:t>the</w:t>
      </w:r>
      <w:r w:rsidRPr="00A210B6" w:rsidR="4FE7572E">
        <w:rPr>
          <w:color w:val="231F20"/>
          <w:spacing w:val="2"/>
          <w:sz w:val="20"/>
          <w:szCs w:val="20"/>
        </w:rPr>
        <w:t xml:space="preserve"> </w:t>
      </w:r>
      <w:r w:rsidRPr="00A210B6">
        <w:rPr>
          <w:color w:val="231F20"/>
          <w:w w:val="105"/>
          <w:sz w:val="20"/>
          <w:szCs w:val="20"/>
        </w:rPr>
        <w:t>U.S. House of Representatives.</w:t>
      </w:r>
    </w:p>
    <w:p w:rsidRPr="00A210B6" w:rsidR="00A210B6" w:rsidP="00144906" w:rsidRDefault="00A210B6" w14:paraId="4F345EDD" w14:textId="70C9C93B">
      <w:pPr>
        <w:pStyle w:val="ListParagraph"/>
        <w:tabs>
          <w:tab w:val="left" w:pos="484"/>
          <w:tab w:val="left" w:pos="485"/>
        </w:tabs>
        <w:spacing w:before="102" w:line="235" w:lineRule="auto"/>
        <w:ind w:right="369" w:firstLine="0"/>
        <w:rPr>
          <w:sz w:val="20"/>
          <w:szCs w:val="20"/>
        </w:rPr>
      </w:pPr>
    </w:p>
    <w:p w:rsidRPr="00A210B6" w:rsidR="00A210B6" w:rsidP="00A210B6" w:rsidRDefault="00A210B6" w14:paraId="195AE5F3" w14:textId="77777777">
      <w:pPr>
        <w:tabs>
          <w:tab w:val="left" w:pos="484"/>
          <w:tab w:val="left" w:pos="485"/>
        </w:tabs>
        <w:spacing w:before="180" w:line="235" w:lineRule="auto"/>
        <w:ind w:left="164" w:right="55"/>
        <w:rPr>
          <w:sz w:val="20"/>
          <w:szCs w:val="20"/>
        </w:rPr>
      </w:pPr>
    </w:p>
    <w:p w:rsidRPr="004402B4" w:rsidR="00F87DB6" w:rsidP="006D38D1" w:rsidRDefault="00005B88" w14:paraId="665D0552" w14:textId="4359DBB7">
      <w:pPr>
        <w:tabs>
          <w:tab w:val="left" w:pos="484"/>
          <w:tab w:val="left" w:pos="485"/>
        </w:tabs>
        <w:spacing w:before="102" w:line="235" w:lineRule="auto"/>
        <w:ind w:left="164" w:right="229"/>
        <w:rPr>
          <w:rFonts w:ascii="Tahoma" w:hAnsi="Tahoma" w:eastAsia="Tahoma" w:cs="Tahoma"/>
          <w:b/>
          <w:bCs/>
          <w:color w:val="205392"/>
          <w:sz w:val="20"/>
          <w:szCs w:val="20"/>
        </w:rPr>
      </w:pPr>
      <w:r>
        <w:rPr>
          <w:noProof/>
          <w:color w:val="2B579A"/>
          <w:sz w:val="20"/>
          <w:shd w:val="clear" w:color="auto" w:fill="E6E6E6"/>
        </w:rPr>
        <w:drawing>
          <wp:anchor distT="0" distB="0" distL="114300" distR="114300" simplePos="0" relativeHeight="251657216" behindDoc="1" locked="0" layoutInCell="1" allowOverlap="1" wp14:editId="74C824EA" wp14:anchorId="11C816EB">
            <wp:simplePos x="0" y="0"/>
            <wp:positionH relativeFrom="column">
              <wp:posOffset>-86810</wp:posOffset>
            </wp:positionH>
            <wp:positionV relativeFrom="paragraph">
              <wp:posOffset>681154</wp:posOffset>
            </wp:positionV>
            <wp:extent cx="3448811" cy="566928"/>
            <wp:effectExtent l="0" t="0" r="0" b="0"/>
            <wp:wrapTight wrapText="bothSides">
              <wp:wrapPolygon edited="0">
                <wp:start x="0" y="0"/>
                <wp:lineTo x="0" y="21067"/>
                <wp:lineTo x="21477" y="21067"/>
                <wp:lineTo x="21477" y="0"/>
                <wp:lineTo x="0" y="0"/>
              </wp:wrapPolygon>
            </wp:wrapTight>
            <wp:docPr id="4" name="image3.jpeg" descr="U.S. Census Burea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448811" cy="566928"/>
                    </a:xfrm>
                    <a:prstGeom prst="rect">
                      <a:avLst/>
                    </a:prstGeom>
                  </pic:spPr>
                </pic:pic>
              </a:graphicData>
            </a:graphic>
          </wp:anchor>
        </w:drawing>
      </w:r>
      <w:r w:rsidRPr="00A210B6" w:rsidR="002F6985">
        <w:rPr>
          <w:color w:val="231F20"/>
          <w:spacing w:val="-13"/>
          <w:w w:val="115"/>
          <w:sz w:val="20"/>
          <w:szCs w:val="20"/>
        </w:rPr>
        <w:br w:type="column"/>
      </w:r>
      <w:r w:rsidRPr="004402B4" w:rsidR="00F87DB6">
        <w:rPr>
          <w:rFonts w:ascii="Tahoma" w:hAnsi="Tahoma" w:eastAsia="Tahoma" w:cs="Tahoma"/>
          <w:b/>
          <w:bCs/>
          <w:color w:val="205392"/>
          <w:sz w:val="20"/>
          <w:szCs w:val="20"/>
        </w:rPr>
        <w:lastRenderedPageBreak/>
        <w:t>How will PCGQR corrections be provided and used?</w:t>
      </w:r>
    </w:p>
    <w:p w:rsidRPr="008D1CE1" w:rsidR="008D1CE1" w:rsidP="008D1CE1" w:rsidRDefault="2BF70D51" w14:paraId="36EBFB50" w14:textId="77777777">
      <w:pPr>
        <w:pStyle w:val="BodyText"/>
        <w:numPr>
          <w:ilvl w:val="0"/>
          <w:numId w:val="1"/>
        </w:numPr>
        <w:tabs>
          <w:tab w:val="left" w:pos="484"/>
          <w:tab w:val="left" w:pos="485"/>
        </w:tabs>
        <w:spacing w:before="102" w:after="240" w:line="235" w:lineRule="auto"/>
        <w:ind w:right="229"/>
        <w:contextualSpacing/>
        <w:jc w:val="both"/>
        <w:rPr>
          <w:color w:val="231F20"/>
          <w:spacing w:val="-4"/>
          <w:sz w:val="20"/>
          <w:szCs w:val="20"/>
        </w:rPr>
      </w:pPr>
      <w:bookmarkStart w:name="_Hlk95299515" w:id="3"/>
      <w:r w:rsidRPr="008D1CE1">
        <w:rPr>
          <w:color w:val="231F20"/>
          <w:w w:val="105"/>
          <w:sz w:val="20"/>
          <w:szCs w:val="20"/>
        </w:rPr>
        <w:t>If</w:t>
      </w:r>
      <w:r w:rsidRPr="008D1CE1" w:rsidR="132779AF">
        <w:rPr>
          <w:color w:val="231F20"/>
          <w:w w:val="105"/>
          <w:sz w:val="20"/>
          <w:szCs w:val="20"/>
        </w:rPr>
        <w:t xml:space="preserve"> the Census Bureau makes corrections, </w:t>
      </w:r>
      <w:r w:rsidRPr="008D1CE1" w:rsidR="008D1CE1">
        <w:rPr>
          <w:color w:val="231F20"/>
          <w:w w:val="105"/>
          <w:sz w:val="20"/>
          <w:szCs w:val="20"/>
        </w:rPr>
        <w:t xml:space="preserve">the revised </w:t>
      </w:r>
      <w:bookmarkStart w:name="_Hlk97812714" w:id="4"/>
      <w:r w:rsidRPr="008D1CE1" w:rsidR="008D1CE1">
        <w:rPr>
          <w:color w:val="231F20"/>
          <w:w w:val="105"/>
          <w:sz w:val="20"/>
          <w:szCs w:val="20"/>
        </w:rPr>
        <w:t>counts will be provided to the Population Estimates Program for incorporation into the base population for upcoming vintages of estimates and will be included in the next possible population base as the production schedule allows.</w:t>
      </w:r>
      <w:r w:rsidRPr="00332BF3" w:rsidR="008D1CE1">
        <w:rPr>
          <w:color w:val="231F20"/>
          <w:w w:val="105"/>
        </w:rPr>
        <w:t xml:space="preserve"> </w:t>
      </w:r>
      <w:bookmarkEnd w:id="4"/>
      <w:bookmarkEnd w:id="3"/>
    </w:p>
    <w:p w:rsidRPr="008D1CE1" w:rsidR="001B5D20" w:rsidP="00F440E7" w:rsidRDefault="001B5D20" w14:paraId="282896C8" w14:textId="08080672">
      <w:pPr>
        <w:pStyle w:val="BodyText"/>
        <w:numPr>
          <w:ilvl w:val="0"/>
          <w:numId w:val="1"/>
        </w:numPr>
        <w:tabs>
          <w:tab w:val="left" w:pos="484"/>
          <w:tab w:val="left" w:pos="485"/>
        </w:tabs>
        <w:spacing w:before="102" w:line="235" w:lineRule="auto"/>
        <w:ind w:right="229"/>
        <w:contextualSpacing/>
        <w:jc w:val="both"/>
        <w:rPr>
          <w:color w:val="231F20"/>
          <w:spacing w:val="-4"/>
          <w:sz w:val="20"/>
          <w:szCs w:val="20"/>
        </w:rPr>
      </w:pPr>
      <w:r w:rsidRPr="008D1CE1">
        <w:rPr>
          <w:color w:val="231F20"/>
          <w:w w:val="105"/>
          <w:sz w:val="20"/>
          <w:szCs w:val="20"/>
        </w:rPr>
        <w:t>The estimates developed from the updated population base will also be used by the American Community Survey and the Puerto Rico Community Survey, which provide communities with current information on social, economic, housing, and demographic topics</w:t>
      </w:r>
      <w:r w:rsidRPr="008D1CE1" w:rsidR="00FF4315">
        <w:rPr>
          <w:color w:val="231F20"/>
          <w:w w:val="105"/>
          <w:sz w:val="20"/>
          <w:szCs w:val="20"/>
        </w:rPr>
        <w:t>.</w:t>
      </w:r>
    </w:p>
    <w:p w:rsidRPr="000F7116" w:rsidR="0005335E" w:rsidP="00D30F42" w:rsidRDefault="001B5D20" w14:paraId="49290305" w14:textId="54AE4089">
      <w:pPr>
        <w:pStyle w:val="ListParagraph"/>
        <w:numPr>
          <w:ilvl w:val="0"/>
          <w:numId w:val="1"/>
        </w:numPr>
        <w:tabs>
          <w:tab w:val="left" w:pos="484"/>
          <w:tab w:val="left" w:pos="485"/>
        </w:tabs>
        <w:spacing w:before="102" w:line="235" w:lineRule="auto"/>
        <w:ind w:right="229"/>
        <w:rPr>
          <w:color w:val="231F20"/>
          <w:spacing w:val="-4"/>
          <w:sz w:val="20"/>
          <w:szCs w:val="20"/>
        </w:rPr>
      </w:pPr>
      <w:r w:rsidRPr="001B5D20">
        <w:rPr>
          <w:color w:val="231F20"/>
          <w:w w:val="105"/>
          <w:sz w:val="20"/>
          <w:szCs w:val="20"/>
        </w:rPr>
        <w:t xml:space="preserve">Similarly, updates to total group quarters population counts will be incorporated into the next round of population estimates.  </w:t>
      </w:r>
    </w:p>
    <w:p w:rsidRPr="00445D0F" w:rsidR="00CB62CC" w:rsidP="00445D0F" w:rsidRDefault="002F6985" w14:paraId="6566F759" w14:textId="6643EDB3">
      <w:pPr>
        <w:tabs>
          <w:tab w:val="left" w:pos="484"/>
          <w:tab w:val="left" w:pos="485"/>
        </w:tabs>
        <w:spacing w:before="102" w:line="235" w:lineRule="auto"/>
        <w:ind w:left="164" w:right="229"/>
        <w:rPr>
          <w:rFonts w:ascii="Tahoma" w:hAnsi="Tahoma" w:eastAsia="Tahoma" w:cs="Tahoma"/>
          <w:b/>
          <w:bCs/>
          <w:color w:val="205392"/>
          <w:sz w:val="20"/>
          <w:szCs w:val="20"/>
        </w:rPr>
      </w:pPr>
      <w:r w:rsidRPr="48427BAA">
        <w:rPr>
          <w:rFonts w:ascii="Tahoma" w:hAnsi="Tahoma" w:eastAsia="Tahoma" w:cs="Tahoma"/>
          <w:b/>
          <w:bCs/>
          <w:color w:val="205392"/>
          <w:sz w:val="20"/>
          <w:szCs w:val="20"/>
        </w:rPr>
        <w:t>Who can submit a review request through this program?</w:t>
      </w:r>
    </w:p>
    <w:p w:rsidRPr="00D30F42" w:rsidR="00CB62CC" w:rsidRDefault="00A2012B" w14:paraId="3A2C05FF" w14:textId="6B8CB53D">
      <w:pPr>
        <w:pStyle w:val="ListParagraph"/>
        <w:numPr>
          <w:ilvl w:val="0"/>
          <w:numId w:val="1"/>
        </w:numPr>
        <w:tabs>
          <w:tab w:val="left" w:pos="484"/>
          <w:tab w:val="left" w:pos="485"/>
        </w:tabs>
        <w:spacing w:before="180" w:line="235" w:lineRule="auto"/>
        <w:ind w:right="108"/>
        <w:rPr>
          <w:color w:val="231F20"/>
          <w:w w:val="105"/>
          <w:sz w:val="20"/>
          <w:szCs w:val="20"/>
        </w:rPr>
      </w:pPr>
      <w:r w:rsidRPr="00A210B6">
        <w:rPr>
          <w:color w:val="231F20"/>
          <w:w w:val="105"/>
          <w:sz w:val="20"/>
          <w:szCs w:val="20"/>
        </w:rPr>
        <w:t>2020 PCGQR</w:t>
      </w:r>
      <w:r w:rsidRPr="00A210B6" w:rsidR="002F6985">
        <w:rPr>
          <w:color w:val="231F20"/>
          <w:w w:val="105"/>
          <w:sz w:val="20"/>
          <w:szCs w:val="20"/>
        </w:rPr>
        <w:t xml:space="preserve"> requests can only be submitted by the</w:t>
      </w:r>
      <w:r w:rsidRPr="00A210B6" w:rsidR="002F6985">
        <w:rPr>
          <w:color w:val="231F20"/>
          <w:spacing w:val="-10"/>
          <w:w w:val="105"/>
          <w:sz w:val="20"/>
          <w:szCs w:val="20"/>
        </w:rPr>
        <w:t xml:space="preserve"> </w:t>
      </w:r>
      <w:r w:rsidRPr="00A210B6" w:rsidR="002F6985">
        <w:rPr>
          <w:color w:val="231F20"/>
          <w:w w:val="105"/>
          <w:sz w:val="20"/>
          <w:szCs w:val="20"/>
        </w:rPr>
        <w:t>highest</w:t>
      </w:r>
      <w:r w:rsidRPr="00A210B6" w:rsidR="002F6985">
        <w:rPr>
          <w:color w:val="231F20"/>
          <w:spacing w:val="-10"/>
          <w:w w:val="105"/>
          <w:sz w:val="20"/>
          <w:szCs w:val="20"/>
        </w:rPr>
        <w:t xml:space="preserve"> </w:t>
      </w:r>
      <w:r w:rsidRPr="00A210B6" w:rsidR="002F6985">
        <w:rPr>
          <w:color w:val="231F20"/>
          <w:w w:val="105"/>
          <w:sz w:val="20"/>
          <w:szCs w:val="20"/>
        </w:rPr>
        <w:t>elected</w:t>
      </w:r>
      <w:r w:rsidRPr="00A210B6" w:rsidR="002F6985">
        <w:rPr>
          <w:color w:val="231F20"/>
          <w:spacing w:val="-9"/>
          <w:w w:val="105"/>
          <w:sz w:val="20"/>
          <w:szCs w:val="20"/>
        </w:rPr>
        <w:t xml:space="preserve"> </w:t>
      </w:r>
      <w:r w:rsidRPr="00A210B6" w:rsidR="002F6985">
        <w:rPr>
          <w:color w:val="231F20"/>
          <w:w w:val="105"/>
          <w:sz w:val="20"/>
          <w:szCs w:val="20"/>
        </w:rPr>
        <w:t>or</w:t>
      </w:r>
      <w:r w:rsidRPr="00A210B6" w:rsidR="002F6985">
        <w:rPr>
          <w:color w:val="231F20"/>
          <w:spacing w:val="-10"/>
          <w:w w:val="105"/>
          <w:sz w:val="20"/>
          <w:szCs w:val="20"/>
        </w:rPr>
        <w:t xml:space="preserve"> </w:t>
      </w:r>
      <w:r w:rsidRPr="00A210B6" w:rsidR="002F6985">
        <w:rPr>
          <w:color w:val="231F20"/>
          <w:w w:val="105"/>
          <w:sz w:val="20"/>
          <w:szCs w:val="20"/>
        </w:rPr>
        <w:t>appointed</w:t>
      </w:r>
      <w:r w:rsidRPr="00A210B6" w:rsidR="002F6985">
        <w:rPr>
          <w:color w:val="231F20"/>
          <w:spacing w:val="-9"/>
          <w:w w:val="105"/>
          <w:sz w:val="20"/>
          <w:szCs w:val="20"/>
        </w:rPr>
        <w:t xml:space="preserve"> </w:t>
      </w:r>
      <w:r w:rsidRPr="00A210B6" w:rsidR="002F6985">
        <w:rPr>
          <w:color w:val="231F20"/>
          <w:w w:val="105"/>
          <w:sz w:val="20"/>
          <w:szCs w:val="20"/>
        </w:rPr>
        <w:t xml:space="preserve">officials (or their representative) of federally recognized American Indian tribes, states, counties, incorporated places, actively functioning minor civil divisions, </w:t>
      </w:r>
      <w:proofErr w:type="spellStart"/>
      <w:r w:rsidRPr="00A210B6" w:rsidR="002F6985">
        <w:rPr>
          <w:color w:val="231F20"/>
          <w:w w:val="105"/>
          <w:sz w:val="20"/>
          <w:szCs w:val="20"/>
        </w:rPr>
        <w:t>municipios</w:t>
      </w:r>
      <w:proofErr w:type="spellEnd"/>
      <w:r w:rsidRPr="00A210B6" w:rsidR="002F6985">
        <w:rPr>
          <w:color w:val="231F20"/>
          <w:w w:val="105"/>
          <w:sz w:val="20"/>
          <w:szCs w:val="20"/>
        </w:rPr>
        <w:t xml:space="preserve"> in Puerto Rico, Alaska Native Regional</w:t>
      </w:r>
      <w:r w:rsidRPr="00D30F42" w:rsidR="002F6985">
        <w:rPr>
          <w:color w:val="231F20"/>
          <w:w w:val="105"/>
          <w:sz w:val="20"/>
          <w:szCs w:val="20"/>
        </w:rPr>
        <w:t xml:space="preserve"> </w:t>
      </w:r>
      <w:r w:rsidRPr="00A210B6" w:rsidR="002F6985">
        <w:rPr>
          <w:color w:val="231F20"/>
          <w:w w:val="105"/>
          <w:sz w:val="20"/>
          <w:szCs w:val="20"/>
        </w:rPr>
        <w:t>Corporations,</w:t>
      </w:r>
      <w:r w:rsidRPr="00D30F42" w:rsidR="002F6985">
        <w:rPr>
          <w:color w:val="231F20"/>
          <w:w w:val="105"/>
          <w:sz w:val="20"/>
          <w:szCs w:val="20"/>
        </w:rPr>
        <w:t xml:space="preserve"> </w:t>
      </w:r>
      <w:r w:rsidRPr="00A210B6" w:rsidR="002F6985">
        <w:rPr>
          <w:color w:val="231F20"/>
          <w:w w:val="105"/>
          <w:sz w:val="20"/>
          <w:szCs w:val="20"/>
        </w:rPr>
        <w:t>and</w:t>
      </w:r>
      <w:r w:rsidRPr="00D30F42" w:rsidR="002F6985">
        <w:rPr>
          <w:color w:val="231F20"/>
          <w:w w:val="105"/>
          <w:sz w:val="20"/>
          <w:szCs w:val="20"/>
        </w:rPr>
        <w:t xml:space="preserve"> </w:t>
      </w:r>
      <w:r w:rsidRPr="00A210B6" w:rsidR="002F6985">
        <w:rPr>
          <w:color w:val="231F20"/>
          <w:w w:val="105"/>
          <w:sz w:val="20"/>
          <w:szCs w:val="20"/>
        </w:rPr>
        <w:t>Alaska</w:t>
      </w:r>
      <w:r w:rsidRPr="00D30F42" w:rsidR="002F6985">
        <w:rPr>
          <w:color w:val="231F20"/>
          <w:w w:val="105"/>
          <w:sz w:val="20"/>
          <w:szCs w:val="20"/>
        </w:rPr>
        <w:t xml:space="preserve"> </w:t>
      </w:r>
      <w:r w:rsidRPr="00A210B6" w:rsidR="002F6985">
        <w:rPr>
          <w:color w:val="231F20"/>
          <w:w w:val="105"/>
          <w:sz w:val="20"/>
          <w:szCs w:val="20"/>
        </w:rPr>
        <w:t xml:space="preserve">Native </w:t>
      </w:r>
      <w:r w:rsidRPr="00D30F42" w:rsidR="002F6985">
        <w:rPr>
          <w:color w:val="231F20"/>
          <w:w w:val="105"/>
          <w:sz w:val="20"/>
          <w:szCs w:val="20"/>
        </w:rPr>
        <w:t>Village statistical areas.</w:t>
      </w:r>
    </w:p>
    <w:p w:rsidR="00CB62CC" w:rsidP="00D30F42" w:rsidRDefault="00CB62CC" w14:paraId="2A3B2FDF" w14:textId="3133CA42">
      <w:pPr>
        <w:pStyle w:val="BodyText"/>
        <w:rPr>
          <w:sz w:val="14"/>
        </w:rPr>
      </w:pPr>
    </w:p>
    <w:p w:rsidR="00CB62CC" w:rsidRDefault="00CB62CC" w14:paraId="429E4A9F" w14:textId="77777777">
      <w:pPr>
        <w:rPr>
          <w:sz w:val="20"/>
        </w:rPr>
        <w:sectPr w:rsidR="00CB62CC">
          <w:type w:val="continuous"/>
          <w:pgSz w:w="12240" w:h="15840"/>
          <w:pgMar w:top="780" w:right="960" w:bottom="280" w:left="880" w:header="720" w:footer="720" w:gutter="0"/>
          <w:cols w:space="720"/>
        </w:sectPr>
      </w:pPr>
    </w:p>
    <w:p w:rsidR="00CB62CC" w:rsidRDefault="00075A33" w14:paraId="4DA17EE4" w14:textId="1BDADE84">
      <w:pPr>
        <w:pStyle w:val="Heading1"/>
        <w:spacing w:before="80"/>
        <w:ind w:left="120" w:right="187"/>
      </w:pPr>
      <w:r>
        <w:rPr>
          <w:noProof/>
          <w:color w:val="2B579A"/>
          <w:shd w:val="clear" w:color="auto" w:fill="E6E6E6"/>
        </w:rPr>
        <w:lastRenderedPageBreak/>
        <mc:AlternateContent>
          <mc:Choice Requires="wps">
            <w:drawing>
              <wp:anchor distT="0" distB="0" distL="114300" distR="114300" simplePos="0" relativeHeight="251658240" behindDoc="1" locked="0" layoutInCell="1" allowOverlap="1" wp14:editId="0ED1A606" wp14:anchorId="3C1D2201">
                <wp:simplePos x="0" y="0"/>
                <wp:positionH relativeFrom="page">
                  <wp:posOffset>2540</wp:posOffset>
                </wp:positionH>
                <wp:positionV relativeFrom="page">
                  <wp:posOffset>2540</wp:posOffset>
                </wp:positionV>
                <wp:extent cx="7767955" cy="1005395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767955" cy="10053955"/>
                        </a:xfrm>
                        <a:prstGeom prst="rect">
                          <a:avLst/>
                        </a:prstGeom>
                        <a:noFill/>
                        <a:ln w="4445">
                          <a:solidFill>
                            <a:srgbClr val="231F2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14="http://schemas.microsoft.com/office/drawing/2010/main" xmlns:pic="http://schemas.openxmlformats.org/drawingml/2006/picture" xmlns:a="http://schemas.openxmlformats.org/drawingml/2006/main">
            <w:pict>
              <v:rect id="Rectangle 2" style="position:absolute;margin-left:.2pt;margin-top:.2pt;width:611.65pt;height:791.6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ed="f" strokecolor="#231f20" strokeweight=".35pt" w14:anchorId="746857E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s689IQIAABUEAAAOAAAAZHJzL2Uyb0RvYy54bWysU8Fu2zAMvQ/YPwi6L7bTpGmNOEWRLsOA&#10;bivW7QMUWbaFyaJGKXG6ry8lp1m63Yb5YIgi+Ug+Pi1vDr1he4Veg614Mck5U1ZCrW1b8e/fNu+u&#10;OPNB2FoYsKriT8rzm9XbN8vBlWoKHZhaISMQ68vBVbwLwZVZ5mWneuEn4JQlZwPYi0AmtlmNYiD0&#10;3mTTPL/MBsDaIUjlPd3ejU6+SvhNo2T40jReBWYqTr2F9Mf038Z/tlqKskXhOi2PbYh/6KIX2lLR&#10;E9SdCILtUP8F1WuJ4KEJEwl9Bk2jpUoz0DRF/sc0j51wKs1C5Hh3osn/P1j5ef+ATNe0O86s6GlF&#10;X4k0YVuj2DTSMzhfUtSje8A4oHf3IH94ZmHdUZS6RYShU6KmpooYn71KiIanVLYdPkFN6GIXIDF1&#10;aLCPgMQBO6SFPJ0Wog6BSbpcLC4X1/M5Z5J8RZ7PL6IVi4jyJd+hDx8U9CweKo7UfcIX+3sfxtCX&#10;kFjOwkYbQ/eiNJYNFZ/NZvOU4MHoOjrTmNhu1wbZXpBwphfFZpq0QnVfhfU6kHyN7it+lcdvFFTk&#10;472tU5UgtBnPlGzskaDIycjtFuon4gdh1Ca9JTp0gL84G0iXFfc/dwIVZ+ajJY6vi9ksCjkZs/mC&#10;+mJ47tmee4SVBFXxwNl4XIdR/DuHuu2oUpFmt3BLe2l0IizubOzq2CxpL1F+fCdR3Od2ivr9mlfP&#10;AAAA//8DAFBLAwQUAAYACAAAACEADklK89wAAAAHAQAADwAAAGRycy9kb3ducmV2LnhtbEyOQUvD&#10;QBCF74L/YRnBm90Yq60xmyKCUA+FNha8brJjEtydjdltE/31Tr3oZXjDe7z35avJWXHEIXSeFFzP&#10;EhBItTcdNQr2r89XSxAhajLaekIFXxhgVZyf5TozfqQdHsvYCC6hkGkFbYx9JmWoW3Q6zHyPxN67&#10;H5yO/A6NNIMeudxZmSbJnXS6I15odY9PLdYf5cEpCMn88/6l3O42a/tWrTffTdBjo9TlxfT4ACLi&#10;FP/CcMJndCiYqfIHMkFYBXPO/d6Tl6Y3CxAVq9slK1nk8j9/8QMAAP//AwBQSwECLQAUAAYACAAA&#10;ACEAtoM4kv4AAADhAQAAEwAAAAAAAAAAAAAAAAAAAAAAW0NvbnRlbnRfVHlwZXNdLnhtbFBLAQIt&#10;ABQABgAIAAAAIQA4/SH/1gAAAJQBAAALAAAAAAAAAAAAAAAAAC8BAABfcmVscy8ucmVsc1BLAQIt&#10;ABQABgAIAAAAIQCks689IQIAABUEAAAOAAAAAAAAAAAAAAAAAC4CAABkcnMvZTJvRG9jLnhtbFBL&#10;AQItABQABgAIAAAAIQAOSUrz3AAAAAcBAAAPAAAAAAAAAAAAAAAAAHsEAABkcnMvZG93bnJldi54&#10;bWxQSwUGAAAAAAQABADzAAAAhAUAAAAA&#10;">
                <w10:wrap anchorx="page" anchory="page"/>
              </v:rect>
            </w:pict>
          </mc:Fallback>
        </mc:AlternateContent>
      </w:r>
      <w:r w:rsidR="461A5824">
        <w:rPr>
          <w:color w:val="205392"/>
        </w:rPr>
        <w:t xml:space="preserve">Will the Census Bureau publish a list of filed </w:t>
      </w:r>
      <w:r w:rsidR="6CD061F8">
        <w:rPr>
          <w:color w:val="205392"/>
        </w:rPr>
        <w:t>2020 PCGQR</w:t>
      </w:r>
      <w:r w:rsidR="461A5824">
        <w:rPr>
          <w:color w:val="205392"/>
        </w:rPr>
        <w:t xml:space="preserve"> requests on the 2020 Census</w:t>
      </w:r>
      <w:r w:rsidR="21BAAE5B">
        <w:rPr>
          <w:color w:val="205392"/>
        </w:rPr>
        <w:t xml:space="preserve"> website</w:t>
      </w:r>
      <w:r w:rsidR="461A5824">
        <w:rPr>
          <w:color w:val="205392"/>
        </w:rPr>
        <w:t>?</w:t>
      </w:r>
    </w:p>
    <w:p w:rsidR="00CB62CC" w:rsidRDefault="00956C4A" w14:paraId="478DD575" w14:textId="2196AE96">
      <w:pPr>
        <w:pStyle w:val="ListParagraph"/>
        <w:numPr>
          <w:ilvl w:val="0"/>
          <w:numId w:val="1"/>
        </w:numPr>
        <w:tabs>
          <w:tab w:val="left" w:pos="439"/>
          <w:tab w:val="left" w:pos="440"/>
        </w:tabs>
        <w:spacing w:before="175" w:line="267" w:lineRule="exact"/>
        <w:ind w:left="440"/>
      </w:pPr>
      <w:r>
        <w:rPr>
          <w:color w:val="231F20"/>
          <w:spacing w:val="-7"/>
          <w:w w:val="110"/>
        </w:rPr>
        <w:t>The Census Bureau</w:t>
      </w:r>
      <w:r w:rsidR="002F6985">
        <w:rPr>
          <w:color w:val="231F20"/>
          <w:spacing w:val="-7"/>
          <w:w w:val="110"/>
        </w:rPr>
        <w:t xml:space="preserve"> </w:t>
      </w:r>
      <w:r w:rsidR="002F6985">
        <w:rPr>
          <w:color w:val="231F20"/>
          <w:w w:val="110"/>
        </w:rPr>
        <w:t>will publish updated lists on</w:t>
      </w:r>
    </w:p>
    <w:p w:rsidR="00CB62CC" w:rsidRDefault="005C17D0" w14:paraId="2742C12C" w14:textId="77777777">
      <w:pPr>
        <w:pStyle w:val="BodyText"/>
        <w:spacing w:before="2" w:line="235" w:lineRule="auto"/>
        <w:ind w:left="440" w:right="-20"/>
      </w:pPr>
      <w:hyperlink r:id="rId9">
        <w:r w:rsidR="002F6985">
          <w:rPr>
            <w:color w:val="231F20"/>
            <w:w w:val="105"/>
          </w:rPr>
          <w:t>&lt;w</w:t>
        </w:r>
      </w:hyperlink>
      <w:r w:rsidR="002F6985">
        <w:rPr>
          <w:color w:val="231F20"/>
          <w:w w:val="105"/>
        </w:rPr>
        <w:t>w</w:t>
      </w:r>
      <w:hyperlink r:id="rId10">
        <w:r w:rsidR="002F6985">
          <w:rPr>
            <w:color w:val="231F20"/>
            <w:w w:val="105"/>
          </w:rPr>
          <w:t xml:space="preserve">w.census.gov&gt; </w:t>
        </w:r>
      </w:hyperlink>
      <w:r w:rsidR="002F6985">
        <w:rPr>
          <w:color w:val="231F20"/>
          <w:w w:val="105"/>
        </w:rPr>
        <w:t xml:space="preserve">of in-scope requests as we conclude work on cases, typically within 90 days of receiving inquiries. In compliance with Title 13, we will not be able to disclose specific details about </w:t>
      </w:r>
      <w:r w:rsidR="002F6985">
        <w:rPr>
          <w:color w:val="231F20"/>
          <w:spacing w:val="-2"/>
          <w:w w:val="105"/>
        </w:rPr>
        <w:t xml:space="preserve">the </w:t>
      </w:r>
      <w:r w:rsidR="002F6985">
        <w:rPr>
          <w:color w:val="231F20"/>
          <w:w w:val="105"/>
        </w:rPr>
        <w:t>requests.</w:t>
      </w:r>
    </w:p>
    <w:p w:rsidR="00CB62CC" w:rsidRDefault="002F6985" w14:paraId="46F97C64" w14:textId="53C689E9">
      <w:pPr>
        <w:pStyle w:val="ListParagraph"/>
        <w:numPr>
          <w:ilvl w:val="0"/>
          <w:numId w:val="1"/>
        </w:numPr>
        <w:tabs>
          <w:tab w:val="left" w:pos="440"/>
          <w:tab w:val="left" w:pos="441"/>
        </w:tabs>
        <w:spacing w:line="235" w:lineRule="auto"/>
        <w:ind w:left="440" w:right="517" w:hanging="321"/>
      </w:pPr>
      <w:r>
        <w:rPr>
          <w:color w:val="231F20"/>
          <w:spacing w:val="-7"/>
          <w:w w:val="105"/>
        </w:rPr>
        <w:t xml:space="preserve">We </w:t>
      </w:r>
      <w:r>
        <w:rPr>
          <w:color w:val="231F20"/>
          <w:w w:val="105"/>
        </w:rPr>
        <w:t xml:space="preserve">will respond to all </w:t>
      </w:r>
      <w:r w:rsidR="00A2012B">
        <w:rPr>
          <w:color w:val="231F20"/>
          <w:w w:val="105"/>
        </w:rPr>
        <w:t>2020 PCGQR</w:t>
      </w:r>
      <w:r>
        <w:rPr>
          <w:color w:val="231F20"/>
          <w:w w:val="105"/>
        </w:rPr>
        <w:t xml:space="preserve"> </w:t>
      </w:r>
      <w:r w:rsidR="008025B4">
        <w:rPr>
          <w:color w:val="231F20"/>
          <w:w w:val="105"/>
        </w:rPr>
        <w:t xml:space="preserve">case </w:t>
      </w:r>
      <w:r>
        <w:rPr>
          <w:color w:val="231F20"/>
          <w:w w:val="105"/>
        </w:rPr>
        <w:t>requests received, even if the request is out</w:t>
      </w:r>
      <w:r>
        <w:rPr>
          <w:color w:val="231F20"/>
          <w:spacing w:val="-22"/>
          <w:w w:val="105"/>
        </w:rPr>
        <w:t xml:space="preserve"> </w:t>
      </w:r>
      <w:r>
        <w:rPr>
          <w:color w:val="231F20"/>
          <w:w w:val="105"/>
        </w:rPr>
        <w:t>of scope.</w:t>
      </w:r>
    </w:p>
    <w:p w:rsidR="00CB62CC" w:rsidRDefault="002F6985" w14:paraId="6C25E623" w14:textId="41137948">
      <w:pPr>
        <w:pStyle w:val="Heading1"/>
        <w:ind w:left="119" w:right="187"/>
      </w:pPr>
      <w:r>
        <w:rPr>
          <w:color w:val="205392"/>
        </w:rPr>
        <w:t xml:space="preserve">What is the schedule for the </w:t>
      </w:r>
      <w:r w:rsidR="00A2012B">
        <w:rPr>
          <w:color w:val="205392"/>
        </w:rPr>
        <w:t>2020 PCGQR</w:t>
      </w:r>
      <w:r>
        <w:rPr>
          <w:color w:val="205392"/>
        </w:rPr>
        <w:t xml:space="preserve"> operation?</w:t>
      </w:r>
    </w:p>
    <w:p w:rsidR="00CB62CC" w:rsidRDefault="002F6985" w14:paraId="04FAB671" w14:textId="08BA223B">
      <w:pPr>
        <w:pStyle w:val="ListParagraph"/>
        <w:numPr>
          <w:ilvl w:val="0"/>
          <w:numId w:val="1"/>
        </w:numPr>
        <w:tabs>
          <w:tab w:val="left" w:pos="440"/>
          <w:tab w:val="left" w:pos="441"/>
        </w:tabs>
        <w:spacing w:before="180" w:line="235" w:lineRule="auto"/>
        <w:ind w:left="440" w:right="403" w:hanging="321"/>
      </w:pPr>
      <w:r w:rsidRPr="005C17D0">
        <w:rPr>
          <w:color w:val="231F20"/>
          <w:w w:val="105"/>
        </w:rPr>
        <w:t xml:space="preserve">In </w:t>
      </w:r>
      <w:r w:rsidRPr="005C17D0" w:rsidR="003803A4">
        <w:rPr>
          <w:color w:val="231F20"/>
          <w:w w:val="105"/>
        </w:rPr>
        <w:t>May 2022</w:t>
      </w:r>
      <w:r w:rsidRPr="005C17D0">
        <w:rPr>
          <w:color w:val="231F20"/>
          <w:w w:val="105"/>
        </w:rPr>
        <w:t>,</w:t>
      </w:r>
      <w:r>
        <w:rPr>
          <w:color w:val="231F20"/>
          <w:w w:val="105"/>
        </w:rPr>
        <w:t xml:space="preserve"> the Census</w:t>
      </w:r>
      <w:r>
        <w:rPr>
          <w:color w:val="231F20"/>
          <w:spacing w:val="-33"/>
          <w:w w:val="105"/>
        </w:rPr>
        <w:t xml:space="preserve"> </w:t>
      </w:r>
      <w:r>
        <w:rPr>
          <w:color w:val="231F20"/>
          <w:w w:val="105"/>
        </w:rPr>
        <w:t>Bureau will notify the 40,000 tribal,</w:t>
      </w:r>
      <w:r>
        <w:rPr>
          <w:color w:val="231F20"/>
          <w:spacing w:val="10"/>
          <w:w w:val="105"/>
        </w:rPr>
        <w:t xml:space="preserve"> </w:t>
      </w:r>
      <w:r>
        <w:rPr>
          <w:color w:val="231F20"/>
          <w:w w:val="105"/>
        </w:rPr>
        <w:t>state,</w:t>
      </w:r>
    </w:p>
    <w:p w:rsidR="00CB62CC" w:rsidRDefault="002F6985" w14:paraId="2135CBEB" w14:textId="2320A822">
      <w:pPr>
        <w:pStyle w:val="BodyText"/>
        <w:spacing w:line="235" w:lineRule="auto"/>
        <w:ind w:left="440" w:right="187"/>
      </w:pPr>
      <w:r>
        <w:rPr>
          <w:color w:val="231F20"/>
        </w:rPr>
        <w:t xml:space="preserve">and local governments in the United States about the </w:t>
      </w:r>
      <w:r w:rsidR="00A2012B">
        <w:rPr>
          <w:color w:val="231F20"/>
        </w:rPr>
        <w:t>2020 PCGQR</w:t>
      </w:r>
      <w:r>
        <w:rPr>
          <w:color w:val="231F20"/>
        </w:rPr>
        <w:t xml:space="preserve"> operation and provide more information about how to participate.</w:t>
      </w:r>
    </w:p>
    <w:p w:rsidR="00CB62CC" w:rsidRDefault="002F6985" w14:paraId="27DCB90F" w14:textId="7CC2AD2D">
      <w:pPr>
        <w:pStyle w:val="ListParagraph"/>
        <w:numPr>
          <w:ilvl w:val="0"/>
          <w:numId w:val="1"/>
        </w:numPr>
        <w:tabs>
          <w:tab w:val="left" w:pos="440"/>
          <w:tab w:val="left" w:pos="441"/>
        </w:tabs>
        <w:spacing w:before="83" w:line="235" w:lineRule="auto"/>
        <w:ind w:left="440" w:right="817"/>
      </w:pPr>
      <w:r>
        <w:rPr>
          <w:color w:val="231F20"/>
          <w:spacing w:val="-13"/>
          <w:w w:val="115"/>
        </w:rPr>
        <w:br w:type="column"/>
      </w:r>
      <w:r>
        <w:rPr>
          <w:color w:val="231F20"/>
          <w:spacing w:val="-7"/>
          <w:w w:val="105"/>
        </w:rPr>
        <w:t>We</w:t>
      </w:r>
      <w:r>
        <w:rPr>
          <w:color w:val="231F20"/>
          <w:spacing w:val="-19"/>
          <w:w w:val="105"/>
        </w:rPr>
        <w:t xml:space="preserve"> </w:t>
      </w:r>
      <w:r>
        <w:rPr>
          <w:color w:val="231F20"/>
          <w:w w:val="105"/>
        </w:rPr>
        <w:t>will</w:t>
      </w:r>
      <w:r>
        <w:rPr>
          <w:color w:val="231F20"/>
          <w:spacing w:val="-18"/>
          <w:w w:val="105"/>
        </w:rPr>
        <w:t xml:space="preserve"> </w:t>
      </w:r>
      <w:r>
        <w:rPr>
          <w:color w:val="231F20"/>
          <w:w w:val="105"/>
        </w:rPr>
        <w:t>begin</w:t>
      </w:r>
      <w:r>
        <w:rPr>
          <w:color w:val="231F20"/>
          <w:spacing w:val="-18"/>
          <w:w w:val="105"/>
        </w:rPr>
        <w:t xml:space="preserve"> </w:t>
      </w:r>
      <w:r>
        <w:rPr>
          <w:color w:val="231F20"/>
          <w:w w:val="105"/>
        </w:rPr>
        <w:t>accepting</w:t>
      </w:r>
      <w:r>
        <w:rPr>
          <w:color w:val="231F20"/>
          <w:spacing w:val="-18"/>
          <w:w w:val="105"/>
        </w:rPr>
        <w:t xml:space="preserve"> </w:t>
      </w:r>
      <w:r w:rsidR="00A2012B">
        <w:rPr>
          <w:color w:val="231F20"/>
          <w:w w:val="105"/>
        </w:rPr>
        <w:t>2020 PCGQR</w:t>
      </w:r>
      <w:r>
        <w:rPr>
          <w:color w:val="231F20"/>
          <w:spacing w:val="-18"/>
          <w:w w:val="105"/>
        </w:rPr>
        <w:t xml:space="preserve"> </w:t>
      </w:r>
      <w:r>
        <w:rPr>
          <w:color w:val="231F20"/>
          <w:w w:val="105"/>
        </w:rPr>
        <w:t xml:space="preserve">cases </w:t>
      </w:r>
      <w:r w:rsidRPr="003803A4" w:rsidR="003803A4">
        <w:rPr>
          <w:color w:val="231F20"/>
          <w:w w:val="105"/>
          <w:highlight w:val="yellow"/>
        </w:rPr>
        <w:t>June X,</w:t>
      </w:r>
      <w:r w:rsidRPr="003803A4">
        <w:rPr>
          <w:color w:val="231F20"/>
          <w:w w:val="105"/>
          <w:highlight w:val="yellow"/>
        </w:rPr>
        <w:t xml:space="preserve"> 2022.</w:t>
      </w:r>
      <w:r>
        <w:rPr>
          <w:color w:val="231F20"/>
          <w:w w:val="105"/>
        </w:rPr>
        <w:t xml:space="preserve"> The deadline for submitting a case is June 30,</w:t>
      </w:r>
      <w:r>
        <w:rPr>
          <w:color w:val="231F20"/>
          <w:spacing w:val="58"/>
          <w:w w:val="105"/>
        </w:rPr>
        <w:t xml:space="preserve"> </w:t>
      </w:r>
      <w:r>
        <w:rPr>
          <w:color w:val="231F20"/>
          <w:w w:val="105"/>
        </w:rPr>
        <w:t>2023.</w:t>
      </w:r>
    </w:p>
    <w:p w:rsidR="00CB62CC" w:rsidRDefault="60735EF4" w14:paraId="59B44140" w14:textId="77777777">
      <w:pPr>
        <w:pStyle w:val="ListParagraph"/>
        <w:numPr>
          <w:ilvl w:val="0"/>
          <w:numId w:val="1"/>
        </w:numPr>
        <w:tabs>
          <w:tab w:val="left" w:pos="440"/>
          <w:tab w:val="left" w:pos="441"/>
        </w:tabs>
        <w:spacing w:before="179" w:line="235" w:lineRule="auto"/>
        <w:ind w:left="440" w:right="283" w:hanging="321"/>
      </w:pPr>
      <w:r>
        <w:rPr>
          <w:color w:val="231F20"/>
          <w:spacing w:val="-7"/>
          <w:w w:val="105"/>
        </w:rPr>
        <w:t xml:space="preserve">We </w:t>
      </w:r>
      <w:r>
        <w:rPr>
          <w:color w:val="231F20"/>
          <w:w w:val="105"/>
        </w:rPr>
        <w:t>will provide results on a rolling basis through September 30, 2023.  Results will be provided to the highest elected or appointed official of all affected governments and will also be posted as errata on</w:t>
      </w:r>
      <w:r>
        <w:rPr>
          <w:color w:val="231F20"/>
          <w:spacing w:val="6"/>
          <w:w w:val="105"/>
        </w:rPr>
        <w:t xml:space="preserve"> </w:t>
      </w:r>
      <w:r>
        <w:rPr>
          <w:color w:val="231F20"/>
          <w:w w:val="105"/>
        </w:rPr>
        <w:t>census.gov.</w:t>
      </w:r>
    </w:p>
    <w:p w:rsidR="00CB62CC" w:rsidRDefault="00A2012B" w14:paraId="7338150E" w14:textId="20317E01">
      <w:pPr>
        <w:pStyle w:val="Heading1"/>
        <w:spacing w:before="174"/>
        <w:ind w:left="119"/>
      </w:pPr>
      <w:r>
        <w:rPr>
          <w:color w:val="205392"/>
        </w:rPr>
        <w:t>2020 PCGQR</w:t>
      </w:r>
      <w:r w:rsidR="002F6985">
        <w:rPr>
          <w:color w:val="205392"/>
        </w:rPr>
        <w:t xml:space="preserve"> Press Kit</w:t>
      </w:r>
    </w:p>
    <w:p w:rsidR="00CB62CC" w:rsidRDefault="003803A4" w14:paraId="44F87CC7" w14:textId="16643D3D">
      <w:pPr>
        <w:pStyle w:val="BodyText"/>
        <w:spacing w:line="267" w:lineRule="exact"/>
        <w:ind w:left="119"/>
      </w:pPr>
      <w:r w:rsidRPr="003803A4">
        <w:rPr>
          <w:highlight w:val="yellow"/>
        </w:rPr>
        <w:t>&lt;website</w:t>
      </w:r>
      <w:r w:rsidRPr="003803A4" w:rsidR="002F6985">
        <w:rPr>
          <w:color w:val="231F20"/>
          <w:w w:val="110"/>
          <w:highlight w:val="yellow"/>
        </w:rPr>
        <w:t>&gt;</w:t>
      </w:r>
    </w:p>
    <w:sectPr w:rsidR="00CB62CC">
      <w:pgSz w:w="12240" w:h="15840"/>
      <w:pgMar w:top="1100" w:right="960" w:bottom="280" w:left="880" w:header="720" w:footer="720" w:gutter="0"/>
      <w:cols w:equalWidth="0" w:space="720" w:num="2">
        <w:col w:w="5083" w:space="132"/>
        <w:col w:w="5185"/>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7B33C2B"/>
    <w:multiLevelType w:val="hybridMultilevel"/>
    <w:tmpl w:val="90662FFC"/>
    <w:lvl w:ilvl="0" w:tplc="7930C326">
      <w:numFmt w:val="bullet"/>
      <w:lvlText w:val="•"/>
      <w:lvlJc w:val="left"/>
      <w:pPr>
        <w:ind w:left="484" w:hanging="320"/>
      </w:pPr>
      <w:rPr>
        <w:rFonts w:ascii="Century Gothic" w:eastAsia="Century Gothic" w:hAnsi="Century Gothic" w:cs="Century Gothic" w:hint="default"/>
        <w:color w:val="205392"/>
        <w:w w:val="78"/>
        <w:sz w:val="22"/>
        <w:szCs w:val="22"/>
        <w:lang w:val="en-US" w:eastAsia="en-US" w:bidi="en-US"/>
      </w:rPr>
    </w:lvl>
    <w:lvl w:ilvl="1" w:tplc="315CEE52">
      <w:numFmt w:val="bullet"/>
      <w:lvlText w:val="•"/>
      <w:lvlJc w:val="left"/>
      <w:pPr>
        <w:ind w:left="932" w:hanging="320"/>
      </w:pPr>
      <w:rPr>
        <w:rFonts w:hint="default"/>
        <w:lang w:val="en-US" w:eastAsia="en-US" w:bidi="en-US"/>
      </w:rPr>
    </w:lvl>
    <w:lvl w:ilvl="2" w:tplc="7DC21372">
      <w:numFmt w:val="bullet"/>
      <w:lvlText w:val="•"/>
      <w:lvlJc w:val="left"/>
      <w:pPr>
        <w:ind w:left="1385" w:hanging="320"/>
      </w:pPr>
      <w:rPr>
        <w:rFonts w:hint="default"/>
        <w:lang w:val="en-US" w:eastAsia="en-US" w:bidi="en-US"/>
      </w:rPr>
    </w:lvl>
    <w:lvl w:ilvl="3" w:tplc="3C422750">
      <w:numFmt w:val="bullet"/>
      <w:lvlText w:val="•"/>
      <w:lvlJc w:val="left"/>
      <w:pPr>
        <w:ind w:left="1838" w:hanging="320"/>
      </w:pPr>
      <w:rPr>
        <w:rFonts w:hint="default"/>
        <w:lang w:val="en-US" w:eastAsia="en-US" w:bidi="en-US"/>
      </w:rPr>
    </w:lvl>
    <w:lvl w:ilvl="4" w:tplc="81028792">
      <w:numFmt w:val="bullet"/>
      <w:lvlText w:val="•"/>
      <w:lvlJc w:val="left"/>
      <w:pPr>
        <w:ind w:left="2291" w:hanging="320"/>
      </w:pPr>
      <w:rPr>
        <w:rFonts w:hint="default"/>
        <w:lang w:val="en-US" w:eastAsia="en-US" w:bidi="en-US"/>
      </w:rPr>
    </w:lvl>
    <w:lvl w:ilvl="5" w:tplc="7AB86648">
      <w:numFmt w:val="bullet"/>
      <w:lvlText w:val="•"/>
      <w:lvlJc w:val="left"/>
      <w:pPr>
        <w:ind w:left="2744" w:hanging="320"/>
      </w:pPr>
      <w:rPr>
        <w:rFonts w:hint="default"/>
        <w:lang w:val="en-US" w:eastAsia="en-US" w:bidi="en-US"/>
      </w:rPr>
    </w:lvl>
    <w:lvl w:ilvl="6" w:tplc="4496A72A">
      <w:numFmt w:val="bullet"/>
      <w:lvlText w:val="•"/>
      <w:lvlJc w:val="left"/>
      <w:pPr>
        <w:ind w:left="3196" w:hanging="320"/>
      </w:pPr>
      <w:rPr>
        <w:rFonts w:hint="default"/>
        <w:lang w:val="en-US" w:eastAsia="en-US" w:bidi="en-US"/>
      </w:rPr>
    </w:lvl>
    <w:lvl w:ilvl="7" w:tplc="9934DF80">
      <w:numFmt w:val="bullet"/>
      <w:lvlText w:val="•"/>
      <w:lvlJc w:val="left"/>
      <w:pPr>
        <w:ind w:left="3649" w:hanging="320"/>
      </w:pPr>
      <w:rPr>
        <w:rFonts w:hint="default"/>
        <w:lang w:val="en-US" w:eastAsia="en-US" w:bidi="en-US"/>
      </w:rPr>
    </w:lvl>
    <w:lvl w:ilvl="8" w:tplc="B5A85B22">
      <w:numFmt w:val="bullet"/>
      <w:lvlText w:val="•"/>
      <w:lvlJc w:val="left"/>
      <w:pPr>
        <w:ind w:left="4102" w:hanging="320"/>
      </w:pPr>
      <w:rPr>
        <w:rFonts w:hint="default"/>
        <w:lang w:val="en-US" w:eastAsia="en-US" w:bidi="en-U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62CC"/>
    <w:rsid w:val="00001275"/>
    <w:rsid w:val="00005B88"/>
    <w:rsid w:val="00033024"/>
    <w:rsid w:val="0005335E"/>
    <w:rsid w:val="000574D1"/>
    <w:rsid w:val="00062B9D"/>
    <w:rsid w:val="00075A33"/>
    <w:rsid w:val="00086E2E"/>
    <w:rsid w:val="000911E2"/>
    <w:rsid w:val="00095E8E"/>
    <w:rsid w:val="000B6E68"/>
    <w:rsid w:val="000C519A"/>
    <w:rsid w:val="000F7116"/>
    <w:rsid w:val="0010520F"/>
    <w:rsid w:val="001080D9"/>
    <w:rsid w:val="00131910"/>
    <w:rsid w:val="00144906"/>
    <w:rsid w:val="00166E2D"/>
    <w:rsid w:val="001A267E"/>
    <w:rsid w:val="001B5D20"/>
    <w:rsid w:val="001C2701"/>
    <w:rsid w:val="001E51DF"/>
    <w:rsid w:val="001E7821"/>
    <w:rsid w:val="002751DD"/>
    <w:rsid w:val="00292CDE"/>
    <w:rsid w:val="002A3D62"/>
    <w:rsid w:val="002F6985"/>
    <w:rsid w:val="002F7896"/>
    <w:rsid w:val="00300673"/>
    <w:rsid w:val="003803A4"/>
    <w:rsid w:val="003D18C7"/>
    <w:rsid w:val="003F0215"/>
    <w:rsid w:val="003F0BB0"/>
    <w:rsid w:val="0040144C"/>
    <w:rsid w:val="00421EA9"/>
    <w:rsid w:val="00422DC7"/>
    <w:rsid w:val="004402B4"/>
    <w:rsid w:val="00445D0F"/>
    <w:rsid w:val="004B2309"/>
    <w:rsid w:val="004B2953"/>
    <w:rsid w:val="004D2115"/>
    <w:rsid w:val="004E5D53"/>
    <w:rsid w:val="004E6806"/>
    <w:rsid w:val="0052354E"/>
    <w:rsid w:val="00533A34"/>
    <w:rsid w:val="005428BC"/>
    <w:rsid w:val="00555310"/>
    <w:rsid w:val="005A4CF3"/>
    <w:rsid w:val="005A7169"/>
    <w:rsid w:val="005C17D0"/>
    <w:rsid w:val="005C40FE"/>
    <w:rsid w:val="005E076A"/>
    <w:rsid w:val="00671DC1"/>
    <w:rsid w:val="006B3DF4"/>
    <w:rsid w:val="006B678D"/>
    <w:rsid w:val="006D38D1"/>
    <w:rsid w:val="00716C4D"/>
    <w:rsid w:val="00763F88"/>
    <w:rsid w:val="00783F55"/>
    <w:rsid w:val="00792F5E"/>
    <w:rsid w:val="007A74EF"/>
    <w:rsid w:val="008025B4"/>
    <w:rsid w:val="00813BE3"/>
    <w:rsid w:val="0082082B"/>
    <w:rsid w:val="00827D72"/>
    <w:rsid w:val="00831EED"/>
    <w:rsid w:val="008641C9"/>
    <w:rsid w:val="00886E66"/>
    <w:rsid w:val="008A6142"/>
    <w:rsid w:val="008D1CE1"/>
    <w:rsid w:val="00934ECE"/>
    <w:rsid w:val="00943203"/>
    <w:rsid w:val="00950BDA"/>
    <w:rsid w:val="00956C4A"/>
    <w:rsid w:val="00980825"/>
    <w:rsid w:val="009C0530"/>
    <w:rsid w:val="00A01A7C"/>
    <w:rsid w:val="00A2012B"/>
    <w:rsid w:val="00A210B6"/>
    <w:rsid w:val="00A524C4"/>
    <w:rsid w:val="00A62B71"/>
    <w:rsid w:val="00A64763"/>
    <w:rsid w:val="00AB4F7D"/>
    <w:rsid w:val="00AD562D"/>
    <w:rsid w:val="00B12DD4"/>
    <w:rsid w:val="00B204D7"/>
    <w:rsid w:val="00B2154C"/>
    <w:rsid w:val="00BA76DB"/>
    <w:rsid w:val="00BE5187"/>
    <w:rsid w:val="00BE76B4"/>
    <w:rsid w:val="00C02E12"/>
    <w:rsid w:val="00C2175E"/>
    <w:rsid w:val="00C2196A"/>
    <w:rsid w:val="00C22213"/>
    <w:rsid w:val="00C3355B"/>
    <w:rsid w:val="00C46BAD"/>
    <w:rsid w:val="00C53A07"/>
    <w:rsid w:val="00C62B5C"/>
    <w:rsid w:val="00CB62CC"/>
    <w:rsid w:val="00CD2CFB"/>
    <w:rsid w:val="00CE52D4"/>
    <w:rsid w:val="00D03A00"/>
    <w:rsid w:val="00D05270"/>
    <w:rsid w:val="00D30F42"/>
    <w:rsid w:val="00D45F2E"/>
    <w:rsid w:val="00D51BD5"/>
    <w:rsid w:val="00D6041C"/>
    <w:rsid w:val="00D72F3B"/>
    <w:rsid w:val="00D825E9"/>
    <w:rsid w:val="00DF5C2B"/>
    <w:rsid w:val="00E1731C"/>
    <w:rsid w:val="00EB3608"/>
    <w:rsid w:val="00EB7F38"/>
    <w:rsid w:val="00F05A92"/>
    <w:rsid w:val="00F143B4"/>
    <w:rsid w:val="00F44D08"/>
    <w:rsid w:val="00F87DB6"/>
    <w:rsid w:val="00FB3CEB"/>
    <w:rsid w:val="00FC1083"/>
    <w:rsid w:val="00FD77BE"/>
    <w:rsid w:val="00FF4315"/>
    <w:rsid w:val="00FF5CF1"/>
    <w:rsid w:val="039B6F1E"/>
    <w:rsid w:val="05BDFB97"/>
    <w:rsid w:val="05E08CBC"/>
    <w:rsid w:val="0640AA9E"/>
    <w:rsid w:val="071BE455"/>
    <w:rsid w:val="071D4D8F"/>
    <w:rsid w:val="0790AA66"/>
    <w:rsid w:val="0862E642"/>
    <w:rsid w:val="09A31FEE"/>
    <w:rsid w:val="09A79798"/>
    <w:rsid w:val="0CB46816"/>
    <w:rsid w:val="0DC9BF15"/>
    <w:rsid w:val="0ED8F7BF"/>
    <w:rsid w:val="0F1CC63B"/>
    <w:rsid w:val="12066BC1"/>
    <w:rsid w:val="121332D1"/>
    <w:rsid w:val="132779AF"/>
    <w:rsid w:val="1331BE25"/>
    <w:rsid w:val="14CD8E86"/>
    <w:rsid w:val="1649D540"/>
    <w:rsid w:val="16695EE7"/>
    <w:rsid w:val="17343972"/>
    <w:rsid w:val="17D7D314"/>
    <w:rsid w:val="188569AD"/>
    <w:rsid w:val="1AF56C89"/>
    <w:rsid w:val="1B52066A"/>
    <w:rsid w:val="1DB822A2"/>
    <w:rsid w:val="1E35C5DF"/>
    <w:rsid w:val="219C1D78"/>
    <w:rsid w:val="21A6CB97"/>
    <w:rsid w:val="21BAAE5B"/>
    <w:rsid w:val="24715856"/>
    <w:rsid w:val="25D28BA4"/>
    <w:rsid w:val="27FB07ED"/>
    <w:rsid w:val="2824AB70"/>
    <w:rsid w:val="2BF70D51"/>
    <w:rsid w:val="2CB3A707"/>
    <w:rsid w:val="2D7BD6B7"/>
    <w:rsid w:val="2E6C2642"/>
    <w:rsid w:val="2FDE6230"/>
    <w:rsid w:val="30B5AFAA"/>
    <w:rsid w:val="324913D9"/>
    <w:rsid w:val="34AD655F"/>
    <w:rsid w:val="377D5CA2"/>
    <w:rsid w:val="3E97048B"/>
    <w:rsid w:val="400E6406"/>
    <w:rsid w:val="4089A91E"/>
    <w:rsid w:val="420740FD"/>
    <w:rsid w:val="42649B9A"/>
    <w:rsid w:val="45F28200"/>
    <w:rsid w:val="461A5824"/>
    <w:rsid w:val="4640297B"/>
    <w:rsid w:val="48427BAA"/>
    <w:rsid w:val="494360D5"/>
    <w:rsid w:val="49F433FB"/>
    <w:rsid w:val="4AACCAC6"/>
    <w:rsid w:val="4AD76FEC"/>
    <w:rsid w:val="4C02F16E"/>
    <w:rsid w:val="4CA6A16B"/>
    <w:rsid w:val="4CFE905D"/>
    <w:rsid w:val="4D768D28"/>
    <w:rsid w:val="4DF65488"/>
    <w:rsid w:val="4FE0606B"/>
    <w:rsid w:val="4FE7572E"/>
    <w:rsid w:val="5270434A"/>
    <w:rsid w:val="527B6E6E"/>
    <w:rsid w:val="555C744F"/>
    <w:rsid w:val="58F10195"/>
    <w:rsid w:val="593505F7"/>
    <w:rsid w:val="5B979894"/>
    <w:rsid w:val="60735EF4"/>
    <w:rsid w:val="6103A25E"/>
    <w:rsid w:val="630BA16F"/>
    <w:rsid w:val="663ACA39"/>
    <w:rsid w:val="677CB80C"/>
    <w:rsid w:val="67DF46FB"/>
    <w:rsid w:val="6862B9E3"/>
    <w:rsid w:val="69687988"/>
    <w:rsid w:val="6B39796D"/>
    <w:rsid w:val="6CD061F8"/>
    <w:rsid w:val="6E2A364F"/>
    <w:rsid w:val="6E9E3194"/>
    <w:rsid w:val="6F19C830"/>
    <w:rsid w:val="6F4CA192"/>
    <w:rsid w:val="6F6A8038"/>
    <w:rsid w:val="6FCB80D6"/>
    <w:rsid w:val="6FDF10A5"/>
    <w:rsid w:val="714AA1CC"/>
    <w:rsid w:val="729FCD49"/>
    <w:rsid w:val="775D74EA"/>
    <w:rsid w:val="777B922A"/>
    <w:rsid w:val="7BEE7715"/>
    <w:rsid w:val="7D663DD9"/>
    <w:rsid w:val="7E58FE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38178E"/>
  <w15:docId w15:val="{E1117D83-ECB6-47A9-9820-907544B73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entury Gothic" w:eastAsia="Century Gothic" w:hAnsi="Century Gothic" w:cs="Century Gothic"/>
      <w:lang w:bidi="en-US"/>
    </w:rPr>
  </w:style>
  <w:style w:type="paragraph" w:styleId="Heading1">
    <w:name w:val="heading 1"/>
    <w:basedOn w:val="Normal"/>
    <w:uiPriority w:val="9"/>
    <w:qFormat/>
    <w:pPr>
      <w:spacing w:before="176"/>
      <w:ind w:left="164"/>
      <w:outlineLvl w:val="0"/>
    </w:pPr>
    <w:rPr>
      <w:rFonts w:ascii="Tahoma" w:eastAsia="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style>
  <w:style w:type="paragraph" w:styleId="ListParagraph">
    <w:name w:val="List Paragraph"/>
    <w:basedOn w:val="Normal"/>
    <w:uiPriority w:val="1"/>
    <w:qFormat/>
    <w:pPr>
      <w:spacing w:before="178"/>
      <w:ind w:left="484" w:hanging="320"/>
    </w:pPr>
  </w:style>
  <w:style w:type="paragraph" w:customStyle="1" w:styleId="TableParagraph">
    <w:name w:val="Table Paragraph"/>
    <w:basedOn w:val="Normal"/>
    <w:uiPriority w:val="1"/>
    <w:qFormat/>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entury Gothic" w:eastAsia="Century Gothic" w:hAnsi="Century Gothic" w:cs="Century Gothic"/>
      <w:sz w:val="20"/>
      <w:szCs w:val="20"/>
      <w:lang w:bidi="en-US"/>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956C4A"/>
    <w:rPr>
      <w:b/>
      <w:bCs/>
    </w:rPr>
  </w:style>
  <w:style w:type="character" w:customStyle="1" w:styleId="CommentSubjectChar">
    <w:name w:val="Comment Subject Char"/>
    <w:basedOn w:val="CommentTextChar"/>
    <w:link w:val="CommentSubject"/>
    <w:uiPriority w:val="99"/>
    <w:semiHidden/>
    <w:rsid w:val="00956C4A"/>
    <w:rPr>
      <w:rFonts w:ascii="Century Gothic" w:eastAsia="Century Gothic" w:hAnsi="Century Gothic" w:cs="Century Gothic"/>
      <w:b/>
      <w:bCs/>
      <w:sz w:val="20"/>
      <w:szCs w:val="20"/>
      <w:lang w:bidi="en-US"/>
    </w:rPr>
  </w:style>
  <w:style w:type="paragraph" w:styleId="Revision">
    <w:name w:val="Revision"/>
    <w:hidden/>
    <w:uiPriority w:val="99"/>
    <w:semiHidden/>
    <w:rsid w:val="00763F88"/>
    <w:pPr>
      <w:widowControl/>
      <w:autoSpaceDE/>
      <w:autoSpaceDN/>
    </w:pPr>
    <w:rPr>
      <w:rFonts w:ascii="Century Gothic" w:eastAsia="Century Gothic" w:hAnsi="Century Gothic" w:cs="Century Gothic"/>
      <w:lang w:bidi="en-US"/>
    </w:rPr>
  </w:style>
  <w:style w:type="character" w:customStyle="1" w:styleId="BodyTextChar">
    <w:name w:val="Body Text Char"/>
    <w:basedOn w:val="DefaultParagraphFont"/>
    <w:link w:val="BodyText"/>
    <w:uiPriority w:val="1"/>
    <w:rsid w:val="0005335E"/>
    <w:rPr>
      <w:rFonts w:ascii="Century Gothic" w:eastAsia="Century Gothic" w:hAnsi="Century Gothic" w:cs="Century Gothic"/>
      <w:lang w:bidi="en-US"/>
    </w:rPr>
  </w:style>
  <w:style w:type="character" w:styleId="Mention">
    <w:name w:val="Mention"/>
    <w:basedOn w:val="DefaultParagraphFont"/>
    <w:uiPriority w:val="99"/>
    <w:unhideWhenUsed/>
    <w:rPr>
      <w:color w:val="2B579A"/>
      <w:shd w:val="clear" w:color="auto" w:fill="E6E6E6"/>
    </w:rPr>
  </w:style>
  <w:style w:type="character" w:styleId="Hyperlink">
    <w:name w:val="Hyperlink"/>
    <w:basedOn w:val="DefaultParagraphFont"/>
    <w:uiPriority w:val="99"/>
    <w:semiHidden/>
    <w:unhideWhenUsed/>
    <w:rsid w:val="00062B9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883293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microsoft.com/office/2019/05/relationships/documenttasks" Target="documenttasks/documenttasks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ensus.gov/" TargetMode="External"/><Relationship Id="rId4" Type="http://schemas.openxmlformats.org/officeDocument/2006/relationships/numbering" Target="numbering.xml"/><Relationship Id="rId9" Type="http://schemas.openxmlformats.org/officeDocument/2006/relationships/hyperlink" Target="http://www.census.gov/" TargetMode="External"/></Relationships>
</file>

<file path=word/documenttasks/documenttasks1.xml><?xml version="1.0" encoding="utf-8"?>
<t:Tasks xmlns:t="http://schemas.microsoft.com/office/tasks/2019/documenttasks" xmlns:oel="http://schemas.microsoft.com/office/2019/extlst">
  <t:Task id="{19BB6E9C-8DDE-451F-88B6-62022B2172D4}">
    <t:Anchor>
      <t:Comment id="634580123"/>
    </t:Anchor>
    <t:History>
      <t:Event id="{91311D91-B8AE-4133-8530-CE0C59C6299C}" time="2022-03-10T13:39:24.894Z">
        <t:Attribution userId="S::judy.g.belton@census.gov::49ea44fe-062c-4761-9057-0d5e8df40393" userProvider="AD" userName="Judy G Belton (CENSUS/DCMD FED)"/>
        <t:Anchor>
          <t:Comment id="292360794"/>
        </t:Anchor>
        <t:Create/>
      </t:Event>
      <t:Event id="{48AF17E5-5A4A-4F4F-9A80-9F3DB8076C61}" time="2022-03-10T13:39:24.894Z">
        <t:Attribution userId="S::judy.g.belton@census.gov::49ea44fe-062c-4761-9057-0d5e8df40393" userProvider="AD" userName="Judy G Belton (CENSUS/DCMD FED)"/>
        <t:Anchor>
          <t:Comment id="292360794"/>
        </t:Anchor>
        <t:Assign userId="S::Sonia.G.Collazo@census.gov::5c759309-13e0-4f80-97c6-f9eecdc49638" userProvider="AD" userName="Sonia G Collazo (CENSUS/DCMD FED)"/>
      </t:Event>
      <t:Event id="{1ED9F58A-EB47-409F-828A-5187259C0354}" time="2022-03-10T13:39:24.894Z">
        <t:Attribution userId="S::judy.g.belton@census.gov::49ea44fe-062c-4761-9057-0d5e8df40393" userProvider="AD" userName="Judy G Belton (CENSUS/DCMD FED)"/>
        <t:Anchor>
          <t:Comment id="292360794"/>
        </t:Anchor>
        <t:SetTitle title="@Sonia G Collazo (CENSUS/DCMD FED) @Melissa L Creech (CENSUS/PCO FED) See revision. I think I see what you mean, Melissa. The GQ had to be in existence on April 1, 2020 and would have been occupied with residence on April 1 if not for COVID-19. The …"/>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F738718-091D-44E1-B62A-B6186C1ECF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2D6A140F-50BC-4815-B1DB-95407133C565}">
  <ds:schemaRefs>
    <ds:schemaRef ds:uri="http://schemas.microsoft.com/office/infopath/2007/PartnerControls"/>
    <ds:schemaRef ds:uri="http://schemas.openxmlformats.org/package/2006/metadata/core-properties"/>
    <ds:schemaRef ds:uri="http://purl.org/dc/elements/1.1/"/>
    <ds:schemaRef ds:uri="http://schemas.microsoft.com/office/2006/documentManagement/types"/>
    <ds:schemaRef ds:uri="http://schemas.microsoft.com/office/2006/metadata/properties"/>
    <ds:schemaRef ds:uri="http://purl.org/dc/dcmitype/"/>
    <ds:schemaRef ds:uri="http://www.w3.org/XML/1998/namespace"/>
    <ds:schemaRef ds:uri="http://purl.org/dc/terms/"/>
  </ds:schemaRefs>
</ds:datastoreItem>
</file>

<file path=customXml/itemProps3.xml><?xml version="1.0" encoding="utf-8"?>
<ds:datastoreItem xmlns:ds="http://schemas.openxmlformats.org/officeDocument/2006/customXml" ds:itemID="{6CA3CE42-2B16-4A6E-97C3-BFE2767C4FE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748</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2020 Census Count Question Resolution Operation</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 Census Count Question Resolution Operation</dc:title>
  <dc:subject>2020 Census</dc:subject>
  <dc:creator>U.S. Census Bureau</dc:creator>
  <cp:keywords/>
  <cp:lastModifiedBy>Beth Clarke Tyszka (CENSUS/DCMD FED)</cp:lastModifiedBy>
  <cp:revision>2</cp:revision>
  <dcterms:created xsi:type="dcterms:W3CDTF">2022-03-22T13:09:00Z</dcterms:created>
  <dcterms:modified xsi:type="dcterms:W3CDTF">2022-03-22T13:09:00Z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2021-11-04T00:00:00Z</vt:filetime>
  </property>
  <property fmtid="{D5CDD505-2E9C-101B-9397-08002B2CF9AE}" pid="3" name="Creator">
    <vt:lpwstr>Adobe InDesign 16.3 (Windows)</vt:lpwstr>
  </property>
  <property fmtid="{D5CDD505-2E9C-101B-9397-08002B2CF9AE}" pid="4" name="LastSaved">
    <vt:filetime>2022-01-06T00:00:00Z</vt:filetime>
  </property>
</Properties>
</file>