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43C" w:rsidR="004C7BC3" w:rsidP="0AB33596" w:rsidRDefault="00E502B7" w14:paraId="390223B5" w14:textId="7D963847">
      <w:pPr>
        <w:spacing w:before="116" w:line="235" w:lineRule="auto"/>
        <w:ind w:left="127" w:right="3317"/>
        <w:rPr>
          <w:rFonts w:ascii="Calibri"/>
          <w:b/>
          <w:bCs/>
          <w:sz w:val="42"/>
          <w:szCs w:val="42"/>
        </w:rPr>
      </w:pPr>
      <w:bookmarkStart w:name="_Hlk92358805" w:id="0"/>
      <w:r w:rsidRPr="0AB33596">
        <w:rPr>
          <w:rFonts w:ascii="Calibri"/>
          <w:b/>
          <w:bCs/>
          <w:color w:val="231F20"/>
          <w:w w:val="120"/>
          <w:sz w:val="42"/>
          <w:szCs w:val="42"/>
        </w:rPr>
        <w:t xml:space="preserve">2020 </w:t>
      </w:r>
      <w:r w:rsidRPr="0AB33596" w:rsidR="00D01220">
        <w:rPr>
          <w:rFonts w:ascii="Calibri"/>
          <w:b/>
          <w:bCs/>
          <w:color w:val="231F20"/>
          <w:w w:val="120"/>
          <w:sz w:val="42"/>
          <w:szCs w:val="42"/>
        </w:rPr>
        <w:t>Post-</w:t>
      </w:r>
      <w:r w:rsidRPr="0AB33596">
        <w:rPr>
          <w:rFonts w:ascii="Calibri"/>
          <w:b/>
          <w:bCs/>
          <w:color w:val="231F20"/>
          <w:w w:val="120"/>
          <w:sz w:val="42"/>
          <w:szCs w:val="42"/>
        </w:rPr>
        <w:t xml:space="preserve">Census </w:t>
      </w:r>
      <w:r w:rsidRPr="0AB33596" w:rsidR="00D01220">
        <w:rPr>
          <w:rFonts w:ascii="Calibri"/>
          <w:b/>
          <w:bCs/>
          <w:color w:val="231F20"/>
          <w:w w:val="120"/>
          <w:sz w:val="42"/>
          <w:szCs w:val="42"/>
        </w:rPr>
        <w:t xml:space="preserve">Group Quarters Review (PCGQR) </w:t>
      </w:r>
    </w:p>
    <w:p w:rsidRPr="0012543C" w:rsidR="004C7BC3" w:rsidRDefault="004C7BC3" w14:paraId="2220AD13" w14:textId="77777777">
      <w:pPr>
        <w:pStyle w:val="BodyText"/>
        <w:rPr>
          <w:rFonts w:ascii="Calibri"/>
          <w:b/>
          <w:sz w:val="20"/>
        </w:rPr>
      </w:pPr>
    </w:p>
    <w:p w:rsidRPr="0012543C" w:rsidR="004C7BC3" w:rsidRDefault="004C7BC3" w14:paraId="5A9C6EF8" w14:textId="77777777">
      <w:pPr>
        <w:rPr>
          <w:rFonts w:ascii="Calibri"/>
          <w:sz w:val="20"/>
        </w:rPr>
        <w:sectPr w:rsidRPr="0012543C" w:rsidR="004C7BC3">
          <w:headerReference w:type="default" r:id="rId10"/>
          <w:footerReference w:type="default" r:id="rId11"/>
          <w:type w:val="continuous"/>
          <w:pgSz w:w="12240" w:h="15840"/>
          <w:pgMar w:top="480" w:right="260" w:bottom="280" w:left="320" w:header="720" w:footer="720" w:gutter="0"/>
          <w:cols w:space="720"/>
        </w:sectPr>
      </w:pPr>
    </w:p>
    <w:p w:rsidRPr="0012543C" w:rsidR="004C7BC3" w:rsidRDefault="00FB185F" w14:paraId="3E59FB5B" w14:textId="5CDD2A16">
      <w:pPr>
        <w:pStyle w:val="Heading2"/>
        <w:spacing w:before="287" w:line="278" w:lineRule="auto"/>
      </w:pPr>
      <w:r w:rsidRPr="0012543C">
        <w:rPr>
          <w:color w:val="231F20"/>
          <w:w w:val="120"/>
        </w:rPr>
        <w:t xml:space="preserve">2020 </w:t>
      </w:r>
      <w:r w:rsidRPr="0012543C" w:rsidR="00D01220">
        <w:rPr>
          <w:color w:val="231F20"/>
          <w:w w:val="120"/>
        </w:rPr>
        <w:t>PCGQR provides</w:t>
      </w:r>
      <w:r w:rsidRPr="0012543C" w:rsidR="00E502B7">
        <w:rPr>
          <w:color w:val="231F20"/>
          <w:w w:val="120"/>
        </w:rPr>
        <w:t xml:space="preserve"> governments the opportunity to ask the U.S. Census Bureau to review 2020 Census </w:t>
      </w:r>
      <w:r w:rsidRPr="0012543C" w:rsidR="00D01220">
        <w:rPr>
          <w:color w:val="231F20"/>
          <w:w w:val="120"/>
        </w:rPr>
        <w:t xml:space="preserve">group quarters </w:t>
      </w:r>
      <w:r w:rsidR="00CC3DF8">
        <w:rPr>
          <w:color w:val="231F20"/>
          <w:w w:val="120"/>
        </w:rPr>
        <w:t xml:space="preserve">population </w:t>
      </w:r>
      <w:r w:rsidRPr="0012543C" w:rsidR="00E502B7">
        <w:rPr>
          <w:color w:val="231F20"/>
          <w:w w:val="120"/>
        </w:rPr>
        <w:t>counts.</w:t>
      </w:r>
    </w:p>
    <w:p w:rsidR="00BD7BEC" w:rsidRDefault="32CCDC6A" w14:paraId="48C9A85F" w14:textId="77777777">
      <w:pPr>
        <w:pStyle w:val="BodyText"/>
        <w:spacing w:before="110" w:line="292" w:lineRule="auto"/>
        <w:ind w:left="116" w:right="284"/>
        <w:jc w:val="both"/>
        <w:rPr>
          <w:color w:val="231F20"/>
        </w:rPr>
      </w:pPr>
      <w:bookmarkStart w:name="_Hlk96514406" w:id="1"/>
      <w:r w:rsidRPr="7BCF14B2">
        <w:rPr>
          <w:color w:val="231F20"/>
        </w:rPr>
        <w:t>The 2020 Post-Census Group Quarters Review (PCGQR) provides a mechanism for governmental units in the United States and Puerto Rico</w:t>
      </w:r>
      <w:r w:rsidR="006C45FA">
        <w:rPr>
          <w:color w:val="231F20"/>
        </w:rPr>
        <w:t>,</w:t>
      </w:r>
      <w:r w:rsidR="00C74F35">
        <w:rPr>
          <w:color w:val="231F20"/>
        </w:rPr>
        <w:t xml:space="preserve"> </w:t>
      </w:r>
      <w:r w:rsidRPr="008C5CC6" w:rsidR="008C5CC6">
        <w:rPr>
          <w:color w:val="231F20"/>
        </w:rPr>
        <w:t xml:space="preserve">or their designated representatives, to request that the Census Bureau review their population counts </w:t>
      </w:r>
      <w:r w:rsidR="00CA1774">
        <w:rPr>
          <w:color w:val="231F20"/>
        </w:rPr>
        <w:t xml:space="preserve">of </w:t>
      </w:r>
      <w:r w:rsidR="002461B7">
        <w:rPr>
          <w:color w:val="231F20"/>
        </w:rPr>
        <w:t xml:space="preserve">group quarters </w:t>
      </w:r>
      <w:r w:rsidR="00CA1774">
        <w:rPr>
          <w:color w:val="231F20"/>
        </w:rPr>
        <w:t>in a block they believe</w:t>
      </w:r>
      <w:r w:rsidR="002461B7">
        <w:rPr>
          <w:color w:val="231F20"/>
        </w:rPr>
        <w:t xml:space="preserve"> were undercounted on </w:t>
      </w:r>
      <w:r w:rsidR="00C74F35">
        <w:rPr>
          <w:color w:val="231F20"/>
        </w:rPr>
        <w:t>April 1, 2020</w:t>
      </w:r>
      <w:r w:rsidR="009C756F">
        <w:rPr>
          <w:rStyle w:val="CommentReference"/>
        </w:rPr>
        <w:t>.</w:t>
      </w:r>
      <w:r w:rsidRPr="7BCF14B2">
        <w:rPr>
          <w:color w:val="231F20"/>
        </w:rPr>
        <w:t xml:space="preserve"> If the review process finds errors in these population counts, the errors will be corrected, </w:t>
      </w:r>
      <w:r w:rsidRPr="00BD7BEC" w:rsidR="00BD7BEC">
        <w:rPr>
          <w:color w:val="231F20"/>
        </w:rPr>
        <w:t xml:space="preserve">and the revised group quarters population will be provided to the Population Estimates Program for incorporation into the base population for upcoming vintages of estimates and will be included in the next possible population base as the production schedule allows. The estimates developed from the updated population base will also be used by the American Community Survey and the Puerto Rico Community Survey. Governmental units include tribal, state, and local officials or their designated representatives. </w:t>
      </w:r>
      <w:bookmarkStart w:name="_Hlk96527795" w:id="2"/>
      <w:bookmarkEnd w:id="1"/>
    </w:p>
    <w:p w:rsidR="00835F9E" w:rsidRDefault="00835F9E" w14:paraId="5EE4ACC1" w14:textId="7EFCF180">
      <w:pPr>
        <w:pStyle w:val="BodyText"/>
        <w:spacing w:before="110" w:line="292" w:lineRule="auto"/>
        <w:ind w:left="116" w:right="284"/>
        <w:jc w:val="both"/>
        <w:rPr>
          <w:color w:val="231F20"/>
        </w:rPr>
      </w:pPr>
      <w:r w:rsidRPr="00835F9E">
        <w:rPr>
          <w:color w:val="231F20"/>
        </w:rPr>
        <w:t xml:space="preserve">Please note that the 2020 PCGQR does not collect new data or conduct a recount for the 2020 Census. For example, 2020 Census data products and counts delivered to the President for </w:t>
      </w:r>
      <w:r w:rsidRPr="00835F9E" w:rsidR="004032E4">
        <w:rPr>
          <w:color w:val="231F20"/>
        </w:rPr>
        <w:t>apportionment,</w:t>
      </w:r>
      <w:r w:rsidRPr="00835F9E">
        <w:rPr>
          <w:color w:val="231F20"/>
        </w:rPr>
        <w:t xml:space="preserve"> or the 2020 Census Public Law 94-171 Redistricting Data Files and Geographic Products will not be updated </w:t>
      </w:r>
      <w:proofErr w:type="gramStart"/>
      <w:r w:rsidRPr="00835F9E">
        <w:rPr>
          <w:color w:val="231F20"/>
        </w:rPr>
        <w:t>as a result of</w:t>
      </w:r>
      <w:proofErr w:type="gramEnd"/>
      <w:r w:rsidRPr="00835F9E">
        <w:rPr>
          <w:color w:val="231F20"/>
        </w:rPr>
        <w:t xml:space="preserve"> the 2020 PCGQR. </w:t>
      </w:r>
      <w:bookmarkEnd w:id="2"/>
    </w:p>
    <w:p w:rsidR="00EA61A6" w:rsidRDefault="00275F87" w14:paraId="7F7C08F3" w14:textId="11149D56">
      <w:pPr>
        <w:pStyle w:val="BodyText"/>
        <w:spacing w:before="110" w:line="292" w:lineRule="auto"/>
        <w:ind w:left="116" w:right="284"/>
        <w:jc w:val="both"/>
      </w:pPr>
      <w:r>
        <w:t xml:space="preserve">A </w:t>
      </w:r>
      <w:r w:rsidR="00F63DFF">
        <w:t>g</w:t>
      </w:r>
      <w:r>
        <w:t xml:space="preserve">roup </w:t>
      </w:r>
      <w:r w:rsidR="00F63DFF">
        <w:t>q</w:t>
      </w:r>
      <w:r>
        <w:t xml:space="preserve">uarter (GQ) is a place where people live or stay in a group living arrangement that is owned or managed by an entity or organization providing housing and/or services for the residents.  </w:t>
      </w:r>
      <w:r w:rsidR="00F63DFF">
        <w:t xml:space="preserve">These services may include custodial or medical care as well as other types of assistance, and residency is commonly restricted to those receiving these services. </w:t>
      </w:r>
      <w:r w:rsidRPr="711419CD" w:rsidR="00EA61A6">
        <w:rPr>
          <w:color w:val="231F20"/>
        </w:rPr>
        <w:t xml:space="preserve">This is not a typical household-type living arrangement. </w:t>
      </w:r>
      <w:r>
        <w:t xml:space="preserve"> </w:t>
      </w:r>
      <w:r w:rsidR="00EA61A6">
        <w:t xml:space="preserve">People </w:t>
      </w:r>
      <w:r>
        <w:t>living in group quarters are usually not related to each other. Group quarters include such places as college/university student housing, residential treatment centers, nursing/skilled</w:t>
      </w:r>
      <w:r w:rsidR="00F63DFF">
        <w:t>-</w:t>
      </w:r>
      <w:r>
        <w:t xml:space="preserve">nursing facilities, group homes, </w:t>
      </w:r>
      <w:proofErr w:type="gramStart"/>
      <w:r>
        <w:t>correctional facilities</w:t>
      </w:r>
      <w:proofErr w:type="gramEnd"/>
      <w:r>
        <w:t>, and workers’ group living quarters and job corps centers.</w:t>
      </w:r>
    </w:p>
    <w:p w:rsidR="004C7BC3" w:rsidRDefault="00E502B7" w14:paraId="7F8045FA" w14:textId="028B0C71">
      <w:pPr>
        <w:pStyle w:val="Heading2"/>
        <w:spacing w:before="125" w:line="278" w:lineRule="auto"/>
        <w:ind w:right="682"/>
      </w:pPr>
      <w:r>
        <w:rPr>
          <w:color w:val="231F20"/>
          <w:spacing w:val="-3"/>
          <w:w w:val="125"/>
        </w:rPr>
        <w:t>Governments</w:t>
      </w:r>
      <w:r>
        <w:rPr>
          <w:color w:val="231F20"/>
          <w:spacing w:val="-43"/>
          <w:w w:val="125"/>
        </w:rPr>
        <w:t xml:space="preserve"> </w:t>
      </w:r>
      <w:r>
        <w:rPr>
          <w:color w:val="231F20"/>
          <w:w w:val="125"/>
        </w:rPr>
        <w:t>may</w:t>
      </w:r>
      <w:r>
        <w:rPr>
          <w:color w:val="231F20"/>
          <w:spacing w:val="-42"/>
          <w:w w:val="125"/>
        </w:rPr>
        <w:t xml:space="preserve"> </w:t>
      </w:r>
      <w:r>
        <w:rPr>
          <w:color w:val="231F20"/>
          <w:w w:val="125"/>
        </w:rPr>
        <w:t>use</w:t>
      </w:r>
      <w:r>
        <w:rPr>
          <w:color w:val="231F20"/>
          <w:spacing w:val="-42"/>
          <w:w w:val="125"/>
        </w:rPr>
        <w:t xml:space="preserve"> </w:t>
      </w:r>
      <w:r>
        <w:rPr>
          <w:color w:val="231F20"/>
          <w:spacing w:val="-3"/>
          <w:w w:val="125"/>
        </w:rPr>
        <w:t>revised</w:t>
      </w:r>
      <w:r>
        <w:rPr>
          <w:color w:val="231F20"/>
          <w:spacing w:val="-42"/>
          <w:w w:val="125"/>
        </w:rPr>
        <w:t xml:space="preserve"> </w:t>
      </w:r>
      <w:r>
        <w:rPr>
          <w:color w:val="231F20"/>
          <w:w w:val="125"/>
        </w:rPr>
        <w:t>counts</w:t>
      </w:r>
      <w:r>
        <w:rPr>
          <w:color w:val="231F20"/>
          <w:spacing w:val="-42"/>
          <w:w w:val="125"/>
        </w:rPr>
        <w:t xml:space="preserve"> </w:t>
      </w:r>
      <w:r>
        <w:rPr>
          <w:color w:val="231F20"/>
          <w:w w:val="125"/>
        </w:rPr>
        <w:t>for</w:t>
      </w:r>
      <w:r>
        <w:rPr>
          <w:color w:val="231F20"/>
          <w:spacing w:val="-42"/>
          <w:w w:val="125"/>
        </w:rPr>
        <w:t xml:space="preserve"> </w:t>
      </w:r>
      <w:r>
        <w:rPr>
          <w:color w:val="231F20"/>
          <w:w w:val="125"/>
        </w:rPr>
        <w:t>future</w:t>
      </w:r>
      <w:r>
        <w:rPr>
          <w:color w:val="231F20"/>
          <w:spacing w:val="-42"/>
          <w:w w:val="125"/>
        </w:rPr>
        <w:t xml:space="preserve"> </w:t>
      </w:r>
      <w:r>
        <w:rPr>
          <w:color w:val="231F20"/>
          <w:spacing w:val="-3"/>
          <w:w w:val="125"/>
        </w:rPr>
        <w:t xml:space="preserve">programs </w:t>
      </w:r>
      <w:r>
        <w:rPr>
          <w:color w:val="231F20"/>
          <w:w w:val="130"/>
        </w:rPr>
        <w:t>requiring o</w:t>
      </w:r>
      <w:r w:rsidR="009824E2">
        <w:rPr>
          <w:color w:val="231F20"/>
          <w:w w:val="130"/>
        </w:rPr>
        <w:t>ffi</w:t>
      </w:r>
      <w:r>
        <w:rPr>
          <w:color w:val="231F20"/>
          <w:w w:val="130"/>
        </w:rPr>
        <w:t>cial census</w:t>
      </w:r>
      <w:r>
        <w:rPr>
          <w:color w:val="231F20"/>
          <w:spacing w:val="-12"/>
          <w:w w:val="130"/>
        </w:rPr>
        <w:t xml:space="preserve"> </w:t>
      </w:r>
      <w:r>
        <w:rPr>
          <w:color w:val="231F20"/>
          <w:w w:val="130"/>
        </w:rPr>
        <w:t>data.</w:t>
      </w:r>
    </w:p>
    <w:p w:rsidR="004C7BC3" w:rsidRDefault="00E502B7" w14:paraId="770988EB" w14:textId="0F8568A4">
      <w:pPr>
        <w:pStyle w:val="BodyText"/>
        <w:spacing w:before="78" w:line="292" w:lineRule="auto"/>
        <w:ind w:left="116"/>
        <w:rPr>
          <w:color w:val="231F20"/>
        </w:rPr>
      </w:pPr>
      <w:r w:rsidRPr="00332BF3">
        <w:rPr>
          <w:color w:val="231F20"/>
          <w:w w:val="105"/>
        </w:rPr>
        <w:t>If the Census Bureau makes corrections</w:t>
      </w:r>
      <w:r w:rsidR="00402C40">
        <w:rPr>
          <w:color w:val="231F20"/>
          <w:w w:val="105"/>
        </w:rPr>
        <w:t xml:space="preserve"> </w:t>
      </w:r>
      <w:r w:rsidR="00402C40">
        <w:rPr>
          <w:color w:val="231F20"/>
        </w:rPr>
        <w:t>t</w:t>
      </w:r>
      <w:r w:rsidRPr="00013E51" w:rsidR="00402C40">
        <w:rPr>
          <w:color w:val="231F20"/>
        </w:rPr>
        <w:t xml:space="preserve">he </w:t>
      </w:r>
      <w:r w:rsidRPr="00013E51" w:rsidR="00885A20">
        <w:rPr>
          <w:color w:val="231F20"/>
        </w:rPr>
        <w:t xml:space="preserve">revised </w:t>
      </w:r>
      <w:bookmarkStart w:name="_Hlk97812714" w:id="3"/>
      <w:r w:rsidRPr="00013E51" w:rsidR="00885A20">
        <w:rPr>
          <w:color w:val="231F20"/>
        </w:rPr>
        <w:t>counts will be</w:t>
      </w:r>
      <w:r w:rsidRPr="7BCF14B2" w:rsidR="00885A20">
        <w:rPr>
          <w:color w:val="231F20"/>
          <w:sz w:val="20"/>
          <w:szCs w:val="20"/>
        </w:rPr>
        <w:t xml:space="preserve"> </w:t>
      </w:r>
      <w:r w:rsidRPr="00332BF3" w:rsidR="00332BF3">
        <w:rPr>
          <w:color w:val="231F20"/>
          <w:w w:val="105"/>
        </w:rPr>
        <w:t xml:space="preserve">provided to the Population Estimates Program for incorporation into the base population for upcoming vintages of estimates </w:t>
      </w:r>
      <w:r w:rsidRPr="7BCF14B2" w:rsidR="00885A20">
        <w:rPr>
          <w:color w:val="231F20"/>
        </w:rPr>
        <w:t>and</w:t>
      </w:r>
      <w:r w:rsidRPr="00332BF3" w:rsidR="00FB30F6">
        <w:rPr>
          <w:color w:val="231F20"/>
          <w:w w:val="105"/>
        </w:rPr>
        <w:t xml:space="preserve"> will be included in the next </w:t>
      </w:r>
      <w:r w:rsidRPr="7BCF14B2" w:rsidR="1962CA01">
        <w:rPr>
          <w:color w:val="231F20"/>
        </w:rPr>
        <w:t xml:space="preserve">possible </w:t>
      </w:r>
      <w:r w:rsidRPr="00332BF3" w:rsidR="00FB30F6">
        <w:rPr>
          <w:color w:val="231F20"/>
          <w:w w:val="105"/>
        </w:rPr>
        <w:t xml:space="preserve">population base as the production schedule allows. </w:t>
      </w:r>
      <w:bookmarkEnd w:id="3"/>
      <w:r w:rsidRPr="00525201" w:rsidR="00525201">
        <w:rPr>
          <w:color w:val="231F20"/>
          <w:w w:val="105"/>
        </w:rPr>
        <w:t>Corresponding changes to demographic characteristics will be incorporated into subsequent rounds of estimates</w:t>
      </w:r>
      <w:r w:rsidR="00525201">
        <w:rPr>
          <w:color w:val="231F20"/>
          <w:w w:val="105"/>
        </w:rPr>
        <w:t xml:space="preserve">. </w:t>
      </w:r>
      <w:r w:rsidRPr="00332BF3" w:rsidR="00FB30F6">
        <w:rPr>
          <w:color w:val="231F20"/>
          <w:w w:val="105"/>
        </w:rPr>
        <w:t>The estimates developed from the updated population base will also be used by the American Community Survey</w:t>
      </w:r>
      <w:r w:rsidR="00A640EE">
        <w:rPr>
          <w:color w:val="231F20"/>
          <w:w w:val="105"/>
        </w:rPr>
        <w:t xml:space="preserve"> and the Puerto Rico Community Survey</w:t>
      </w:r>
      <w:r w:rsidRPr="00332BF3" w:rsidR="00FB30F6">
        <w:rPr>
          <w:color w:val="231F20"/>
          <w:w w:val="105"/>
        </w:rPr>
        <w:t>. </w:t>
      </w:r>
      <w:r w:rsidRPr="00332BF3">
        <w:rPr>
          <w:color w:val="231F20"/>
          <w:w w:val="105"/>
        </w:rPr>
        <w:t xml:space="preserve"> </w:t>
      </w:r>
      <w:r w:rsidRPr="00332BF3" w:rsidR="29E50B1F">
        <w:rPr>
          <w:color w:val="231F20"/>
          <w:w w:val="105"/>
        </w:rPr>
        <w:t>T</w:t>
      </w:r>
      <w:r w:rsidRPr="00332BF3">
        <w:rPr>
          <w:color w:val="231F20"/>
          <w:w w:val="105"/>
        </w:rPr>
        <w:t>he Census Bureau will not incorporate revised counts into any 2020 Census</w:t>
      </w:r>
      <w:r w:rsidRPr="00332BF3" w:rsidR="446888D4">
        <w:rPr>
          <w:color w:val="231F20"/>
          <w:w w:val="105"/>
        </w:rPr>
        <w:t xml:space="preserve"> data or</w:t>
      </w:r>
      <w:r w:rsidRPr="00332BF3">
        <w:rPr>
          <w:color w:val="231F20"/>
          <w:w w:val="105"/>
        </w:rPr>
        <w:t xml:space="preserve"> data products</w:t>
      </w:r>
      <w:r w:rsidRPr="7BCF14B2">
        <w:rPr>
          <w:color w:val="231F20"/>
        </w:rPr>
        <w:t>.</w:t>
      </w:r>
    </w:p>
    <w:p w:rsidR="00013E51" w:rsidP="7BCF14B2" w:rsidRDefault="00013E51" w14:paraId="6A4494AC" w14:textId="77777777">
      <w:pPr>
        <w:pStyle w:val="BodyText"/>
        <w:spacing w:before="78" w:line="292" w:lineRule="auto"/>
        <w:ind w:left="116"/>
      </w:pPr>
    </w:p>
    <w:p w:rsidR="004C7BC3" w:rsidRDefault="00FB185F" w14:paraId="43D69E60" w14:textId="5D9CC740">
      <w:pPr>
        <w:pStyle w:val="Heading2"/>
        <w:spacing w:before="126" w:line="278" w:lineRule="auto"/>
        <w:ind w:right="262"/>
      </w:pPr>
      <w:r>
        <w:rPr>
          <w:color w:val="231F20"/>
          <w:w w:val="120"/>
        </w:rPr>
        <w:t xml:space="preserve">2020 </w:t>
      </w:r>
      <w:r w:rsidR="009824E2">
        <w:rPr>
          <w:color w:val="231F20"/>
          <w:w w:val="120"/>
        </w:rPr>
        <w:t>PCGQR</w:t>
      </w:r>
      <w:r w:rsidR="00E502B7">
        <w:rPr>
          <w:color w:val="231F20"/>
          <w:w w:val="120"/>
        </w:rPr>
        <w:t xml:space="preserve"> participants will not see</w:t>
      </w:r>
      <w:r w:rsidR="44A4CE10">
        <w:rPr>
          <w:color w:val="231F20"/>
          <w:w w:val="120"/>
        </w:rPr>
        <w:t xml:space="preserve"> the</w:t>
      </w:r>
      <w:r w:rsidR="00E502B7">
        <w:rPr>
          <w:color w:val="231F20"/>
          <w:w w:val="120"/>
        </w:rPr>
        <w:t xml:space="preserve"> </w:t>
      </w:r>
      <w:r w:rsidR="76C549B6">
        <w:rPr>
          <w:color w:val="231F20"/>
          <w:w w:val="120"/>
        </w:rPr>
        <w:t>actual</w:t>
      </w:r>
      <w:r w:rsidR="00E502B7">
        <w:rPr>
          <w:color w:val="231F20"/>
          <w:w w:val="120"/>
        </w:rPr>
        <w:t xml:space="preserve"> population counts </w:t>
      </w:r>
      <w:r w:rsidR="3090C00F">
        <w:rPr>
          <w:color w:val="231F20"/>
          <w:w w:val="120"/>
        </w:rPr>
        <w:t xml:space="preserve">a specific </w:t>
      </w:r>
      <w:r w:rsidR="00E502B7">
        <w:rPr>
          <w:color w:val="231F20"/>
          <w:w w:val="120"/>
        </w:rPr>
        <w:t>census block because they are subject to privacy</w:t>
      </w:r>
      <w:r w:rsidR="3F31A10C">
        <w:rPr>
          <w:color w:val="231F20"/>
          <w:w w:val="120"/>
        </w:rPr>
        <w:t xml:space="preserve"> protections</w:t>
      </w:r>
      <w:r w:rsidR="00E502B7">
        <w:rPr>
          <w:color w:val="231F20"/>
          <w:w w:val="120"/>
        </w:rPr>
        <w:t>.</w:t>
      </w:r>
    </w:p>
    <w:p w:rsidR="004C7BC3" w:rsidRDefault="00E502B7" w14:paraId="1B869E39" w14:textId="7FED0E1D">
      <w:pPr>
        <w:pStyle w:val="BodyText"/>
        <w:spacing w:before="78" w:line="292" w:lineRule="auto"/>
        <w:ind w:left="116"/>
      </w:pPr>
      <w:r>
        <w:rPr>
          <w:color w:val="231F20"/>
          <w:w w:val="105"/>
        </w:rPr>
        <w:t>2020 Census data, including population counts associated with individual census blocks,</w:t>
      </w:r>
      <w:r>
        <w:rPr>
          <w:color w:val="231F20"/>
          <w:spacing w:val="-35"/>
          <w:w w:val="105"/>
        </w:rPr>
        <w:t xml:space="preserve"> </w:t>
      </w:r>
      <w:r>
        <w:rPr>
          <w:color w:val="231F20"/>
          <w:w w:val="105"/>
        </w:rPr>
        <w:t>are</w:t>
      </w:r>
      <w:r>
        <w:rPr>
          <w:color w:val="231F20"/>
          <w:spacing w:val="-34"/>
          <w:w w:val="105"/>
        </w:rPr>
        <w:t xml:space="preserve"> </w:t>
      </w:r>
      <w:r>
        <w:rPr>
          <w:color w:val="231F20"/>
          <w:w w:val="105"/>
        </w:rPr>
        <w:t>subject</w:t>
      </w:r>
      <w:r>
        <w:rPr>
          <w:color w:val="231F20"/>
          <w:spacing w:val="-34"/>
          <w:w w:val="105"/>
        </w:rPr>
        <w:t xml:space="preserve"> </w:t>
      </w:r>
      <w:r>
        <w:rPr>
          <w:color w:val="231F20"/>
          <w:w w:val="105"/>
        </w:rPr>
        <w:t>to</w:t>
      </w:r>
      <w:r>
        <w:rPr>
          <w:color w:val="231F20"/>
          <w:spacing w:val="-34"/>
          <w:w w:val="105"/>
        </w:rPr>
        <w:t xml:space="preserve"> </w:t>
      </w:r>
      <w:r>
        <w:rPr>
          <w:color w:val="231F20"/>
          <w:w w:val="105"/>
        </w:rPr>
        <w:t>disclosure</w:t>
      </w:r>
      <w:r>
        <w:rPr>
          <w:color w:val="231F20"/>
          <w:spacing w:val="-34"/>
          <w:w w:val="105"/>
        </w:rPr>
        <w:t xml:space="preserve"> </w:t>
      </w:r>
      <w:r>
        <w:rPr>
          <w:color w:val="231F20"/>
          <w:w w:val="105"/>
        </w:rPr>
        <w:t>avoidance</w:t>
      </w:r>
      <w:r>
        <w:rPr>
          <w:color w:val="231F20"/>
          <w:spacing w:val="-34"/>
          <w:w w:val="105"/>
        </w:rPr>
        <w:t xml:space="preserve"> </w:t>
      </w:r>
      <w:r>
        <w:rPr>
          <w:color w:val="231F20"/>
          <w:w w:val="105"/>
        </w:rPr>
        <w:t>methods.</w:t>
      </w:r>
      <w:r>
        <w:rPr>
          <w:color w:val="231F20"/>
          <w:spacing w:val="-34"/>
          <w:w w:val="105"/>
        </w:rPr>
        <w:t xml:space="preserve"> </w:t>
      </w:r>
      <w:r>
        <w:rPr>
          <w:color w:val="231F20"/>
          <w:w w:val="105"/>
        </w:rPr>
        <w:t>For</w:t>
      </w:r>
      <w:r>
        <w:rPr>
          <w:color w:val="231F20"/>
          <w:spacing w:val="-34"/>
          <w:w w:val="105"/>
        </w:rPr>
        <w:t xml:space="preserve"> </w:t>
      </w:r>
      <w:r>
        <w:rPr>
          <w:color w:val="231F20"/>
          <w:w w:val="105"/>
        </w:rPr>
        <w:t>more</w:t>
      </w:r>
      <w:r>
        <w:rPr>
          <w:color w:val="231F20"/>
          <w:spacing w:val="-34"/>
          <w:w w:val="105"/>
        </w:rPr>
        <w:t xml:space="preserve"> </w:t>
      </w:r>
      <w:r>
        <w:rPr>
          <w:color w:val="231F20"/>
          <w:w w:val="105"/>
        </w:rPr>
        <w:t>information</w:t>
      </w:r>
      <w:r>
        <w:rPr>
          <w:color w:val="231F20"/>
          <w:spacing w:val="-34"/>
          <w:w w:val="105"/>
        </w:rPr>
        <w:t xml:space="preserve"> </w:t>
      </w:r>
      <w:r>
        <w:rPr>
          <w:color w:val="231F20"/>
          <w:w w:val="105"/>
        </w:rPr>
        <w:t>on</w:t>
      </w:r>
      <w:r>
        <w:rPr>
          <w:color w:val="231F20"/>
          <w:spacing w:val="-34"/>
          <w:w w:val="105"/>
        </w:rPr>
        <w:t xml:space="preserve"> </w:t>
      </w:r>
      <w:r>
        <w:rPr>
          <w:color w:val="231F20"/>
          <w:w w:val="105"/>
        </w:rPr>
        <w:t>Census Bureau</w:t>
      </w:r>
      <w:r>
        <w:rPr>
          <w:color w:val="231F20"/>
          <w:spacing w:val="-25"/>
          <w:w w:val="105"/>
        </w:rPr>
        <w:t xml:space="preserve"> </w:t>
      </w:r>
      <w:r>
        <w:rPr>
          <w:color w:val="231F20"/>
          <w:w w:val="105"/>
        </w:rPr>
        <w:t>disclosure</w:t>
      </w:r>
      <w:r>
        <w:rPr>
          <w:color w:val="231F20"/>
          <w:spacing w:val="-24"/>
          <w:w w:val="105"/>
        </w:rPr>
        <w:t xml:space="preserve"> </w:t>
      </w:r>
      <w:r>
        <w:rPr>
          <w:color w:val="231F20"/>
          <w:w w:val="105"/>
        </w:rPr>
        <w:t>avoidance</w:t>
      </w:r>
      <w:r>
        <w:rPr>
          <w:color w:val="231F20"/>
          <w:spacing w:val="-24"/>
          <w:w w:val="105"/>
        </w:rPr>
        <w:t xml:space="preserve"> </w:t>
      </w:r>
      <w:r>
        <w:rPr>
          <w:color w:val="231F20"/>
          <w:w w:val="105"/>
        </w:rPr>
        <w:t>methods</w:t>
      </w:r>
      <w:r>
        <w:rPr>
          <w:color w:val="231F20"/>
          <w:spacing w:val="-24"/>
          <w:w w:val="105"/>
        </w:rPr>
        <w:t xml:space="preserve"> </w:t>
      </w:r>
      <w:r>
        <w:rPr>
          <w:color w:val="231F20"/>
          <w:w w:val="105"/>
        </w:rPr>
        <w:t>and</w:t>
      </w:r>
      <w:r>
        <w:rPr>
          <w:color w:val="231F20"/>
          <w:spacing w:val="-24"/>
          <w:w w:val="105"/>
        </w:rPr>
        <w:t xml:space="preserve"> </w:t>
      </w:r>
      <w:r>
        <w:rPr>
          <w:color w:val="231F20"/>
          <w:w w:val="105"/>
        </w:rPr>
        <w:t>efforts</w:t>
      </w:r>
      <w:r>
        <w:rPr>
          <w:color w:val="231F20"/>
          <w:spacing w:val="-24"/>
          <w:w w:val="105"/>
        </w:rPr>
        <w:t xml:space="preserve"> </w:t>
      </w:r>
      <w:r>
        <w:rPr>
          <w:color w:val="231F20"/>
          <w:w w:val="105"/>
        </w:rPr>
        <w:t>to</w:t>
      </w:r>
      <w:r>
        <w:rPr>
          <w:color w:val="231F20"/>
          <w:spacing w:val="-24"/>
          <w:w w:val="105"/>
        </w:rPr>
        <w:t xml:space="preserve"> </w:t>
      </w:r>
      <w:r>
        <w:rPr>
          <w:color w:val="231F20"/>
          <w:w w:val="105"/>
        </w:rPr>
        <w:t>ensure</w:t>
      </w:r>
      <w:r>
        <w:rPr>
          <w:color w:val="231F20"/>
          <w:spacing w:val="-24"/>
          <w:w w:val="105"/>
        </w:rPr>
        <w:t xml:space="preserve"> </w:t>
      </w:r>
      <w:r>
        <w:rPr>
          <w:color w:val="231F20"/>
          <w:w w:val="105"/>
        </w:rPr>
        <w:t>individuals'</w:t>
      </w:r>
      <w:r>
        <w:rPr>
          <w:color w:val="231F20"/>
          <w:spacing w:val="-24"/>
          <w:w w:val="105"/>
        </w:rPr>
        <w:t xml:space="preserve"> </w:t>
      </w:r>
      <w:r>
        <w:rPr>
          <w:color w:val="231F20"/>
          <w:spacing w:val="-3"/>
          <w:w w:val="105"/>
        </w:rPr>
        <w:t>privacy,</w:t>
      </w:r>
      <w:r>
        <w:rPr>
          <w:color w:val="231F20"/>
          <w:spacing w:val="-24"/>
          <w:w w:val="105"/>
        </w:rPr>
        <w:t xml:space="preserve"> </w:t>
      </w:r>
      <w:r>
        <w:rPr>
          <w:color w:val="231F20"/>
          <w:w w:val="105"/>
        </w:rPr>
        <w:t>visit</w:t>
      </w:r>
    </w:p>
    <w:p w:rsidR="004C7BC3" w:rsidRDefault="00E502B7" w14:paraId="16709FEA" w14:textId="77777777">
      <w:pPr>
        <w:pStyle w:val="BodyText"/>
        <w:spacing w:before="2"/>
        <w:ind w:left="116"/>
      </w:pPr>
      <w:r>
        <w:rPr>
          <w:color w:val="231F20"/>
        </w:rPr>
        <w:t>&lt;</w:t>
      </w:r>
      <w:hyperlink r:id="rId12">
        <w:r>
          <w:rPr>
            <w:color w:val="231F20"/>
          </w:rPr>
          <w:t>www.census.gov/programs-surveys/decennial-census/decade/2020/planning</w:t>
        </w:r>
      </w:hyperlink>
    </w:p>
    <w:p w:rsidR="005A09D3" w:rsidP="181CD498" w:rsidRDefault="00E502B7" w14:paraId="79B3981D" w14:textId="4C9C8387">
      <w:pPr>
        <w:pStyle w:val="BodyText"/>
        <w:spacing w:before="49" w:line="292" w:lineRule="auto"/>
        <w:ind w:left="116" w:right="90"/>
        <w:rPr>
          <w:color w:val="231F20"/>
        </w:rPr>
      </w:pPr>
      <w:r w:rsidRPr="181CD498">
        <w:rPr>
          <w:color w:val="231F20"/>
        </w:rPr>
        <w:t xml:space="preserve">-management/process/disclosure-avoidance.html&gt;. These measures are taken to protect the privacy of the individuals who live in housing units and group quarters. Therefore, </w:t>
      </w:r>
      <w:r w:rsidRPr="181CD498" w:rsidR="00FB185F">
        <w:rPr>
          <w:color w:val="231F20"/>
        </w:rPr>
        <w:t xml:space="preserve">2020 </w:t>
      </w:r>
      <w:r w:rsidRPr="181CD498" w:rsidR="009824E2">
        <w:rPr>
          <w:color w:val="231F20"/>
        </w:rPr>
        <w:t>PCGQR</w:t>
      </w:r>
      <w:r w:rsidRPr="181CD498">
        <w:rPr>
          <w:color w:val="231F20"/>
        </w:rPr>
        <w:t xml:space="preserve"> participants will not see precise counts of people below the state level in published data</w:t>
      </w:r>
      <w:r w:rsidR="00BB08BD">
        <w:rPr>
          <w:color w:val="231F20"/>
        </w:rPr>
        <w:t xml:space="preserve"> or in corrected data</w:t>
      </w:r>
      <w:r w:rsidRPr="181CD498">
        <w:rPr>
          <w:color w:val="231F20"/>
        </w:rPr>
        <w:t xml:space="preserve">. If corrections are warranted regarding </w:t>
      </w:r>
      <w:r w:rsidR="006E74E8">
        <w:rPr>
          <w:color w:val="231F20"/>
        </w:rPr>
        <w:t>the group quarters population counts</w:t>
      </w:r>
      <w:r w:rsidRPr="181CD498">
        <w:rPr>
          <w:color w:val="231F20"/>
        </w:rPr>
        <w:t xml:space="preserve">, the Census Bureau </w:t>
      </w:r>
      <w:r w:rsidRPr="181CD498" w:rsidR="00906FA8">
        <w:rPr>
          <w:color w:val="231F20"/>
        </w:rPr>
        <w:t xml:space="preserve">will </w:t>
      </w:r>
      <w:r w:rsidR="00906FA8">
        <w:rPr>
          <w:color w:val="231F20"/>
        </w:rPr>
        <w:t>send a</w:t>
      </w:r>
      <w:r w:rsidRPr="00906FA8" w:rsidR="00906FA8">
        <w:rPr>
          <w:color w:val="231F20"/>
        </w:rPr>
        <w:t xml:space="preserve"> letter with the decision </w:t>
      </w:r>
      <w:r w:rsidR="00906FA8">
        <w:rPr>
          <w:color w:val="231F20"/>
        </w:rPr>
        <w:t xml:space="preserve">to the highest elected official of </w:t>
      </w:r>
      <w:r w:rsidRPr="181CD498">
        <w:rPr>
          <w:color w:val="231F20"/>
        </w:rPr>
        <w:t xml:space="preserve">the </w:t>
      </w:r>
      <w:r w:rsidRPr="181CD498" w:rsidR="00885A20">
        <w:rPr>
          <w:color w:val="231F20"/>
        </w:rPr>
        <w:t>governmental unit</w:t>
      </w:r>
      <w:r w:rsidRPr="181CD498">
        <w:rPr>
          <w:color w:val="231F20"/>
        </w:rPr>
        <w:t>.</w:t>
      </w:r>
    </w:p>
    <w:p w:rsidR="005A09D3" w:rsidRDefault="005A09D3" w14:paraId="69AAE06C" w14:textId="77777777">
      <w:pPr>
        <w:rPr>
          <w:color w:val="231F20"/>
          <w:sz w:val="18"/>
          <w:szCs w:val="18"/>
        </w:rPr>
      </w:pPr>
      <w:r>
        <w:rPr>
          <w:color w:val="231F20"/>
        </w:rPr>
        <w:br w:type="page"/>
      </w:r>
    </w:p>
    <w:p w:rsidR="004C7BC3" w:rsidP="181CD498" w:rsidRDefault="004C7BC3" w14:paraId="56CFC239" w14:textId="77777777">
      <w:pPr>
        <w:pStyle w:val="BodyText"/>
        <w:spacing w:before="49" w:line="292" w:lineRule="auto"/>
        <w:ind w:left="116" w:right="90"/>
        <w:rPr>
          <w:color w:val="231F20"/>
        </w:rPr>
      </w:pPr>
    </w:p>
    <w:p w:rsidR="00275F87" w:rsidRDefault="00E502B7" w14:paraId="67D68214" w14:textId="51418CBC">
      <w:pPr>
        <w:pStyle w:val="BodyText"/>
        <w:spacing w:line="218" w:lineRule="exact"/>
        <w:ind w:left="542"/>
      </w:pPr>
      <w:r>
        <w:br w:type="column"/>
      </w:r>
      <w:r w:rsidR="00275F87">
        <w:t xml:space="preserve">Schedule </w:t>
      </w:r>
    </w:p>
    <w:p w:rsidR="00275F87" w:rsidRDefault="00275F87" w14:paraId="31B5F335" w14:textId="77777777">
      <w:pPr>
        <w:pStyle w:val="BodyText"/>
        <w:spacing w:line="218" w:lineRule="exact"/>
        <w:ind w:left="542"/>
      </w:pPr>
    </w:p>
    <w:p w:rsidR="004C7BC3" w:rsidP="181CD498" w:rsidRDefault="00E502B7" w14:paraId="4FE94E1C" w14:textId="2B492FA7">
      <w:pPr>
        <w:pStyle w:val="BodyText"/>
        <w:spacing w:line="218" w:lineRule="exact"/>
        <w:ind w:left="542"/>
        <w:rPr>
          <w:color w:val="231F20"/>
        </w:rPr>
      </w:pPr>
      <w:r>
        <w:rPr>
          <w:color w:val="231F20"/>
          <w:w w:val="105"/>
        </w:rPr>
        <w:t xml:space="preserve">2020 </w:t>
      </w:r>
      <w:r w:rsidR="009824E2">
        <w:rPr>
          <w:color w:val="231F20"/>
          <w:w w:val="105"/>
        </w:rPr>
        <w:t>PCGQR</w:t>
      </w:r>
      <w:r>
        <w:rPr>
          <w:color w:val="231F20"/>
          <w:w w:val="105"/>
        </w:rPr>
        <w:t xml:space="preserve"> occurs between</w:t>
      </w:r>
    </w:p>
    <w:p w:rsidR="004C7BC3" w:rsidRDefault="00F662DC" w14:paraId="446672B8" w14:textId="32FAA79F">
      <w:pPr>
        <w:pStyle w:val="Heading3"/>
        <w:ind w:left="570"/>
        <w:rPr>
          <w:rFonts w:ascii="Century Gothic"/>
          <w:b w:val="0"/>
          <w:bCs w:val="0"/>
        </w:rPr>
      </w:pPr>
      <w:r w:rsidRPr="002D4563">
        <w:rPr>
          <w:color w:val="231F20"/>
          <w:w w:val="115"/>
          <w:highlight w:val="yellow"/>
        </w:rPr>
        <w:t>June X</w:t>
      </w:r>
      <w:r w:rsidRPr="002D4563" w:rsidR="00E502B7">
        <w:rPr>
          <w:color w:val="231F20"/>
          <w:w w:val="115"/>
          <w:highlight w:val="yellow"/>
        </w:rPr>
        <w:t>, 2022</w:t>
      </w:r>
      <w:r w:rsidR="00E502B7">
        <w:rPr>
          <w:color w:val="231F20"/>
          <w:w w:val="115"/>
        </w:rPr>
        <w:t xml:space="preserve">, </w:t>
      </w:r>
      <w:r w:rsidR="00E502B7">
        <w:rPr>
          <w:rFonts w:ascii="Century Gothic"/>
          <w:b w:val="0"/>
          <w:bCs w:val="0"/>
          <w:color w:val="231F20"/>
          <w:w w:val="115"/>
        </w:rPr>
        <w:t xml:space="preserve">and </w:t>
      </w:r>
      <w:r w:rsidRPr="007D64D5" w:rsidR="22100D2F">
        <w:rPr>
          <w:color w:val="231F20"/>
          <w:w w:val="115"/>
          <w:highlight w:val="yellow"/>
        </w:rPr>
        <w:t xml:space="preserve">September </w:t>
      </w:r>
      <w:r w:rsidRPr="007D64D5" w:rsidR="00E502B7">
        <w:rPr>
          <w:color w:val="231F20"/>
          <w:w w:val="115"/>
          <w:highlight w:val="yellow"/>
        </w:rPr>
        <w:t>30</w:t>
      </w:r>
      <w:r w:rsidR="00E502B7">
        <w:rPr>
          <w:color w:val="231F20"/>
          <w:w w:val="115"/>
        </w:rPr>
        <w:t>, 2023</w:t>
      </w:r>
      <w:r w:rsidR="00E502B7">
        <w:rPr>
          <w:rFonts w:ascii="Century Gothic"/>
          <w:b w:val="0"/>
          <w:bCs w:val="0"/>
          <w:color w:val="231F20"/>
          <w:w w:val="115"/>
        </w:rPr>
        <w:t>.</w:t>
      </w:r>
    </w:p>
    <w:p w:rsidR="00275F87" w:rsidP="00402C40" w:rsidRDefault="25736283" w14:paraId="1C15EA5B" w14:textId="63297BCC">
      <w:pPr>
        <w:pStyle w:val="Heading3"/>
        <w:ind w:left="570"/>
        <w:rPr>
          <w:color w:val="231F20"/>
          <w:w w:val="105"/>
        </w:rPr>
      </w:pPr>
      <w:r w:rsidRPr="00910D1D">
        <w:rPr>
          <w:rFonts w:ascii="Century Gothic" w:hAnsi="Century Gothic" w:eastAsia="Century Gothic" w:cs="Century Gothic"/>
          <w:b w:val="0"/>
          <w:bCs w:val="0"/>
          <w:color w:val="231F20"/>
          <w:w w:val="105"/>
        </w:rPr>
        <w:t xml:space="preserve">After the Census Bureau notifies the highest elected or appointed official in each tribal, state, and local government in May 2022, it accepts cases for the 2020 Post-Census Group Quarters Review (PCGQR) between June X, 2022, and June 30, 2023.  The review concludes on September 30, 2023, after which </w:t>
      </w:r>
      <w:r w:rsidR="00402C40">
        <w:rPr>
          <w:rFonts w:ascii="Century Gothic" w:hAnsi="Century Gothic" w:eastAsia="Century Gothic" w:cs="Century Gothic"/>
          <w:b w:val="0"/>
          <w:bCs w:val="0"/>
          <w:color w:val="231F20"/>
          <w:w w:val="105"/>
        </w:rPr>
        <w:t xml:space="preserve">revised group quarters population </w:t>
      </w:r>
      <w:r w:rsidRPr="00402C40" w:rsidR="00402C40">
        <w:rPr>
          <w:rFonts w:ascii="Century Gothic" w:hAnsi="Century Gothic" w:eastAsia="Century Gothic" w:cs="Century Gothic"/>
          <w:b w:val="0"/>
          <w:bCs w:val="0"/>
          <w:color w:val="231F20"/>
          <w:w w:val="105"/>
        </w:rPr>
        <w:t xml:space="preserve">will be provided to the Population Estimates Program for incorporation into the base population for upcoming vintages of estimates and will be included in the next possible population base as the production schedule allows. </w:t>
      </w:r>
    </w:p>
    <w:p w:rsidR="00275F87" w:rsidRDefault="00275F87" w14:paraId="2DB24E57" w14:textId="77777777">
      <w:pPr>
        <w:pStyle w:val="BodyText"/>
        <w:ind w:left="216"/>
        <w:rPr>
          <w:color w:val="231F20"/>
          <w:w w:val="105"/>
        </w:rPr>
      </w:pPr>
    </w:p>
    <w:p w:rsidR="00275F87" w:rsidRDefault="00275F87" w14:paraId="7E688324" w14:textId="77777777">
      <w:pPr>
        <w:pStyle w:val="BodyText"/>
        <w:ind w:left="216"/>
        <w:rPr>
          <w:color w:val="231F20"/>
          <w:w w:val="105"/>
        </w:rPr>
      </w:pPr>
    </w:p>
    <w:p w:rsidR="00275F87" w:rsidRDefault="00275F87" w14:paraId="4E42CDAA" w14:textId="77777777">
      <w:pPr>
        <w:pStyle w:val="BodyText"/>
        <w:ind w:left="216"/>
        <w:rPr>
          <w:color w:val="231F20"/>
          <w:w w:val="105"/>
        </w:rPr>
      </w:pPr>
    </w:p>
    <w:p w:rsidR="004C7BC3" w:rsidRDefault="00E502B7" w14:paraId="11145FC1" w14:textId="050DBD14">
      <w:pPr>
        <w:pStyle w:val="BodyText"/>
        <w:ind w:left="216"/>
      </w:pPr>
      <w:r>
        <w:rPr>
          <w:color w:val="231F20"/>
          <w:w w:val="105"/>
        </w:rPr>
        <w:t>For more information about 2020</w:t>
      </w:r>
    </w:p>
    <w:p w:rsidR="004C7BC3" w:rsidP="002D4563" w:rsidRDefault="009824E2" w14:paraId="50764D32" w14:textId="61A32E46">
      <w:pPr>
        <w:pStyle w:val="BodyText"/>
        <w:spacing w:before="39"/>
        <w:ind w:left="163"/>
      </w:pPr>
      <w:r>
        <w:rPr>
          <w:color w:val="231F20"/>
          <w:w w:val="105"/>
        </w:rPr>
        <w:t>PCGQR</w:t>
      </w:r>
      <w:r w:rsidR="00E502B7">
        <w:rPr>
          <w:color w:val="231F20"/>
          <w:w w:val="105"/>
        </w:rPr>
        <w:t>, please visit</w:t>
      </w:r>
      <w:r w:rsidR="002360FF">
        <w:rPr>
          <w:color w:val="231F20"/>
          <w:w w:val="105"/>
        </w:rPr>
        <w:t xml:space="preserve"> </w:t>
      </w:r>
      <w:r w:rsidRPr="002D4563" w:rsidR="002360FF">
        <w:rPr>
          <w:color w:val="231F20"/>
          <w:w w:val="105"/>
          <w:highlight w:val="yellow"/>
        </w:rPr>
        <w:t>&lt;</w:t>
      </w:r>
      <w:r w:rsidRPr="002D4563" w:rsidR="002360FF">
        <w:rPr>
          <w:highlight w:val="yellow"/>
        </w:rPr>
        <w:t>website</w:t>
      </w:r>
      <w:r w:rsidRPr="002D4563" w:rsidR="00E502B7">
        <w:rPr>
          <w:color w:val="231F20"/>
          <w:w w:val="95"/>
          <w:highlight w:val="yellow"/>
        </w:rPr>
        <w:t>&gt;.</w:t>
      </w:r>
    </w:p>
    <w:p w:rsidR="004C7BC3" w:rsidRDefault="004C7BC3" w14:paraId="657C55B9" w14:textId="77777777">
      <w:pPr>
        <w:sectPr w:rsidR="004C7BC3">
          <w:headerReference w:type="default" r:id="rId13"/>
          <w:footerReference w:type="default" r:id="rId14"/>
          <w:type w:val="continuous"/>
          <w:pgSz w:w="12240" w:h="15840"/>
          <w:pgMar w:top="480" w:right="260" w:bottom="280" w:left="320" w:header="720" w:footer="720" w:gutter="0"/>
          <w:cols w:equalWidth="0" w:space="720" w:num="2">
            <w:col w:w="7647" w:space="40"/>
            <w:col w:w="3973"/>
          </w:cols>
        </w:sectPr>
      </w:pPr>
    </w:p>
    <w:p w:rsidR="004C7BC3" w:rsidRDefault="004C7BC3" w14:paraId="6DF17CE3" w14:textId="69A37B9D">
      <w:pPr>
        <w:pStyle w:val="BodyText"/>
        <w:spacing w:before="2"/>
        <w:rPr>
          <w:sz w:val="12"/>
        </w:rPr>
      </w:pPr>
    </w:p>
    <w:p w:rsidR="004C7BC3" w:rsidRDefault="00E502B7" w14:paraId="6450F2C5" w14:textId="77777777">
      <w:pPr>
        <w:pStyle w:val="BodyText"/>
        <w:spacing w:before="98" w:line="290" w:lineRule="auto"/>
        <w:ind w:left="7586" w:right="272" w:firstLine="32"/>
      </w:pPr>
      <w:r>
        <w:rPr>
          <w:color w:val="231F20"/>
        </w:rPr>
        <w:t>For additional assistance, please contact the Census Bureau by e-mail at</w:t>
      </w:r>
    </w:p>
    <w:p w:rsidR="004C7BC3" w:rsidRDefault="00F662DC" w14:paraId="107E5566" w14:textId="5F441535">
      <w:pPr>
        <w:pStyle w:val="BodyText"/>
        <w:spacing w:line="283" w:lineRule="auto"/>
        <w:ind w:left="7452" w:right="272" w:firstLine="66"/>
      </w:pPr>
      <w:r w:rsidRPr="00F662DC">
        <w:t>&lt;dcmd.pcgqr@census.gov&gt;</w:t>
      </w:r>
      <w:r w:rsidR="00E502B7">
        <w:rPr>
          <w:color w:val="231F20"/>
          <w:w w:val="105"/>
        </w:rPr>
        <w:t xml:space="preserve">or by telephone at </w:t>
      </w:r>
      <w:r>
        <w:rPr>
          <w:color w:val="231F20"/>
          <w:w w:val="105"/>
        </w:rPr>
        <w:t>TBD</w:t>
      </w:r>
      <w:r w:rsidR="00E502B7">
        <w:rPr>
          <w:color w:val="231F20"/>
          <w:w w:val="105"/>
        </w:rPr>
        <w:t>.</w:t>
      </w:r>
    </w:p>
    <w:p w:rsidR="004C7BC3" w:rsidRDefault="004C7BC3" w14:paraId="599ED7C2" w14:textId="77777777">
      <w:pPr>
        <w:spacing w:line="283" w:lineRule="auto"/>
        <w:sectPr w:rsidR="004C7BC3">
          <w:headerReference w:type="default" r:id="rId15"/>
          <w:footerReference w:type="default" r:id="rId16"/>
          <w:type w:val="continuous"/>
          <w:pgSz w:w="12240" w:h="15840"/>
          <w:pgMar w:top="480" w:right="260" w:bottom="280" w:left="320" w:header="720" w:footer="720" w:gutter="0"/>
          <w:cols w:space="720"/>
        </w:sectPr>
      </w:pPr>
    </w:p>
    <w:p w:rsidR="004C7BC3" w:rsidRDefault="004C7BC3" w14:paraId="3DC82609" w14:textId="77777777">
      <w:pPr>
        <w:pStyle w:val="BodyText"/>
        <w:spacing w:before="8"/>
        <w:rPr>
          <w:sz w:val="19"/>
        </w:rPr>
      </w:pPr>
    </w:p>
    <w:p w:rsidR="004C7BC3" w:rsidRDefault="004C7BC3" w14:paraId="42680B13" w14:textId="77777777">
      <w:pPr>
        <w:rPr>
          <w:sz w:val="19"/>
        </w:rPr>
        <w:sectPr w:rsidR="004C7BC3">
          <w:headerReference w:type="default" r:id="rId17"/>
          <w:footerReference w:type="default" r:id="rId18"/>
          <w:pgSz w:w="12240" w:h="15840"/>
          <w:pgMar w:top="320" w:right="260" w:bottom="0" w:left="320" w:header="720" w:footer="720" w:gutter="0"/>
          <w:cols w:space="720"/>
        </w:sectPr>
      </w:pPr>
    </w:p>
    <w:p w:rsidR="00275F87" w:rsidP="00275F87" w:rsidRDefault="00275F87" w14:paraId="77B861FB" w14:textId="721B0E74">
      <w:pPr>
        <w:pStyle w:val="Heading2"/>
        <w:spacing w:before="128" w:line="278" w:lineRule="auto"/>
        <w:ind w:right="262"/>
      </w:pPr>
      <w:r>
        <w:rPr>
          <w:color w:val="231F20"/>
          <w:w w:val="120"/>
        </w:rPr>
        <w:t>The Census Bureau will respond to all 2020 PCGQR requests and notify all affected governments of any corrections to official counts.</w:t>
      </w:r>
    </w:p>
    <w:p w:rsidR="00275F87" w:rsidP="00275F87" w:rsidRDefault="00275F87" w14:paraId="7793C208" w14:textId="039DFAE1">
      <w:pPr>
        <w:pStyle w:val="BodyText"/>
        <w:spacing w:before="77" w:line="292" w:lineRule="auto"/>
        <w:ind w:left="116" w:right="682"/>
      </w:pPr>
      <w:r>
        <w:rPr>
          <w:color w:val="231F20"/>
          <w:w w:val="105"/>
        </w:rPr>
        <w:t>The</w:t>
      </w:r>
      <w:r>
        <w:rPr>
          <w:color w:val="231F20"/>
          <w:spacing w:val="-21"/>
          <w:w w:val="105"/>
        </w:rPr>
        <w:t xml:space="preserve"> </w:t>
      </w:r>
      <w:r>
        <w:rPr>
          <w:color w:val="231F20"/>
          <w:w w:val="105"/>
        </w:rPr>
        <w:t>Census</w:t>
      </w:r>
      <w:r>
        <w:rPr>
          <w:color w:val="231F20"/>
          <w:spacing w:val="-21"/>
          <w:w w:val="105"/>
        </w:rPr>
        <w:t xml:space="preserve"> </w:t>
      </w:r>
      <w:r>
        <w:rPr>
          <w:color w:val="231F20"/>
          <w:w w:val="105"/>
        </w:rPr>
        <w:t>Bureau</w:t>
      </w:r>
      <w:r>
        <w:rPr>
          <w:color w:val="231F20"/>
          <w:spacing w:val="-21"/>
          <w:w w:val="105"/>
        </w:rPr>
        <w:t xml:space="preserve"> </w:t>
      </w:r>
      <w:r>
        <w:rPr>
          <w:color w:val="231F20"/>
          <w:w w:val="105"/>
        </w:rPr>
        <w:t>will</w:t>
      </w:r>
      <w:r>
        <w:rPr>
          <w:color w:val="231F20"/>
          <w:spacing w:val="-21"/>
          <w:w w:val="105"/>
        </w:rPr>
        <w:t xml:space="preserve"> </w:t>
      </w:r>
      <w:r>
        <w:rPr>
          <w:color w:val="231F20"/>
          <w:w w:val="105"/>
        </w:rPr>
        <w:t>respond</w:t>
      </w:r>
      <w:r>
        <w:rPr>
          <w:color w:val="231F20"/>
          <w:spacing w:val="-21"/>
          <w:w w:val="105"/>
        </w:rPr>
        <w:t xml:space="preserve"> </w:t>
      </w:r>
      <w:r>
        <w:rPr>
          <w:color w:val="231F20"/>
          <w:w w:val="105"/>
        </w:rPr>
        <w:t>to</w:t>
      </w:r>
      <w:r>
        <w:rPr>
          <w:color w:val="231F20"/>
          <w:spacing w:val="-21"/>
          <w:w w:val="105"/>
        </w:rPr>
        <w:t xml:space="preserve"> </w:t>
      </w:r>
      <w:r>
        <w:rPr>
          <w:color w:val="231F20"/>
          <w:w w:val="105"/>
        </w:rPr>
        <w:t>all</w:t>
      </w:r>
      <w:r>
        <w:rPr>
          <w:color w:val="231F20"/>
          <w:spacing w:val="-21"/>
          <w:w w:val="105"/>
        </w:rPr>
        <w:t xml:space="preserve"> </w:t>
      </w:r>
      <w:r>
        <w:rPr>
          <w:color w:val="231F20"/>
          <w:w w:val="105"/>
        </w:rPr>
        <w:t>cases,</w:t>
      </w:r>
      <w:r>
        <w:rPr>
          <w:color w:val="231F20"/>
          <w:spacing w:val="-21"/>
          <w:w w:val="105"/>
        </w:rPr>
        <w:t xml:space="preserve"> </w:t>
      </w:r>
      <w:r>
        <w:rPr>
          <w:color w:val="231F20"/>
          <w:w w:val="105"/>
        </w:rPr>
        <w:t>even</w:t>
      </w:r>
      <w:r>
        <w:rPr>
          <w:color w:val="231F20"/>
          <w:spacing w:val="-21"/>
          <w:w w:val="105"/>
        </w:rPr>
        <w:t xml:space="preserve"> </w:t>
      </w:r>
      <w:r>
        <w:rPr>
          <w:color w:val="231F20"/>
          <w:w w:val="105"/>
        </w:rPr>
        <w:t>if</w:t>
      </w:r>
      <w:r>
        <w:rPr>
          <w:color w:val="231F20"/>
          <w:spacing w:val="-21"/>
          <w:w w:val="105"/>
        </w:rPr>
        <w:t xml:space="preserve"> </w:t>
      </w:r>
      <w:r>
        <w:rPr>
          <w:color w:val="231F20"/>
          <w:w w:val="105"/>
        </w:rPr>
        <w:t>the</w:t>
      </w:r>
      <w:r>
        <w:rPr>
          <w:color w:val="231F20"/>
          <w:spacing w:val="-21"/>
          <w:w w:val="105"/>
        </w:rPr>
        <w:t xml:space="preserve"> </w:t>
      </w:r>
      <w:r>
        <w:rPr>
          <w:color w:val="231F20"/>
          <w:w w:val="105"/>
        </w:rPr>
        <w:t>case</w:t>
      </w:r>
      <w:r>
        <w:rPr>
          <w:color w:val="231F20"/>
          <w:spacing w:val="-21"/>
          <w:w w:val="105"/>
        </w:rPr>
        <w:t xml:space="preserve"> </w:t>
      </w:r>
      <w:r>
        <w:rPr>
          <w:color w:val="231F20"/>
          <w:w w:val="105"/>
        </w:rPr>
        <w:t>is</w:t>
      </w:r>
      <w:r>
        <w:rPr>
          <w:color w:val="231F20"/>
          <w:spacing w:val="-21"/>
          <w:w w:val="105"/>
        </w:rPr>
        <w:t xml:space="preserve"> </w:t>
      </w:r>
      <w:r>
        <w:rPr>
          <w:color w:val="231F20"/>
          <w:w w:val="105"/>
        </w:rPr>
        <w:t>considered</w:t>
      </w:r>
      <w:r w:rsidR="6B552F0B">
        <w:rPr>
          <w:color w:val="231F20"/>
          <w:w w:val="105"/>
        </w:rPr>
        <w:t xml:space="preserve"> ineligible</w:t>
      </w:r>
      <w:r>
        <w:rPr>
          <w:color w:val="231F20"/>
          <w:spacing w:val="-16"/>
          <w:w w:val="105"/>
        </w:rPr>
        <w:t xml:space="preserve"> </w:t>
      </w:r>
      <w:r>
        <w:rPr>
          <w:color w:val="231F20"/>
          <w:w w:val="105"/>
        </w:rPr>
        <w:t>for</w:t>
      </w:r>
      <w:r>
        <w:rPr>
          <w:color w:val="231F20"/>
          <w:spacing w:val="-16"/>
          <w:w w:val="105"/>
        </w:rPr>
        <w:t xml:space="preserve"> 2020 </w:t>
      </w:r>
      <w:r w:rsidR="00FD3772">
        <w:rPr>
          <w:color w:val="231F20"/>
          <w:w w:val="105"/>
        </w:rPr>
        <w:t>PCGQR</w:t>
      </w:r>
      <w:r w:rsidRPr="7BCF14B2" w:rsidR="00FD3772">
        <w:rPr>
          <w:color w:val="231F20"/>
        </w:rPr>
        <w:t xml:space="preserve"> and</w:t>
      </w:r>
      <w:r>
        <w:rPr>
          <w:color w:val="231F20"/>
          <w:spacing w:val="-16"/>
          <w:w w:val="105"/>
        </w:rPr>
        <w:t xml:space="preserve"> </w:t>
      </w:r>
      <w:r>
        <w:rPr>
          <w:color w:val="231F20"/>
          <w:w w:val="105"/>
        </w:rPr>
        <w:t>will</w:t>
      </w:r>
      <w:r>
        <w:rPr>
          <w:color w:val="231F20"/>
          <w:spacing w:val="-16"/>
          <w:w w:val="105"/>
        </w:rPr>
        <w:t xml:space="preserve"> </w:t>
      </w:r>
      <w:r>
        <w:rPr>
          <w:color w:val="231F20"/>
          <w:w w:val="105"/>
        </w:rPr>
        <w:t>notify</w:t>
      </w:r>
      <w:r>
        <w:rPr>
          <w:color w:val="231F20"/>
          <w:spacing w:val="-15"/>
          <w:w w:val="105"/>
        </w:rPr>
        <w:t xml:space="preserve"> </w:t>
      </w:r>
      <w:r>
        <w:rPr>
          <w:color w:val="231F20"/>
          <w:w w:val="105"/>
        </w:rPr>
        <w:t>all</w:t>
      </w:r>
      <w:r>
        <w:rPr>
          <w:color w:val="231F20"/>
          <w:spacing w:val="-16"/>
          <w:w w:val="105"/>
        </w:rPr>
        <w:t xml:space="preserve"> </w:t>
      </w:r>
      <w:r>
        <w:rPr>
          <w:color w:val="231F20"/>
          <w:w w:val="105"/>
        </w:rPr>
        <w:t>affected</w:t>
      </w:r>
      <w:r>
        <w:rPr>
          <w:color w:val="231F20"/>
          <w:spacing w:val="-16"/>
          <w:w w:val="105"/>
        </w:rPr>
        <w:t xml:space="preserve"> </w:t>
      </w:r>
      <w:r w:rsidRPr="7BCF14B2" w:rsidR="00C57961">
        <w:rPr>
          <w:color w:val="231F20"/>
        </w:rPr>
        <w:t xml:space="preserve">governmental units </w:t>
      </w:r>
      <w:r>
        <w:rPr>
          <w:color w:val="231F20"/>
          <w:w w:val="105"/>
        </w:rPr>
        <w:t>of</w:t>
      </w:r>
      <w:r>
        <w:rPr>
          <w:color w:val="231F20"/>
          <w:spacing w:val="-15"/>
          <w:w w:val="105"/>
        </w:rPr>
        <w:t xml:space="preserve"> </w:t>
      </w:r>
      <w:r>
        <w:rPr>
          <w:color w:val="231F20"/>
          <w:w w:val="105"/>
        </w:rPr>
        <w:t>any</w:t>
      </w:r>
      <w:r>
        <w:rPr>
          <w:color w:val="231F20"/>
          <w:spacing w:val="-16"/>
          <w:w w:val="105"/>
        </w:rPr>
        <w:t xml:space="preserve"> </w:t>
      </w:r>
      <w:r>
        <w:rPr>
          <w:color w:val="231F20"/>
          <w:w w:val="105"/>
        </w:rPr>
        <w:t>corrections</w:t>
      </w:r>
      <w:r>
        <w:rPr>
          <w:color w:val="231F20"/>
          <w:spacing w:val="-16"/>
          <w:w w:val="105"/>
        </w:rPr>
        <w:t xml:space="preserve"> </w:t>
      </w:r>
      <w:r>
        <w:rPr>
          <w:color w:val="231F20"/>
          <w:w w:val="105"/>
        </w:rPr>
        <w:t>to</w:t>
      </w:r>
      <w:r>
        <w:rPr>
          <w:color w:val="231F20"/>
          <w:spacing w:val="-15"/>
          <w:w w:val="105"/>
        </w:rPr>
        <w:t xml:space="preserve"> </w:t>
      </w:r>
      <w:r>
        <w:rPr>
          <w:color w:val="231F20"/>
          <w:w w:val="105"/>
        </w:rPr>
        <w:t>their official</w:t>
      </w:r>
      <w:r>
        <w:rPr>
          <w:color w:val="231F20"/>
          <w:spacing w:val="-14"/>
          <w:w w:val="105"/>
        </w:rPr>
        <w:t xml:space="preserve"> </w:t>
      </w:r>
      <w:r w:rsidR="00CC3DF8">
        <w:rPr>
          <w:color w:val="231F20"/>
          <w:spacing w:val="-14"/>
          <w:w w:val="105"/>
        </w:rPr>
        <w:t xml:space="preserve">population </w:t>
      </w:r>
      <w:r>
        <w:rPr>
          <w:color w:val="231F20"/>
          <w:w w:val="105"/>
        </w:rPr>
        <w:t>counts</w:t>
      </w:r>
      <w:r>
        <w:rPr>
          <w:color w:val="231F20"/>
          <w:spacing w:val="-14"/>
          <w:w w:val="105"/>
        </w:rPr>
        <w:t xml:space="preserve"> </w:t>
      </w:r>
      <w:r>
        <w:rPr>
          <w:color w:val="231F20"/>
          <w:w w:val="105"/>
        </w:rPr>
        <w:t>resulting</w:t>
      </w:r>
      <w:r>
        <w:rPr>
          <w:color w:val="231F20"/>
          <w:spacing w:val="-14"/>
          <w:w w:val="105"/>
        </w:rPr>
        <w:t xml:space="preserve"> </w:t>
      </w:r>
      <w:r>
        <w:rPr>
          <w:color w:val="231F20"/>
          <w:w w:val="105"/>
        </w:rPr>
        <w:t>from</w:t>
      </w:r>
      <w:r>
        <w:rPr>
          <w:color w:val="231F20"/>
          <w:spacing w:val="-14"/>
          <w:w w:val="105"/>
        </w:rPr>
        <w:t xml:space="preserve"> </w:t>
      </w:r>
      <w:r>
        <w:rPr>
          <w:color w:val="231F20"/>
          <w:w w:val="105"/>
        </w:rPr>
        <w:t>a</w:t>
      </w:r>
      <w:r>
        <w:rPr>
          <w:color w:val="231F20"/>
          <w:spacing w:val="-14"/>
          <w:w w:val="105"/>
        </w:rPr>
        <w:t xml:space="preserve"> 2020 </w:t>
      </w:r>
      <w:r>
        <w:rPr>
          <w:color w:val="231F20"/>
          <w:w w:val="105"/>
        </w:rPr>
        <w:t>PCGQR</w:t>
      </w:r>
      <w:r>
        <w:rPr>
          <w:color w:val="231F20"/>
          <w:spacing w:val="-14"/>
          <w:w w:val="105"/>
        </w:rPr>
        <w:t xml:space="preserve"> </w:t>
      </w:r>
      <w:r>
        <w:rPr>
          <w:color w:val="231F20"/>
          <w:w w:val="105"/>
        </w:rPr>
        <w:t>decision</w:t>
      </w:r>
      <w:r>
        <w:rPr>
          <w:color w:val="231F20"/>
          <w:spacing w:val="-14"/>
          <w:w w:val="105"/>
        </w:rPr>
        <w:t xml:space="preserve"> </w:t>
      </w:r>
      <w:r>
        <w:rPr>
          <w:color w:val="231F20"/>
          <w:w w:val="105"/>
        </w:rPr>
        <w:t>in</w:t>
      </w:r>
      <w:r>
        <w:rPr>
          <w:color w:val="231F20"/>
          <w:spacing w:val="-14"/>
          <w:w w:val="105"/>
        </w:rPr>
        <w:t xml:space="preserve"> </w:t>
      </w:r>
      <w:r>
        <w:rPr>
          <w:color w:val="231F20"/>
          <w:w w:val="105"/>
        </w:rPr>
        <w:t>the</w:t>
      </w:r>
      <w:r>
        <w:rPr>
          <w:color w:val="231F20"/>
          <w:spacing w:val="-13"/>
          <w:w w:val="105"/>
        </w:rPr>
        <w:t xml:space="preserve"> </w:t>
      </w:r>
      <w:r>
        <w:rPr>
          <w:color w:val="231F20"/>
          <w:w w:val="105"/>
        </w:rPr>
        <w:t>form</w:t>
      </w:r>
      <w:r>
        <w:rPr>
          <w:color w:val="231F20"/>
          <w:spacing w:val="-14"/>
          <w:w w:val="105"/>
        </w:rPr>
        <w:t xml:space="preserve"> </w:t>
      </w:r>
      <w:r>
        <w:rPr>
          <w:color w:val="231F20"/>
          <w:w w:val="105"/>
        </w:rPr>
        <w:t>of</w:t>
      </w:r>
      <w:r>
        <w:rPr>
          <w:color w:val="231F20"/>
          <w:spacing w:val="-14"/>
          <w:w w:val="105"/>
        </w:rPr>
        <w:t xml:space="preserve"> </w:t>
      </w:r>
      <w:r>
        <w:rPr>
          <w:color w:val="231F20"/>
          <w:w w:val="105"/>
        </w:rPr>
        <w:t>a determination</w:t>
      </w:r>
      <w:r>
        <w:rPr>
          <w:color w:val="231F20"/>
          <w:spacing w:val="-25"/>
          <w:w w:val="105"/>
        </w:rPr>
        <w:t xml:space="preserve"> </w:t>
      </w:r>
      <w:r>
        <w:rPr>
          <w:color w:val="231F20"/>
          <w:spacing w:val="-4"/>
          <w:w w:val="105"/>
        </w:rPr>
        <w:t xml:space="preserve">letter. </w:t>
      </w:r>
    </w:p>
    <w:p w:rsidRPr="0012543C" w:rsidR="004C7BC3" w:rsidRDefault="00FB185F" w14:paraId="2C7DAFA5" w14:textId="525F8C0A">
      <w:pPr>
        <w:pStyle w:val="Heading1"/>
      </w:pPr>
      <w:r w:rsidRPr="0012543C">
        <w:rPr>
          <w:color w:val="231F20"/>
          <w:w w:val="125"/>
        </w:rPr>
        <w:t xml:space="preserve">2020 </w:t>
      </w:r>
      <w:r w:rsidRPr="0012543C" w:rsidR="009824E2">
        <w:rPr>
          <w:color w:val="231F20"/>
          <w:w w:val="125"/>
        </w:rPr>
        <w:t>PCGQR</w:t>
      </w:r>
      <w:r w:rsidRPr="0012543C" w:rsidR="00E502B7">
        <w:rPr>
          <w:color w:val="231F20"/>
          <w:w w:val="125"/>
        </w:rPr>
        <w:t xml:space="preserve"> Case Types</w:t>
      </w:r>
    </w:p>
    <w:p w:rsidRPr="0012543C" w:rsidR="004C7BC3" w:rsidP="4299117A" w:rsidRDefault="55FE8C11" w14:paraId="53CCCC1D" w14:textId="4B741EDB">
      <w:pPr>
        <w:pStyle w:val="BodyText"/>
        <w:spacing w:before="114" w:line="288" w:lineRule="auto"/>
        <w:ind w:left="117" w:right="994"/>
        <w:rPr>
          <w:color w:val="231F20"/>
        </w:rPr>
      </w:pPr>
      <w:r w:rsidRPr="00547946">
        <w:rPr>
          <w:b/>
          <w:bCs/>
          <w:color w:val="231F20"/>
          <w:w w:val="105"/>
        </w:rPr>
        <w:t>Group quarters population cases</w:t>
      </w:r>
      <w:r w:rsidRPr="00547946">
        <w:rPr>
          <w:color w:val="231F20"/>
          <w:w w:val="105"/>
        </w:rPr>
        <w:t xml:space="preserve"> </w:t>
      </w:r>
      <w:r w:rsidR="00A35F29">
        <w:rPr>
          <w:color w:val="231F20"/>
          <w:w w:val="105"/>
        </w:rPr>
        <w:t xml:space="preserve">- </w:t>
      </w:r>
      <w:r w:rsidRPr="0012543C" w:rsidR="45A03FCD">
        <w:rPr>
          <w:color w:val="231F20"/>
          <w:w w:val="105"/>
        </w:rPr>
        <w:t xml:space="preserve">request </w:t>
      </w:r>
      <w:r w:rsidRPr="0012543C" w:rsidR="45A03FCD">
        <w:rPr>
          <w:color w:val="231F20"/>
        </w:rPr>
        <w:t xml:space="preserve">a </w:t>
      </w:r>
      <w:r w:rsidRPr="0012543C" w:rsidR="45A03FCD">
        <w:rPr>
          <w:color w:val="231F20"/>
          <w:w w:val="105"/>
        </w:rPr>
        <w:t xml:space="preserve">Census Bureau </w:t>
      </w:r>
      <w:r w:rsidRPr="0012543C" w:rsidR="45A03FCD">
        <w:rPr>
          <w:color w:val="231F20"/>
          <w:spacing w:val="-3"/>
          <w:w w:val="105"/>
        </w:rPr>
        <w:t xml:space="preserve">review </w:t>
      </w:r>
      <w:r w:rsidRPr="798349B6" w:rsidR="3D6F8210">
        <w:rPr>
          <w:color w:val="231F20"/>
        </w:rPr>
        <w:t>of</w:t>
      </w:r>
      <w:r w:rsidRPr="0012543C">
        <w:rPr>
          <w:color w:val="231F20"/>
          <w:w w:val="105"/>
        </w:rPr>
        <w:t xml:space="preserve"> population counts for </w:t>
      </w:r>
      <w:r w:rsidRPr="0012543C" w:rsidR="3ACDF989">
        <w:rPr>
          <w:color w:val="231F20"/>
          <w:w w:val="105"/>
        </w:rPr>
        <w:t xml:space="preserve">valid </w:t>
      </w:r>
      <w:r w:rsidRPr="0012543C">
        <w:rPr>
          <w:color w:val="231F20"/>
          <w:w w:val="105"/>
        </w:rPr>
        <w:t>group quarter</w:t>
      </w:r>
      <w:r w:rsidRPr="0012543C" w:rsidR="19B78B28">
        <w:rPr>
          <w:color w:val="231F20"/>
          <w:w w:val="105"/>
        </w:rPr>
        <w:t>s</w:t>
      </w:r>
      <w:r w:rsidR="00010F53">
        <w:rPr>
          <w:color w:val="231F20"/>
          <w:w w:val="105"/>
        </w:rPr>
        <w:t xml:space="preserve"> </w:t>
      </w:r>
      <w:r w:rsidRPr="0012543C">
        <w:rPr>
          <w:color w:val="231F20"/>
          <w:w w:val="105"/>
        </w:rPr>
        <w:t xml:space="preserve">by block to correct </w:t>
      </w:r>
      <w:r w:rsidRPr="0012543C" w:rsidR="251ECB81">
        <w:rPr>
          <w:color w:val="231F20"/>
          <w:w w:val="105"/>
        </w:rPr>
        <w:t xml:space="preserve">potential </w:t>
      </w:r>
      <w:r w:rsidRPr="0012543C">
        <w:rPr>
          <w:color w:val="231F20"/>
          <w:w w:val="105"/>
        </w:rPr>
        <w:t xml:space="preserve">error(s) </w:t>
      </w:r>
      <w:r w:rsidRPr="0012543C" w:rsidR="7A54B93E">
        <w:rPr>
          <w:color w:val="231F20"/>
          <w:w w:val="105"/>
        </w:rPr>
        <w:t>that occurred while processing 2020 Census counts</w:t>
      </w:r>
      <w:r w:rsidRPr="0012543C">
        <w:rPr>
          <w:color w:val="231F20"/>
          <w:w w:val="105"/>
        </w:rPr>
        <w:t xml:space="preserve"> </w:t>
      </w:r>
      <w:r w:rsidRPr="008F747E" w:rsidR="0313DCDE">
        <w:rPr>
          <w:color w:val="231F20"/>
          <w:w w:val="105"/>
        </w:rPr>
        <w:t xml:space="preserve">PCGQR can only review </w:t>
      </w:r>
      <w:r w:rsidRPr="008F747E" w:rsidR="008F747E">
        <w:rPr>
          <w:color w:val="231F20"/>
          <w:w w:val="105"/>
        </w:rPr>
        <w:t xml:space="preserve">group </w:t>
      </w:r>
      <w:r w:rsidRPr="0012543C" w:rsidR="5947FC8B">
        <w:rPr>
          <w:color w:val="231F20"/>
          <w:w w:val="105"/>
        </w:rPr>
        <w:t xml:space="preserve">quarter </w:t>
      </w:r>
      <w:r w:rsidRPr="0012543C" w:rsidR="45A03FCD">
        <w:rPr>
          <w:color w:val="231F20"/>
          <w:w w:val="105"/>
        </w:rPr>
        <w:t xml:space="preserve">that existed and </w:t>
      </w:r>
      <w:r w:rsidRPr="008F747E" w:rsidR="008F747E">
        <w:rPr>
          <w:color w:val="231F20"/>
          <w:w w:val="105"/>
        </w:rPr>
        <w:t>available for occupancy on April 1, 2020</w:t>
      </w:r>
      <w:r w:rsidRPr="7BCF14B2" w:rsidR="00906D8C">
        <w:rPr>
          <w:color w:val="231F20"/>
        </w:rPr>
        <w:t>.</w:t>
      </w:r>
      <w:r w:rsidR="00423481">
        <w:rPr>
          <w:color w:val="231F20"/>
          <w:w w:val="105"/>
        </w:rPr>
        <w:t xml:space="preserve"> </w:t>
      </w:r>
      <w:r w:rsidRPr="25B1DB2B" w:rsidR="00AF321E">
        <w:rPr>
          <w:color w:val="231F20"/>
        </w:rPr>
        <w:t>Corrections</w:t>
      </w:r>
      <w:r w:rsidRPr="25B1DB2B" w:rsidR="000765D3">
        <w:rPr>
          <w:color w:val="231F20"/>
        </w:rPr>
        <w:t xml:space="preserve"> submitted should be consistent with the 2020 Census Residence Criteria and </w:t>
      </w:r>
      <w:r w:rsidRPr="25B1DB2B" w:rsidR="007A773D">
        <w:rPr>
          <w:color w:val="231F20"/>
        </w:rPr>
        <w:t>Residence</w:t>
      </w:r>
      <w:r w:rsidRPr="25B1DB2B" w:rsidR="000765D3">
        <w:rPr>
          <w:color w:val="231F20"/>
        </w:rPr>
        <w:t xml:space="preserve"> Situations and additional guidance provided by the Census Bureau due to the COVID-19 pandemic</w:t>
      </w:r>
      <w:r w:rsidR="005A09D3">
        <w:rPr>
          <w:color w:val="231F20"/>
        </w:rPr>
        <w:t xml:space="preserve"> &lt;weblink&gt;</w:t>
      </w:r>
      <w:r w:rsidRPr="25B1DB2B" w:rsidR="000765D3">
        <w:rPr>
          <w:color w:val="231F20"/>
        </w:rPr>
        <w:t>.</w:t>
      </w:r>
    </w:p>
    <w:p w:rsidRPr="0012543C" w:rsidR="004C7BC3" w:rsidRDefault="00E502B7" w14:paraId="72BF5EB5" w14:textId="37BD0B6E">
      <w:pPr>
        <w:pStyle w:val="Heading1"/>
        <w:spacing w:before="171"/>
        <w:ind w:left="131"/>
      </w:pPr>
      <w:r w:rsidRPr="0012543C">
        <w:rPr>
          <w:color w:val="231F20"/>
          <w:w w:val="120"/>
        </w:rPr>
        <w:t xml:space="preserve">Submitting a </w:t>
      </w:r>
      <w:r w:rsidRPr="0012543C" w:rsidR="00FB185F">
        <w:rPr>
          <w:color w:val="231F20"/>
          <w:w w:val="120"/>
        </w:rPr>
        <w:t xml:space="preserve">2020 </w:t>
      </w:r>
      <w:r w:rsidRPr="0012543C" w:rsidR="009824E2">
        <w:rPr>
          <w:color w:val="231F20"/>
          <w:w w:val="120"/>
        </w:rPr>
        <w:t>PCGQR</w:t>
      </w:r>
      <w:r w:rsidRPr="0012543C">
        <w:rPr>
          <w:color w:val="231F20"/>
          <w:w w:val="120"/>
        </w:rPr>
        <w:t xml:space="preserve"> Case</w:t>
      </w:r>
    </w:p>
    <w:p w:rsidRPr="0012543C" w:rsidR="004C7BC3" w:rsidP="002D4563" w:rsidRDefault="00E502B7" w14:paraId="6C7C2269" w14:textId="4BACD3E6">
      <w:pPr>
        <w:pStyle w:val="BodyText"/>
        <w:spacing w:before="114" w:line="292" w:lineRule="auto"/>
        <w:ind w:left="141" w:right="252" w:hanging="5"/>
      </w:pPr>
      <w:r w:rsidRPr="711419CD">
        <w:rPr>
          <w:color w:val="231F20"/>
        </w:rPr>
        <w:t>G</w:t>
      </w:r>
      <w:r w:rsidRPr="711419CD" w:rsidR="00906D8C">
        <w:rPr>
          <w:color w:val="231F20"/>
        </w:rPr>
        <w:t>overnmental unit</w:t>
      </w:r>
      <w:r w:rsidRPr="711419CD">
        <w:rPr>
          <w:color w:val="231F20"/>
        </w:rPr>
        <w:t xml:space="preserve">s </w:t>
      </w:r>
      <w:r w:rsidRPr="711419CD" w:rsidR="001573E4">
        <w:rPr>
          <w:color w:val="231F20"/>
        </w:rPr>
        <w:t xml:space="preserve">must </w:t>
      </w:r>
      <w:r w:rsidRPr="711419CD">
        <w:rPr>
          <w:color w:val="231F20"/>
        </w:rPr>
        <w:t>submit their cases electronically</w:t>
      </w:r>
      <w:r w:rsidRPr="711419CD" w:rsidR="002360FF">
        <w:rPr>
          <w:color w:val="231F20"/>
        </w:rPr>
        <w:t xml:space="preserve"> using the Census Bureau's Secure Web Incoming Module (SWIM). </w:t>
      </w:r>
      <w:r w:rsidRPr="711419CD" w:rsidR="71DD525F">
        <w:rPr>
          <w:color w:val="231F20"/>
        </w:rPr>
        <w:t xml:space="preserve">The </w:t>
      </w:r>
      <w:r w:rsidRPr="711419CD" w:rsidR="5FB1F377">
        <w:rPr>
          <w:color w:val="231F20"/>
        </w:rPr>
        <w:t>t</w:t>
      </w:r>
      <w:r w:rsidRPr="711419CD">
        <w:rPr>
          <w:color w:val="231F20"/>
        </w:rPr>
        <w:t>emplate for data to</w:t>
      </w:r>
      <w:r w:rsidRPr="711419CD" w:rsidR="07B94A23">
        <w:rPr>
          <w:color w:val="231F20"/>
        </w:rPr>
        <w:t xml:space="preserve"> support your case</w:t>
      </w:r>
      <w:r w:rsidRPr="711419CD" w:rsidR="0082007E">
        <w:rPr>
          <w:color w:val="231F20"/>
        </w:rPr>
        <w:t>, participant guide</w:t>
      </w:r>
      <w:r w:rsidRPr="711419CD" w:rsidR="7BF39402">
        <w:rPr>
          <w:color w:val="231F20"/>
        </w:rPr>
        <w:t>,</w:t>
      </w:r>
      <w:r w:rsidRPr="711419CD" w:rsidR="0082007E">
        <w:rPr>
          <w:color w:val="231F20"/>
        </w:rPr>
        <w:t xml:space="preserve"> and other supporting materials are </w:t>
      </w:r>
      <w:r w:rsidRPr="711419CD">
        <w:rPr>
          <w:color w:val="231F20"/>
        </w:rPr>
        <w:t xml:space="preserve">available free for download from the </w:t>
      </w:r>
      <w:r w:rsidRPr="711419CD" w:rsidR="00FB185F">
        <w:rPr>
          <w:color w:val="231F20"/>
        </w:rPr>
        <w:t xml:space="preserve">2020 </w:t>
      </w:r>
      <w:r w:rsidRPr="711419CD" w:rsidR="009824E2">
        <w:rPr>
          <w:color w:val="231F20"/>
        </w:rPr>
        <w:t>PCGQR</w:t>
      </w:r>
      <w:r w:rsidRPr="711419CD">
        <w:rPr>
          <w:color w:val="231F20"/>
        </w:rPr>
        <w:t xml:space="preserve"> </w:t>
      </w:r>
      <w:r w:rsidRPr="711419CD" w:rsidR="00906D8C">
        <w:rPr>
          <w:color w:val="231F20"/>
        </w:rPr>
        <w:t>w</w:t>
      </w:r>
      <w:r w:rsidRPr="711419CD">
        <w:rPr>
          <w:color w:val="231F20"/>
        </w:rPr>
        <w:t xml:space="preserve">ebsite. </w:t>
      </w:r>
    </w:p>
    <w:p w:rsidRPr="0012543C" w:rsidR="00AD0756" w:rsidP="002360FF" w:rsidRDefault="00AD0756" w14:paraId="69865B6B" w14:textId="49C32527">
      <w:pPr>
        <w:pStyle w:val="BodyText"/>
        <w:spacing w:before="106" w:line="292" w:lineRule="auto"/>
        <w:ind w:left="173" w:right="38"/>
        <w:rPr>
          <w:color w:val="231F20"/>
        </w:rPr>
      </w:pPr>
      <w:r w:rsidRPr="0012543C">
        <w:rPr>
          <w:color w:val="231F20"/>
        </w:rPr>
        <w:t>The Census Bureau will only accept cases that initiate from the highest elected or appointed official of tribal, state, and local governmental units, or their designated representative.</w:t>
      </w:r>
    </w:p>
    <w:p w:rsidRPr="0012543C" w:rsidR="004C7BC3" w:rsidRDefault="00E502B7" w14:paraId="680351A9" w14:textId="7CF9DFB4">
      <w:pPr>
        <w:pStyle w:val="Heading3"/>
        <w:spacing w:before="113"/>
      </w:pPr>
      <w:r w:rsidRPr="0012543C">
        <w:rPr>
          <w:color w:val="231F20"/>
          <w:w w:val="120"/>
        </w:rPr>
        <w:t xml:space="preserve">Example Scenario and Outcomes of a </w:t>
      </w:r>
      <w:r w:rsidRPr="0012543C" w:rsidR="00FB185F">
        <w:rPr>
          <w:color w:val="231F20"/>
          <w:w w:val="120"/>
        </w:rPr>
        <w:t xml:space="preserve">2020 </w:t>
      </w:r>
      <w:r w:rsidRPr="0012543C" w:rsidR="009824E2">
        <w:rPr>
          <w:color w:val="231F20"/>
          <w:w w:val="120"/>
        </w:rPr>
        <w:t>PCGQR</w:t>
      </w:r>
      <w:r w:rsidRPr="0012543C">
        <w:rPr>
          <w:color w:val="231F20"/>
          <w:w w:val="120"/>
        </w:rPr>
        <w:t xml:space="preserve"> Investigation</w:t>
      </w:r>
    </w:p>
    <w:p w:rsidRPr="0012543C" w:rsidR="004C7BC3" w:rsidRDefault="00E502B7" w14:paraId="6260BD4C" w14:textId="6208B59D">
      <w:pPr>
        <w:pStyle w:val="BodyText"/>
        <w:spacing w:before="141" w:line="292" w:lineRule="auto"/>
        <w:ind w:left="161" w:firstLine="7"/>
      </w:pPr>
      <w:r w:rsidRPr="181CD498">
        <w:rPr>
          <w:color w:val="231F20"/>
        </w:rPr>
        <w:t xml:space="preserve">A town representative reviews the </w:t>
      </w:r>
      <w:r w:rsidRPr="181CD498" w:rsidR="00CC3DF8">
        <w:rPr>
          <w:color w:val="231F20"/>
        </w:rPr>
        <w:t xml:space="preserve">population </w:t>
      </w:r>
      <w:r w:rsidRPr="181CD498">
        <w:rPr>
          <w:color w:val="231F20"/>
        </w:rPr>
        <w:t>counts of group quarters for individual census blocks and</w:t>
      </w:r>
      <w:r w:rsidRPr="181CD498" w:rsidR="00AD0756">
        <w:rPr>
          <w:color w:val="231F20"/>
        </w:rPr>
        <w:t xml:space="preserve"> </w:t>
      </w:r>
      <w:r w:rsidRPr="181CD498" w:rsidR="37127B27">
        <w:rPr>
          <w:color w:val="231F20"/>
        </w:rPr>
        <w:t xml:space="preserve">believes </w:t>
      </w:r>
      <w:r w:rsidRPr="181CD498" w:rsidR="00AD0756">
        <w:rPr>
          <w:color w:val="231F20"/>
        </w:rPr>
        <w:t xml:space="preserve">the </w:t>
      </w:r>
      <w:r w:rsidRPr="181CD498" w:rsidR="00CC3DF8">
        <w:rPr>
          <w:color w:val="231F20"/>
        </w:rPr>
        <w:t xml:space="preserve">population </w:t>
      </w:r>
      <w:r w:rsidRPr="181CD498" w:rsidR="00AD0756">
        <w:rPr>
          <w:color w:val="231F20"/>
        </w:rPr>
        <w:t xml:space="preserve">count </w:t>
      </w:r>
      <w:r w:rsidRPr="181CD498" w:rsidR="22ADE866">
        <w:rPr>
          <w:color w:val="231F20"/>
        </w:rPr>
        <w:t xml:space="preserve">for </w:t>
      </w:r>
      <w:r w:rsidRPr="181CD498" w:rsidR="3C0EF866">
        <w:rPr>
          <w:color w:val="231F20"/>
        </w:rPr>
        <w:t xml:space="preserve">one </w:t>
      </w:r>
      <w:r w:rsidRPr="181CD498" w:rsidR="22ADE866">
        <w:rPr>
          <w:color w:val="231F20"/>
        </w:rPr>
        <w:t>census block is lower than it should be because there is a large student housing facility in that block</w:t>
      </w:r>
      <w:bookmarkStart w:name="_Hlk96443256" w:id="4"/>
      <w:r w:rsidRPr="181CD498" w:rsidR="22ADE866">
        <w:rPr>
          <w:color w:val="231F20"/>
        </w:rPr>
        <w:t xml:space="preserve">. </w:t>
      </w:r>
      <w:r w:rsidRPr="181CD498">
        <w:rPr>
          <w:color w:val="231F20"/>
        </w:rPr>
        <w:t xml:space="preserve"> The </w:t>
      </w:r>
      <w:r w:rsidR="005C62A2">
        <w:rPr>
          <w:color w:val="231F20"/>
        </w:rPr>
        <w:t xml:space="preserve">town’s </w:t>
      </w:r>
      <w:r w:rsidRPr="181CD498">
        <w:rPr>
          <w:color w:val="231F20"/>
        </w:rPr>
        <w:t xml:space="preserve">designated </w:t>
      </w:r>
      <w:r w:rsidR="00013E51">
        <w:rPr>
          <w:color w:val="231F20"/>
        </w:rPr>
        <w:t xml:space="preserve">2020 </w:t>
      </w:r>
      <w:r w:rsidR="005C62A2">
        <w:rPr>
          <w:color w:val="231F20"/>
        </w:rPr>
        <w:t xml:space="preserve">PCGQR </w:t>
      </w:r>
      <w:r w:rsidRPr="181CD498">
        <w:rPr>
          <w:color w:val="231F20"/>
        </w:rPr>
        <w:t xml:space="preserve">representative </w:t>
      </w:r>
      <w:r w:rsidRPr="181CD498" w:rsidR="345C458A">
        <w:rPr>
          <w:color w:val="231F20"/>
        </w:rPr>
        <w:t xml:space="preserve">can </w:t>
      </w:r>
      <w:r w:rsidRPr="181CD498">
        <w:rPr>
          <w:color w:val="231F20"/>
        </w:rPr>
        <w:t xml:space="preserve">provide evidence of </w:t>
      </w:r>
      <w:r w:rsidRPr="181CD498" w:rsidR="00AD0756">
        <w:rPr>
          <w:color w:val="231F20"/>
        </w:rPr>
        <w:t xml:space="preserve">the population on </w:t>
      </w:r>
      <w:r w:rsidRPr="181CD498">
        <w:rPr>
          <w:color w:val="231F20"/>
        </w:rPr>
        <w:t>April 1, 2020</w:t>
      </w:r>
      <w:r w:rsidRPr="181CD498" w:rsidR="000765D3">
        <w:rPr>
          <w:color w:val="231F20"/>
        </w:rPr>
        <w:t>.</w:t>
      </w:r>
      <w:r w:rsidRPr="181CD498">
        <w:rPr>
          <w:color w:val="231F20"/>
        </w:rPr>
        <w:t xml:space="preserve"> </w:t>
      </w:r>
      <w:bookmarkEnd w:id="4"/>
      <w:r w:rsidRPr="181CD498">
        <w:rPr>
          <w:color w:val="231F20"/>
        </w:rPr>
        <w:t>Possible outcomes include:</w:t>
      </w:r>
    </w:p>
    <w:p w:rsidRPr="00BF3832" w:rsidR="00D705C9" w:rsidP="181CD498" w:rsidRDefault="4BED06F0" w14:paraId="1009B72B" w14:textId="3D84185A">
      <w:pPr>
        <w:pStyle w:val="ListParagraph"/>
        <w:numPr>
          <w:ilvl w:val="0"/>
          <w:numId w:val="1"/>
        </w:numPr>
        <w:tabs>
          <w:tab w:val="left" w:pos="278"/>
        </w:tabs>
        <w:spacing w:before="104" w:line="292" w:lineRule="auto"/>
        <w:ind w:right="330" w:hanging="126"/>
        <w:jc w:val="both"/>
        <w:rPr>
          <w:rFonts w:asciiTheme="minorHAnsi" w:hAnsiTheme="minorHAnsi" w:eastAsiaTheme="minorEastAsia" w:cstheme="minorBidi"/>
          <w:color w:val="231F20"/>
          <w:sz w:val="18"/>
          <w:szCs w:val="18"/>
        </w:rPr>
      </w:pPr>
      <w:r w:rsidRPr="181CD498">
        <w:rPr>
          <w:color w:val="231F20"/>
          <w:sz w:val="18"/>
          <w:szCs w:val="18"/>
        </w:rPr>
        <w:t>The town representative</w:t>
      </w:r>
      <w:r w:rsidRPr="181CD498" w:rsidR="3CEDD6AD">
        <w:rPr>
          <w:color w:val="231F20"/>
          <w:sz w:val="18"/>
          <w:szCs w:val="18"/>
        </w:rPr>
        <w:t xml:space="preserve"> submitted</w:t>
      </w:r>
      <w:r w:rsidRPr="181CD498" w:rsidR="00AD0756">
        <w:rPr>
          <w:color w:val="231F20"/>
          <w:sz w:val="18"/>
          <w:szCs w:val="18"/>
        </w:rPr>
        <w:t xml:space="preserve"> evidence provided by</w:t>
      </w:r>
      <w:r w:rsidRPr="181CD498" w:rsidR="31A60FED">
        <w:rPr>
          <w:color w:val="231F20"/>
          <w:sz w:val="18"/>
          <w:szCs w:val="18"/>
        </w:rPr>
        <w:t xml:space="preserve"> the student housing administrator </w:t>
      </w:r>
      <w:r w:rsidRPr="181CD498" w:rsidR="1A07156D">
        <w:rPr>
          <w:color w:val="231F20"/>
          <w:sz w:val="18"/>
          <w:szCs w:val="18"/>
        </w:rPr>
        <w:t xml:space="preserve">that </w:t>
      </w:r>
      <w:r w:rsidRPr="181CD498" w:rsidR="00AD0756">
        <w:rPr>
          <w:color w:val="231F20"/>
          <w:sz w:val="18"/>
          <w:szCs w:val="18"/>
        </w:rPr>
        <w:t xml:space="preserve">proves the population count </w:t>
      </w:r>
      <w:r w:rsidRPr="181CD498" w:rsidR="423094B5">
        <w:rPr>
          <w:color w:val="231F20"/>
          <w:sz w:val="18"/>
          <w:szCs w:val="18"/>
        </w:rPr>
        <w:t>for</w:t>
      </w:r>
      <w:r w:rsidRPr="181CD498" w:rsidR="002D4563">
        <w:rPr>
          <w:color w:val="231F20"/>
          <w:sz w:val="18"/>
          <w:szCs w:val="18"/>
        </w:rPr>
        <w:t xml:space="preserve"> the 2020 Census is incorrect. Census Bureau </w:t>
      </w:r>
      <w:r w:rsidRPr="181CD498" w:rsidR="00E502B7">
        <w:rPr>
          <w:color w:val="231F20"/>
          <w:sz w:val="18"/>
          <w:szCs w:val="18"/>
        </w:rPr>
        <w:t xml:space="preserve">staff </w:t>
      </w:r>
      <w:r w:rsidRPr="181CD498" w:rsidR="48972B19">
        <w:rPr>
          <w:color w:val="231F20"/>
          <w:sz w:val="18"/>
          <w:szCs w:val="18"/>
        </w:rPr>
        <w:t xml:space="preserve">provide </w:t>
      </w:r>
      <w:r w:rsidRPr="181CD498" w:rsidR="00E502B7">
        <w:rPr>
          <w:color w:val="231F20"/>
          <w:sz w:val="18"/>
          <w:szCs w:val="18"/>
        </w:rPr>
        <w:t xml:space="preserve">updated </w:t>
      </w:r>
      <w:r w:rsidRPr="181CD498" w:rsidR="002D4563">
        <w:rPr>
          <w:color w:val="231F20"/>
          <w:sz w:val="18"/>
          <w:szCs w:val="18"/>
        </w:rPr>
        <w:t xml:space="preserve">group quarters population </w:t>
      </w:r>
      <w:r w:rsidRPr="181CD498" w:rsidR="00E502B7">
        <w:rPr>
          <w:color w:val="231F20"/>
          <w:sz w:val="18"/>
          <w:szCs w:val="18"/>
        </w:rPr>
        <w:t>counts for the affected blocks</w:t>
      </w:r>
      <w:r w:rsidRPr="181CD498" w:rsidR="2F5232A3">
        <w:rPr>
          <w:color w:val="231F20"/>
          <w:sz w:val="18"/>
          <w:szCs w:val="18"/>
        </w:rPr>
        <w:t xml:space="preserve"> </w:t>
      </w:r>
      <w:r w:rsidRPr="181CD498" w:rsidR="703E49D6">
        <w:rPr>
          <w:color w:val="231F20"/>
          <w:sz w:val="18"/>
          <w:szCs w:val="18"/>
        </w:rPr>
        <w:t xml:space="preserve">to the Population Estimates Program for incorporation into the base population for upcoming vintages of estimates. Updated data will be included in the next </w:t>
      </w:r>
      <w:r w:rsidRPr="181CD498" w:rsidR="257131CC">
        <w:rPr>
          <w:color w:val="231F20"/>
          <w:sz w:val="18"/>
          <w:szCs w:val="18"/>
        </w:rPr>
        <w:t xml:space="preserve">possible </w:t>
      </w:r>
      <w:r w:rsidRPr="181CD498" w:rsidR="703E49D6">
        <w:rPr>
          <w:color w:val="231F20"/>
          <w:sz w:val="18"/>
          <w:szCs w:val="18"/>
        </w:rPr>
        <w:t xml:space="preserve">population base as the production schedule allows. Similarly, updates to total group quarters population counts may be incorporated before corresponding changes to demographic characteristics. The estimates developed from the updated population base will also be used by the American Community Survey. </w:t>
      </w:r>
    </w:p>
    <w:p w:rsidRPr="00BF3832" w:rsidR="00413F67" w:rsidP="181CD498" w:rsidRDefault="1D26D3BB" w14:paraId="7404CF4A" w14:textId="5466D266">
      <w:pPr>
        <w:pStyle w:val="ListParagraph"/>
        <w:numPr>
          <w:ilvl w:val="0"/>
          <w:numId w:val="1"/>
        </w:numPr>
        <w:tabs>
          <w:tab w:val="left" w:pos="278"/>
        </w:tabs>
        <w:spacing w:before="104" w:line="292" w:lineRule="auto"/>
        <w:ind w:right="330" w:hanging="126"/>
        <w:jc w:val="both"/>
        <w:rPr>
          <w:rFonts w:asciiTheme="minorHAnsi" w:hAnsiTheme="minorHAnsi" w:eastAsiaTheme="minorEastAsia" w:cstheme="minorBidi"/>
          <w:color w:val="231F20"/>
          <w:sz w:val="18"/>
          <w:szCs w:val="18"/>
        </w:rPr>
      </w:pPr>
      <w:r w:rsidRPr="181CD498">
        <w:rPr>
          <w:color w:val="231F20"/>
          <w:sz w:val="18"/>
          <w:szCs w:val="18"/>
        </w:rPr>
        <w:t>Evidence provided by the town representative indicates</w:t>
      </w:r>
      <w:r w:rsidRPr="181CD498" w:rsidR="034D86E4">
        <w:rPr>
          <w:color w:val="231F20"/>
          <w:sz w:val="18"/>
          <w:szCs w:val="18"/>
        </w:rPr>
        <w:t xml:space="preserve"> a</w:t>
      </w:r>
      <w:r w:rsidRPr="181CD498">
        <w:rPr>
          <w:color w:val="231F20"/>
          <w:sz w:val="18"/>
          <w:szCs w:val="18"/>
        </w:rPr>
        <w:t xml:space="preserve"> </w:t>
      </w:r>
      <w:r w:rsidRPr="181CD498" w:rsidR="00906D8C">
        <w:rPr>
          <w:color w:val="231F20"/>
          <w:sz w:val="18"/>
          <w:szCs w:val="18"/>
        </w:rPr>
        <w:t>group quarter</w:t>
      </w:r>
      <w:r w:rsidRPr="181CD498">
        <w:rPr>
          <w:color w:val="231F20"/>
          <w:sz w:val="18"/>
          <w:szCs w:val="18"/>
        </w:rPr>
        <w:t xml:space="preserve"> in th</w:t>
      </w:r>
      <w:r w:rsidRPr="181CD498" w:rsidR="27C18AA0">
        <w:rPr>
          <w:color w:val="231F20"/>
          <w:sz w:val="18"/>
          <w:szCs w:val="18"/>
        </w:rPr>
        <w:t xml:space="preserve">e census block is new and did not exist on April 1, 2020. This </w:t>
      </w:r>
      <w:r w:rsidRPr="181CD498" w:rsidR="0D879EB2">
        <w:rPr>
          <w:color w:val="231F20"/>
          <w:sz w:val="18"/>
          <w:szCs w:val="18"/>
        </w:rPr>
        <w:t xml:space="preserve">should not be included in an updated </w:t>
      </w:r>
      <w:r w:rsidRPr="181CD498" w:rsidR="0D7DF60F">
        <w:rPr>
          <w:color w:val="231F20"/>
          <w:sz w:val="18"/>
          <w:szCs w:val="18"/>
        </w:rPr>
        <w:t xml:space="preserve">group quarters </w:t>
      </w:r>
      <w:r w:rsidRPr="181CD498" w:rsidR="0D879EB2">
        <w:rPr>
          <w:color w:val="231F20"/>
          <w:sz w:val="18"/>
          <w:szCs w:val="18"/>
        </w:rPr>
        <w:t xml:space="preserve">population </w:t>
      </w:r>
      <w:r w:rsidRPr="181CD498" w:rsidR="27BA2810">
        <w:rPr>
          <w:color w:val="231F20"/>
          <w:sz w:val="18"/>
          <w:szCs w:val="18"/>
        </w:rPr>
        <w:t xml:space="preserve">for </w:t>
      </w:r>
      <w:r w:rsidRPr="181CD498" w:rsidR="77D26335">
        <w:rPr>
          <w:color w:val="231F20"/>
          <w:sz w:val="18"/>
          <w:szCs w:val="18"/>
        </w:rPr>
        <w:t xml:space="preserve">use by the </w:t>
      </w:r>
      <w:r w:rsidRPr="181CD498" w:rsidR="27BA2810">
        <w:rPr>
          <w:color w:val="231F20"/>
          <w:sz w:val="18"/>
          <w:szCs w:val="18"/>
        </w:rPr>
        <w:t>Population Estimates</w:t>
      </w:r>
      <w:r w:rsidRPr="181CD498" w:rsidR="48F85A15">
        <w:rPr>
          <w:color w:val="231F20"/>
          <w:sz w:val="18"/>
          <w:szCs w:val="18"/>
        </w:rPr>
        <w:t xml:space="preserve"> Program</w:t>
      </w:r>
      <w:r w:rsidRPr="181CD498" w:rsidR="734034AA">
        <w:rPr>
          <w:color w:val="231F20"/>
          <w:sz w:val="18"/>
          <w:szCs w:val="18"/>
        </w:rPr>
        <w:t>.</w:t>
      </w:r>
    </w:p>
    <w:p w:rsidR="00197D44" w:rsidRDefault="00197D44" w14:paraId="3D85C5D6" w14:textId="77777777">
      <w:pPr>
        <w:pStyle w:val="BodyText"/>
        <w:rPr>
          <w:sz w:val="26"/>
        </w:rPr>
      </w:pPr>
    </w:p>
    <w:p w:rsidR="00936D70" w:rsidRDefault="00936D70" w14:paraId="4AAA1A4D" w14:textId="77777777">
      <w:pPr>
        <w:pStyle w:val="BodyText"/>
        <w:rPr>
          <w:sz w:val="26"/>
        </w:rPr>
      </w:pPr>
    </w:p>
    <w:p w:rsidR="00691129" w:rsidRDefault="00691129" w14:paraId="7C1AE977" w14:textId="77777777">
      <w:pPr>
        <w:pStyle w:val="BodyText"/>
        <w:rPr>
          <w:sz w:val="20"/>
        </w:rPr>
      </w:pPr>
    </w:p>
    <w:p w:rsidR="00CA289E" w:rsidRDefault="00CA289E" w14:paraId="4EFDB2ED" w14:textId="152AE9EB">
      <w:pPr>
        <w:pStyle w:val="BodyText"/>
        <w:spacing w:before="6"/>
        <w:rPr>
          <w:sz w:val="26"/>
        </w:rPr>
      </w:pPr>
    </w:p>
    <w:p w:rsidR="00E502B7" w:rsidRDefault="00E502B7" w14:paraId="77D24BB3" w14:textId="77777777">
      <w:pPr>
        <w:pStyle w:val="BodyText"/>
        <w:spacing w:before="6"/>
        <w:rPr>
          <w:sz w:val="26"/>
        </w:rPr>
      </w:pPr>
    </w:p>
    <w:p w:rsidR="00E502B7" w:rsidRDefault="00E502B7" w14:paraId="29B7B180" w14:textId="77777777">
      <w:pPr>
        <w:pStyle w:val="BodyText"/>
        <w:spacing w:before="6"/>
        <w:rPr>
          <w:sz w:val="26"/>
        </w:rPr>
      </w:pPr>
    </w:p>
    <w:p w:rsidR="00E502B7" w:rsidRDefault="00E502B7" w14:paraId="206A0F1B" w14:textId="77777777">
      <w:pPr>
        <w:pStyle w:val="BodyText"/>
        <w:spacing w:before="6"/>
        <w:rPr>
          <w:sz w:val="26"/>
        </w:rPr>
      </w:pPr>
    </w:p>
    <w:p w:rsidR="00E502B7" w:rsidRDefault="00E502B7" w14:paraId="5F0DBE9C" w14:textId="77777777">
      <w:pPr>
        <w:pStyle w:val="BodyText"/>
        <w:spacing w:before="6"/>
        <w:rPr>
          <w:sz w:val="26"/>
        </w:rPr>
      </w:pPr>
    </w:p>
    <w:p w:rsidR="00E502B7" w:rsidRDefault="00E502B7" w14:paraId="65092451" w14:textId="77777777">
      <w:pPr>
        <w:pStyle w:val="BodyText"/>
        <w:spacing w:before="6"/>
        <w:rPr>
          <w:sz w:val="26"/>
        </w:rPr>
      </w:pPr>
    </w:p>
    <w:p w:rsidR="00E502B7" w:rsidRDefault="00E502B7" w14:paraId="18718FC4" w14:textId="77777777">
      <w:pPr>
        <w:pStyle w:val="BodyText"/>
        <w:spacing w:before="6"/>
        <w:rPr>
          <w:sz w:val="26"/>
        </w:rPr>
      </w:pPr>
    </w:p>
    <w:p w:rsidR="00E502B7" w:rsidRDefault="00E502B7" w14:paraId="72A0C151" w14:textId="77777777">
      <w:pPr>
        <w:pStyle w:val="BodyText"/>
        <w:spacing w:before="6"/>
        <w:rPr>
          <w:sz w:val="26"/>
        </w:rPr>
      </w:pPr>
    </w:p>
    <w:p w:rsidR="00E502B7" w:rsidRDefault="00E502B7" w14:paraId="5BA6183D" w14:textId="77777777">
      <w:pPr>
        <w:pStyle w:val="BodyText"/>
        <w:spacing w:before="6"/>
        <w:rPr>
          <w:sz w:val="26"/>
        </w:rPr>
      </w:pPr>
    </w:p>
    <w:p w:rsidR="00E502B7" w:rsidRDefault="00E502B7" w14:paraId="4AF6BD74" w14:textId="77777777">
      <w:pPr>
        <w:pStyle w:val="BodyText"/>
        <w:spacing w:before="6"/>
        <w:rPr>
          <w:sz w:val="26"/>
        </w:rPr>
      </w:pPr>
    </w:p>
    <w:p w:rsidR="00E502B7" w:rsidRDefault="00E502B7" w14:paraId="798F6A39" w14:textId="24295884">
      <w:pPr>
        <w:pStyle w:val="BodyText"/>
        <w:spacing w:before="6"/>
        <w:rPr>
          <w:sz w:val="26"/>
        </w:rPr>
      </w:pPr>
    </w:p>
    <w:p w:rsidR="004C7BC3" w:rsidRDefault="00E502B7" w14:paraId="1E76FE8F" w14:textId="1876AA09">
      <w:pPr>
        <w:spacing w:before="210"/>
        <w:ind w:left="117"/>
        <w:rPr>
          <w:rFonts w:ascii="Calibri"/>
          <w:b/>
          <w:sz w:val="24"/>
        </w:rPr>
      </w:pPr>
      <w:r>
        <w:br w:type="column"/>
      </w:r>
      <w:bookmarkEnd w:id="0"/>
      <w:r>
        <w:rPr>
          <w:rFonts w:ascii="Calibri"/>
          <w:b/>
          <w:color w:val="231F20"/>
          <w:w w:val="125"/>
          <w:sz w:val="24"/>
        </w:rPr>
        <w:lastRenderedPageBreak/>
        <w:t>Eligible Participants</w:t>
      </w:r>
    </w:p>
    <w:p w:rsidR="004C7BC3" w:rsidRDefault="00E502B7" w14:paraId="56106B78" w14:textId="770DFA74">
      <w:pPr>
        <w:pStyle w:val="BodyText"/>
        <w:spacing w:before="155" w:line="304" w:lineRule="auto"/>
        <w:ind w:left="435" w:right="183" w:hanging="22"/>
      </w:pPr>
      <w:r>
        <w:rPr>
          <w:color w:val="231F20"/>
        </w:rPr>
        <w:t xml:space="preserve">The following active, functioning </w:t>
      </w:r>
      <w:r w:rsidR="00906D8C">
        <w:rPr>
          <w:color w:val="231F20"/>
        </w:rPr>
        <w:t>governmental unit</w:t>
      </w:r>
      <w:r>
        <w:rPr>
          <w:color w:val="231F20"/>
        </w:rPr>
        <w:t>s are eligible to participate:</w:t>
      </w:r>
    </w:p>
    <w:p w:rsidR="004C7BC3" w:rsidRDefault="004C7BC3" w14:paraId="4EF7CB49" w14:textId="77777777">
      <w:pPr>
        <w:pStyle w:val="BodyText"/>
        <w:spacing w:before="2"/>
        <w:rPr>
          <w:sz w:val="21"/>
        </w:rPr>
      </w:pPr>
    </w:p>
    <w:p w:rsidR="004C7BC3" w:rsidRDefault="00E502B7" w14:paraId="133E908E" w14:textId="77777777">
      <w:pPr>
        <w:pStyle w:val="ListParagraph"/>
        <w:numPr>
          <w:ilvl w:val="1"/>
          <w:numId w:val="1"/>
        </w:numPr>
        <w:tabs>
          <w:tab w:val="left" w:pos="594"/>
        </w:tabs>
        <w:spacing w:line="304" w:lineRule="auto"/>
        <w:ind w:right="127" w:hanging="151"/>
        <w:rPr>
          <w:sz w:val="18"/>
        </w:rPr>
      </w:pPr>
      <w:r>
        <w:rPr>
          <w:color w:val="231F20"/>
          <w:spacing w:val="-3"/>
          <w:sz w:val="18"/>
        </w:rPr>
        <w:t xml:space="preserve">Tribal </w:t>
      </w:r>
      <w:r>
        <w:rPr>
          <w:color w:val="231F20"/>
          <w:sz w:val="18"/>
        </w:rPr>
        <w:t xml:space="preserve">areas, including federally recognized American Indian </w:t>
      </w:r>
      <w:r>
        <w:rPr>
          <w:color w:val="231F20"/>
          <w:spacing w:val="-3"/>
          <w:sz w:val="18"/>
        </w:rPr>
        <w:t xml:space="preserve">tribes </w:t>
      </w:r>
      <w:r>
        <w:rPr>
          <w:color w:val="231F20"/>
          <w:sz w:val="18"/>
        </w:rPr>
        <w:t>with reservation</w:t>
      </w:r>
      <w:r>
        <w:rPr>
          <w:color w:val="231F20"/>
          <w:spacing w:val="9"/>
          <w:sz w:val="18"/>
        </w:rPr>
        <w:t xml:space="preserve"> </w:t>
      </w:r>
      <w:r>
        <w:rPr>
          <w:color w:val="231F20"/>
          <w:spacing w:val="-3"/>
          <w:sz w:val="18"/>
        </w:rPr>
        <w:t>and/or</w:t>
      </w:r>
    </w:p>
    <w:p w:rsidR="004C7BC3" w:rsidRDefault="00E502B7" w14:paraId="623C53AD" w14:textId="67F89EE8">
      <w:pPr>
        <w:pStyle w:val="BodyText"/>
        <w:spacing w:line="304" w:lineRule="auto"/>
        <w:ind w:left="636" w:right="1" w:hanging="9"/>
      </w:pPr>
      <w:r>
        <w:rPr>
          <w:color w:val="231F20"/>
          <w:w w:val="105"/>
        </w:rPr>
        <w:t>o</w:t>
      </w:r>
      <w:r w:rsidR="002D4563">
        <w:rPr>
          <w:color w:val="231F20"/>
          <w:w w:val="105"/>
        </w:rPr>
        <w:t>ff</w:t>
      </w:r>
      <w:r>
        <w:rPr>
          <w:color w:val="231F20"/>
          <w:w w:val="105"/>
        </w:rPr>
        <w:t>-reservation trust lands, Alaska Native Regional Corporations, and Alaska Native villages.</w:t>
      </w:r>
    </w:p>
    <w:p w:rsidR="004C7BC3" w:rsidRDefault="004C7BC3" w14:paraId="3F63079D" w14:textId="77777777">
      <w:pPr>
        <w:pStyle w:val="BodyText"/>
        <w:spacing w:before="1"/>
        <w:rPr>
          <w:sz w:val="21"/>
        </w:rPr>
      </w:pPr>
    </w:p>
    <w:p w:rsidR="004C7BC3" w:rsidP="181CD498" w:rsidRDefault="00E502B7" w14:paraId="5527DDDD" w14:textId="4C87895D">
      <w:pPr>
        <w:pStyle w:val="ListParagraph"/>
        <w:numPr>
          <w:ilvl w:val="1"/>
          <w:numId w:val="1"/>
        </w:numPr>
        <w:tabs>
          <w:tab w:val="left" w:pos="652"/>
        </w:tabs>
        <w:ind w:left="651"/>
        <w:rPr>
          <w:sz w:val="18"/>
          <w:szCs w:val="18"/>
        </w:rPr>
      </w:pPr>
      <w:r w:rsidRPr="181CD498">
        <w:rPr>
          <w:color w:val="231F20"/>
          <w:sz w:val="18"/>
          <w:szCs w:val="18"/>
        </w:rPr>
        <w:t>States and equivalent</w:t>
      </w:r>
      <w:r w:rsidRPr="181CD498">
        <w:rPr>
          <w:color w:val="231F20"/>
          <w:spacing w:val="6"/>
          <w:sz w:val="18"/>
          <w:szCs w:val="18"/>
        </w:rPr>
        <w:t xml:space="preserve"> </w:t>
      </w:r>
      <w:r w:rsidRPr="181CD498">
        <w:rPr>
          <w:color w:val="231F20"/>
          <w:sz w:val="18"/>
          <w:szCs w:val="18"/>
        </w:rPr>
        <w:t>entities</w:t>
      </w:r>
      <w:r w:rsidRPr="181CD498" w:rsidR="64AB9CEA">
        <w:rPr>
          <w:color w:val="231F20"/>
          <w:sz w:val="18"/>
          <w:szCs w:val="18"/>
        </w:rPr>
        <w:t xml:space="preserve"> (District of Colombia, Puerto Rico)</w:t>
      </w:r>
    </w:p>
    <w:p w:rsidR="004C7BC3" w:rsidRDefault="004C7BC3" w14:paraId="75773A3A" w14:textId="77777777">
      <w:pPr>
        <w:pStyle w:val="BodyText"/>
        <w:rPr>
          <w:sz w:val="26"/>
        </w:rPr>
      </w:pPr>
    </w:p>
    <w:p w:rsidR="004C7BC3" w:rsidP="181CD498" w:rsidRDefault="00E502B7" w14:paraId="7A01C631" w14:textId="77777777">
      <w:pPr>
        <w:pStyle w:val="ListParagraph"/>
        <w:numPr>
          <w:ilvl w:val="1"/>
          <w:numId w:val="1"/>
        </w:numPr>
        <w:tabs>
          <w:tab w:val="left" w:pos="664"/>
        </w:tabs>
        <w:spacing w:before="1"/>
        <w:ind w:left="663" w:hanging="139"/>
        <w:rPr>
          <w:sz w:val="18"/>
          <w:szCs w:val="18"/>
        </w:rPr>
      </w:pPr>
      <w:r w:rsidRPr="181CD498">
        <w:rPr>
          <w:color w:val="231F20"/>
          <w:sz w:val="18"/>
          <w:szCs w:val="18"/>
        </w:rPr>
        <w:t>Counties and equivalent</w:t>
      </w:r>
      <w:r w:rsidRPr="181CD498">
        <w:rPr>
          <w:color w:val="231F20"/>
          <w:spacing w:val="-14"/>
          <w:sz w:val="18"/>
          <w:szCs w:val="18"/>
        </w:rPr>
        <w:t xml:space="preserve"> </w:t>
      </w:r>
      <w:r w:rsidRPr="181CD498">
        <w:rPr>
          <w:color w:val="231F20"/>
          <w:sz w:val="18"/>
          <w:szCs w:val="18"/>
        </w:rPr>
        <w:t>entities.</w:t>
      </w:r>
    </w:p>
    <w:p w:rsidR="004C7BC3" w:rsidRDefault="004C7BC3" w14:paraId="311D4135" w14:textId="77777777">
      <w:pPr>
        <w:pStyle w:val="BodyText"/>
        <w:rPr>
          <w:sz w:val="26"/>
        </w:rPr>
      </w:pPr>
    </w:p>
    <w:p w:rsidR="004C7BC3" w:rsidRDefault="00E502B7" w14:paraId="4A5B6E63" w14:textId="77777777">
      <w:pPr>
        <w:pStyle w:val="ListParagraph"/>
        <w:numPr>
          <w:ilvl w:val="1"/>
          <w:numId w:val="1"/>
        </w:numPr>
        <w:tabs>
          <w:tab w:val="left" w:pos="658"/>
        </w:tabs>
        <w:spacing w:line="304" w:lineRule="auto"/>
        <w:ind w:left="645" w:right="1380" w:hanging="125"/>
        <w:rPr>
          <w:sz w:val="18"/>
        </w:rPr>
      </w:pPr>
      <w:r>
        <w:rPr>
          <w:color w:val="231F20"/>
          <w:w w:val="105"/>
          <w:sz w:val="18"/>
        </w:rPr>
        <w:t>Minor civil divisions (e.g.,</w:t>
      </w:r>
      <w:r>
        <w:rPr>
          <w:color w:val="231F20"/>
          <w:spacing w:val="-12"/>
          <w:w w:val="105"/>
          <w:sz w:val="18"/>
        </w:rPr>
        <w:t xml:space="preserve"> </w:t>
      </w:r>
      <w:r>
        <w:rPr>
          <w:color w:val="231F20"/>
          <w:w w:val="105"/>
          <w:sz w:val="18"/>
        </w:rPr>
        <w:t>townships).</w:t>
      </w:r>
    </w:p>
    <w:p w:rsidR="004C7BC3" w:rsidRDefault="004C7BC3" w14:paraId="30A6A787" w14:textId="77777777">
      <w:pPr>
        <w:pStyle w:val="BodyText"/>
        <w:spacing w:before="2"/>
        <w:rPr>
          <w:sz w:val="21"/>
        </w:rPr>
      </w:pPr>
    </w:p>
    <w:p w:rsidR="004C7BC3" w:rsidRDefault="00E502B7" w14:paraId="0475BE8A" w14:textId="77777777">
      <w:pPr>
        <w:pStyle w:val="ListParagraph"/>
        <w:numPr>
          <w:ilvl w:val="1"/>
          <w:numId w:val="1"/>
        </w:numPr>
        <w:tabs>
          <w:tab w:val="left" w:pos="614"/>
        </w:tabs>
        <w:ind w:left="613"/>
        <w:rPr>
          <w:sz w:val="18"/>
        </w:rPr>
      </w:pPr>
      <w:r>
        <w:rPr>
          <w:color w:val="231F20"/>
          <w:sz w:val="18"/>
        </w:rPr>
        <w:t>Consolidated</w:t>
      </w:r>
      <w:r>
        <w:rPr>
          <w:color w:val="231F20"/>
          <w:spacing w:val="-11"/>
          <w:sz w:val="18"/>
        </w:rPr>
        <w:t xml:space="preserve"> </w:t>
      </w:r>
      <w:r>
        <w:rPr>
          <w:color w:val="231F20"/>
          <w:sz w:val="18"/>
        </w:rPr>
        <w:t>cities.</w:t>
      </w:r>
    </w:p>
    <w:p w:rsidR="004C7BC3" w:rsidRDefault="004C7BC3" w14:paraId="341B551A" w14:textId="77777777">
      <w:pPr>
        <w:pStyle w:val="BodyText"/>
        <w:rPr>
          <w:sz w:val="26"/>
        </w:rPr>
      </w:pPr>
    </w:p>
    <w:p w:rsidR="004C7BC3" w:rsidP="181CD498" w:rsidRDefault="00E502B7" w14:paraId="6E4AE75D" w14:textId="6BEC6D8F">
      <w:pPr>
        <w:pStyle w:val="ListParagraph"/>
        <w:numPr>
          <w:ilvl w:val="1"/>
          <w:numId w:val="1"/>
        </w:numPr>
        <w:tabs>
          <w:tab w:val="left" w:pos="584"/>
        </w:tabs>
        <w:spacing w:before="1"/>
        <w:ind w:left="583"/>
        <w:rPr>
          <w:sz w:val="18"/>
          <w:szCs w:val="18"/>
        </w:rPr>
      </w:pPr>
      <w:r w:rsidRPr="181CD498">
        <w:rPr>
          <w:color w:val="231F20"/>
          <w:w w:val="95"/>
          <w:sz w:val="18"/>
          <w:szCs w:val="18"/>
        </w:rPr>
        <w:t>Incorporated</w:t>
      </w:r>
      <w:r w:rsidRPr="181CD498">
        <w:rPr>
          <w:color w:val="231F20"/>
          <w:spacing w:val="36"/>
          <w:w w:val="95"/>
          <w:sz w:val="18"/>
          <w:szCs w:val="18"/>
        </w:rPr>
        <w:t xml:space="preserve"> </w:t>
      </w:r>
      <w:r w:rsidRPr="181CD498">
        <w:rPr>
          <w:color w:val="231F20"/>
          <w:w w:val="95"/>
          <w:sz w:val="18"/>
          <w:szCs w:val="18"/>
        </w:rPr>
        <w:t>places</w:t>
      </w:r>
      <w:r w:rsidRPr="181CD498" w:rsidR="1D947DE7">
        <w:rPr>
          <w:color w:val="231F20"/>
          <w:w w:val="95"/>
          <w:sz w:val="18"/>
          <w:szCs w:val="18"/>
        </w:rPr>
        <w:t xml:space="preserve"> </w:t>
      </w:r>
      <w:r w:rsidRPr="181CD498">
        <w:rPr>
          <w:color w:val="231F20"/>
          <w:sz w:val="18"/>
          <w:szCs w:val="18"/>
        </w:rPr>
        <w:t>(e.g., villages, towns, cities).</w:t>
      </w:r>
    </w:p>
    <w:p w:rsidR="004C7BC3" w:rsidRDefault="004C7BC3" w14:paraId="4A9ABF90" w14:textId="77777777">
      <w:pPr>
        <w:pStyle w:val="BodyText"/>
        <w:rPr>
          <w:sz w:val="22"/>
        </w:rPr>
      </w:pPr>
    </w:p>
    <w:p w:rsidR="004C7BC3" w:rsidRDefault="004C7BC3" w14:paraId="2DB3DCFE" w14:textId="77777777">
      <w:pPr>
        <w:pStyle w:val="BodyText"/>
        <w:rPr>
          <w:sz w:val="22"/>
        </w:rPr>
      </w:pPr>
    </w:p>
    <w:p w:rsidR="004C7BC3" w:rsidRDefault="004C7BC3" w14:paraId="6831C267" w14:textId="77777777">
      <w:pPr>
        <w:pStyle w:val="BodyText"/>
        <w:rPr>
          <w:sz w:val="22"/>
        </w:rPr>
      </w:pPr>
    </w:p>
    <w:p w:rsidR="004C7BC3" w:rsidRDefault="004C7BC3" w14:paraId="57FBEA38" w14:textId="77777777">
      <w:pPr>
        <w:pStyle w:val="BodyText"/>
        <w:rPr>
          <w:sz w:val="22"/>
        </w:rPr>
      </w:pPr>
    </w:p>
    <w:p w:rsidR="004C7BC3" w:rsidRDefault="004C7BC3" w14:paraId="76554965" w14:textId="77777777">
      <w:pPr>
        <w:pStyle w:val="BodyText"/>
        <w:rPr>
          <w:sz w:val="22"/>
        </w:rPr>
      </w:pPr>
    </w:p>
    <w:p w:rsidR="004C7BC3" w:rsidRDefault="004C7BC3" w14:paraId="40EDACD7" w14:textId="77777777">
      <w:pPr>
        <w:pStyle w:val="BodyText"/>
        <w:rPr>
          <w:sz w:val="22"/>
        </w:rPr>
      </w:pPr>
    </w:p>
    <w:p w:rsidR="004C7BC3" w:rsidRDefault="004C7BC3" w14:paraId="790C8566" w14:textId="77777777">
      <w:pPr>
        <w:pStyle w:val="BodyText"/>
        <w:rPr>
          <w:sz w:val="22"/>
        </w:rPr>
      </w:pPr>
    </w:p>
    <w:p w:rsidR="004C7BC3" w:rsidRDefault="004C7BC3" w14:paraId="70669D54" w14:textId="77777777">
      <w:pPr>
        <w:pStyle w:val="BodyText"/>
        <w:rPr>
          <w:sz w:val="22"/>
        </w:rPr>
      </w:pPr>
    </w:p>
    <w:p w:rsidR="004C7BC3" w:rsidRDefault="004C7BC3" w14:paraId="2BAE8259" w14:textId="77777777">
      <w:pPr>
        <w:pStyle w:val="BodyText"/>
        <w:rPr>
          <w:sz w:val="22"/>
        </w:rPr>
      </w:pPr>
    </w:p>
    <w:p w:rsidR="004C7BC3" w:rsidRDefault="004C7BC3" w14:paraId="60CB5A49" w14:textId="77777777">
      <w:pPr>
        <w:pStyle w:val="BodyText"/>
        <w:rPr>
          <w:sz w:val="22"/>
        </w:rPr>
      </w:pPr>
    </w:p>
    <w:p w:rsidR="004C7BC3" w:rsidRDefault="004C7BC3" w14:paraId="74538712" w14:textId="77777777">
      <w:pPr>
        <w:pStyle w:val="BodyText"/>
        <w:rPr>
          <w:sz w:val="22"/>
        </w:rPr>
      </w:pPr>
    </w:p>
    <w:p w:rsidR="004C7BC3" w:rsidRDefault="004C7BC3" w14:paraId="4371B49A" w14:textId="77777777">
      <w:pPr>
        <w:pStyle w:val="BodyText"/>
        <w:rPr>
          <w:sz w:val="22"/>
        </w:rPr>
      </w:pPr>
    </w:p>
    <w:p w:rsidR="004C7BC3" w:rsidRDefault="004C7BC3" w14:paraId="7C2A438B" w14:textId="77777777">
      <w:pPr>
        <w:pStyle w:val="BodyText"/>
        <w:rPr>
          <w:sz w:val="22"/>
        </w:rPr>
      </w:pPr>
    </w:p>
    <w:p w:rsidR="004C7BC3" w:rsidRDefault="004C7BC3" w14:paraId="7C6E3643" w14:textId="77777777">
      <w:pPr>
        <w:pStyle w:val="BodyText"/>
        <w:rPr>
          <w:sz w:val="22"/>
        </w:rPr>
      </w:pPr>
    </w:p>
    <w:p w:rsidR="004C7BC3" w:rsidRDefault="004C7BC3" w14:paraId="2B249177" w14:textId="77777777">
      <w:pPr>
        <w:pStyle w:val="BodyText"/>
        <w:rPr>
          <w:sz w:val="22"/>
        </w:rPr>
      </w:pPr>
    </w:p>
    <w:p w:rsidR="004C7BC3" w:rsidRDefault="004C7BC3" w14:paraId="369809C1" w14:textId="2594786F">
      <w:pPr>
        <w:spacing w:line="289" w:lineRule="exact"/>
        <w:ind w:left="541"/>
        <w:rPr>
          <w:sz w:val="24"/>
        </w:rPr>
      </w:pPr>
    </w:p>
    <w:sectPr w:rsidR="004C7BC3">
      <w:headerReference w:type="default" r:id="rId19"/>
      <w:footerReference w:type="default" r:id="rId20"/>
      <w:type w:val="continuous"/>
      <w:pgSz w:w="12240" w:h="15840"/>
      <w:pgMar w:top="480" w:right="260" w:bottom="280" w:left="320" w:header="720" w:footer="720" w:gutter="0"/>
      <w:cols w:equalWidth="0" w:space="720" w:num="2">
        <w:col w:w="7809" w:space="109"/>
        <w:col w:w="37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2FFC" w14:textId="77777777" w:rsidR="000F3202" w:rsidRDefault="000F3202">
      <w:r>
        <w:separator/>
      </w:r>
    </w:p>
  </w:endnote>
  <w:endnote w:type="continuationSeparator" w:id="0">
    <w:p w14:paraId="156062F3" w14:textId="77777777" w:rsidR="000F3202" w:rsidRDefault="000F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131844E2" w14:textId="77777777" w:rsidTr="007D64D5">
      <w:tc>
        <w:tcPr>
          <w:tcW w:w="3885" w:type="dxa"/>
        </w:tcPr>
        <w:p w14:paraId="78EC61ED" w14:textId="557B617D" w:rsidR="728EFD4F" w:rsidRDefault="728EFD4F" w:rsidP="007D64D5">
          <w:pPr>
            <w:pStyle w:val="Header"/>
            <w:ind w:left="-115"/>
          </w:pPr>
        </w:p>
      </w:tc>
      <w:tc>
        <w:tcPr>
          <w:tcW w:w="3885" w:type="dxa"/>
        </w:tcPr>
        <w:p w14:paraId="55560126" w14:textId="142CCAA4" w:rsidR="728EFD4F" w:rsidRDefault="728EFD4F" w:rsidP="007D64D5">
          <w:pPr>
            <w:pStyle w:val="Header"/>
            <w:jc w:val="center"/>
          </w:pPr>
        </w:p>
      </w:tc>
      <w:tc>
        <w:tcPr>
          <w:tcW w:w="3885" w:type="dxa"/>
        </w:tcPr>
        <w:p w14:paraId="0D1AC9B5" w14:textId="1A76C3A8" w:rsidR="728EFD4F" w:rsidRDefault="728EFD4F" w:rsidP="007D64D5">
          <w:pPr>
            <w:pStyle w:val="Header"/>
            <w:ind w:right="-115"/>
            <w:jc w:val="right"/>
          </w:pPr>
        </w:p>
      </w:tc>
    </w:tr>
  </w:tbl>
  <w:p w14:paraId="36C87620" w14:textId="15EC3B40" w:rsidR="728EFD4F" w:rsidRDefault="728EFD4F" w:rsidP="007D6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75DC9E33" w14:textId="77777777" w:rsidTr="007D64D5">
      <w:tc>
        <w:tcPr>
          <w:tcW w:w="3885" w:type="dxa"/>
        </w:tcPr>
        <w:p w14:paraId="7A8BD7AC" w14:textId="05E8E416" w:rsidR="728EFD4F" w:rsidRDefault="728EFD4F" w:rsidP="007D64D5">
          <w:pPr>
            <w:pStyle w:val="Header"/>
            <w:ind w:left="-115"/>
          </w:pPr>
        </w:p>
      </w:tc>
      <w:tc>
        <w:tcPr>
          <w:tcW w:w="3885" w:type="dxa"/>
        </w:tcPr>
        <w:p w14:paraId="49814B95" w14:textId="1DBD76A5" w:rsidR="728EFD4F" w:rsidRDefault="728EFD4F" w:rsidP="007D64D5">
          <w:pPr>
            <w:pStyle w:val="Header"/>
            <w:jc w:val="center"/>
          </w:pPr>
        </w:p>
      </w:tc>
      <w:tc>
        <w:tcPr>
          <w:tcW w:w="3885" w:type="dxa"/>
        </w:tcPr>
        <w:p w14:paraId="11ED1AD7" w14:textId="06C17824" w:rsidR="728EFD4F" w:rsidRDefault="728EFD4F" w:rsidP="007D64D5">
          <w:pPr>
            <w:pStyle w:val="Header"/>
            <w:ind w:right="-115"/>
            <w:jc w:val="right"/>
          </w:pPr>
        </w:p>
      </w:tc>
    </w:tr>
  </w:tbl>
  <w:p w14:paraId="4C95B95B" w14:textId="7948A4A5" w:rsidR="728EFD4F" w:rsidRDefault="728EFD4F" w:rsidP="007D6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738A5B9D" w14:textId="77777777" w:rsidTr="007D64D5">
      <w:tc>
        <w:tcPr>
          <w:tcW w:w="3885" w:type="dxa"/>
        </w:tcPr>
        <w:p w14:paraId="7AF3FA4C" w14:textId="7627BBFE" w:rsidR="728EFD4F" w:rsidRDefault="728EFD4F" w:rsidP="007D64D5">
          <w:pPr>
            <w:pStyle w:val="Header"/>
            <w:ind w:left="-115"/>
          </w:pPr>
        </w:p>
      </w:tc>
      <w:tc>
        <w:tcPr>
          <w:tcW w:w="3885" w:type="dxa"/>
        </w:tcPr>
        <w:p w14:paraId="70AD353C" w14:textId="70763237" w:rsidR="728EFD4F" w:rsidRDefault="728EFD4F" w:rsidP="007D64D5">
          <w:pPr>
            <w:pStyle w:val="Header"/>
            <w:jc w:val="center"/>
          </w:pPr>
        </w:p>
      </w:tc>
      <w:tc>
        <w:tcPr>
          <w:tcW w:w="3885" w:type="dxa"/>
        </w:tcPr>
        <w:p w14:paraId="12783C28" w14:textId="6D04DF1D" w:rsidR="728EFD4F" w:rsidRDefault="728EFD4F" w:rsidP="007D64D5">
          <w:pPr>
            <w:pStyle w:val="Header"/>
            <w:ind w:right="-115"/>
            <w:jc w:val="right"/>
          </w:pPr>
        </w:p>
      </w:tc>
    </w:tr>
  </w:tbl>
  <w:p w14:paraId="246B06D8" w14:textId="346B3F65" w:rsidR="728EFD4F" w:rsidRDefault="728EFD4F" w:rsidP="007D64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579E1970" w14:textId="77777777" w:rsidTr="007D64D5">
      <w:tc>
        <w:tcPr>
          <w:tcW w:w="3885" w:type="dxa"/>
        </w:tcPr>
        <w:p w14:paraId="4A968949" w14:textId="3BCF134E" w:rsidR="728EFD4F" w:rsidRDefault="728EFD4F" w:rsidP="007D64D5">
          <w:pPr>
            <w:pStyle w:val="Header"/>
            <w:ind w:left="-115"/>
          </w:pPr>
        </w:p>
      </w:tc>
      <w:tc>
        <w:tcPr>
          <w:tcW w:w="3885" w:type="dxa"/>
        </w:tcPr>
        <w:p w14:paraId="6EA678AB" w14:textId="5E03B361" w:rsidR="728EFD4F" w:rsidRDefault="728EFD4F" w:rsidP="007D64D5">
          <w:pPr>
            <w:pStyle w:val="Header"/>
            <w:jc w:val="center"/>
          </w:pPr>
        </w:p>
      </w:tc>
      <w:tc>
        <w:tcPr>
          <w:tcW w:w="3885" w:type="dxa"/>
        </w:tcPr>
        <w:p w14:paraId="3B8B9578" w14:textId="18BFF2FA" w:rsidR="728EFD4F" w:rsidRDefault="728EFD4F" w:rsidP="007D64D5">
          <w:pPr>
            <w:pStyle w:val="Header"/>
            <w:ind w:right="-115"/>
            <w:jc w:val="right"/>
          </w:pPr>
        </w:p>
      </w:tc>
    </w:tr>
  </w:tbl>
  <w:p w14:paraId="6A95DFF1" w14:textId="39B630B3" w:rsidR="728EFD4F" w:rsidRDefault="728EFD4F" w:rsidP="007D64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4CC77F85" w14:textId="77777777" w:rsidTr="007D64D5">
      <w:tc>
        <w:tcPr>
          <w:tcW w:w="3885" w:type="dxa"/>
        </w:tcPr>
        <w:p w14:paraId="7502A8AB" w14:textId="423EDCF8" w:rsidR="728EFD4F" w:rsidRDefault="728EFD4F" w:rsidP="007D64D5">
          <w:pPr>
            <w:pStyle w:val="Header"/>
            <w:ind w:left="-115"/>
          </w:pPr>
        </w:p>
      </w:tc>
      <w:tc>
        <w:tcPr>
          <w:tcW w:w="3885" w:type="dxa"/>
        </w:tcPr>
        <w:p w14:paraId="44317F0D" w14:textId="26583EC6" w:rsidR="728EFD4F" w:rsidRDefault="728EFD4F" w:rsidP="007D64D5">
          <w:pPr>
            <w:pStyle w:val="Header"/>
            <w:jc w:val="center"/>
          </w:pPr>
        </w:p>
      </w:tc>
      <w:tc>
        <w:tcPr>
          <w:tcW w:w="3885" w:type="dxa"/>
        </w:tcPr>
        <w:p w14:paraId="7B2D290F" w14:textId="319BCA21" w:rsidR="728EFD4F" w:rsidRDefault="728EFD4F" w:rsidP="007D64D5">
          <w:pPr>
            <w:pStyle w:val="Header"/>
            <w:ind w:right="-115"/>
            <w:jc w:val="right"/>
          </w:pPr>
        </w:p>
      </w:tc>
    </w:tr>
  </w:tbl>
  <w:p w14:paraId="53C39F1A" w14:textId="1970344C" w:rsidR="728EFD4F" w:rsidRDefault="728EFD4F" w:rsidP="007D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8F82" w14:textId="77777777" w:rsidR="000F3202" w:rsidRDefault="000F3202">
      <w:r>
        <w:separator/>
      </w:r>
    </w:p>
  </w:footnote>
  <w:footnote w:type="continuationSeparator" w:id="0">
    <w:p w14:paraId="4C3D0343" w14:textId="77777777" w:rsidR="000F3202" w:rsidRDefault="000F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1687D1A1" w14:textId="77777777" w:rsidTr="007D64D5">
      <w:tc>
        <w:tcPr>
          <w:tcW w:w="3885" w:type="dxa"/>
        </w:tcPr>
        <w:p w14:paraId="1CF7B1AA" w14:textId="5896AEA6" w:rsidR="728EFD4F" w:rsidRDefault="728EFD4F" w:rsidP="007D64D5">
          <w:pPr>
            <w:pStyle w:val="Header"/>
            <w:ind w:left="-115"/>
          </w:pPr>
        </w:p>
      </w:tc>
      <w:tc>
        <w:tcPr>
          <w:tcW w:w="3885" w:type="dxa"/>
        </w:tcPr>
        <w:p w14:paraId="43534A09" w14:textId="0AF227AE" w:rsidR="728EFD4F" w:rsidRDefault="728EFD4F" w:rsidP="007D64D5">
          <w:pPr>
            <w:pStyle w:val="Header"/>
            <w:jc w:val="center"/>
          </w:pPr>
        </w:p>
      </w:tc>
      <w:tc>
        <w:tcPr>
          <w:tcW w:w="3885" w:type="dxa"/>
        </w:tcPr>
        <w:p w14:paraId="28D3151E" w14:textId="457EB883" w:rsidR="728EFD4F" w:rsidRDefault="728EFD4F" w:rsidP="007D64D5">
          <w:pPr>
            <w:pStyle w:val="Header"/>
            <w:ind w:right="-115"/>
            <w:jc w:val="right"/>
          </w:pPr>
        </w:p>
      </w:tc>
    </w:tr>
  </w:tbl>
  <w:p w14:paraId="612E7CC7" w14:textId="7E8B30B0" w:rsidR="728EFD4F" w:rsidRDefault="728EFD4F" w:rsidP="007D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50C301F1" w14:textId="77777777" w:rsidTr="007D64D5">
      <w:tc>
        <w:tcPr>
          <w:tcW w:w="3885" w:type="dxa"/>
        </w:tcPr>
        <w:p w14:paraId="55C14971" w14:textId="788056FB" w:rsidR="728EFD4F" w:rsidRDefault="728EFD4F" w:rsidP="007D64D5">
          <w:pPr>
            <w:pStyle w:val="Header"/>
            <w:ind w:left="-115"/>
          </w:pPr>
        </w:p>
      </w:tc>
      <w:tc>
        <w:tcPr>
          <w:tcW w:w="3885" w:type="dxa"/>
        </w:tcPr>
        <w:p w14:paraId="3D02B5F5" w14:textId="0C07791E" w:rsidR="728EFD4F" w:rsidRDefault="728EFD4F" w:rsidP="007D64D5">
          <w:pPr>
            <w:pStyle w:val="Header"/>
            <w:jc w:val="center"/>
          </w:pPr>
        </w:p>
      </w:tc>
      <w:tc>
        <w:tcPr>
          <w:tcW w:w="3885" w:type="dxa"/>
        </w:tcPr>
        <w:p w14:paraId="304C9350" w14:textId="51F670F4" w:rsidR="728EFD4F" w:rsidRDefault="728EFD4F" w:rsidP="007D64D5">
          <w:pPr>
            <w:pStyle w:val="Header"/>
            <w:ind w:right="-115"/>
            <w:jc w:val="right"/>
          </w:pPr>
        </w:p>
      </w:tc>
    </w:tr>
  </w:tbl>
  <w:p w14:paraId="1CECA64E" w14:textId="3549CD87" w:rsidR="728EFD4F" w:rsidRDefault="728EFD4F" w:rsidP="007D6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32DF0431" w14:textId="77777777" w:rsidTr="007D64D5">
      <w:tc>
        <w:tcPr>
          <w:tcW w:w="3885" w:type="dxa"/>
        </w:tcPr>
        <w:p w14:paraId="375C8FAE" w14:textId="3DAD0270" w:rsidR="728EFD4F" w:rsidRDefault="728EFD4F" w:rsidP="007D64D5">
          <w:pPr>
            <w:pStyle w:val="Header"/>
            <w:ind w:left="-115"/>
          </w:pPr>
        </w:p>
      </w:tc>
      <w:tc>
        <w:tcPr>
          <w:tcW w:w="3885" w:type="dxa"/>
        </w:tcPr>
        <w:p w14:paraId="2702C7EC" w14:textId="50D48731" w:rsidR="728EFD4F" w:rsidRDefault="728EFD4F" w:rsidP="007D64D5">
          <w:pPr>
            <w:pStyle w:val="Header"/>
            <w:jc w:val="center"/>
          </w:pPr>
        </w:p>
      </w:tc>
      <w:tc>
        <w:tcPr>
          <w:tcW w:w="3885" w:type="dxa"/>
        </w:tcPr>
        <w:p w14:paraId="01E3ADF5" w14:textId="53ED04F2" w:rsidR="728EFD4F" w:rsidRDefault="728EFD4F" w:rsidP="007D64D5">
          <w:pPr>
            <w:pStyle w:val="Header"/>
            <w:ind w:right="-115"/>
            <w:jc w:val="right"/>
          </w:pPr>
        </w:p>
      </w:tc>
    </w:tr>
  </w:tbl>
  <w:p w14:paraId="49E2A23C" w14:textId="127DB7B9" w:rsidR="728EFD4F" w:rsidRDefault="728EFD4F" w:rsidP="007D64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39929E51" w14:textId="77777777" w:rsidTr="007D64D5">
      <w:tc>
        <w:tcPr>
          <w:tcW w:w="3885" w:type="dxa"/>
        </w:tcPr>
        <w:p w14:paraId="483E54A9" w14:textId="25623AAA" w:rsidR="728EFD4F" w:rsidRDefault="728EFD4F" w:rsidP="007D64D5">
          <w:pPr>
            <w:pStyle w:val="Header"/>
            <w:ind w:left="-115"/>
          </w:pPr>
        </w:p>
      </w:tc>
      <w:tc>
        <w:tcPr>
          <w:tcW w:w="3885" w:type="dxa"/>
        </w:tcPr>
        <w:p w14:paraId="3284B4AB" w14:textId="7D8FDA1A" w:rsidR="728EFD4F" w:rsidRDefault="728EFD4F" w:rsidP="007D64D5">
          <w:pPr>
            <w:pStyle w:val="Header"/>
            <w:jc w:val="center"/>
          </w:pPr>
        </w:p>
      </w:tc>
      <w:tc>
        <w:tcPr>
          <w:tcW w:w="3885" w:type="dxa"/>
        </w:tcPr>
        <w:p w14:paraId="12B639B4" w14:textId="6E0CC394" w:rsidR="728EFD4F" w:rsidRDefault="728EFD4F" w:rsidP="007D64D5">
          <w:pPr>
            <w:pStyle w:val="Header"/>
            <w:ind w:right="-115"/>
            <w:jc w:val="right"/>
          </w:pPr>
        </w:p>
      </w:tc>
    </w:tr>
  </w:tbl>
  <w:p w14:paraId="411E34D7" w14:textId="590CBEB9" w:rsidR="728EFD4F" w:rsidRDefault="728EFD4F" w:rsidP="007D64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5"/>
      <w:gridCol w:w="3885"/>
      <w:gridCol w:w="3885"/>
    </w:tblGrid>
    <w:tr w:rsidR="728EFD4F" w14:paraId="0E5A8422" w14:textId="77777777" w:rsidTr="007D64D5">
      <w:tc>
        <w:tcPr>
          <w:tcW w:w="3885" w:type="dxa"/>
        </w:tcPr>
        <w:p w14:paraId="46ECA6DF" w14:textId="36A292FC" w:rsidR="728EFD4F" w:rsidRDefault="728EFD4F" w:rsidP="007D64D5">
          <w:pPr>
            <w:pStyle w:val="Header"/>
            <w:ind w:left="-115"/>
          </w:pPr>
        </w:p>
      </w:tc>
      <w:tc>
        <w:tcPr>
          <w:tcW w:w="3885" w:type="dxa"/>
        </w:tcPr>
        <w:p w14:paraId="21613D14" w14:textId="015C17B6" w:rsidR="728EFD4F" w:rsidRDefault="728EFD4F" w:rsidP="007D64D5">
          <w:pPr>
            <w:pStyle w:val="Header"/>
            <w:jc w:val="center"/>
          </w:pPr>
        </w:p>
      </w:tc>
      <w:tc>
        <w:tcPr>
          <w:tcW w:w="3885" w:type="dxa"/>
        </w:tcPr>
        <w:p w14:paraId="4A2558B0" w14:textId="743B2245" w:rsidR="728EFD4F" w:rsidRDefault="728EFD4F" w:rsidP="007D64D5">
          <w:pPr>
            <w:pStyle w:val="Header"/>
            <w:ind w:right="-115"/>
            <w:jc w:val="right"/>
          </w:pPr>
        </w:p>
      </w:tc>
    </w:tr>
  </w:tbl>
  <w:p w14:paraId="7B7008B7" w14:textId="6210C99B" w:rsidR="728EFD4F" w:rsidRDefault="728EFD4F" w:rsidP="007D6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6E97"/>
    <w:multiLevelType w:val="hybridMultilevel"/>
    <w:tmpl w:val="B92E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3165E"/>
    <w:multiLevelType w:val="hybridMultilevel"/>
    <w:tmpl w:val="B57ABC5E"/>
    <w:lvl w:ilvl="0" w:tplc="F6DCE396">
      <w:numFmt w:val="bullet"/>
      <w:lvlText w:val="•"/>
      <w:lvlJc w:val="left"/>
      <w:pPr>
        <w:ind w:left="266" w:hanging="137"/>
      </w:pPr>
      <w:rPr>
        <w:rFonts w:ascii="Century Gothic" w:eastAsia="Century Gothic" w:hAnsi="Century Gothic" w:cs="Century Gothic" w:hint="default"/>
        <w:color w:val="231F20"/>
        <w:w w:val="77"/>
        <w:sz w:val="18"/>
        <w:szCs w:val="18"/>
        <w:lang w:val="en-US" w:eastAsia="en-US" w:bidi="en-US"/>
      </w:rPr>
    </w:lvl>
    <w:lvl w:ilvl="1" w:tplc="719AB662">
      <w:numFmt w:val="bullet"/>
      <w:lvlText w:val="•"/>
      <w:lvlJc w:val="left"/>
      <w:pPr>
        <w:ind w:left="606" w:hanging="138"/>
      </w:pPr>
      <w:rPr>
        <w:rFonts w:ascii="Century Gothic" w:eastAsia="Century Gothic" w:hAnsi="Century Gothic" w:cs="Century Gothic" w:hint="default"/>
        <w:color w:val="231F20"/>
        <w:w w:val="77"/>
        <w:sz w:val="18"/>
        <w:szCs w:val="18"/>
        <w:lang w:val="en-US" w:eastAsia="en-US" w:bidi="en-US"/>
      </w:rPr>
    </w:lvl>
    <w:lvl w:ilvl="2" w:tplc="460CC0F8">
      <w:numFmt w:val="bullet"/>
      <w:lvlText w:val="•"/>
      <w:lvlJc w:val="left"/>
      <w:pPr>
        <w:ind w:left="521" w:hanging="138"/>
      </w:pPr>
      <w:rPr>
        <w:rFonts w:hint="default"/>
        <w:lang w:val="en-US" w:eastAsia="en-US" w:bidi="en-US"/>
      </w:rPr>
    </w:lvl>
    <w:lvl w:ilvl="3" w:tplc="952636F2">
      <w:numFmt w:val="bullet"/>
      <w:lvlText w:val="•"/>
      <w:lvlJc w:val="left"/>
      <w:pPr>
        <w:ind w:left="442" w:hanging="138"/>
      </w:pPr>
      <w:rPr>
        <w:rFonts w:hint="default"/>
        <w:lang w:val="en-US" w:eastAsia="en-US" w:bidi="en-US"/>
      </w:rPr>
    </w:lvl>
    <w:lvl w:ilvl="4" w:tplc="68BC8ACC">
      <w:numFmt w:val="bullet"/>
      <w:lvlText w:val="•"/>
      <w:lvlJc w:val="left"/>
      <w:pPr>
        <w:ind w:left="363" w:hanging="138"/>
      </w:pPr>
      <w:rPr>
        <w:rFonts w:hint="default"/>
        <w:lang w:val="en-US" w:eastAsia="en-US" w:bidi="en-US"/>
      </w:rPr>
    </w:lvl>
    <w:lvl w:ilvl="5" w:tplc="2A52F106">
      <w:numFmt w:val="bullet"/>
      <w:lvlText w:val="•"/>
      <w:lvlJc w:val="left"/>
      <w:pPr>
        <w:ind w:left="284" w:hanging="138"/>
      </w:pPr>
      <w:rPr>
        <w:rFonts w:hint="default"/>
        <w:lang w:val="en-US" w:eastAsia="en-US" w:bidi="en-US"/>
      </w:rPr>
    </w:lvl>
    <w:lvl w:ilvl="6" w:tplc="02446840">
      <w:numFmt w:val="bullet"/>
      <w:lvlText w:val="•"/>
      <w:lvlJc w:val="left"/>
      <w:pPr>
        <w:ind w:left="205" w:hanging="138"/>
      </w:pPr>
      <w:rPr>
        <w:rFonts w:hint="default"/>
        <w:lang w:val="en-US" w:eastAsia="en-US" w:bidi="en-US"/>
      </w:rPr>
    </w:lvl>
    <w:lvl w:ilvl="7" w:tplc="D242B1FA">
      <w:numFmt w:val="bullet"/>
      <w:lvlText w:val="•"/>
      <w:lvlJc w:val="left"/>
      <w:pPr>
        <w:ind w:left="126" w:hanging="138"/>
      </w:pPr>
      <w:rPr>
        <w:rFonts w:hint="default"/>
        <w:lang w:val="en-US" w:eastAsia="en-US" w:bidi="en-US"/>
      </w:rPr>
    </w:lvl>
    <w:lvl w:ilvl="8" w:tplc="7A1AB206">
      <w:numFmt w:val="bullet"/>
      <w:lvlText w:val="•"/>
      <w:lvlJc w:val="left"/>
      <w:pPr>
        <w:ind w:left="48" w:hanging="13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C3"/>
    <w:rsid w:val="00010F53"/>
    <w:rsid w:val="00013E51"/>
    <w:rsid w:val="00034623"/>
    <w:rsid w:val="00042D54"/>
    <w:rsid w:val="000765D3"/>
    <w:rsid w:val="000B019B"/>
    <w:rsid w:val="000D58E4"/>
    <w:rsid w:val="000F3202"/>
    <w:rsid w:val="00115869"/>
    <w:rsid w:val="001159F0"/>
    <w:rsid w:val="0012543C"/>
    <w:rsid w:val="001573E4"/>
    <w:rsid w:val="00197D44"/>
    <w:rsid w:val="001C0A5B"/>
    <w:rsid w:val="001E7B61"/>
    <w:rsid w:val="002360FF"/>
    <w:rsid w:val="002461B7"/>
    <w:rsid w:val="00256DE5"/>
    <w:rsid w:val="002668FA"/>
    <w:rsid w:val="00275F87"/>
    <w:rsid w:val="002D2096"/>
    <w:rsid w:val="002D4563"/>
    <w:rsid w:val="002F2ABA"/>
    <w:rsid w:val="0030157F"/>
    <w:rsid w:val="00303B3C"/>
    <w:rsid w:val="00317702"/>
    <w:rsid w:val="00332BF3"/>
    <w:rsid w:val="00372BC5"/>
    <w:rsid w:val="003C4381"/>
    <w:rsid w:val="003C4891"/>
    <w:rsid w:val="00402C40"/>
    <w:rsid w:val="004032E4"/>
    <w:rsid w:val="00413F67"/>
    <w:rsid w:val="00423481"/>
    <w:rsid w:val="00427920"/>
    <w:rsid w:val="004641E9"/>
    <w:rsid w:val="004C4E05"/>
    <w:rsid w:val="004C7BC3"/>
    <w:rsid w:val="00525201"/>
    <w:rsid w:val="00531B37"/>
    <w:rsid w:val="00546A16"/>
    <w:rsid w:val="00547946"/>
    <w:rsid w:val="0055734C"/>
    <w:rsid w:val="005704FE"/>
    <w:rsid w:val="005A09D3"/>
    <w:rsid w:val="005A684E"/>
    <w:rsid w:val="005C62A2"/>
    <w:rsid w:val="006453B7"/>
    <w:rsid w:val="00655219"/>
    <w:rsid w:val="00675AB6"/>
    <w:rsid w:val="00690979"/>
    <w:rsid w:val="00691129"/>
    <w:rsid w:val="006C45FA"/>
    <w:rsid w:val="006D3280"/>
    <w:rsid w:val="006D7D3D"/>
    <w:rsid w:val="006E74E8"/>
    <w:rsid w:val="007634F8"/>
    <w:rsid w:val="007A773D"/>
    <w:rsid w:val="007B27FF"/>
    <w:rsid w:val="007D64D5"/>
    <w:rsid w:val="008079EA"/>
    <w:rsid w:val="0082007E"/>
    <w:rsid w:val="00825AFB"/>
    <w:rsid w:val="008260EA"/>
    <w:rsid w:val="00835F9E"/>
    <w:rsid w:val="00875F26"/>
    <w:rsid w:val="00885A20"/>
    <w:rsid w:val="00894E50"/>
    <w:rsid w:val="00897EC3"/>
    <w:rsid w:val="008A31E1"/>
    <w:rsid w:val="008C5CC6"/>
    <w:rsid w:val="008F747E"/>
    <w:rsid w:val="0090480F"/>
    <w:rsid w:val="00906D8C"/>
    <w:rsid w:val="00906FA8"/>
    <w:rsid w:val="00910D1D"/>
    <w:rsid w:val="009149ED"/>
    <w:rsid w:val="0092109E"/>
    <w:rsid w:val="00936D70"/>
    <w:rsid w:val="009824E2"/>
    <w:rsid w:val="009C181B"/>
    <w:rsid w:val="009C756F"/>
    <w:rsid w:val="00A2231C"/>
    <w:rsid w:val="00A35F29"/>
    <w:rsid w:val="00A4054C"/>
    <w:rsid w:val="00A640EE"/>
    <w:rsid w:val="00A76EBE"/>
    <w:rsid w:val="00AA57AB"/>
    <w:rsid w:val="00AB3BF9"/>
    <w:rsid w:val="00AD0756"/>
    <w:rsid w:val="00AF321E"/>
    <w:rsid w:val="00AF6072"/>
    <w:rsid w:val="00B9535B"/>
    <w:rsid w:val="00BB08BD"/>
    <w:rsid w:val="00BD7BEC"/>
    <w:rsid w:val="00BF25F5"/>
    <w:rsid w:val="00BF3832"/>
    <w:rsid w:val="00C00853"/>
    <w:rsid w:val="00C05F17"/>
    <w:rsid w:val="00C161E6"/>
    <w:rsid w:val="00C21B4F"/>
    <w:rsid w:val="00C47195"/>
    <w:rsid w:val="00C57961"/>
    <w:rsid w:val="00C73871"/>
    <w:rsid w:val="00C74F35"/>
    <w:rsid w:val="00CA1774"/>
    <w:rsid w:val="00CA289E"/>
    <w:rsid w:val="00CB571B"/>
    <w:rsid w:val="00CC3DF8"/>
    <w:rsid w:val="00CD4482"/>
    <w:rsid w:val="00CF6226"/>
    <w:rsid w:val="00D01220"/>
    <w:rsid w:val="00D03055"/>
    <w:rsid w:val="00D705C9"/>
    <w:rsid w:val="00D80E97"/>
    <w:rsid w:val="00E502B7"/>
    <w:rsid w:val="00E51C75"/>
    <w:rsid w:val="00E82359"/>
    <w:rsid w:val="00EA61A6"/>
    <w:rsid w:val="00ED1DD1"/>
    <w:rsid w:val="00ED7ADB"/>
    <w:rsid w:val="00EF437D"/>
    <w:rsid w:val="00F15E42"/>
    <w:rsid w:val="00F63DFF"/>
    <w:rsid w:val="00F662DC"/>
    <w:rsid w:val="00F9510A"/>
    <w:rsid w:val="00FA3FFE"/>
    <w:rsid w:val="00FA45A1"/>
    <w:rsid w:val="00FB185F"/>
    <w:rsid w:val="00FB30F6"/>
    <w:rsid w:val="00FD3772"/>
    <w:rsid w:val="00FD4D05"/>
    <w:rsid w:val="00FE590A"/>
    <w:rsid w:val="0103D6E8"/>
    <w:rsid w:val="0313DCDE"/>
    <w:rsid w:val="034D86E4"/>
    <w:rsid w:val="03A54988"/>
    <w:rsid w:val="055CCE9C"/>
    <w:rsid w:val="05BFDB56"/>
    <w:rsid w:val="05DB5745"/>
    <w:rsid w:val="061B079B"/>
    <w:rsid w:val="07939A43"/>
    <w:rsid w:val="07B94A23"/>
    <w:rsid w:val="07BF3220"/>
    <w:rsid w:val="0908EC11"/>
    <w:rsid w:val="0A358D1E"/>
    <w:rsid w:val="0AB33596"/>
    <w:rsid w:val="0B04E703"/>
    <w:rsid w:val="0B787697"/>
    <w:rsid w:val="0D7DF60F"/>
    <w:rsid w:val="0D879EB2"/>
    <w:rsid w:val="0DE5AA96"/>
    <w:rsid w:val="1058C4E7"/>
    <w:rsid w:val="10803D47"/>
    <w:rsid w:val="112241B9"/>
    <w:rsid w:val="122E6577"/>
    <w:rsid w:val="1350ACE4"/>
    <w:rsid w:val="144C40FA"/>
    <w:rsid w:val="14919FC1"/>
    <w:rsid w:val="15586A3E"/>
    <w:rsid w:val="16884DA6"/>
    <w:rsid w:val="16FF1618"/>
    <w:rsid w:val="1792DB16"/>
    <w:rsid w:val="181CD498"/>
    <w:rsid w:val="185CF2A3"/>
    <w:rsid w:val="196101CA"/>
    <w:rsid w:val="1962CA01"/>
    <w:rsid w:val="19B78B28"/>
    <w:rsid w:val="19BFEE68"/>
    <w:rsid w:val="19E4A90B"/>
    <w:rsid w:val="1A07156D"/>
    <w:rsid w:val="1ACB7014"/>
    <w:rsid w:val="1B96FB67"/>
    <w:rsid w:val="1BB177C2"/>
    <w:rsid w:val="1CEA77A0"/>
    <w:rsid w:val="1D26D3BB"/>
    <w:rsid w:val="1D9175C4"/>
    <w:rsid w:val="1D947DE7"/>
    <w:rsid w:val="1FD61FF1"/>
    <w:rsid w:val="202F2FEC"/>
    <w:rsid w:val="207633B2"/>
    <w:rsid w:val="22100D2F"/>
    <w:rsid w:val="22843B34"/>
    <w:rsid w:val="22ADE866"/>
    <w:rsid w:val="23D2B538"/>
    <w:rsid w:val="23F740A9"/>
    <w:rsid w:val="24C0B706"/>
    <w:rsid w:val="251ECB81"/>
    <w:rsid w:val="257131CC"/>
    <w:rsid w:val="25736283"/>
    <w:rsid w:val="25B1DB2B"/>
    <w:rsid w:val="25B8CEC5"/>
    <w:rsid w:val="25EC0FF5"/>
    <w:rsid w:val="264A4487"/>
    <w:rsid w:val="26BFFC3F"/>
    <w:rsid w:val="27BA2810"/>
    <w:rsid w:val="27C18AA0"/>
    <w:rsid w:val="27E614E8"/>
    <w:rsid w:val="29494EA2"/>
    <w:rsid w:val="294DB103"/>
    <w:rsid w:val="2973C271"/>
    <w:rsid w:val="29E50B1F"/>
    <w:rsid w:val="2B1C0E8C"/>
    <w:rsid w:val="2D0392C7"/>
    <w:rsid w:val="2DE84D8A"/>
    <w:rsid w:val="2EFB89EB"/>
    <w:rsid w:val="2F5232A3"/>
    <w:rsid w:val="2F8E5EB4"/>
    <w:rsid w:val="3090C00F"/>
    <w:rsid w:val="3112D6C2"/>
    <w:rsid w:val="31A60FED"/>
    <w:rsid w:val="323ECA96"/>
    <w:rsid w:val="3265CE00"/>
    <w:rsid w:val="32CCDC6A"/>
    <w:rsid w:val="32D4E70A"/>
    <w:rsid w:val="32EFC9F2"/>
    <w:rsid w:val="340414D0"/>
    <w:rsid w:val="345C458A"/>
    <w:rsid w:val="34C5C034"/>
    <w:rsid w:val="37127B27"/>
    <w:rsid w:val="37821846"/>
    <w:rsid w:val="3827AF02"/>
    <w:rsid w:val="38585321"/>
    <w:rsid w:val="38A9C080"/>
    <w:rsid w:val="39C1A808"/>
    <w:rsid w:val="39E939BC"/>
    <w:rsid w:val="3A12D5E0"/>
    <w:rsid w:val="3AC6D092"/>
    <w:rsid w:val="3ACDF989"/>
    <w:rsid w:val="3AEB9B8D"/>
    <w:rsid w:val="3B5E7916"/>
    <w:rsid w:val="3C0EF866"/>
    <w:rsid w:val="3CEDD6AD"/>
    <w:rsid w:val="3D6F8210"/>
    <w:rsid w:val="3DA36706"/>
    <w:rsid w:val="3E61E592"/>
    <w:rsid w:val="3F31A10C"/>
    <w:rsid w:val="3F679A45"/>
    <w:rsid w:val="3F8096EE"/>
    <w:rsid w:val="3F938701"/>
    <w:rsid w:val="3FACF02C"/>
    <w:rsid w:val="408AE2D1"/>
    <w:rsid w:val="412CD069"/>
    <w:rsid w:val="41AC6865"/>
    <w:rsid w:val="41AD9914"/>
    <w:rsid w:val="423094B5"/>
    <w:rsid w:val="4299117A"/>
    <w:rsid w:val="431988C2"/>
    <w:rsid w:val="446888D4"/>
    <w:rsid w:val="44A4CE10"/>
    <w:rsid w:val="455718E5"/>
    <w:rsid w:val="45A03FCD"/>
    <w:rsid w:val="46C20230"/>
    <w:rsid w:val="46D3BB89"/>
    <w:rsid w:val="46F1ABFD"/>
    <w:rsid w:val="48972B19"/>
    <w:rsid w:val="48F85A15"/>
    <w:rsid w:val="490E50D7"/>
    <w:rsid w:val="49B56226"/>
    <w:rsid w:val="49C90575"/>
    <w:rsid w:val="4A05E6F1"/>
    <w:rsid w:val="4A5B7756"/>
    <w:rsid w:val="4AE4E1E2"/>
    <w:rsid w:val="4AEB14A4"/>
    <w:rsid w:val="4B048E21"/>
    <w:rsid w:val="4B60383D"/>
    <w:rsid w:val="4BED06F0"/>
    <w:rsid w:val="4CDC5BD9"/>
    <w:rsid w:val="4D77742B"/>
    <w:rsid w:val="506E80BB"/>
    <w:rsid w:val="5108502F"/>
    <w:rsid w:val="51BF0D7A"/>
    <w:rsid w:val="51F2D2F1"/>
    <w:rsid w:val="53A3FFA1"/>
    <w:rsid w:val="53BD748D"/>
    <w:rsid w:val="54729BCB"/>
    <w:rsid w:val="55FE8C11"/>
    <w:rsid w:val="57E4B927"/>
    <w:rsid w:val="58D271BB"/>
    <w:rsid w:val="58F1A477"/>
    <w:rsid w:val="5947FC8B"/>
    <w:rsid w:val="599F0F05"/>
    <w:rsid w:val="59DFF388"/>
    <w:rsid w:val="5AD8B019"/>
    <w:rsid w:val="5B0A5E81"/>
    <w:rsid w:val="5CA62EE2"/>
    <w:rsid w:val="5D1B6687"/>
    <w:rsid w:val="5E0FFDEF"/>
    <w:rsid w:val="5F635F9F"/>
    <w:rsid w:val="5FB1F377"/>
    <w:rsid w:val="609BF9DB"/>
    <w:rsid w:val="616D14A0"/>
    <w:rsid w:val="61A012BD"/>
    <w:rsid w:val="61D09FFE"/>
    <w:rsid w:val="6407428F"/>
    <w:rsid w:val="645E591B"/>
    <w:rsid w:val="64AB9CEA"/>
    <w:rsid w:val="65A312F0"/>
    <w:rsid w:val="65DF520E"/>
    <w:rsid w:val="676C5E6E"/>
    <w:rsid w:val="69032AEB"/>
    <w:rsid w:val="6916405B"/>
    <w:rsid w:val="6AB41D80"/>
    <w:rsid w:val="6B552F0B"/>
    <w:rsid w:val="6B836F63"/>
    <w:rsid w:val="6BE114FA"/>
    <w:rsid w:val="6C0B704B"/>
    <w:rsid w:val="6C11223C"/>
    <w:rsid w:val="6C6B5EEC"/>
    <w:rsid w:val="6C7F203F"/>
    <w:rsid w:val="6C9BBF00"/>
    <w:rsid w:val="700F5172"/>
    <w:rsid w:val="7024CD21"/>
    <w:rsid w:val="703E49D6"/>
    <w:rsid w:val="70486C63"/>
    <w:rsid w:val="711419CD"/>
    <w:rsid w:val="71DD525F"/>
    <w:rsid w:val="72618972"/>
    <w:rsid w:val="728EFD4F"/>
    <w:rsid w:val="734034AA"/>
    <w:rsid w:val="739EB392"/>
    <w:rsid w:val="7505CFBB"/>
    <w:rsid w:val="7512B56F"/>
    <w:rsid w:val="75308BF2"/>
    <w:rsid w:val="757C24E2"/>
    <w:rsid w:val="759E48F0"/>
    <w:rsid w:val="766CB60F"/>
    <w:rsid w:val="76C549B6"/>
    <w:rsid w:val="76D92DE1"/>
    <w:rsid w:val="7744A2D0"/>
    <w:rsid w:val="77D26335"/>
    <w:rsid w:val="78C8E58C"/>
    <w:rsid w:val="798349B6"/>
    <w:rsid w:val="7A29EE91"/>
    <w:rsid w:val="7A54B93E"/>
    <w:rsid w:val="7A894ED9"/>
    <w:rsid w:val="7B339A81"/>
    <w:rsid w:val="7B96D0A6"/>
    <w:rsid w:val="7BCF14B2"/>
    <w:rsid w:val="7BD0A4A2"/>
    <w:rsid w:val="7BF39402"/>
    <w:rsid w:val="7C1992D8"/>
    <w:rsid w:val="7CC23C7D"/>
    <w:rsid w:val="7E34F2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9733"/>
  <w15:docId w15:val="{F80CB797-1F8C-4896-A33D-CDAC832B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19"/>
      <w:ind w:left="117"/>
      <w:outlineLvl w:val="0"/>
    </w:pPr>
    <w:rPr>
      <w:rFonts w:ascii="Calibri" w:eastAsia="Calibri" w:hAnsi="Calibri" w:cs="Calibri"/>
      <w:b/>
      <w:bCs/>
      <w:sz w:val="28"/>
      <w:szCs w:val="28"/>
    </w:rPr>
  </w:style>
  <w:style w:type="paragraph" w:styleId="Heading2">
    <w:name w:val="heading 2"/>
    <w:basedOn w:val="Normal"/>
    <w:uiPriority w:val="9"/>
    <w:unhideWhenUsed/>
    <w:qFormat/>
    <w:pPr>
      <w:ind w:left="116"/>
      <w:outlineLvl w:val="1"/>
    </w:pPr>
    <w:rPr>
      <w:rFonts w:ascii="Calibri" w:eastAsia="Calibri" w:hAnsi="Calibri" w:cs="Calibri"/>
      <w:b/>
      <w:bCs/>
      <w:sz w:val="24"/>
      <w:szCs w:val="24"/>
    </w:rPr>
  </w:style>
  <w:style w:type="paragraph" w:styleId="Heading3">
    <w:name w:val="heading 3"/>
    <w:basedOn w:val="Normal"/>
    <w:uiPriority w:val="9"/>
    <w:unhideWhenUsed/>
    <w:qFormat/>
    <w:pPr>
      <w:spacing w:before="59"/>
      <w:ind w:left="171"/>
      <w:outlineLvl w:val="2"/>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66" w:hanging="1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62DC"/>
    <w:rPr>
      <w:color w:val="0000FF" w:themeColor="hyperlink"/>
      <w:u w:val="single"/>
    </w:rPr>
  </w:style>
  <w:style w:type="character" w:styleId="UnresolvedMention">
    <w:name w:val="Unresolved Mention"/>
    <w:basedOn w:val="DefaultParagraphFont"/>
    <w:uiPriority w:val="99"/>
    <w:semiHidden/>
    <w:unhideWhenUsed/>
    <w:rsid w:val="00F662D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entury Gothic" w:eastAsia="Century Gothic" w:hAnsi="Century Gothic" w:cs="Century Gothic"/>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0979"/>
    <w:rPr>
      <w:b/>
      <w:bCs/>
    </w:rPr>
  </w:style>
  <w:style w:type="character" w:customStyle="1" w:styleId="CommentSubjectChar">
    <w:name w:val="Comment Subject Char"/>
    <w:basedOn w:val="CommentTextChar"/>
    <w:link w:val="CommentSubject"/>
    <w:uiPriority w:val="99"/>
    <w:semiHidden/>
    <w:rsid w:val="00690979"/>
    <w:rPr>
      <w:rFonts w:ascii="Century Gothic" w:eastAsia="Century Gothic" w:hAnsi="Century Gothic" w:cs="Century Gothic"/>
      <w:b/>
      <w:bCs/>
      <w:sz w:val="20"/>
      <w:szCs w:val="20"/>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FB30F6"/>
  </w:style>
  <w:style w:type="character" w:customStyle="1" w:styleId="eop">
    <w:name w:val="eop"/>
    <w:basedOn w:val="DefaultParagraphFont"/>
    <w:rsid w:val="00FB30F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ensus.gov/programs-surveys/decennial-census/decade/2020/planning"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F607-3C26-4E53-A756-57EEF63558F8}">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1246A7D-E831-4A66-A181-24CFDF324C27}">
  <ds:schemaRefs>
    <ds:schemaRef ds:uri="http://schemas.microsoft.com/sharepoint/v3/contenttype/forms"/>
  </ds:schemaRefs>
</ds:datastoreItem>
</file>

<file path=customXml/itemProps3.xml><?xml version="1.0" encoding="utf-8"?>
<ds:datastoreItem xmlns:ds="http://schemas.openxmlformats.org/officeDocument/2006/customXml" ds:itemID="{EC5A5A72-95F6-4DCA-A298-5747DD3F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2020 Census CQR Flyer</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CQR Flyer</dc:title>
  <dc:subject>Flyer</dc:subject>
  <dc:creator>U.S. Census Bureau</dc:creator>
  <cp:keywords/>
  <cp:lastModifiedBy>Beth Clarke Tyszka (CENSUS/DCMD FED)</cp:lastModifiedBy>
  <cp:revision>2</cp:revision>
  <dcterms:created xsi:type="dcterms:W3CDTF">2022-03-17T15:21:00Z</dcterms:created>
  <dcterms:modified xsi:type="dcterms:W3CDTF">2022-03-17T15:21:00Z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Adobe Illustrator 24.0 (Windows)</vt:lpwstr>
  </property>
  <property fmtid="{D5CDD505-2E9C-101B-9397-08002B2CF9AE}" pid="4" name="LastSaved">
    <vt:filetime>2022-01-06T00:00:00Z</vt:filetime>
  </property>
</Properties>
</file>