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DA" w:rsidRDefault="00A826E7" w14:paraId="00000001" w14:textId="77777777">
      <w:pPr>
        <w:tabs>
          <w:tab w:val="left" w:pos="540"/>
        </w:tabs>
        <w:ind w:left="540" w:hanging="540"/>
        <w:jc w:val="center"/>
        <w:rPr>
          <w:b/>
          <w:sz w:val="24"/>
          <w:szCs w:val="24"/>
        </w:rPr>
      </w:pPr>
      <w:bookmarkStart w:name="_heading=h.gjdgxs" w:colFirst="0" w:colLast="0" w:id="0"/>
      <w:bookmarkEnd w:id="0"/>
      <w:r>
        <w:rPr>
          <w:b/>
          <w:sz w:val="24"/>
          <w:szCs w:val="24"/>
        </w:rPr>
        <w:t>SUPPORTING STATEMENT</w:t>
      </w:r>
    </w:p>
    <w:p w:rsidR="002E06DA" w:rsidRDefault="00A826E7" w14:paraId="00000002" w14:textId="77777777">
      <w:pPr>
        <w:tabs>
          <w:tab w:val="left" w:pos="540"/>
        </w:tabs>
        <w:ind w:left="540" w:hanging="540"/>
        <w:jc w:val="center"/>
        <w:rPr>
          <w:b/>
          <w:sz w:val="24"/>
          <w:szCs w:val="24"/>
        </w:rPr>
      </w:pPr>
      <w:r>
        <w:rPr>
          <w:b/>
          <w:sz w:val="24"/>
          <w:szCs w:val="24"/>
        </w:rPr>
        <w:t>U.S. Department of Commerce</w:t>
      </w:r>
    </w:p>
    <w:p w:rsidR="002E06DA" w:rsidRDefault="00A826E7" w14:paraId="00000003" w14:textId="77777777">
      <w:pPr>
        <w:tabs>
          <w:tab w:val="left" w:pos="540"/>
        </w:tabs>
        <w:ind w:left="540" w:hanging="540"/>
        <w:jc w:val="center"/>
        <w:rPr>
          <w:b/>
          <w:sz w:val="24"/>
          <w:szCs w:val="24"/>
        </w:rPr>
      </w:pPr>
      <w:r>
        <w:rPr>
          <w:b/>
          <w:sz w:val="24"/>
          <w:szCs w:val="24"/>
        </w:rPr>
        <w:t>National Oceanic &amp; Atmospheric Administration</w:t>
      </w:r>
    </w:p>
    <w:p w:rsidRPr="00FB2F18" w:rsidR="002E06DA" w:rsidRDefault="00A826E7" w14:paraId="00000004" w14:textId="77777777">
      <w:pPr>
        <w:tabs>
          <w:tab w:val="left" w:pos="540"/>
        </w:tabs>
        <w:ind w:left="540" w:hanging="540"/>
        <w:jc w:val="center"/>
        <w:rPr>
          <w:b/>
          <w:sz w:val="24"/>
          <w:szCs w:val="24"/>
        </w:rPr>
      </w:pPr>
      <w:r w:rsidRPr="00FB2F18">
        <w:rPr>
          <w:b/>
          <w:sz w:val="24"/>
          <w:szCs w:val="24"/>
        </w:rPr>
        <w:t xml:space="preserve">Northeast Multispecies Reporting Requirements Temporary </w:t>
      </w:r>
      <w:r w:rsidRPr="00FB2F18">
        <w:rPr>
          <w:b/>
          <w:sz w:val="24"/>
          <w:szCs w:val="24"/>
        </w:rPr>
        <w:t>Data Collection</w:t>
      </w:r>
    </w:p>
    <w:p w:rsidR="002E06DA" w:rsidRDefault="00A826E7" w14:paraId="00000005" w14:textId="77777777">
      <w:pPr>
        <w:tabs>
          <w:tab w:val="left" w:pos="540"/>
        </w:tabs>
        <w:ind w:left="540" w:hanging="540"/>
        <w:jc w:val="center"/>
        <w:rPr>
          <w:b/>
          <w:sz w:val="24"/>
          <w:szCs w:val="24"/>
        </w:rPr>
      </w:pPr>
      <w:r w:rsidRPr="00FB2F18">
        <w:rPr>
          <w:b/>
          <w:sz w:val="24"/>
          <w:szCs w:val="24"/>
        </w:rPr>
        <w:t>OMB Control No. 0648-</w:t>
      </w:r>
      <w:r w:rsidRPr="00FB2F18">
        <w:rPr>
          <w:b/>
          <w:sz w:val="24"/>
          <w:szCs w:val="24"/>
        </w:rPr>
        <w:t>XXXX</w:t>
      </w:r>
    </w:p>
    <w:p w:rsidR="002E06DA" w:rsidRDefault="002E06DA" w14:paraId="00000006" w14:textId="77777777">
      <w:pPr>
        <w:tabs>
          <w:tab w:val="left" w:pos="540"/>
        </w:tabs>
        <w:ind w:left="540" w:hanging="540"/>
        <w:rPr>
          <w:sz w:val="24"/>
          <w:szCs w:val="24"/>
        </w:rPr>
      </w:pPr>
    </w:p>
    <w:p w:rsidR="002E06DA" w:rsidRDefault="002E06DA" w14:paraId="00000007" w14:textId="77777777">
      <w:pPr>
        <w:tabs>
          <w:tab w:val="left" w:pos="540"/>
        </w:tabs>
        <w:ind w:left="540" w:hanging="540"/>
        <w:rPr>
          <w:sz w:val="24"/>
          <w:szCs w:val="24"/>
        </w:rPr>
      </w:pPr>
    </w:p>
    <w:p w:rsidR="002E06DA" w:rsidRDefault="00A826E7" w14:paraId="00000008" w14:textId="77777777">
      <w:pPr>
        <w:tabs>
          <w:tab w:val="left" w:pos="540"/>
          <w:tab w:val="left" w:pos="720"/>
        </w:tabs>
        <w:ind w:left="540" w:hanging="540"/>
        <w:rPr>
          <w:b/>
          <w:sz w:val="24"/>
          <w:szCs w:val="24"/>
        </w:rPr>
      </w:pPr>
      <w:r>
        <w:rPr>
          <w:b/>
          <w:sz w:val="24"/>
          <w:szCs w:val="24"/>
        </w:rPr>
        <w:t xml:space="preserve">A. </w:t>
      </w:r>
      <w:r>
        <w:rPr>
          <w:b/>
          <w:sz w:val="24"/>
          <w:szCs w:val="24"/>
        </w:rPr>
        <w:tab/>
        <w:t>JUSTIFICATION</w:t>
      </w:r>
    </w:p>
    <w:p w:rsidR="002E06DA" w:rsidRDefault="002E06DA" w14:paraId="00000009" w14:textId="77777777">
      <w:pPr>
        <w:tabs>
          <w:tab w:val="left" w:pos="540"/>
          <w:tab w:val="left" w:pos="720"/>
        </w:tabs>
        <w:ind w:left="540" w:hanging="540"/>
        <w:rPr>
          <w:b/>
          <w:sz w:val="24"/>
          <w:szCs w:val="24"/>
        </w:rPr>
      </w:pPr>
    </w:p>
    <w:p w:rsidR="002E06DA" w:rsidRDefault="00A826E7" w14:paraId="0000000A" w14:textId="77777777">
      <w:pPr>
        <w:tabs>
          <w:tab w:val="left" w:pos="540"/>
          <w:tab w:val="left" w:pos="720"/>
        </w:tabs>
        <w:ind w:left="540" w:hanging="540"/>
        <w:rPr>
          <w:b/>
          <w:sz w:val="24"/>
          <w:szCs w:val="24"/>
        </w:rPr>
      </w:pPr>
      <w:r>
        <w:rPr>
          <w:b/>
          <w:sz w:val="24"/>
          <w:szCs w:val="24"/>
        </w:rPr>
        <w:t>Abstract:</w:t>
      </w:r>
    </w:p>
    <w:p w:rsidR="00FB2F18" w:rsidRDefault="00A826E7" w14:paraId="7D774F6E" w14:textId="77777777">
      <w:pPr>
        <w:tabs>
          <w:tab w:val="left" w:pos="540"/>
          <w:tab w:val="left" w:pos="720"/>
        </w:tabs>
        <w:rPr>
          <w:sz w:val="24"/>
          <w:szCs w:val="24"/>
        </w:rPr>
      </w:pPr>
      <w:r>
        <w:rPr>
          <w:sz w:val="24"/>
          <w:szCs w:val="24"/>
        </w:rPr>
        <w:t>This is a request for a new collection of information pursuant to RIN 0648-BK17.  Proposed rule 0648-BK17 will add a dockside monitoring requirement for vessels electing to use maximized retention electronic monitoring to meet the existing monitoring requi</w:t>
      </w:r>
      <w:r>
        <w:rPr>
          <w:sz w:val="24"/>
          <w:szCs w:val="24"/>
        </w:rPr>
        <w:t xml:space="preserve">rement.  This temporary collection is being created due to timing conflicts with OMB Control Number 0648-0605, Northeast Multispecies Amendment 16, which is currently up for renewal.  </w:t>
      </w:r>
      <w:r w:rsidR="00FB2F18">
        <w:rPr>
          <w:sz w:val="24"/>
          <w:szCs w:val="24"/>
        </w:rPr>
        <w:t xml:space="preserve">As a result of the near-concurrent publication of a 60-day </w:t>
      </w:r>
      <w:r w:rsidR="00FB2F18">
        <w:rPr>
          <w:sz w:val="24"/>
          <w:szCs w:val="24"/>
          <w:u w:val="single"/>
        </w:rPr>
        <w:t>Federal</w:t>
      </w:r>
      <w:r w:rsidR="00FB2F18">
        <w:rPr>
          <w:sz w:val="24"/>
          <w:szCs w:val="24"/>
        </w:rPr>
        <w:t xml:space="preserve"> </w:t>
      </w:r>
      <w:r w:rsidR="00FB2F18">
        <w:rPr>
          <w:sz w:val="24"/>
          <w:szCs w:val="24"/>
          <w:u w:val="single"/>
        </w:rPr>
        <w:t>Register</w:t>
      </w:r>
      <w:r w:rsidR="00FB2F18">
        <w:rPr>
          <w:sz w:val="24"/>
          <w:szCs w:val="24"/>
        </w:rPr>
        <w:t xml:space="preserve"> notice to revise and extend OMB Control Number 0648-0605 and proposed rule 0648-BK17, the proposed rule included the same revisions outlined in the 60-day notice for 0648-0605.  These revisions include the development and submission of vessel monitoring plans and trip-level feedback reports; information related to the purchase and installation of electronic monitoring equipment; and the submission of daily catch reports via vessel monitoring system (VMS).  However, the only revision specifically related to 0648-BK17 is the addition of a dockside monitoring request.</w:t>
      </w:r>
      <w:r w:rsidR="00FB2F18">
        <w:rPr>
          <w:sz w:val="24"/>
          <w:szCs w:val="24"/>
        </w:rPr>
        <w:t xml:space="preserve">  </w:t>
      </w:r>
    </w:p>
    <w:p w:rsidR="00FB2F18" w:rsidRDefault="00FB2F18" w14:paraId="1A78C854" w14:textId="77777777">
      <w:pPr>
        <w:tabs>
          <w:tab w:val="left" w:pos="540"/>
          <w:tab w:val="left" w:pos="720"/>
        </w:tabs>
        <w:rPr>
          <w:sz w:val="24"/>
          <w:szCs w:val="24"/>
        </w:rPr>
      </w:pPr>
    </w:p>
    <w:p w:rsidR="002E06DA" w:rsidRDefault="00A826E7" w14:paraId="0000000B" w14:textId="154BDD62">
      <w:pPr>
        <w:tabs>
          <w:tab w:val="left" w:pos="540"/>
          <w:tab w:val="left" w:pos="720"/>
        </w:tabs>
        <w:rPr>
          <w:sz w:val="24"/>
          <w:szCs w:val="24"/>
        </w:rPr>
      </w:pPr>
      <w:r>
        <w:rPr>
          <w:sz w:val="24"/>
          <w:szCs w:val="24"/>
        </w:rPr>
        <w:t>Once 0648-0605 is renewed and the 0648-BK17 final rule information colle</w:t>
      </w:r>
      <w:r>
        <w:rPr>
          <w:sz w:val="24"/>
          <w:szCs w:val="24"/>
        </w:rPr>
        <w:t xml:space="preserve">ction is approved, NOAA will submit a request to merge this temporary collection into 0648-0605. </w:t>
      </w:r>
    </w:p>
    <w:p w:rsidR="002E06DA" w:rsidRDefault="002E06DA" w14:paraId="0000000C" w14:textId="77777777">
      <w:pPr>
        <w:tabs>
          <w:tab w:val="left" w:pos="540"/>
          <w:tab w:val="left" w:pos="720"/>
        </w:tabs>
        <w:rPr>
          <w:sz w:val="24"/>
          <w:szCs w:val="24"/>
        </w:rPr>
      </w:pPr>
    </w:p>
    <w:p w:rsidR="002E06DA" w:rsidRDefault="00A826E7" w14:paraId="0000000F" w14:textId="29198311">
      <w:pPr>
        <w:tabs>
          <w:tab w:val="left" w:pos="540"/>
          <w:tab w:val="left" w:pos="720"/>
        </w:tabs>
        <w:rPr>
          <w:sz w:val="24"/>
          <w:szCs w:val="24"/>
        </w:rPr>
      </w:pPr>
      <w:r>
        <w:rPr>
          <w:sz w:val="24"/>
          <w:szCs w:val="24"/>
        </w:rPr>
        <w:t>NOAA will also re</w:t>
      </w:r>
      <w:r>
        <w:rPr>
          <w:sz w:val="24"/>
          <w:szCs w:val="24"/>
        </w:rPr>
        <w:t>vise the title of collection 0648-0605 from Northeast Multispecies Amendment 16 to Northeast Multispecies Reporting Requirements to more accurately reflect the information collected.</w:t>
      </w:r>
    </w:p>
    <w:p w:rsidR="002E06DA" w:rsidRDefault="002E06DA" w14:paraId="00000010" w14:textId="77777777">
      <w:pPr>
        <w:tabs>
          <w:tab w:val="left" w:pos="540"/>
          <w:tab w:val="left" w:pos="720"/>
        </w:tabs>
        <w:rPr>
          <w:sz w:val="24"/>
          <w:szCs w:val="24"/>
        </w:rPr>
      </w:pPr>
    </w:p>
    <w:p w:rsidR="002E06DA" w:rsidRDefault="002E06DA" w14:paraId="00000011" w14:textId="77777777">
      <w:pPr>
        <w:tabs>
          <w:tab w:val="left" w:pos="540"/>
        </w:tabs>
        <w:ind w:left="540" w:hanging="540"/>
        <w:rPr>
          <w:sz w:val="24"/>
          <w:szCs w:val="24"/>
        </w:rPr>
      </w:pPr>
    </w:p>
    <w:p w:rsidR="002E06DA" w:rsidRDefault="00A826E7" w14:paraId="00000012" w14:textId="77777777">
      <w:pPr>
        <w:tabs>
          <w:tab w:val="left" w:pos="540"/>
        </w:tabs>
        <w:ind w:left="540" w:hanging="540"/>
        <w:rPr>
          <w:b/>
          <w:sz w:val="24"/>
          <w:szCs w:val="24"/>
        </w:rPr>
      </w:pPr>
      <w:r>
        <w:rPr>
          <w:b/>
          <w:sz w:val="24"/>
          <w:szCs w:val="24"/>
        </w:rPr>
        <w:t>1.</w:t>
      </w:r>
      <w:r>
        <w:rPr>
          <w:b/>
          <w:sz w:val="24"/>
          <w:szCs w:val="24"/>
        </w:rPr>
        <w:tab/>
        <w:t>Explain the circumstances that make the collection of information ne</w:t>
      </w:r>
      <w:r>
        <w:rPr>
          <w:b/>
          <w:sz w:val="24"/>
          <w:szCs w:val="24"/>
        </w:rPr>
        <w:t>cessary. Identify any legal or administrative requirements that necessitate the collection. Attach a copy of the appropriate section of each statute and regulation mandating or authorizing the collection of information.</w:t>
      </w:r>
    </w:p>
    <w:p w:rsidR="002E06DA" w:rsidRDefault="002E06DA" w14:paraId="00000013" w14:textId="77777777">
      <w:pPr>
        <w:rPr>
          <w:sz w:val="24"/>
          <w:szCs w:val="24"/>
        </w:rPr>
      </w:pPr>
    </w:p>
    <w:p w:rsidR="002E06DA" w:rsidRDefault="00A826E7" w14:paraId="00000014" w14:textId="77777777">
      <w:pPr>
        <w:rPr>
          <w:sz w:val="24"/>
          <w:szCs w:val="24"/>
        </w:rPr>
      </w:pPr>
      <w:r>
        <w:rPr>
          <w:sz w:val="24"/>
          <w:szCs w:val="24"/>
        </w:rPr>
        <w:t xml:space="preserve">Under the Magnuson-Stevens Fishery </w:t>
      </w:r>
      <w:r>
        <w:rPr>
          <w:sz w:val="24"/>
          <w:szCs w:val="24"/>
        </w:rPr>
        <w:t xml:space="preserve">Conservation and Management Act (MSA), the Secretary of Commerce has the responsibility for the conservation and management of marine fishery resources. The National Oceanic and Atmospheric Administration’s (NOAA) National Marine Fisheries Service (NMFS), </w:t>
      </w:r>
      <w:r>
        <w:rPr>
          <w:sz w:val="24"/>
          <w:szCs w:val="24"/>
        </w:rPr>
        <w:t>and the Regional Fishery Management Councils are delegated the majority of this responsibility. The New England Fishery Management Council (Council) develops management plans for fishery resources in New England.</w:t>
      </w:r>
    </w:p>
    <w:p w:rsidR="002E06DA" w:rsidRDefault="002E06DA" w14:paraId="00000015" w14:textId="77777777">
      <w:pPr>
        <w:rPr>
          <w:sz w:val="24"/>
          <w:szCs w:val="24"/>
        </w:rPr>
      </w:pPr>
    </w:p>
    <w:p w:rsidR="002E06DA" w:rsidRDefault="00A826E7" w14:paraId="00000016" w14:textId="77777777">
      <w:pPr>
        <w:spacing w:before="240"/>
        <w:rPr>
          <w:sz w:val="24"/>
          <w:szCs w:val="24"/>
        </w:rPr>
      </w:pPr>
      <w:r>
        <w:rPr>
          <w:sz w:val="24"/>
          <w:szCs w:val="24"/>
        </w:rPr>
        <w:t>In 2010, a new suite of regulations for th</w:t>
      </w:r>
      <w:r>
        <w:rPr>
          <w:sz w:val="24"/>
          <w:szCs w:val="24"/>
        </w:rPr>
        <w:t>e Northeast (NE) multispecies fishery was implemented through Amendment 16 to the NE Multispecies Fishery Management Plan (FMP). This action updated status determination criteria for all regulated NE multispecies or ocean pout stocks; adopted rebuilding pr</w:t>
      </w:r>
      <w:r>
        <w:rPr>
          <w:sz w:val="24"/>
          <w:szCs w:val="24"/>
        </w:rPr>
        <w:t xml:space="preserve">ograms for NE multispecies (groundfish) stocks newly classified as being overfished and subject to overfishing; revised management measures, including significant </w:t>
      </w:r>
      <w:r>
        <w:rPr>
          <w:sz w:val="24"/>
          <w:szCs w:val="24"/>
        </w:rPr>
        <w:lastRenderedPageBreak/>
        <w:t>revisions to the sector management measures (established under Amendment 13) necessary to end</w:t>
      </w:r>
      <w:r>
        <w:rPr>
          <w:sz w:val="24"/>
          <w:szCs w:val="24"/>
        </w:rPr>
        <w:t xml:space="preserve"> overfishing, rebuild overfished regulated NE multispecies and ocean pout stocks, and mitigate the adverse economic impacts of increased effort controls. It also implemented new requirements under Amendment 16 for establishing acceptable biological catch, </w:t>
      </w:r>
      <w:r>
        <w:rPr>
          <w:sz w:val="24"/>
          <w:szCs w:val="24"/>
        </w:rPr>
        <w:t>annual catch limits (ACLs), and accountability measures for each stock managed under the FMP, pursuant to the Magnuson-Stevens Fishery Conservation and Management Act (Magnuson-Stevens Act).</w:t>
      </w:r>
    </w:p>
    <w:p w:rsidR="002E06DA" w:rsidRDefault="00A826E7" w14:paraId="00000017" w14:textId="77777777">
      <w:pPr>
        <w:spacing w:before="240"/>
        <w:rPr>
          <w:sz w:val="24"/>
          <w:szCs w:val="24"/>
        </w:rPr>
      </w:pPr>
      <w:r>
        <w:rPr>
          <w:sz w:val="24"/>
          <w:szCs w:val="24"/>
        </w:rPr>
        <w:t xml:space="preserve">Sectors are a management tool in the NE groundfish fishery. </w:t>
      </w:r>
      <w:r>
        <w:rPr>
          <w:sz w:val="24"/>
          <w:szCs w:val="24"/>
        </w:rPr>
        <w:t>The FMP allows permitted vessels to make an annual election either to fish under the effort-control rules (the common pool) or under the voluntary catch share system (sectors).  A sector consists of three or more limited access NE multispecies vessel permi</w:t>
      </w:r>
      <w:r>
        <w:rPr>
          <w:sz w:val="24"/>
          <w:szCs w:val="24"/>
        </w:rPr>
        <w:t>ts, with distinct ownership, who voluntarily enter into a contract to manage their fishing operations and to share liability. A sector is granted an annual allocation of most stocks of fish managed by the NE Multispecies FMP. In return for increased operat</w:t>
      </w:r>
      <w:r>
        <w:rPr>
          <w:sz w:val="24"/>
          <w:szCs w:val="24"/>
        </w:rPr>
        <w:t>ional flexibility, such as exemptions from certain effort controls and the ability to pool and trade quota, sectors have additional reporting and monitoring requirements. Amendment 16 required sectors to develop and fund an independent third-party at-sea m</w:t>
      </w:r>
      <w:r>
        <w:rPr>
          <w:sz w:val="24"/>
          <w:szCs w:val="24"/>
        </w:rPr>
        <w:t>onitoring (ASM) program.  Amendment 16 allowed sectors to use electronic monitoring (EM) instead of human monitors to meet ASM requirements, provided that the Greater Atlantic Regional Administrator deemed it sufficient.  Using the authority and process gr</w:t>
      </w:r>
      <w:r>
        <w:rPr>
          <w:sz w:val="24"/>
          <w:szCs w:val="24"/>
        </w:rPr>
        <w:t>anted to the agency in Amendment 16, NMFS announced its determination that sectors may use EM to meet monitoring requirements (86 FR 16686; March 31, 2021).  The sector reporting and monitoring requirements, as established by Amendment 16 and revised by su</w:t>
      </w:r>
      <w:r>
        <w:rPr>
          <w:sz w:val="24"/>
          <w:szCs w:val="24"/>
        </w:rPr>
        <w:t>bsequent framework adjustments to the NE Multispecies FMP, are contained within this information collection.</w:t>
      </w:r>
    </w:p>
    <w:p w:rsidR="002E06DA" w:rsidRDefault="002E06DA" w14:paraId="00000018" w14:textId="77777777">
      <w:pPr>
        <w:spacing w:before="240"/>
        <w:rPr>
          <w:sz w:val="24"/>
          <w:szCs w:val="24"/>
        </w:rPr>
      </w:pPr>
    </w:p>
    <w:p w:rsidR="002E06DA" w:rsidRDefault="00A826E7" w14:paraId="00000019" w14:textId="77777777">
      <w:pPr>
        <w:rPr>
          <w:sz w:val="24"/>
          <w:szCs w:val="24"/>
        </w:rPr>
      </w:pPr>
      <w:r>
        <w:rPr>
          <w:sz w:val="24"/>
          <w:szCs w:val="24"/>
        </w:rPr>
        <w:t>RIN 0648-BK17 expands the information collection under 0648-0605 to support regulatory requirements of the NE Multispecies FMP. Amendment 23 to th</w:t>
      </w:r>
      <w:r>
        <w:rPr>
          <w:sz w:val="24"/>
          <w:szCs w:val="24"/>
        </w:rPr>
        <w:t>e Northeast Multispecies FMP (Amendment 23) was developed by the Council to improve the reliability and accountability of catch reporting in the groundfish fishery to ensure precise and accurate estimates of catch (landings and discards) of fish stocks man</w:t>
      </w:r>
      <w:r>
        <w:rPr>
          <w:sz w:val="24"/>
          <w:szCs w:val="24"/>
        </w:rPr>
        <w:t>aged by the FMP.  Specifically, Amendment 23 would approve the maximized retention electronic monitoring (MREM) model as a cost-effective alternative to human at-sea monitors that industry members may choose to use to meet the existing industry-funded moni</w:t>
      </w:r>
      <w:r>
        <w:rPr>
          <w:sz w:val="24"/>
          <w:szCs w:val="24"/>
        </w:rPr>
        <w:t xml:space="preserve">toring requirement in the FMP.  </w:t>
      </w:r>
    </w:p>
    <w:p w:rsidR="002E06DA" w:rsidRDefault="002E06DA" w14:paraId="0000001A" w14:textId="77777777">
      <w:pPr>
        <w:rPr>
          <w:sz w:val="24"/>
          <w:szCs w:val="24"/>
        </w:rPr>
      </w:pPr>
    </w:p>
    <w:p w:rsidR="002E06DA" w:rsidRDefault="00A826E7" w14:paraId="0000001B" w14:textId="77777777">
      <w:pPr>
        <w:rPr>
          <w:sz w:val="24"/>
          <w:szCs w:val="24"/>
        </w:rPr>
      </w:pPr>
      <w:r>
        <w:rPr>
          <w:sz w:val="24"/>
          <w:szCs w:val="24"/>
        </w:rPr>
        <w:t>This is the second electronic monitoring model approved under the FMP.  Both electronic monitoring models increase flexibility for sectors and their members to choose the monitoring option that best suits their business an</w:t>
      </w:r>
      <w:r>
        <w:rPr>
          <w:sz w:val="24"/>
          <w:szCs w:val="24"/>
        </w:rPr>
        <w:t>d operational needs while offering potential reductions in monitoring costs. Electronic monitoring addresses monitoring bias in catch data by ensuring cameras are operating on all trips and monitoring all catch.  The MREM model includes a new requirement f</w:t>
      </w:r>
      <w:r>
        <w:rPr>
          <w:sz w:val="24"/>
          <w:szCs w:val="24"/>
        </w:rPr>
        <w:t>or a dockside monitoring program which is the subject of this new information collection.</w:t>
      </w:r>
    </w:p>
    <w:p w:rsidR="002E06DA" w:rsidRDefault="002E06DA" w14:paraId="0000001C" w14:textId="77777777">
      <w:pPr>
        <w:rPr>
          <w:sz w:val="24"/>
          <w:szCs w:val="24"/>
        </w:rPr>
      </w:pPr>
    </w:p>
    <w:p w:rsidR="002E06DA" w:rsidRDefault="00A826E7" w14:paraId="0000001D" w14:textId="77777777">
      <w:pPr>
        <w:rPr>
          <w:sz w:val="24"/>
          <w:szCs w:val="24"/>
        </w:rPr>
      </w:pPr>
      <w:r>
        <w:rPr>
          <w:sz w:val="24"/>
          <w:szCs w:val="24"/>
        </w:rPr>
        <w:t>The items outlined in this information collection are:</w:t>
      </w:r>
    </w:p>
    <w:p w:rsidR="002E06DA" w:rsidRDefault="00A826E7" w14:paraId="0000001E" w14:textId="77777777">
      <w:pPr>
        <w:numPr>
          <w:ilvl w:val="0"/>
          <w:numId w:val="1"/>
        </w:numPr>
        <w:rPr>
          <w:sz w:val="24"/>
          <w:szCs w:val="24"/>
        </w:rPr>
      </w:pPr>
      <w:r>
        <w:rPr>
          <w:sz w:val="24"/>
          <w:szCs w:val="24"/>
        </w:rPr>
        <w:t>A dockside monitoring requirement for Northeast multispecies (groundfish) vessels enrolled in the MREM program</w:t>
      </w:r>
      <w:r>
        <w:rPr>
          <w:sz w:val="24"/>
          <w:szCs w:val="24"/>
        </w:rPr>
        <w:t>.</w:t>
      </w:r>
    </w:p>
    <w:p w:rsidR="002E06DA" w:rsidRDefault="00A826E7" w14:paraId="0000001F" w14:textId="77777777">
      <w:pPr>
        <w:numPr>
          <w:ilvl w:val="1"/>
          <w:numId w:val="1"/>
        </w:numPr>
        <w:rPr>
          <w:sz w:val="24"/>
          <w:szCs w:val="24"/>
        </w:rPr>
      </w:pPr>
      <w:r>
        <w:rPr>
          <w:sz w:val="24"/>
          <w:szCs w:val="24"/>
        </w:rPr>
        <w:t>This requirement is proposed to be codified at 648.11(l)(10)(i)(D).</w:t>
      </w:r>
    </w:p>
    <w:p w:rsidR="002E06DA" w:rsidRDefault="00A826E7" w14:paraId="00000020" w14:textId="77777777">
      <w:pPr>
        <w:numPr>
          <w:ilvl w:val="0"/>
          <w:numId w:val="1"/>
        </w:numPr>
        <w:rPr>
          <w:sz w:val="24"/>
          <w:szCs w:val="24"/>
        </w:rPr>
      </w:pPr>
      <w:r>
        <w:rPr>
          <w:sz w:val="24"/>
          <w:szCs w:val="24"/>
        </w:rPr>
        <w:t>A requirement for groundfish dealers to facilitate dockside monitoring for vessels enrolled in the MREM program.</w:t>
      </w:r>
    </w:p>
    <w:p w:rsidR="002E06DA" w:rsidRDefault="00A826E7" w14:paraId="00000021" w14:textId="77777777">
      <w:pPr>
        <w:numPr>
          <w:ilvl w:val="1"/>
          <w:numId w:val="1"/>
        </w:numPr>
        <w:rPr>
          <w:sz w:val="24"/>
          <w:szCs w:val="24"/>
        </w:rPr>
      </w:pPr>
      <w:r>
        <w:rPr>
          <w:sz w:val="24"/>
          <w:szCs w:val="24"/>
        </w:rPr>
        <w:t>This requirement is proposed to be codified at 648.11(l)(10)(iv).</w:t>
      </w:r>
    </w:p>
    <w:p w:rsidR="002E06DA" w:rsidRDefault="002E06DA" w14:paraId="00000022" w14:textId="77777777">
      <w:pPr>
        <w:rPr>
          <w:sz w:val="24"/>
          <w:szCs w:val="24"/>
        </w:rPr>
      </w:pPr>
    </w:p>
    <w:p w:rsidR="002E06DA" w:rsidRDefault="002E06DA" w14:paraId="00000023" w14:textId="77777777">
      <w:pPr>
        <w:rPr>
          <w:sz w:val="24"/>
          <w:szCs w:val="24"/>
        </w:rPr>
      </w:pPr>
    </w:p>
    <w:p w:rsidR="002E06DA" w:rsidRDefault="00A826E7" w14:paraId="00000024" w14:textId="77777777">
      <w:pPr>
        <w:tabs>
          <w:tab w:val="left" w:pos="540"/>
        </w:tabs>
        <w:ind w:left="540" w:hanging="540"/>
        <w:rPr>
          <w:sz w:val="24"/>
          <w:szCs w:val="24"/>
        </w:rPr>
      </w:pPr>
      <w:r>
        <w:rPr>
          <w:b/>
          <w:sz w:val="24"/>
          <w:szCs w:val="24"/>
        </w:rPr>
        <w:t>2.</w:t>
      </w:r>
      <w:r>
        <w:rPr>
          <w:b/>
          <w:sz w:val="24"/>
          <w:szCs w:val="24"/>
        </w:rPr>
        <w:tab/>
        <w:t>In</w:t>
      </w:r>
      <w:r>
        <w:rPr>
          <w:b/>
          <w:sz w:val="24"/>
          <w:szCs w:val="24"/>
        </w:rPr>
        <w:t>dicate how, by whom, and for what purpose the information is to be used. Except for a new collection, indicate the actual use the agency has made of the information received from the current collection.</w:t>
      </w:r>
    </w:p>
    <w:p w:rsidR="002E06DA" w:rsidRDefault="002E06DA" w14:paraId="00000025" w14:textId="77777777">
      <w:pPr>
        <w:rPr>
          <w:sz w:val="24"/>
          <w:szCs w:val="24"/>
        </w:rPr>
      </w:pPr>
    </w:p>
    <w:p w:rsidR="002E06DA" w:rsidRDefault="00A826E7" w14:paraId="00000027" w14:textId="77777777">
      <w:pPr>
        <w:rPr>
          <w:sz w:val="24"/>
          <w:szCs w:val="24"/>
        </w:rPr>
      </w:pPr>
      <w:r>
        <w:rPr>
          <w:sz w:val="24"/>
          <w:szCs w:val="24"/>
        </w:rPr>
        <w:t>The information in this collection will be used by</w:t>
      </w:r>
      <w:r>
        <w:rPr>
          <w:sz w:val="24"/>
          <w:szCs w:val="24"/>
        </w:rPr>
        <w:t xml:space="preserve"> several offices of NMFS, the New England Fishery Management Council (NEFMC), as well as state fishery management agencies, academic institutions, and other fishery research and management organizations to evaluate current management programs and future ma</w:t>
      </w:r>
      <w:r>
        <w:rPr>
          <w:sz w:val="24"/>
          <w:szCs w:val="24"/>
        </w:rPr>
        <w:t xml:space="preserve">nagement proposals.  The information described in this collection is necessary to monitor vessels enrolled in the groundfish fishery’s MREM program and to estimate catch that would have been discarded if the vessels were not enrolled in the MREM program.  </w:t>
      </w:r>
      <w:r>
        <w:rPr>
          <w:sz w:val="24"/>
          <w:szCs w:val="24"/>
        </w:rPr>
        <w:t>Estimated landings from the dockside monitoring program will be incorporated into stock assessments.  Generally, each stock is assessed every two years.  Catch data is also used annually to meet Magnuson-Stevens Act requirements to evaluate catch against a</w:t>
      </w:r>
      <w:r>
        <w:rPr>
          <w:sz w:val="24"/>
          <w:szCs w:val="24"/>
        </w:rPr>
        <w:t>nnual catch limits.</w:t>
      </w:r>
    </w:p>
    <w:p w:rsidR="002E06DA" w:rsidRDefault="002E06DA" w14:paraId="00000028" w14:textId="77777777">
      <w:pPr>
        <w:rPr>
          <w:sz w:val="24"/>
          <w:szCs w:val="24"/>
        </w:rPr>
      </w:pPr>
    </w:p>
    <w:p w:rsidR="002E06DA" w:rsidRDefault="00A826E7" w14:paraId="00000029" w14:textId="77777777">
      <w:pPr>
        <w:rPr>
          <w:sz w:val="24"/>
          <w:szCs w:val="24"/>
        </w:rPr>
      </w:pPr>
      <w:r>
        <w:rPr>
          <w:sz w:val="24"/>
          <w:szCs w:val="24"/>
        </w:rPr>
        <w:t>Geographic position information from vessel monitoring units, trip declarations, and other reports may also be used by the NMFS Office of Law Enforcement (OLE) or U.S. Coast Guard to monitor compliance with the provisions of the FMP.</w:t>
      </w:r>
    </w:p>
    <w:p w:rsidR="002E06DA" w:rsidRDefault="002E06DA" w14:paraId="0000002A" w14:textId="77777777">
      <w:pPr>
        <w:rPr>
          <w:sz w:val="24"/>
          <w:szCs w:val="24"/>
        </w:rPr>
      </w:pPr>
    </w:p>
    <w:p w:rsidR="002E06DA" w:rsidRDefault="00A826E7" w14:paraId="0000002B" w14:textId="77777777">
      <w:pPr>
        <w:rPr>
          <w:sz w:val="24"/>
          <w:szCs w:val="24"/>
        </w:rPr>
      </w:pPr>
      <w:r>
        <w:rPr>
          <w:sz w:val="24"/>
          <w:szCs w:val="24"/>
        </w:rPr>
        <w:t>NMFS would retain control over all information and safeguard it from improper access, modification, and destruction, consistent with NOAA standards for confidentiality, privacy, and electronic information.  The information collection is designed to yield d</w:t>
      </w:r>
      <w:r>
        <w:rPr>
          <w:sz w:val="24"/>
          <w:szCs w:val="24"/>
        </w:rPr>
        <w:t xml:space="preserve">ata that meet all applicable information quality guidelines.  Prior to dissemination, the information would be subjected to quality control measures and pre-dissemination review pursuant to </w:t>
      </w:r>
      <w:hyperlink r:id="rId8">
        <w:r>
          <w:rPr>
            <w:color w:val="0563C1"/>
            <w:sz w:val="24"/>
            <w:szCs w:val="24"/>
            <w:u w:val="single"/>
          </w:rPr>
          <w:t>Section 515 of Public Law 106-554</w:t>
        </w:r>
      </w:hyperlink>
      <w:r>
        <w:rPr>
          <w:sz w:val="24"/>
          <w:szCs w:val="24"/>
        </w:rPr>
        <w:t>.</w:t>
      </w:r>
    </w:p>
    <w:p w:rsidR="002E06DA" w:rsidRDefault="002E06DA" w14:paraId="0000002C" w14:textId="77777777">
      <w:pPr>
        <w:widowControl/>
        <w:rPr>
          <w:sz w:val="24"/>
          <w:szCs w:val="24"/>
        </w:rPr>
      </w:pPr>
    </w:p>
    <w:p w:rsidR="002E06DA" w:rsidRDefault="002E06DA" w14:paraId="0000002D" w14:textId="77777777">
      <w:pPr>
        <w:rPr>
          <w:sz w:val="24"/>
          <w:szCs w:val="24"/>
        </w:rPr>
      </w:pPr>
    </w:p>
    <w:p w:rsidR="002E06DA" w:rsidRDefault="00A826E7" w14:paraId="0000002E" w14:textId="77777777">
      <w:pPr>
        <w:tabs>
          <w:tab w:val="left" w:pos="540"/>
        </w:tabs>
        <w:ind w:left="540" w:hanging="540"/>
        <w:rPr>
          <w:b/>
          <w:sz w:val="24"/>
          <w:szCs w:val="24"/>
        </w:rPr>
      </w:pPr>
      <w:r>
        <w:rPr>
          <w:b/>
          <w:sz w:val="24"/>
          <w:szCs w:val="24"/>
        </w:rPr>
        <w:t>3.</w:t>
      </w:r>
      <w:r>
        <w:rPr>
          <w:b/>
          <w:sz w:val="24"/>
          <w:szCs w:val="24"/>
        </w:rPr>
        <w:tab/>
        <w:t>Describe whether, and to what extent, the collection of information involves the use of automated, electronic, mechanical, or other technological collection techniques or other forms of information technology,</w:t>
      </w:r>
      <w:r>
        <w:rPr>
          <w:b/>
          <w:sz w:val="24"/>
          <w:szCs w:val="24"/>
        </w:rPr>
        <w:t xml:space="preserve"> e.g. permitting electronic submission of responses, and the basis for the decision for adopting this means of collection. Also, describe any consideration of using information technology to reduce burden.</w:t>
      </w:r>
    </w:p>
    <w:p w:rsidR="002E06DA" w:rsidRDefault="002E06DA" w14:paraId="0000002F" w14:textId="77777777">
      <w:pPr>
        <w:rPr>
          <w:sz w:val="24"/>
          <w:szCs w:val="24"/>
        </w:rPr>
      </w:pPr>
    </w:p>
    <w:p w:rsidR="002E06DA" w:rsidRDefault="00A826E7" w14:paraId="00000030" w14:textId="77777777">
      <w:pPr>
        <w:rPr>
          <w:sz w:val="24"/>
          <w:szCs w:val="24"/>
        </w:rPr>
      </w:pPr>
      <w:r>
        <w:rPr>
          <w:sz w:val="24"/>
          <w:szCs w:val="24"/>
        </w:rPr>
        <w:t>Dockside monitoring data is collected and submitted to NMFS electronically via a secure web portal.  Dockside monitoring staff collect and submit dockside monitoring data via a tablet application that is designed to be as simple as possible for both the pu</w:t>
      </w:r>
      <w:r>
        <w:rPr>
          <w:sz w:val="24"/>
          <w:szCs w:val="24"/>
        </w:rPr>
        <w:t xml:space="preserve">blic and NMFS.  Monitoring service providers may submit other required reports and/or materials to NMFS via a web-portal system maintained by NMFS.  Instructions for submitting reports are available on the NEFSC web site.  </w:t>
      </w:r>
    </w:p>
    <w:p w:rsidR="002E06DA" w:rsidRDefault="002E06DA" w14:paraId="00000031" w14:textId="77777777">
      <w:pPr>
        <w:rPr>
          <w:sz w:val="24"/>
          <w:szCs w:val="24"/>
        </w:rPr>
      </w:pPr>
    </w:p>
    <w:p w:rsidR="002E06DA" w:rsidRDefault="00A826E7" w14:paraId="00000032" w14:textId="77777777">
      <w:pPr>
        <w:rPr>
          <w:sz w:val="24"/>
          <w:szCs w:val="24"/>
        </w:rPr>
      </w:pPr>
      <w:r>
        <w:rPr>
          <w:sz w:val="24"/>
          <w:szCs w:val="24"/>
        </w:rPr>
        <w:t>Dealers issued a permit to purc</w:t>
      </w:r>
      <w:r>
        <w:rPr>
          <w:sz w:val="24"/>
          <w:szCs w:val="24"/>
        </w:rPr>
        <w:t>hase and sell stocks managed by the NE Multispecies FMP have existing reporting requirements covered by other information collections.  All dealer data reporting is handled electronically through systems that streamline reporting of all data to meet Federa</w:t>
      </w:r>
      <w:r>
        <w:rPr>
          <w:sz w:val="24"/>
          <w:szCs w:val="24"/>
        </w:rPr>
        <w:t xml:space="preserve">l and existing state requirements.  </w:t>
      </w:r>
    </w:p>
    <w:p w:rsidR="002E06DA" w:rsidRDefault="002E06DA" w14:paraId="00000033" w14:textId="77777777">
      <w:pPr>
        <w:rPr>
          <w:sz w:val="24"/>
          <w:szCs w:val="24"/>
        </w:rPr>
      </w:pPr>
    </w:p>
    <w:p w:rsidR="002E06DA" w:rsidRDefault="00A826E7" w14:paraId="00000034" w14:textId="77777777">
      <w:pPr>
        <w:rPr>
          <w:sz w:val="24"/>
          <w:szCs w:val="24"/>
        </w:rPr>
      </w:pPr>
      <w:r>
        <w:rPr>
          <w:sz w:val="24"/>
          <w:szCs w:val="24"/>
        </w:rPr>
        <w:t>Dealers issued a permit to purchase and sell stocks managed by the NE Multispecies FMP have existing reporting requirements covered by other information collections.  All dealer data reporting is handled electronically</w:t>
      </w:r>
      <w:r>
        <w:rPr>
          <w:sz w:val="24"/>
          <w:szCs w:val="24"/>
        </w:rPr>
        <w:t xml:space="preserve"> through systems that streamline reporting of all data to meet Federal and existing state requirements.  </w:t>
      </w:r>
    </w:p>
    <w:p w:rsidR="002E06DA" w:rsidRDefault="002E06DA" w14:paraId="00000035" w14:textId="77777777">
      <w:pPr>
        <w:rPr>
          <w:sz w:val="24"/>
          <w:szCs w:val="24"/>
        </w:rPr>
      </w:pPr>
    </w:p>
    <w:p w:rsidR="002E06DA" w:rsidRDefault="00A826E7" w14:paraId="00000036" w14:textId="77777777">
      <w:pPr>
        <w:tabs>
          <w:tab w:val="left" w:pos="540"/>
        </w:tabs>
        <w:ind w:left="540" w:hanging="540"/>
        <w:rPr>
          <w:b/>
          <w:sz w:val="24"/>
          <w:szCs w:val="24"/>
        </w:rPr>
      </w:pPr>
      <w:r>
        <w:rPr>
          <w:b/>
          <w:sz w:val="24"/>
          <w:szCs w:val="24"/>
        </w:rPr>
        <w:t>4.</w:t>
      </w:r>
      <w:r>
        <w:rPr>
          <w:b/>
          <w:sz w:val="24"/>
          <w:szCs w:val="24"/>
        </w:rPr>
        <w:tab/>
      </w:r>
      <w:r>
        <w:rPr>
          <w:b/>
          <w:sz w:val="24"/>
          <w:szCs w:val="24"/>
        </w:rPr>
        <w:t>Describe efforts to identify duplication. Show specifically why any similar information already available cannot be used or modified for use for the purposes described in Question 2.</w:t>
      </w:r>
    </w:p>
    <w:p w:rsidR="002E06DA" w:rsidRDefault="002E06DA" w14:paraId="00000037" w14:textId="77777777">
      <w:pPr>
        <w:tabs>
          <w:tab w:val="left" w:pos="540"/>
        </w:tabs>
        <w:ind w:left="540" w:hanging="540"/>
        <w:rPr>
          <w:b/>
          <w:sz w:val="24"/>
          <w:szCs w:val="24"/>
        </w:rPr>
      </w:pPr>
    </w:p>
    <w:p w:rsidR="002E06DA" w:rsidRDefault="00A826E7" w14:paraId="00000038" w14:textId="77777777">
      <w:pPr>
        <w:keepNext/>
        <w:widowControl/>
        <w:rPr>
          <w:sz w:val="24"/>
          <w:szCs w:val="24"/>
        </w:rPr>
      </w:pPr>
      <w:r>
        <w:rPr>
          <w:sz w:val="24"/>
          <w:szCs w:val="24"/>
        </w:rPr>
        <w:t>The information to be collected through this information collection is n</w:t>
      </w:r>
      <w:r>
        <w:rPr>
          <w:sz w:val="24"/>
          <w:szCs w:val="24"/>
        </w:rPr>
        <w:t>ot duplicated elsewhere.  The Magnuson-Stevens Act’s operational guidelines require each FMP to evaluate existing state and Federal laws that govern the fisheries in question, and the findings are made part of each FMP.  Council membership includes state a</w:t>
      </w:r>
      <w:r>
        <w:rPr>
          <w:sz w:val="24"/>
          <w:szCs w:val="24"/>
        </w:rPr>
        <w:t xml:space="preserve">nd Federal officials responsible for resource management in their area.  </w:t>
      </w:r>
    </w:p>
    <w:p w:rsidR="002E06DA" w:rsidRDefault="002E06DA" w14:paraId="00000039" w14:textId="77777777">
      <w:pPr>
        <w:rPr>
          <w:sz w:val="24"/>
          <w:szCs w:val="24"/>
        </w:rPr>
      </w:pPr>
    </w:p>
    <w:p w:rsidR="002E06DA" w:rsidRDefault="00A826E7" w14:paraId="0000003A" w14:textId="77777777">
      <w:pPr>
        <w:rPr>
          <w:sz w:val="24"/>
          <w:szCs w:val="24"/>
        </w:rPr>
      </w:pPr>
      <w:r>
        <w:rPr>
          <w:sz w:val="24"/>
          <w:szCs w:val="24"/>
        </w:rPr>
        <w:t>Information submissions for the groundfish MREM dockside monitoring program are unique to this fishery, and direct duplication with other collections does not exist.  MREM vessels s</w:t>
      </w:r>
      <w:r>
        <w:rPr>
          <w:sz w:val="24"/>
          <w:szCs w:val="24"/>
        </w:rPr>
        <w:t>ubject to DSM would not also be sampled by the existing portside biosampling program operated by NMFS to collect biological samples across all managed fisheries to support stock assessments.</w:t>
      </w:r>
    </w:p>
    <w:p w:rsidR="002E06DA" w:rsidRDefault="002E06DA" w14:paraId="0000003B" w14:textId="77777777">
      <w:pPr>
        <w:rPr>
          <w:sz w:val="24"/>
          <w:szCs w:val="24"/>
        </w:rPr>
      </w:pPr>
    </w:p>
    <w:p w:rsidR="002E06DA" w:rsidRDefault="002E06DA" w14:paraId="0000003C" w14:textId="77777777">
      <w:pPr>
        <w:rPr>
          <w:sz w:val="24"/>
          <w:szCs w:val="24"/>
        </w:rPr>
      </w:pPr>
    </w:p>
    <w:p w:rsidR="002E06DA" w:rsidRDefault="00A826E7" w14:paraId="0000003D" w14:textId="77777777">
      <w:pPr>
        <w:tabs>
          <w:tab w:val="left" w:pos="540"/>
        </w:tabs>
        <w:ind w:left="540" w:hanging="540"/>
        <w:rPr>
          <w:sz w:val="24"/>
          <w:szCs w:val="24"/>
        </w:rPr>
      </w:pPr>
      <w:r>
        <w:rPr>
          <w:b/>
          <w:sz w:val="24"/>
          <w:szCs w:val="24"/>
        </w:rPr>
        <w:t>5.</w:t>
      </w:r>
      <w:r>
        <w:rPr>
          <w:b/>
          <w:sz w:val="24"/>
          <w:szCs w:val="24"/>
        </w:rPr>
        <w:tab/>
        <w:t>If the collection of information involves small businesses o</w:t>
      </w:r>
      <w:r>
        <w:rPr>
          <w:b/>
          <w:sz w:val="24"/>
          <w:szCs w:val="24"/>
        </w:rPr>
        <w:t>r other small entities, describe the methods used to minimize burden.</w:t>
      </w:r>
      <w:r>
        <w:rPr>
          <w:sz w:val="24"/>
          <w:szCs w:val="24"/>
        </w:rPr>
        <w:t xml:space="preserve"> </w:t>
      </w:r>
    </w:p>
    <w:p w:rsidR="002E06DA" w:rsidRDefault="002E06DA" w14:paraId="0000003E" w14:textId="77777777">
      <w:pPr>
        <w:rPr>
          <w:sz w:val="24"/>
          <w:szCs w:val="24"/>
        </w:rPr>
      </w:pPr>
    </w:p>
    <w:p w:rsidR="002E06DA" w:rsidRDefault="00A826E7" w14:paraId="00000040" w14:textId="77777777">
      <w:pPr>
        <w:rPr>
          <w:sz w:val="24"/>
          <w:szCs w:val="24"/>
        </w:rPr>
      </w:pPr>
      <w:r>
        <w:rPr>
          <w:sz w:val="24"/>
          <w:szCs w:val="24"/>
        </w:rPr>
        <w:t>Only the minimum data needed to meet the objectives of the northeast multispecies MREM program are requested from all respondents.  Since most respondents are small businesses, separa</w:t>
      </w:r>
      <w:r>
        <w:rPr>
          <w:sz w:val="24"/>
          <w:szCs w:val="24"/>
        </w:rPr>
        <w:t xml:space="preserve">te requirements based on the size of business have not been developed.  </w:t>
      </w:r>
    </w:p>
    <w:p w:rsidR="002E06DA" w:rsidRDefault="002E06DA" w14:paraId="00000041" w14:textId="77777777">
      <w:pPr>
        <w:rPr>
          <w:sz w:val="24"/>
          <w:szCs w:val="24"/>
        </w:rPr>
      </w:pPr>
    </w:p>
    <w:p w:rsidR="002E06DA" w:rsidRDefault="00A826E7" w14:paraId="00000042" w14:textId="6BEB073B">
      <w:pPr>
        <w:rPr>
          <w:sz w:val="24"/>
          <w:szCs w:val="24"/>
        </w:rPr>
      </w:pPr>
      <w:r>
        <w:rPr>
          <w:sz w:val="24"/>
          <w:szCs w:val="24"/>
        </w:rPr>
        <w:t xml:space="preserve">Approved dockside monitoring service providers </w:t>
      </w:r>
      <w:r>
        <w:rPr>
          <w:sz w:val="24"/>
          <w:szCs w:val="24"/>
        </w:rPr>
        <w:t>will offer monitoring services to groundfish vessels enrolled in the MREM program.  Each vendor would offer comparable services over a</w:t>
      </w:r>
      <w:r>
        <w:rPr>
          <w:sz w:val="24"/>
          <w:szCs w:val="24"/>
        </w:rPr>
        <w:t xml:space="preserve"> range of prices.  This would reduce the burden on the public by increasing competition among vendors, thereby decreasing costs to the fishing industry to obtain additional monitoring.  </w:t>
      </w:r>
    </w:p>
    <w:p w:rsidR="002E06DA" w:rsidRDefault="002E06DA" w14:paraId="00000043" w14:textId="77777777">
      <w:pPr>
        <w:rPr>
          <w:sz w:val="24"/>
          <w:szCs w:val="24"/>
        </w:rPr>
      </w:pPr>
    </w:p>
    <w:p w:rsidR="002E06DA" w:rsidRDefault="00A826E7" w14:paraId="00000044" w14:textId="77777777">
      <w:pPr>
        <w:rPr>
          <w:sz w:val="24"/>
          <w:szCs w:val="24"/>
        </w:rPr>
      </w:pPr>
      <w:r>
        <w:rPr>
          <w:sz w:val="24"/>
          <w:szCs w:val="24"/>
        </w:rPr>
        <w:t>Dealers would also be required to provide dockside monitors with acc</w:t>
      </w:r>
      <w:r>
        <w:rPr>
          <w:sz w:val="24"/>
          <w:szCs w:val="24"/>
        </w:rPr>
        <w:t>ess to facilities equivalent to what is provided to the dealer’s staff, including:  A safe sampling station, with shelter from weather, for dockside monitors to conduct their duties and process catch; access to bathrooms; and access to facilities for washi</w:t>
      </w:r>
      <w:r>
        <w:rPr>
          <w:sz w:val="24"/>
          <w:szCs w:val="24"/>
        </w:rPr>
        <w:t>ng equipment with fresh water.  The intent of the dealer requirements is not to require dealers to create or provide facilities that do not already exist, but to ensure dockside monitors have access to facilities equivalent to what is available to the deal</w:t>
      </w:r>
      <w:r>
        <w:rPr>
          <w:sz w:val="24"/>
          <w:szCs w:val="24"/>
        </w:rPr>
        <w:t>er’s staff.  In this way, the burden to all dealers is minimized.</w:t>
      </w:r>
    </w:p>
    <w:p w:rsidR="002E06DA" w:rsidRDefault="002E06DA" w14:paraId="00000045" w14:textId="77777777">
      <w:pPr>
        <w:rPr>
          <w:sz w:val="24"/>
          <w:szCs w:val="24"/>
        </w:rPr>
      </w:pPr>
    </w:p>
    <w:p w:rsidR="002E06DA" w:rsidRDefault="00A826E7" w14:paraId="00000046" w14:textId="77777777">
      <w:pPr>
        <w:tabs>
          <w:tab w:val="left" w:pos="540"/>
        </w:tabs>
        <w:ind w:left="540" w:hanging="540"/>
        <w:rPr>
          <w:sz w:val="24"/>
          <w:szCs w:val="24"/>
        </w:rPr>
      </w:pPr>
      <w:r>
        <w:rPr>
          <w:b/>
          <w:sz w:val="24"/>
          <w:szCs w:val="24"/>
        </w:rPr>
        <w:t>6.</w:t>
      </w:r>
      <w:r>
        <w:rPr>
          <w:b/>
          <w:sz w:val="24"/>
          <w:szCs w:val="24"/>
        </w:rPr>
        <w:tab/>
        <w:t>Describe the consequence to Federal program or policy activities if the collection is not conducted or is conducted less frequently, as well as any technical or legal obstacles to reduci</w:t>
      </w:r>
      <w:r>
        <w:rPr>
          <w:b/>
          <w:sz w:val="24"/>
          <w:szCs w:val="24"/>
        </w:rPr>
        <w:t>ng burden.</w:t>
      </w:r>
      <w:r>
        <w:rPr>
          <w:sz w:val="24"/>
          <w:szCs w:val="24"/>
        </w:rPr>
        <w:t xml:space="preserve"> </w:t>
      </w:r>
    </w:p>
    <w:p w:rsidR="002E06DA" w:rsidRDefault="00A826E7" w14:paraId="00000047" w14:textId="77777777">
      <w:pPr>
        <w:spacing w:before="240" w:after="240"/>
        <w:rPr>
          <w:sz w:val="24"/>
          <w:szCs w:val="24"/>
        </w:rPr>
      </w:pPr>
      <w:r>
        <w:rPr>
          <w:sz w:val="24"/>
          <w:szCs w:val="24"/>
        </w:rPr>
        <w:t>Not conducting the collection of information described in Questions 1 and 2 would undermine NMFS’s ability to effectively implement ACLs, AMs, and sector provisions (e.g., sector quotas and quota trading).  This collection of information is nec</w:t>
      </w:r>
      <w:r>
        <w:rPr>
          <w:sz w:val="24"/>
          <w:szCs w:val="24"/>
        </w:rPr>
        <w:t>essary for a variety of reasons, including monitoring fishing catch and increasing efficiency of sector operations by facilitating exchanges of ACE.  Furthermore, reducing the frequency of collection would also compromise the requirement for full catch acc</w:t>
      </w:r>
      <w:r>
        <w:rPr>
          <w:sz w:val="24"/>
          <w:szCs w:val="24"/>
        </w:rPr>
        <w:t>ountability by removing bias through monitoring all vessel catches, in turn affecting the enforcement of management measures and undermining the goal of the program.</w:t>
      </w:r>
    </w:p>
    <w:p w:rsidR="002E06DA" w:rsidRDefault="00A826E7" w14:paraId="00000048" w14:textId="77777777">
      <w:pPr>
        <w:spacing w:before="240" w:after="240"/>
        <w:rPr>
          <w:sz w:val="24"/>
          <w:szCs w:val="24"/>
        </w:rPr>
      </w:pPr>
      <w:r>
        <w:rPr>
          <w:sz w:val="24"/>
          <w:szCs w:val="24"/>
        </w:rPr>
        <w:t>To the extent practicable, frequency of information collection under this new collection h</w:t>
      </w:r>
      <w:r>
        <w:rPr>
          <w:sz w:val="24"/>
          <w:szCs w:val="24"/>
        </w:rPr>
        <w:t>as been minimized.  To reduce the frequency any further would compromise the intent of each collection of information requirement.  For example, less frequent monitoring of vessels fishing under the NE multispecies program (participating in a sector) would</w:t>
      </w:r>
      <w:r>
        <w:rPr>
          <w:sz w:val="24"/>
          <w:szCs w:val="24"/>
        </w:rPr>
        <w:t xml:space="preserve"> reduce the effectiveness of the system in helping prevent overages of ACE allocations, which, in turn, could reduce the effectiveness of measures to control fishing mortality and rebuild overfished stocks.</w:t>
      </w:r>
    </w:p>
    <w:p w:rsidR="002E06DA" w:rsidRDefault="002E06DA" w14:paraId="00000049" w14:textId="77777777">
      <w:pPr>
        <w:rPr>
          <w:sz w:val="24"/>
          <w:szCs w:val="24"/>
        </w:rPr>
      </w:pPr>
    </w:p>
    <w:p w:rsidR="002E06DA" w:rsidRDefault="00A826E7" w14:paraId="0000004A" w14:textId="77777777">
      <w:pPr>
        <w:tabs>
          <w:tab w:val="left" w:pos="540"/>
        </w:tabs>
        <w:ind w:left="540" w:hanging="540"/>
        <w:rPr>
          <w:sz w:val="24"/>
          <w:szCs w:val="24"/>
        </w:rPr>
      </w:pPr>
      <w:r>
        <w:rPr>
          <w:b/>
          <w:sz w:val="24"/>
          <w:szCs w:val="24"/>
        </w:rPr>
        <w:t>7.</w:t>
      </w:r>
      <w:r>
        <w:rPr>
          <w:b/>
          <w:sz w:val="24"/>
          <w:szCs w:val="24"/>
        </w:rPr>
        <w:tab/>
      </w:r>
      <w:r>
        <w:rPr>
          <w:b/>
          <w:sz w:val="24"/>
          <w:szCs w:val="24"/>
        </w:rPr>
        <w:t xml:space="preserve">Explain any special circumstances that require the collection to be conducted in a manner inconsistent with OMB guidelines. </w:t>
      </w:r>
    </w:p>
    <w:p w:rsidR="002E06DA" w:rsidRDefault="00A826E7" w14:paraId="0000004B" w14:textId="77777777">
      <w:pPr>
        <w:spacing w:before="240" w:after="240"/>
        <w:rPr>
          <w:sz w:val="24"/>
          <w:szCs w:val="24"/>
        </w:rPr>
      </w:pPr>
      <w:r>
        <w:rPr>
          <w:sz w:val="24"/>
          <w:szCs w:val="24"/>
        </w:rPr>
        <w:t>Some of the requirements may not be consistent with OMB guidelines with regard to the reporting frequency.  While OMB guidelines su</w:t>
      </w:r>
      <w:r>
        <w:rPr>
          <w:sz w:val="24"/>
          <w:szCs w:val="24"/>
        </w:rPr>
        <w:t>ggest that respondents not be required to report more often than quarterly, requirements for dockside monitoring for NE multispecies vessels opting for MREM will require more frequent reports to address bias created by sampling only some trips.</w:t>
      </w:r>
    </w:p>
    <w:p w:rsidR="002E06DA" w:rsidRDefault="00A826E7" w14:paraId="0000004C" w14:textId="77777777">
      <w:pPr>
        <w:tabs>
          <w:tab w:val="left" w:pos="540"/>
        </w:tabs>
        <w:ind w:left="540" w:hanging="540"/>
        <w:rPr>
          <w:b/>
          <w:sz w:val="24"/>
          <w:szCs w:val="24"/>
        </w:rPr>
      </w:pPr>
      <w:r>
        <w:rPr>
          <w:b/>
          <w:sz w:val="24"/>
          <w:szCs w:val="24"/>
        </w:rPr>
        <w:t>8.</w:t>
      </w:r>
      <w:r>
        <w:rPr>
          <w:b/>
          <w:sz w:val="24"/>
          <w:szCs w:val="24"/>
        </w:rPr>
        <w:tab/>
        <w:t>If appli</w:t>
      </w:r>
      <w:r>
        <w:rPr>
          <w:b/>
          <w:sz w:val="24"/>
          <w:szCs w:val="24"/>
        </w:rPr>
        <w:t>cable, provide a copy and identify the date and page number of publications in the Federal Register of the agency's notice, required by 5 CFR 1320.8 (d), soliciting comments on the information collection prior to submission to OMB. Summarize public comment</w:t>
      </w:r>
      <w:r>
        <w:rPr>
          <w:b/>
          <w:sz w:val="24"/>
          <w:szCs w:val="24"/>
        </w:rPr>
        <w:t>s received in response to that notice and describe actions taken by the agency in response to these comments. Specifically address comments received on cost and hour burden.</w:t>
      </w:r>
    </w:p>
    <w:p w:rsidR="002E06DA" w:rsidRDefault="002E06DA" w14:paraId="0000004D" w14:textId="77777777">
      <w:pPr>
        <w:rPr>
          <w:sz w:val="24"/>
          <w:szCs w:val="24"/>
        </w:rPr>
      </w:pPr>
    </w:p>
    <w:p w:rsidR="002E06DA" w:rsidRDefault="00A826E7" w14:paraId="0000004E" w14:textId="77777777">
      <w:pPr>
        <w:rPr>
          <w:sz w:val="24"/>
          <w:szCs w:val="24"/>
        </w:rPr>
      </w:pPr>
      <w:r>
        <w:rPr>
          <w:sz w:val="24"/>
          <w:szCs w:val="24"/>
        </w:rPr>
        <w:t>The NEFMC held many Council and Committee meetings during the development of Amen</w:t>
      </w:r>
      <w:r>
        <w:rPr>
          <w:sz w:val="24"/>
          <w:szCs w:val="24"/>
        </w:rPr>
        <w:t xml:space="preserve">dment 23 between 2016 and September 2020, during which there were opportunities for public discussion of proposed management strategies.  </w:t>
      </w:r>
    </w:p>
    <w:p w:rsidR="002E06DA" w:rsidRDefault="002E06DA" w14:paraId="0000004F" w14:textId="77777777">
      <w:pPr>
        <w:rPr>
          <w:sz w:val="24"/>
          <w:szCs w:val="24"/>
        </w:rPr>
      </w:pPr>
    </w:p>
    <w:p w:rsidR="002E06DA" w:rsidRDefault="00A826E7" w14:paraId="00000050" w14:textId="77777777">
      <w:pPr>
        <w:rPr>
          <w:sz w:val="24"/>
          <w:szCs w:val="24"/>
        </w:rPr>
      </w:pPr>
      <w:r>
        <w:rPr>
          <w:sz w:val="24"/>
          <w:szCs w:val="24"/>
        </w:rPr>
        <w:t>Proposed rule RIN 0648-BK17 (87 FR 11014) published on February 28, 2022.  Any comments received in response to this</w:t>
      </w:r>
      <w:r>
        <w:rPr>
          <w:sz w:val="24"/>
          <w:szCs w:val="24"/>
        </w:rPr>
        <w:t xml:space="preserve"> proposed rule will be addressed in the Supporting Statement submitted with the final rule package.</w:t>
      </w:r>
    </w:p>
    <w:p w:rsidR="002E06DA" w:rsidRDefault="002E06DA" w14:paraId="00000051" w14:textId="77777777">
      <w:pPr>
        <w:rPr>
          <w:sz w:val="24"/>
          <w:szCs w:val="24"/>
        </w:rPr>
      </w:pPr>
    </w:p>
    <w:p w:rsidR="002E06DA" w:rsidRDefault="00A826E7" w14:paraId="00000052" w14:textId="77777777">
      <w:pPr>
        <w:tabs>
          <w:tab w:val="left" w:pos="540"/>
        </w:tabs>
        <w:ind w:left="540" w:hanging="540"/>
        <w:rPr>
          <w:b/>
          <w:sz w:val="24"/>
          <w:szCs w:val="24"/>
        </w:rPr>
      </w:pPr>
      <w:r>
        <w:rPr>
          <w:b/>
          <w:sz w:val="24"/>
          <w:szCs w:val="24"/>
        </w:rPr>
        <w:t>9.</w:t>
      </w:r>
      <w:r>
        <w:rPr>
          <w:b/>
          <w:sz w:val="24"/>
          <w:szCs w:val="24"/>
        </w:rPr>
        <w:tab/>
        <w:t>Explain any decisions to provide payments or gifts to respondents, other than remuneration of contractors or grantees.</w:t>
      </w:r>
    </w:p>
    <w:p w:rsidR="002E06DA" w:rsidRDefault="002E06DA" w14:paraId="00000053" w14:textId="77777777">
      <w:pPr>
        <w:rPr>
          <w:sz w:val="24"/>
          <w:szCs w:val="24"/>
        </w:rPr>
      </w:pPr>
    </w:p>
    <w:p w:rsidR="002E06DA" w:rsidRDefault="00A826E7" w14:paraId="00000054"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sz w:val="24"/>
          <w:szCs w:val="24"/>
        </w:rPr>
      </w:pPr>
      <w:r>
        <w:rPr>
          <w:sz w:val="24"/>
          <w:szCs w:val="24"/>
        </w:rPr>
        <w:t>No payment or gift has been or w</w:t>
      </w:r>
      <w:r>
        <w:rPr>
          <w:sz w:val="24"/>
          <w:szCs w:val="24"/>
        </w:rPr>
        <w:t>ill be made to respondents.</w:t>
      </w:r>
    </w:p>
    <w:p w:rsidR="002E06DA" w:rsidRDefault="002E06DA" w14:paraId="00000055" w14:textId="77777777">
      <w:pPr>
        <w:rPr>
          <w:sz w:val="24"/>
          <w:szCs w:val="24"/>
        </w:rPr>
      </w:pPr>
    </w:p>
    <w:p w:rsidR="002E06DA" w:rsidRDefault="002E06DA" w14:paraId="00000056" w14:textId="77777777">
      <w:pPr>
        <w:rPr>
          <w:sz w:val="24"/>
          <w:szCs w:val="24"/>
        </w:rPr>
      </w:pPr>
    </w:p>
    <w:p w:rsidR="002E06DA" w:rsidRDefault="00A826E7" w14:paraId="00000057" w14:textId="77777777">
      <w:pPr>
        <w:tabs>
          <w:tab w:val="left" w:pos="540"/>
        </w:tabs>
        <w:ind w:left="540" w:hanging="540"/>
        <w:rPr>
          <w:sz w:val="24"/>
          <w:szCs w:val="24"/>
        </w:rPr>
      </w:pPr>
      <w:r>
        <w:rPr>
          <w:b/>
          <w:sz w:val="24"/>
          <w:szCs w:val="24"/>
        </w:rPr>
        <w:t>10.</w:t>
      </w:r>
      <w:r>
        <w:rPr>
          <w:b/>
          <w:sz w:val="24"/>
          <w:szCs w:val="24"/>
        </w:rPr>
        <w:tab/>
        <w:t>Describe any assurance of confidentiality provided to respondents and the basis for the assurance in statute, regulation, or agency policy. If the collection requires a systems of records notice (SORN) or privacy impact as</w:t>
      </w:r>
      <w:r>
        <w:rPr>
          <w:b/>
          <w:sz w:val="24"/>
          <w:szCs w:val="24"/>
        </w:rPr>
        <w:t>sessment (PIA), those should be cited and described here.</w:t>
      </w:r>
    </w:p>
    <w:p w:rsidR="002E06DA" w:rsidRDefault="002E06DA" w14:paraId="00000058" w14:textId="77777777">
      <w:pPr>
        <w:rPr>
          <w:sz w:val="24"/>
          <w:szCs w:val="24"/>
        </w:rPr>
      </w:pPr>
    </w:p>
    <w:p w:rsidR="002E06DA" w:rsidRDefault="00A826E7" w14:paraId="00000059" w14:textId="6C0F0329">
      <w:pPr>
        <w:rPr>
          <w:sz w:val="24"/>
          <w:szCs w:val="24"/>
        </w:rPr>
      </w:pPr>
      <w:r>
        <w:rPr>
          <w:sz w:val="24"/>
          <w:szCs w:val="24"/>
        </w:rPr>
        <w:t xml:space="preserve">All data would be handled in accordance with </w:t>
      </w:r>
      <w:hyperlink r:id="rId9">
        <w:r>
          <w:rPr>
            <w:color w:val="0563C1"/>
            <w:sz w:val="24"/>
            <w:szCs w:val="24"/>
            <w:u w:val="single"/>
          </w:rPr>
          <w:t>NOAA Administrative Order 216-100</w:t>
        </w:r>
      </w:hyperlink>
      <w:r>
        <w:rPr>
          <w:sz w:val="24"/>
          <w:szCs w:val="24"/>
        </w:rPr>
        <w:t>, Confiden</w:t>
      </w:r>
      <w:r>
        <w:rPr>
          <w:sz w:val="24"/>
          <w:szCs w:val="24"/>
        </w:rPr>
        <w:t>tiality of Fisheries Statistics, and would not be released for public use except in aggregate statistical form (and without identifying the source of data, i.e., vessel name, owner, etc.</w:t>
      </w:r>
      <w:r>
        <w:rPr>
          <w:sz w:val="24"/>
          <w:szCs w:val="24"/>
        </w:rPr>
        <w:t>).  COMMERCE/NOAA-19, Permits and Registrations for United States Feder</w:t>
      </w:r>
      <w:r>
        <w:rPr>
          <w:sz w:val="24"/>
          <w:szCs w:val="24"/>
        </w:rPr>
        <w:t xml:space="preserve">ally Managed Fisheries, covers the collection of this information. </w:t>
      </w:r>
    </w:p>
    <w:p w:rsidR="002E06DA" w:rsidRDefault="002E06DA" w14:paraId="0000005A" w14:textId="77777777">
      <w:pPr>
        <w:rPr>
          <w:sz w:val="24"/>
          <w:szCs w:val="24"/>
        </w:rPr>
      </w:pPr>
    </w:p>
    <w:p w:rsidR="002E06DA" w:rsidRDefault="00A826E7" w14:paraId="0000005B" w14:textId="77777777">
      <w:pPr>
        <w:tabs>
          <w:tab w:val="left" w:pos="540"/>
        </w:tabs>
        <w:ind w:left="540" w:hanging="540"/>
        <w:rPr>
          <w:b/>
          <w:sz w:val="24"/>
          <w:szCs w:val="24"/>
        </w:rPr>
      </w:pPr>
      <w:r>
        <w:rPr>
          <w:b/>
          <w:sz w:val="24"/>
          <w:szCs w:val="24"/>
        </w:rPr>
        <w:t>11.</w:t>
      </w:r>
      <w:r>
        <w:rPr>
          <w:b/>
          <w:sz w:val="24"/>
          <w:szCs w:val="24"/>
        </w:rPr>
        <w:tab/>
        <w:t>Provide additional justification for any questions of a sensitive nature, such as sexual behavior or attitudes, religious beliefs, and other matters that are commonly considered priva</w:t>
      </w:r>
      <w:r>
        <w:rPr>
          <w:b/>
          <w:sz w:val="24"/>
          <w:szCs w:val="24"/>
        </w:rPr>
        <w:t>te. This justification should include the reasons why the agency considers the questions necessary, the specific uses to be made of the information, the explanation to be given to persons from whom the information is requested, and any steps to be taken to</w:t>
      </w:r>
      <w:r>
        <w:rPr>
          <w:b/>
          <w:sz w:val="24"/>
          <w:szCs w:val="24"/>
        </w:rPr>
        <w:t xml:space="preserve"> obtain their consent.</w:t>
      </w:r>
    </w:p>
    <w:p w:rsidR="002E06DA" w:rsidRDefault="002E06DA" w14:paraId="0000005C" w14:textId="77777777">
      <w:pPr>
        <w:tabs>
          <w:tab w:val="left" w:pos="540"/>
        </w:tabs>
        <w:ind w:left="540" w:hanging="540"/>
        <w:rPr>
          <w:b/>
          <w:sz w:val="24"/>
          <w:szCs w:val="24"/>
        </w:rPr>
      </w:pPr>
    </w:p>
    <w:p w:rsidR="002E06DA" w:rsidRDefault="002E06DA" w14:paraId="0000005D" w14:textId="77777777">
      <w:pPr>
        <w:rPr>
          <w:sz w:val="24"/>
          <w:szCs w:val="24"/>
        </w:rPr>
      </w:pPr>
    </w:p>
    <w:p w:rsidR="002E06DA" w:rsidRDefault="00A826E7" w14:paraId="0000005E" w14:textId="77777777">
      <w:pPr>
        <w:rPr>
          <w:sz w:val="24"/>
          <w:szCs w:val="24"/>
        </w:rPr>
        <w:sectPr w:rsidR="002E06DA">
          <w:footerReference w:type="default" r:id="rId10"/>
          <w:pgSz w:w="12240" w:h="15840"/>
          <w:pgMar w:top="900" w:right="1440" w:bottom="1080" w:left="1440" w:header="720" w:footer="720" w:gutter="0"/>
          <w:pgNumType w:start="1"/>
          <w:cols w:space="720"/>
        </w:sectPr>
      </w:pPr>
      <w:r>
        <w:rPr>
          <w:sz w:val="24"/>
          <w:szCs w:val="24"/>
        </w:rPr>
        <w:t xml:space="preserve">There are no questions of a sensitive nature involved in this collection of information. </w:t>
      </w:r>
    </w:p>
    <w:p w:rsidR="002E06DA" w:rsidRDefault="00A826E7" w14:paraId="0000005F" w14:textId="77777777">
      <w:pPr>
        <w:tabs>
          <w:tab w:val="left" w:pos="540"/>
        </w:tabs>
        <w:ind w:left="540" w:hanging="540"/>
        <w:rPr>
          <w:b/>
          <w:sz w:val="24"/>
          <w:szCs w:val="24"/>
        </w:rPr>
      </w:pPr>
      <w:r>
        <w:rPr>
          <w:b/>
          <w:sz w:val="24"/>
          <w:szCs w:val="24"/>
        </w:rPr>
        <w:t>12.</w:t>
      </w:r>
      <w:r>
        <w:rPr>
          <w:b/>
          <w:sz w:val="24"/>
          <w:szCs w:val="24"/>
        </w:rPr>
        <w:tab/>
      </w:r>
      <w:r>
        <w:rPr>
          <w:b/>
          <w:sz w:val="24"/>
          <w:szCs w:val="24"/>
        </w:rPr>
        <w:t xml:space="preserve">Provide an estimate in hours of the burden of the collection of information.  </w:t>
      </w:r>
    </w:p>
    <w:p w:rsidR="002E06DA" w:rsidRDefault="002E06DA" w14:paraId="00000060" w14:textId="77777777">
      <w:pPr>
        <w:tabs>
          <w:tab w:val="left" w:pos="540"/>
        </w:tabs>
        <w:ind w:left="540" w:hanging="540"/>
        <w:rPr>
          <w:b/>
          <w:sz w:val="24"/>
          <w:szCs w:val="24"/>
        </w:rPr>
      </w:pPr>
    </w:p>
    <w:p w:rsidR="002E06DA" w:rsidRDefault="00A826E7" w14:paraId="00000061" w14:textId="77777777">
      <w:pPr>
        <w:widowControl/>
        <w:spacing w:before="240" w:after="240"/>
        <w:rPr>
          <w:sz w:val="24"/>
          <w:szCs w:val="24"/>
        </w:rPr>
      </w:pPr>
      <w:r>
        <w:rPr>
          <w:sz w:val="24"/>
          <w:szCs w:val="24"/>
        </w:rPr>
        <w:t>Estimates of costs for dockside monitors to travel to ports, observe offloads, and input data are based on work by government employees and contractors under an on-going resear</w:t>
      </w:r>
      <w:r>
        <w:rPr>
          <w:sz w:val="24"/>
          <w:szCs w:val="24"/>
        </w:rPr>
        <w:t xml:space="preserve">ch project.  Thus, they are conservative estimates as we expect that a future transition to an industry-funded model will lead to competition and cost reductions. To produce a conservative estimate of the total annual burden associated with complying with </w:t>
      </w:r>
      <w:r>
        <w:rPr>
          <w:sz w:val="24"/>
          <w:szCs w:val="24"/>
        </w:rPr>
        <w:t>this requirement, this analysis assumes that 18 percent of groundfish vessels will use human at-sea monitoring (ASM) to meet monitoring requirements, and 82 percent will use electronic monitoring (EM).  These percentages are based on a cost-benefit analysi</w:t>
      </w:r>
      <w:r>
        <w:rPr>
          <w:sz w:val="24"/>
          <w:szCs w:val="24"/>
        </w:rPr>
        <w:t>s completed by an economist at the Northeast Fisheries Science Center in support of the Amendment 23 Final Environmental Impact Statement predicting vessel enrollment in ASM and EM programs.  Our estimate further assumes all vessels using EM opt for MREM a</w:t>
      </w:r>
      <w:r>
        <w:rPr>
          <w:sz w:val="24"/>
          <w:szCs w:val="24"/>
        </w:rPr>
        <w:t>nd thus are subject to the new dockside monitoring requirement.</w:t>
      </w:r>
    </w:p>
    <w:p w:rsidR="002E06DA" w:rsidRDefault="00A826E7" w14:paraId="00000062" w14:textId="77777777">
      <w:pPr>
        <w:widowControl/>
        <w:spacing w:before="240" w:after="240"/>
        <w:rPr>
          <w:sz w:val="24"/>
          <w:szCs w:val="24"/>
        </w:rPr>
      </w:pPr>
      <w:r>
        <w:rPr>
          <w:sz w:val="24"/>
          <w:szCs w:val="24"/>
        </w:rPr>
        <w:t xml:space="preserve">The intent of the dealer requirements is not to require dealers to create or provide facilities that do not already exist, but to ensure dockside monitors have access to facilities equivalent </w:t>
      </w:r>
      <w:r>
        <w:rPr>
          <w:sz w:val="24"/>
          <w:szCs w:val="24"/>
        </w:rPr>
        <w:t>to what is available to the dealer’s staff.  In this way, the burden to all dealers is minimized. We estimate that there is a zero dollar cost to dealers for facilitating dockside monitoring because they are expected only to allow dockside monitors to acce</w:t>
      </w:r>
      <w:r>
        <w:rPr>
          <w:sz w:val="24"/>
          <w:szCs w:val="24"/>
        </w:rPr>
        <w:t xml:space="preserve">ss existing facilities.  While dealers could incur a marginal cost for handling and reporting fish below the minimum size that would not be landed without an MREM program, we are unable to estimate an incremental cost at this time. </w:t>
      </w:r>
    </w:p>
    <w:p w:rsidR="002E06DA" w:rsidRDefault="002E06DA" w14:paraId="00000063" w14:textId="77777777">
      <w:pPr>
        <w:rPr>
          <w:color w:val="FF0000"/>
          <w:sz w:val="24"/>
          <w:szCs w:val="24"/>
        </w:rPr>
      </w:pPr>
    </w:p>
    <w:p w:rsidR="002E06DA" w:rsidRDefault="002E06DA" w14:paraId="00000064" w14:textId="77777777">
      <w:pPr>
        <w:ind w:left="-360"/>
        <w:rPr>
          <w:sz w:val="24"/>
          <w:szCs w:val="24"/>
        </w:rPr>
      </w:pPr>
    </w:p>
    <w:tbl>
      <w:tblPr>
        <w:tblStyle w:val="a"/>
        <w:tblW w:w="14105" w:type="dxa"/>
        <w:tblLayout w:type="fixed"/>
        <w:tblLook w:val="0400" w:firstRow="0" w:lastRow="0" w:firstColumn="0" w:lastColumn="0" w:noHBand="0" w:noVBand="1"/>
      </w:tblPr>
      <w:tblGrid>
        <w:gridCol w:w="3138"/>
        <w:gridCol w:w="1982"/>
        <w:gridCol w:w="1530"/>
        <w:gridCol w:w="1210"/>
        <w:gridCol w:w="1020"/>
        <w:gridCol w:w="975"/>
        <w:gridCol w:w="1078"/>
        <w:gridCol w:w="1933"/>
        <w:gridCol w:w="1239"/>
      </w:tblGrid>
      <w:tr w:rsidR="002E06DA" w14:paraId="63E71CF5" w14:textId="77777777">
        <w:trPr>
          <w:trHeight w:val="1140"/>
        </w:trPr>
        <w:tc>
          <w:tcPr>
            <w:tcW w:w="3138"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2E06DA" w:rsidRDefault="00A826E7" w14:paraId="00000065"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1982"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6"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Type of Respondent (Occupational Title)</w:t>
            </w:r>
          </w:p>
        </w:tc>
        <w:tc>
          <w:tcPr>
            <w:tcW w:w="1530"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7"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tc>
        <w:tc>
          <w:tcPr>
            <w:tcW w:w="1210"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8"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Annual # of Responses / Respondent</w:t>
            </w:r>
          </w:p>
        </w:tc>
        <w:tc>
          <w:tcPr>
            <w:tcW w:w="1020"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9"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 Total # of Annual Responses</w:t>
            </w:r>
          </w:p>
        </w:tc>
        <w:tc>
          <w:tcPr>
            <w:tcW w:w="975"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A"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Burden Hrs / Response</w:t>
            </w:r>
          </w:p>
        </w:tc>
        <w:tc>
          <w:tcPr>
            <w:tcW w:w="1078"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B"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Burden Hrs</w:t>
            </w:r>
          </w:p>
        </w:tc>
        <w:tc>
          <w:tcPr>
            <w:tcW w:w="1933"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C"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Mean Hourly Wage Rate  (for Type of Respondent)</w:t>
            </w:r>
          </w:p>
        </w:tc>
        <w:tc>
          <w:tcPr>
            <w:tcW w:w="1239"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6D"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Total Annual Wage </w:t>
            </w:r>
            <w:r>
              <w:rPr>
                <w:rFonts w:ascii="Calibri" w:hAnsi="Calibri" w:eastAsia="Calibri" w:cs="Calibri"/>
                <w:b/>
                <w:color w:val="000000"/>
                <w:sz w:val="18"/>
                <w:szCs w:val="18"/>
              </w:rPr>
              <w:t>Burden Costs</w:t>
            </w:r>
          </w:p>
        </w:tc>
      </w:tr>
      <w:tr w:rsidR="002E06DA" w14:paraId="344EC755" w14:textId="77777777">
        <w:trPr>
          <w:trHeight w:val="300"/>
        </w:trPr>
        <w:tc>
          <w:tcPr>
            <w:tcW w:w="3138" w:type="dxa"/>
            <w:tcBorders>
              <w:top w:val="nil"/>
              <w:left w:val="single" w:color="000000" w:sz="8" w:space="0"/>
              <w:bottom w:val="single" w:color="000000" w:sz="4" w:space="0"/>
              <w:right w:val="single" w:color="000000" w:sz="4" w:space="0"/>
            </w:tcBorders>
            <w:shd w:val="clear" w:color="auto" w:fill="FFF2CC"/>
            <w:vAlign w:val="center"/>
          </w:tcPr>
          <w:p w:rsidR="002E06DA" w:rsidRDefault="00A826E7" w14:paraId="0000006E" w14:textId="77777777">
            <w:pPr>
              <w:widowControl/>
              <w:rPr>
                <w:rFonts w:ascii="Calibri" w:hAnsi="Calibri" w:eastAsia="Calibri" w:cs="Calibri"/>
                <w:sz w:val="16"/>
                <w:szCs w:val="16"/>
              </w:rPr>
            </w:pPr>
            <w:r>
              <w:rPr>
                <w:rFonts w:ascii="Calibri" w:hAnsi="Calibri" w:eastAsia="Calibri" w:cs="Calibri"/>
                <w:sz w:val="16"/>
                <w:szCs w:val="16"/>
              </w:rPr>
              <w:t>Dockside Monitoring Service Provider Requirements</w:t>
            </w:r>
          </w:p>
        </w:tc>
        <w:tc>
          <w:tcPr>
            <w:tcW w:w="1982" w:type="dxa"/>
            <w:tcBorders>
              <w:top w:val="nil"/>
              <w:left w:val="nil"/>
              <w:bottom w:val="single" w:color="000000" w:sz="4" w:space="0"/>
              <w:right w:val="single" w:color="000000" w:sz="4" w:space="0"/>
            </w:tcBorders>
            <w:shd w:val="clear" w:color="auto" w:fill="FFF2CC"/>
            <w:vAlign w:val="bottom"/>
          </w:tcPr>
          <w:p w:rsidR="002E06DA" w:rsidRDefault="002E06DA" w14:paraId="0000006F" w14:textId="77777777">
            <w:pPr>
              <w:widowControl/>
              <w:jc w:val="center"/>
              <w:rPr>
                <w:rFonts w:ascii="Calibri" w:hAnsi="Calibri" w:eastAsia="Calibri" w:cs="Calibri"/>
                <w:sz w:val="16"/>
                <w:szCs w:val="16"/>
              </w:rPr>
            </w:pPr>
          </w:p>
        </w:tc>
        <w:tc>
          <w:tcPr>
            <w:tcW w:w="1530" w:type="dxa"/>
            <w:tcBorders>
              <w:top w:val="nil"/>
              <w:left w:val="nil"/>
              <w:bottom w:val="single" w:color="000000" w:sz="4" w:space="0"/>
              <w:right w:val="single" w:color="000000" w:sz="4" w:space="0"/>
            </w:tcBorders>
            <w:shd w:val="clear" w:color="auto" w:fill="FFF2CC"/>
            <w:vAlign w:val="bottom"/>
          </w:tcPr>
          <w:p w:rsidR="002E06DA" w:rsidRDefault="002E06DA" w14:paraId="00000070" w14:textId="77777777">
            <w:pPr>
              <w:widowControl/>
              <w:jc w:val="right"/>
              <w:rPr>
                <w:rFonts w:ascii="Calibri" w:hAnsi="Calibri" w:eastAsia="Calibri" w:cs="Calibri"/>
                <w:sz w:val="16"/>
                <w:szCs w:val="16"/>
              </w:rPr>
            </w:pPr>
          </w:p>
        </w:tc>
        <w:tc>
          <w:tcPr>
            <w:tcW w:w="1210" w:type="dxa"/>
            <w:tcBorders>
              <w:top w:val="nil"/>
              <w:left w:val="nil"/>
              <w:bottom w:val="single" w:color="000000" w:sz="4" w:space="0"/>
              <w:right w:val="single" w:color="000000" w:sz="4" w:space="0"/>
            </w:tcBorders>
            <w:shd w:val="clear" w:color="auto" w:fill="FFF2CC"/>
            <w:vAlign w:val="bottom"/>
          </w:tcPr>
          <w:p w:rsidR="002E06DA" w:rsidRDefault="002E06DA" w14:paraId="00000071" w14:textId="77777777">
            <w:pPr>
              <w:widowControl/>
              <w:jc w:val="right"/>
              <w:rPr>
                <w:rFonts w:ascii="Calibri" w:hAnsi="Calibri" w:eastAsia="Calibri" w:cs="Calibri"/>
                <w:sz w:val="16"/>
                <w:szCs w:val="16"/>
              </w:rPr>
            </w:pPr>
          </w:p>
        </w:tc>
        <w:tc>
          <w:tcPr>
            <w:tcW w:w="1020" w:type="dxa"/>
            <w:tcBorders>
              <w:top w:val="nil"/>
              <w:left w:val="nil"/>
              <w:bottom w:val="single" w:color="000000" w:sz="4" w:space="0"/>
              <w:right w:val="single" w:color="000000" w:sz="4" w:space="0"/>
            </w:tcBorders>
            <w:shd w:val="clear" w:color="auto" w:fill="FFF2CC"/>
            <w:vAlign w:val="bottom"/>
          </w:tcPr>
          <w:p w:rsidR="002E06DA" w:rsidRDefault="002E06DA" w14:paraId="00000072" w14:textId="77777777">
            <w:pPr>
              <w:widowControl/>
              <w:jc w:val="right"/>
              <w:rPr>
                <w:rFonts w:ascii="Calibri" w:hAnsi="Calibri" w:eastAsia="Calibri" w:cs="Calibri"/>
                <w:sz w:val="16"/>
                <w:szCs w:val="16"/>
              </w:rPr>
            </w:pPr>
          </w:p>
        </w:tc>
        <w:tc>
          <w:tcPr>
            <w:tcW w:w="975" w:type="dxa"/>
            <w:tcBorders>
              <w:top w:val="nil"/>
              <w:left w:val="nil"/>
              <w:bottom w:val="single" w:color="000000" w:sz="4" w:space="0"/>
              <w:right w:val="single" w:color="000000" w:sz="4" w:space="0"/>
            </w:tcBorders>
            <w:shd w:val="clear" w:color="auto" w:fill="FFF2CC"/>
            <w:vAlign w:val="bottom"/>
          </w:tcPr>
          <w:p w:rsidR="002E06DA" w:rsidRDefault="002E06DA" w14:paraId="00000073" w14:textId="77777777">
            <w:pPr>
              <w:widowControl/>
              <w:jc w:val="right"/>
              <w:rPr>
                <w:rFonts w:ascii="Calibri" w:hAnsi="Calibri" w:eastAsia="Calibri" w:cs="Calibri"/>
                <w:sz w:val="16"/>
                <w:szCs w:val="16"/>
              </w:rPr>
            </w:pPr>
          </w:p>
        </w:tc>
        <w:tc>
          <w:tcPr>
            <w:tcW w:w="1078" w:type="dxa"/>
            <w:tcBorders>
              <w:top w:val="nil"/>
              <w:left w:val="nil"/>
              <w:bottom w:val="single" w:color="000000" w:sz="4" w:space="0"/>
              <w:right w:val="single" w:color="000000" w:sz="4" w:space="0"/>
            </w:tcBorders>
            <w:shd w:val="clear" w:color="auto" w:fill="FFF2CC"/>
            <w:vAlign w:val="bottom"/>
          </w:tcPr>
          <w:p w:rsidR="002E06DA" w:rsidRDefault="002E06DA" w14:paraId="00000074" w14:textId="77777777">
            <w:pPr>
              <w:widowControl/>
              <w:jc w:val="right"/>
              <w:rPr>
                <w:rFonts w:ascii="Calibri" w:hAnsi="Calibri" w:eastAsia="Calibri" w:cs="Calibri"/>
                <w:sz w:val="16"/>
                <w:szCs w:val="16"/>
              </w:rPr>
            </w:pPr>
          </w:p>
        </w:tc>
        <w:tc>
          <w:tcPr>
            <w:tcW w:w="1933" w:type="dxa"/>
            <w:tcBorders>
              <w:top w:val="nil"/>
              <w:left w:val="nil"/>
              <w:bottom w:val="single" w:color="000000" w:sz="4" w:space="0"/>
              <w:right w:val="single" w:color="000000" w:sz="4" w:space="0"/>
            </w:tcBorders>
            <w:shd w:val="clear" w:color="auto" w:fill="FFF2CC"/>
            <w:vAlign w:val="bottom"/>
          </w:tcPr>
          <w:p w:rsidR="002E06DA" w:rsidRDefault="002E06DA" w14:paraId="00000075" w14:textId="77777777">
            <w:pPr>
              <w:widowControl/>
              <w:jc w:val="right"/>
              <w:rPr>
                <w:rFonts w:ascii="Calibri" w:hAnsi="Calibri" w:eastAsia="Calibri" w:cs="Calibri"/>
                <w:sz w:val="16"/>
                <w:szCs w:val="16"/>
              </w:rPr>
            </w:pPr>
          </w:p>
        </w:tc>
        <w:tc>
          <w:tcPr>
            <w:tcW w:w="1239" w:type="dxa"/>
            <w:tcBorders>
              <w:top w:val="nil"/>
              <w:left w:val="nil"/>
              <w:bottom w:val="single" w:color="000000" w:sz="4" w:space="0"/>
              <w:right w:val="single" w:color="000000" w:sz="8" w:space="0"/>
            </w:tcBorders>
            <w:shd w:val="clear" w:color="auto" w:fill="FFF2CC"/>
            <w:vAlign w:val="bottom"/>
          </w:tcPr>
          <w:p w:rsidR="002E06DA" w:rsidRDefault="002E06DA" w14:paraId="00000076" w14:textId="77777777">
            <w:pPr>
              <w:widowControl/>
              <w:jc w:val="right"/>
              <w:rPr>
                <w:rFonts w:ascii="Calibri" w:hAnsi="Calibri" w:eastAsia="Calibri" w:cs="Calibri"/>
                <w:sz w:val="16"/>
                <w:szCs w:val="16"/>
              </w:rPr>
            </w:pPr>
          </w:p>
        </w:tc>
      </w:tr>
      <w:tr w:rsidR="002E06DA" w:rsidTr="00A826E7" w14:paraId="4D41EA09" w14:textId="77777777">
        <w:trPr>
          <w:trHeight w:val="300"/>
        </w:trPr>
        <w:tc>
          <w:tcPr>
            <w:tcW w:w="3138" w:type="dxa"/>
            <w:tcBorders>
              <w:top w:val="nil"/>
              <w:left w:val="single" w:color="000000" w:sz="8" w:space="0"/>
              <w:bottom w:val="single" w:color="000000" w:sz="4" w:space="0"/>
              <w:right w:val="single" w:color="000000" w:sz="4" w:space="0"/>
            </w:tcBorders>
            <w:shd w:val="clear" w:color="auto" w:fill="auto"/>
            <w:vAlign w:val="center"/>
          </w:tcPr>
          <w:p w:rsidRPr="00A826E7" w:rsidR="002E06DA" w:rsidRDefault="00A826E7" w14:paraId="00000077" w14:textId="77777777">
            <w:pPr>
              <w:widowControl/>
              <w:rPr>
                <w:rFonts w:ascii="Calibri" w:hAnsi="Calibri" w:eastAsia="Calibri" w:cs="Calibri"/>
                <w:sz w:val="16"/>
                <w:szCs w:val="16"/>
              </w:rPr>
            </w:pPr>
            <w:r w:rsidRPr="00A826E7">
              <w:rPr>
                <w:rFonts w:ascii="Calibri" w:hAnsi="Calibri" w:eastAsia="Calibri" w:cs="Calibri"/>
                <w:sz w:val="16"/>
                <w:szCs w:val="16"/>
              </w:rPr>
              <w:t>Monitoring and Reporting Service Providers Application and Response to Denial</w:t>
            </w:r>
          </w:p>
        </w:tc>
        <w:tc>
          <w:tcPr>
            <w:tcW w:w="1982"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8" w14:textId="77777777">
            <w:pPr>
              <w:widowControl/>
              <w:jc w:val="center"/>
              <w:rPr>
                <w:rFonts w:ascii="Calibri" w:hAnsi="Calibri" w:eastAsia="Calibri" w:cs="Calibri"/>
                <w:sz w:val="16"/>
                <w:szCs w:val="16"/>
              </w:rPr>
            </w:pPr>
            <w:r w:rsidRPr="00A826E7">
              <w:rPr>
                <w:rFonts w:ascii="Calibri" w:hAnsi="Calibri" w:eastAsia="Calibri" w:cs="Calibri"/>
                <w:sz w:val="16"/>
                <w:szCs w:val="16"/>
              </w:rPr>
              <w:t>11-1021: General and Operations Managers </w:t>
            </w:r>
          </w:p>
        </w:tc>
        <w:tc>
          <w:tcPr>
            <w:tcW w:w="1530"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9" w14:textId="77777777">
            <w:pPr>
              <w:widowControl/>
              <w:jc w:val="right"/>
              <w:rPr>
                <w:rFonts w:ascii="Calibri" w:hAnsi="Calibri" w:eastAsia="Calibri" w:cs="Calibri"/>
                <w:sz w:val="16"/>
                <w:szCs w:val="16"/>
              </w:rPr>
            </w:pPr>
            <w:r w:rsidRPr="00A826E7">
              <w:rPr>
                <w:rFonts w:ascii="Calibri" w:hAnsi="Calibri" w:eastAsia="Calibri" w:cs="Calibri"/>
                <w:sz w:val="16"/>
                <w:szCs w:val="16"/>
              </w:rPr>
              <w:t>4</w:t>
            </w:r>
          </w:p>
        </w:tc>
        <w:tc>
          <w:tcPr>
            <w:tcW w:w="1210"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A" w14:textId="77777777">
            <w:pPr>
              <w:widowControl/>
              <w:jc w:val="right"/>
              <w:rPr>
                <w:rFonts w:ascii="Calibri" w:hAnsi="Calibri" w:eastAsia="Calibri" w:cs="Calibri"/>
                <w:sz w:val="16"/>
                <w:szCs w:val="16"/>
              </w:rPr>
            </w:pPr>
            <w:r w:rsidRPr="00A826E7">
              <w:rPr>
                <w:rFonts w:ascii="Calibri" w:hAnsi="Calibri" w:eastAsia="Calibri" w:cs="Calibri"/>
                <w:sz w:val="16"/>
                <w:szCs w:val="16"/>
              </w:rPr>
              <w:t>1</w:t>
            </w:r>
          </w:p>
        </w:tc>
        <w:tc>
          <w:tcPr>
            <w:tcW w:w="1020"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B" w14:textId="77777777">
            <w:pPr>
              <w:widowControl/>
              <w:jc w:val="right"/>
              <w:rPr>
                <w:rFonts w:ascii="Calibri" w:hAnsi="Calibri" w:eastAsia="Calibri" w:cs="Calibri"/>
                <w:sz w:val="16"/>
                <w:szCs w:val="16"/>
              </w:rPr>
            </w:pPr>
            <w:r w:rsidRPr="00A826E7">
              <w:rPr>
                <w:rFonts w:ascii="Calibri" w:hAnsi="Calibri" w:eastAsia="Calibri" w:cs="Calibri"/>
                <w:sz w:val="16"/>
                <w:szCs w:val="16"/>
              </w:rPr>
              <w:t>4</w:t>
            </w:r>
          </w:p>
        </w:tc>
        <w:tc>
          <w:tcPr>
            <w:tcW w:w="975"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C" w14:textId="77777777">
            <w:pPr>
              <w:widowControl/>
              <w:jc w:val="right"/>
              <w:rPr>
                <w:rFonts w:ascii="Calibri" w:hAnsi="Calibri" w:eastAsia="Calibri" w:cs="Calibri"/>
                <w:sz w:val="16"/>
                <w:szCs w:val="16"/>
              </w:rPr>
            </w:pPr>
            <w:r w:rsidRPr="00A826E7">
              <w:rPr>
                <w:rFonts w:ascii="Calibri" w:hAnsi="Calibri" w:eastAsia="Calibri" w:cs="Calibri"/>
                <w:sz w:val="16"/>
                <w:szCs w:val="16"/>
              </w:rPr>
              <w:t>10</w:t>
            </w:r>
          </w:p>
        </w:tc>
        <w:tc>
          <w:tcPr>
            <w:tcW w:w="1078"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D" w14:textId="77777777">
            <w:pPr>
              <w:widowControl/>
              <w:jc w:val="right"/>
              <w:rPr>
                <w:rFonts w:ascii="Calibri" w:hAnsi="Calibri" w:eastAsia="Calibri" w:cs="Calibri"/>
                <w:sz w:val="16"/>
                <w:szCs w:val="16"/>
              </w:rPr>
            </w:pPr>
            <w:r w:rsidRPr="00A826E7">
              <w:rPr>
                <w:rFonts w:ascii="Calibri" w:hAnsi="Calibri" w:eastAsia="Calibri" w:cs="Calibri"/>
                <w:sz w:val="16"/>
                <w:szCs w:val="16"/>
              </w:rPr>
              <w:t>40</w:t>
            </w:r>
          </w:p>
        </w:tc>
        <w:tc>
          <w:tcPr>
            <w:tcW w:w="1933"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7E" w14:textId="77777777">
            <w:pPr>
              <w:widowControl/>
              <w:jc w:val="right"/>
              <w:rPr>
                <w:rFonts w:ascii="Calibri" w:hAnsi="Calibri" w:eastAsia="Calibri" w:cs="Calibri"/>
                <w:sz w:val="16"/>
                <w:szCs w:val="16"/>
              </w:rPr>
            </w:pPr>
            <w:r w:rsidRPr="00A826E7">
              <w:rPr>
                <w:rFonts w:ascii="Calibri" w:hAnsi="Calibri" w:eastAsia="Calibri" w:cs="Calibri"/>
                <w:sz w:val="16"/>
                <w:szCs w:val="16"/>
              </w:rPr>
              <w:t xml:space="preserve"> $60.45</w:t>
            </w:r>
          </w:p>
        </w:tc>
        <w:tc>
          <w:tcPr>
            <w:tcW w:w="1239" w:type="dxa"/>
            <w:tcBorders>
              <w:top w:val="nil"/>
              <w:left w:val="nil"/>
              <w:bottom w:val="single" w:color="000000" w:sz="4" w:space="0"/>
              <w:right w:val="single" w:color="000000" w:sz="8" w:space="0"/>
            </w:tcBorders>
            <w:shd w:val="clear" w:color="auto" w:fill="auto"/>
            <w:vAlign w:val="bottom"/>
          </w:tcPr>
          <w:p w:rsidRPr="00A826E7" w:rsidR="002E06DA" w:rsidRDefault="00A826E7" w14:paraId="0000007F" w14:textId="77777777">
            <w:pPr>
              <w:widowControl/>
              <w:jc w:val="right"/>
              <w:rPr>
                <w:rFonts w:ascii="Calibri" w:hAnsi="Calibri" w:eastAsia="Calibri" w:cs="Calibri"/>
                <w:sz w:val="16"/>
                <w:szCs w:val="16"/>
              </w:rPr>
            </w:pPr>
            <w:r w:rsidRPr="00A826E7">
              <w:rPr>
                <w:rFonts w:ascii="Calibri" w:hAnsi="Calibri" w:eastAsia="Calibri" w:cs="Calibri"/>
                <w:sz w:val="16"/>
                <w:szCs w:val="16"/>
              </w:rPr>
              <w:t>$2,418 </w:t>
            </w:r>
          </w:p>
        </w:tc>
      </w:tr>
      <w:tr w:rsidR="002E06DA" w:rsidTr="00A826E7" w14:paraId="74BC3328" w14:textId="77777777">
        <w:trPr>
          <w:trHeight w:val="300"/>
        </w:trPr>
        <w:tc>
          <w:tcPr>
            <w:tcW w:w="3138" w:type="dxa"/>
            <w:tcBorders>
              <w:top w:val="nil"/>
              <w:left w:val="single" w:color="000000" w:sz="8" w:space="0"/>
              <w:bottom w:val="single" w:color="000000" w:sz="4" w:space="0"/>
              <w:right w:val="single" w:color="000000" w:sz="4" w:space="0"/>
            </w:tcBorders>
            <w:shd w:val="clear" w:color="auto" w:fill="auto"/>
            <w:vAlign w:val="center"/>
          </w:tcPr>
          <w:p w:rsidRPr="00A826E7" w:rsidR="002E06DA" w:rsidRDefault="00A826E7" w14:paraId="00000080" w14:textId="77777777">
            <w:pPr>
              <w:widowControl/>
              <w:rPr>
                <w:rFonts w:ascii="Calibri" w:hAnsi="Calibri" w:eastAsia="Calibri" w:cs="Calibri"/>
                <w:sz w:val="16"/>
                <w:szCs w:val="16"/>
              </w:rPr>
            </w:pPr>
            <w:r w:rsidRPr="00A826E7">
              <w:rPr>
                <w:rFonts w:ascii="Calibri" w:hAnsi="Calibri" w:eastAsia="Calibri" w:cs="Calibri"/>
                <w:sz w:val="16"/>
                <w:szCs w:val="16"/>
              </w:rPr>
              <w:t>At-Sea Monitoring and Reporting Requirements- Notifications and database requirements and monitoring costs</w:t>
            </w:r>
          </w:p>
        </w:tc>
        <w:tc>
          <w:tcPr>
            <w:tcW w:w="1982"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1" w14:textId="77777777">
            <w:pPr>
              <w:widowControl/>
              <w:jc w:val="center"/>
              <w:rPr>
                <w:rFonts w:ascii="Calibri" w:hAnsi="Calibri" w:eastAsia="Calibri" w:cs="Calibri"/>
                <w:sz w:val="16"/>
                <w:szCs w:val="16"/>
              </w:rPr>
            </w:pPr>
            <w:r w:rsidRPr="00A826E7">
              <w:rPr>
                <w:rFonts w:ascii="Calibri" w:hAnsi="Calibri" w:eastAsia="Calibri" w:cs="Calibri"/>
                <w:sz w:val="16"/>
                <w:szCs w:val="16"/>
              </w:rPr>
              <w:t>11-1021: General and Operations Managers</w:t>
            </w:r>
          </w:p>
        </w:tc>
        <w:tc>
          <w:tcPr>
            <w:tcW w:w="1530"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2" w14:textId="77777777">
            <w:pPr>
              <w:widowControl/>
              <w:jc w:val="right"/>
              <w:rPr>
                <w:rFonts w:ascii="Calibri" w:hAnsi="Calibri" w:eastAsia="Calibri" w:cs="Calibri"/>
                <w:sz w:val="16"/>
                <w:szCs w:val="16"/>
              </w:rPr>
            </w:pPr>
            <w:r w:rsidRPr="00A826E7">
              <w:rPr>
                <w:rFonts w:ascii="Calibri" w:hAnsi="Calibri" w:eastAsia="Calibri" w:cs="Calibri"/>
                <w:sz w:val="16"/>
                <w:szCs w:val="16"/>
              </w:rPr>
              <w:t>4</w:t>
            </w:r>
          </w:p>
        </w:tc>
        <w:tc>
          <w:tcPr>
            <w:tcW w:w="1210"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3" w14:textId="77777777">
            <w:pPr>
              <w:widowControl/>
              <w:jc w:val="right"/>
              <w:rPr>
                <w:rFonts w:ascii="Calibri" w:hAnsi="Calibri" w:eastAsia="Calibri" w:cs="Calibri"/>
                <w:sz w:val="16"/>
                <w:szCs w:val="16"/>
              </w:rPr>
            </w:pPr>
            <w:r w:rsidRPr="00A826E7">
              <w:rPr>
                <w:rFonts w:ascii="Calibri" w:hAnsi="Calibri" w:eastAsia="Calibri" w:cs="Calibri"/>
                <w:sz w:val="16"/>
                <w:szCs w:val="16"/>
              </w:rPr>
              <w:t>12,300</w:t>
            </w:r>
          </w:p>
        </w:tc>
        <w:tc>
          <w:tcPr>
            <w:tcW w:w="1020"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4" w14:textId="77777777">
            <w:pPr>
              <w:widowControl/>
              <w:jc w:val="right"/>
              <w:rPr>
                <w:rFonts w:ascii="Calibri" w:hAnsi="Calibri" w:eastAsia="Calibri" w:cs="Calibri"/>
                <w:sz w:val="16"/>
                <w:szCs w:val="16"/>
              </w:rPr>
            </w:pPr>
            <w:r w:rsidRPr="00A826E7">
              <w:rPr>
                <w:rFonts w:ascii="Calibri" w:hAnsi="Calibri" w:eastAsia="Calibri" w:cs="Calibri"/>
                <w:sz w:val="16"/>
                <w:szCs w:val="16"/>
              </w:rPr>
              <w:t>49,200</w:t>
            </w:r>
          </w:p>
        </w:tc>
        <w:tc>
          <w:tcPr>
            <w:tcW w:w="975"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5" w14:textId="77777777">
            <w:pPr>
              <w:widowControl/>
              <w:jc w:val="right"/>
              <w:rPr>
                <w:rFonts w:ascii="Calibri" w:hAnsi="Calibri" w:eastAsia="Calibri" w:cs="Calibri"/>
                <w:sz w:val="16"/>
                <w:szCs w:val="16"/>
              </w:rPr>
            </w:pPr>
            <w:r w:rsidRPr="00A826E7">
              <w:rPr>
                <w:rFonts w:ascii="Calibri" w:hAnsi="Calibri" w:eastAsia="Calibri" w:cs="Calibri"/>
                <w:sz w:val="16"/>
                <w:szCs w:val="16"/>
              </w:rPr>
              <w:t>0.33</w:t>
            </w:r>
          </w:p>
        </w:tc>
        <w:tc>
          <w:tcPr>
            <w:tcW w:w="1078"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6" w14:textId="77777777">
            <w:pPr>
              <w:widowControl/>
              <w:jc w:val="right"/>
              <w:rPr>
                <w:rFonts w:ascii="Calibri" w:hAnsi="Calibri" w:eastAsia="Calibri" w:cs="Calibri"/>
                <w:sz w:val="16"/>
                <w:szCs w:val="16"/>
              </w:rPr>
            </w:pPr>
            <w:r w:rsidRPr="00A826E7">
              <w:rPr>
                <w:rFonts w:ascii="Calibri" w:hAnsi="Calibri" w:eastAsia="Calibri" w:cs="Calibri"/>
                <w:sz w:val="16"/>
                <w:szCs w:val="16"/>
              </w:rPr>
              <w:t>16,236</w:t>
            </w:r>
          </w:p>
        </w:tc>
        <w:tc>
          <w:tcPr>
            <w:tcW w:w="1933" w:type="dxa"/>
            <w:tcBorders>
              <w:top w:val="nil"/>
              <w:left w:val="nil"/>
              <w:bottom w:val="single" w:color="000000" w:sz="4" w:space="0"/>
              <w:right w:val="single" w:color="000000" w:sz="4" w:space="0"/>
            </w:tcBorders>
            <w:shd w:val="clear" w:color="auto" w:fill="auto"/>
            <w:vAlign w:val="bottom"/>
          </w:tcPr>
          <w:p w:rsidRPr="00A826E7" w:rsidR="002E06DA" w:rsidRDefault="00A826E7" w14:paraId="00000087" w14:textId="77777777">
            <w:pPr>
              <w:widowControl/>
              <w:jc w:val="right"/>
              <w:rPr>
                <w:rFonts w:ascii="Calibri" w:hAnsi="Calibri" w:eastAsia="Calibri" w:cs="Calibri"/>
                <w:sz w:val="16"/>
                <w:szCs w:val="16"/>
              </w:rPr>
            </w:pPr>
            <w:r w:rsidRPr="00A826E7">
              <w:rPr>
                <w:rFonts w:ascii="Calibri" w:hAnsi="Calibri" w:eastAsia="Calibri" w:cs="Calibri"/>
                <w:sz w:val="16"/>
                <w:szCs w:val="16"/>
              </w:rPr>
              <w:t xml:space="preserve"> $60.45</w:t>
            </w:r>
          </w:p>
        </w:tc>
        <w:tc>
          <w:tcPr>
            <w:tcW w:w="1239" w:type="dxa"/>
            <w:tcBorders>
              <w:top w:val="nil"/>
              <w:left w:val="nil"/>
              <w:bottom w:val="single" w:color="000000" w:sz="4" w:space="0"/>
              <w:right w:val="single" w:color="000000" w:sz="8" w:space="0"/>
            </w:tcBorders>
            <w:shd w:val="clear" w:color="auto" w:fill="auto"/>
            <w:vAlign w:val="bottom"/>
          </w:tcPr>
          <w:p w:rsidRPr="00A826E7" w:rsidR="002E06DA" w:rsidRDefault="00A826E7" w14:paraId="00000088" w14:textId="77777777">
            <w:pPr>
              <w:widowControl/>
              <w:jc w:val="right"/>
              <w:rPr>
                <w:rFonts w:ascii="Calibri" w:hAnsi="Calibri" w:eastAsia="Calibri" w:cs="Calibri"/>
                <w:sz w:val="16"/>
                <w:szCs w:val="16"/>
              </w:rPr>
            </w:pPr>
            <w:r w:rsidRPr="00A826E7">
              <w:rPr>
                <w:rFonts w:ascii="Calibri" w:hAnsi="Calibri" w:eastAsia="Calibri" w:cs="Calibri"/>
                <w:sz w:val="16"/>
                <w:szCs w:val="16"/>
              </w:rPr>
              <w:t>$981,466</w:t>
            </w:r>
          </w:p>
        </w:tc>
      </w:tr>
      <w:tr w:rsidR="002E06DA" w14:paraId="73038834" w14:textId="77777777">
        <w:trPr>
          <w:trHeight w:val="315"/>
        </w:trPr>
        <w:tc>
          <w:tcPr>
            <w:tcW w:w="3138" w:type="dxa"/>
            <w:tcBorders>
              <w:top w:val="nil"/>
              <w:left w:val="single" w:color="000000" w:sz="8" w:space="0"/>
              <w:bottom w:val="single" w:color="000000" w:sz="8" w:space="0"/>
              <w:right w:val="single" w:color="000000" w:sz="4" w:space="0"/>
            </w:tcBorders>
            <w:shd w:val="clear" w:color="auto" w:fill="auto"/>
            <w:vAlign w:val="bottom"/>
          </w:tcPr>
          <w:p w:rsidR="002E06DA" w:rsidRDefault="002E06DA" w14:paraId="00000089" w14:textId="77777777">
            <w:pPr>
              <w:widowControl/>
              <w:rPr>
                <w:rFonts w:ascii="Calibri" w:hAnsi="Calibri" w:eastAsia="Calibri" w:cs="Calibri"/>
                <w:color w:val="000000"/>
                <w:sz w:val="16"/>
                <w:szCs w:val="16"/>
              </w:rPr>
            </w:pPr>
          </w:p>
        </w:tc>
        <w:tc>
          <w:tcPr>
            <w:tcW w:w="1982" w:type="dxa"/>
            <w:tcBorders>
              <w:top w:val="nil"/>
              <w:left w:val="nil"/>
              <w:bottom w:val="single" w:color="000000" w:sz="8" w:space="0"/>
              <w:right w:val="single" w:color="000000" w:sz="4" w:space="0"/>
            </w:tcBorders>
            <w:shd w:val="clear" w:color="auto" w:fill="auto"/>
            <w:vAlign w:val="bottom"/>
          </w:tcPr>
          <w:p w:rsidR="002E06DA" w:rsidRDefault="002E06DA" w14:paraId="0000008A" w14:textId="77777777">
            <w:pPr>
              <w:widowControl/>
              <w:jc w:val="center"/>
              <w:rPr>
                <w:rFonts w:ascii="Calibri" w:hAnsi="Calibri" w:eastAsia="Calibri" w:cs="Calibri"/>
                <w:color w:val="000000"/>
                <w:sz w:val="16"/>
                <w:szCs w:val="16"/>
              </w:rPr>
            </w:pPr>
          </w:p>
        </w:tc>
        <w:tc>
          <w:tcPr>
            <w:tcW w:w="1530" w:type="dxa"/>
            <w:tcBorders>
              <w:top w:val="nil"/>
              <w:left w:val="nil"/>
              <w:bottom w:val="single" w:color="000000" w:sz="8" w:space="0"/>
              <w:right w:val="single" w:color="000000" w:sz="4" w:space="0"/>
            </w:tcBorders>
            <w:shd w:val="clear" w:color="auto" w:fill="auto"/>
            <w:vAlign w:val="bottom"/>
          </w:tcPr>
          <w:p w:rsidR="002E06DA" w:rsidRDefault="002E06DA" w14:paraId="0000008B" w14:textId="77777777">
            <w:pPr>
              <w:widowControl/>
              <w:jc w:val="right"/>
              <w:rPr>
                <w:rFonts w:ascii="Calibri" w:hAnsi="Calibri" w:eastAsia="Calibri" w:cs="Calibri"/>
                <w:color w:val="000000"/>
                <w:sz w:val="16"/>
                <w:szCs w:val="16"/>
              </w:rPr>
            </w:pPr>
          </w:p>
        </w:tc>
        <w:tc>
          <w:tcPr>
            <w:tcW w:w="1210" w:type="dxa"/>
            <w:tcBorders>
              <w:top w:val="nil"/>
              <w:left w:val="nil"/>
              <w:bottom w:val="single" w:color="000000" w:sz="8" w:space="0"/>
              <w:right w:val="single" w:color="000000" w:sz="4" w:space="0"/>
            </w:tcBorders>
            <w:shd w:val="clear" w:color="auto" w:fill="auto"/>
            <w:vAlign w:val="bottom"/>
          </w:tcPr>
          <w:p w:rsidR="002E06DA" w:rsidRDefault="002E06DA" w14:paraId="0000008C" w14:textId="77777777">
            <w:pPr>
              <w:widowControl/>
              <w:jc w:val="right"/>
              <w:rPr>
                <w:rFonts w:ascii="Calibri" w:hAnsi="Calibri" w:eastAsia="Calibri" w:cs="Calibri"/>
                <w:color w:val="000000"/>
                <w:sz w:val="16"/>
                <w:szCs w:val="16"/>
              </w:rPr>
            </w:pPr>
          </w:p>
        </w:tc>
        <w:tc>
          <w:tcPr>
            <w:tcW w:w="1020" w:type="dxa"/>
            <w:tcBorders>
              <w:top w:val="nil"/>
              <w:left w:val="nil"/>
              <w:bottom w:val="single" w:color="000000" w:sz="8" w:space="0"/>
              <w:right w:val="single" w:color="000000" w:sz="4" w:space="0"/>
            </w:tcBorders>
            <w:shd w:val="clear" w:color="auto" w:fill="auto"/>
            <w:vAlign w:val="bottom"/>
          </w:tcPr>
          <w:p w:rsidR="002E06DA" w:rsidRDefault="002E06DA" w14:paraId="0000008D" w14:textId="77777777">
            <w:pPr>
              <w:widowControl/>
              <w:jc w:val="right"/>
              <w:rPr>
                <w:rFonts w:ascii="Calibri" w:hAnsi="Calibri" w:eastAsia="Calibri" w:cs="Calibri"/>
                <w:color w:val="000000"/>
                <w:sz w:val="16"/>
                <w:szCs w:val="16"/>
              </w:rPr>
            </w:pPr>
          </w:p>
        </w:tc>
        <w:tc>
          <w:tcPr>
            <w:tcW w:w="975" w:type="dxa"/>
            <w:tcBorders>
              <w:top w:val="nil"/>
              <w:left w:val="nil"/>
              <w:bottom w:val="single" w:color="000000" w:sz="8" w:space="0"/>
              <w:right w:val="single" w:color="000000" w:sz="4" w:space="0"/>
            </w:tcBorders>
            <w:shd w:val="clear" w:color="auto" w:fill="auto"/>
            <w:vAlign w:val="bottom"/>
          </w:tcPr>
          <w:p w:rsidR="002E06DA" w:rsidRDefault="002E06DA" w14:paraId="0000008E" w14:textId="77777777">
            <w:pPr>
              <w:widowControl/>
              <w:jc w:val="right"/>
              <w:rPr>
                <w:rFonts w:ascii="Calibri" w:hAnsi="Calibri" w:eastAsia="Calibri" w:cs="Calibri"/>
                <w:color w:val="000000"/>
                <w:sz w:val="16"/>
                <w:szCs w:val="16"/>
              </w:rPr>
            </w:pPr>
          </w:p>
        </w:tc>
        <w:tc>
          <w:tcPr>
            <w:tcW w:w="1078" w:type="dxa"/>
            <w:tcBorders>
              <w:top w:val="nil"/>
              <w:left w:val="nil"/>
              <w:bottom w:val="single" w:color="000000" w:sz="8" w:space="0"/>
              <w:right w:val="single" w:color="000000" w:sz="4" w:space="0"/>
            </w:tcBorders>
            <w:shd w:val="clear" w:color="auto" w:fill="auto"/>
            <w:vAlign w:val="bottom"/>
          </w:tcPr>
          <w:p w:rsidR="002E06DA" w:rsidRDefault="002E06DA" w14:paraId="0000008F" w14:textId="77777777">
            <w:pPr>
              <w:widowControl/>
              <w:jc w:val="right"/>
              <w:rPr>
                <w:rFonts w:ascii="Calibri" w:hAnsi="Calibri" w:eastAsia="Calibri" w:cs="Calibri"/>
                <w:color w:val="000000"/>
                <w:sz w:val="16"/>
                <w:szCs w:val="16"/>
              </w:rPr>
            </w:pPr>
          </w:p>
        </w:tc>
        <w:tc>
          <w:tcPr>
            <w:tcW w:w="1933" w:type="dxa"/>
            <w:tcBorders>
              <w:top w:val="nil"/>
              <w:left w:val="nil"/>
              <w:bottom w:val="single" w:color="000000" w:sz="8" w:space="0"/>
              <w:right w:val="single" w:color="000000" w:sz="4" w:space="0"/>
            </w:tcBorders>
            <w:shd w:val="clear" w:color="auto" w:fill="auto"/>
            <w:vAlign w:val="bottom"/>
          </w:tcPr>
          <w:p w:rsidR="002E06DA" w:rsidRDefault="002E06DA" w14:paraId="00000090" w14:textId="77777777">
            <w:pPr>
              <w:widowControl/>
              <w:jc w:val="right"/>
              <w:rPr>
                <w:rFonts w:ascii="Calibri" w:hAnsi="Calibri" w:eastAsia="Calibri" w:cs="Calibri"/>
                <w:color w:val="000000"/>
                <w:sz w:val="16"/>
                <w:szCs w:val="16"/>
              </w:rPr>
            </w:pPr>
          </w:p>
        </w:tc>
        <w:tc>
          <w:tcPr>
            <w:tcW w:w="1239" w:type="dxa"/>
            <w:tcBorders>
              <w:top w:val="nil"/>
              <w:left w:val="nil"/>
              <w:bottom w:val="single" w:color="000000" w:sz="8" w:space="0"/>
              <w:right w:val="single" w:color="000000" w:sz="8" w:space="0"/>
            </w:tcBorders>
            <w:shd w:val="clear" w:color="auto" w:fill="auto"/>
            <w:vAlign w:val="bottom"/>
          </w:tcPr>
          <w:p w:rsidR="002E06DA" w:rsidRDefault="002E06DA" w14:paraId="00000091" w14:textId="77777777">
            <w:pPr>
              <w:widowControl/>
              <w:jc w:val="right"/>
              <w:rPr>
                <w:rFonts w:ascii="Calibri" w:hAnsi="Calibri" w:eastAsia="Calibri" w:cs="Calibri"/>
                <w:color w:val="000000"/>
                <w:sz w:val="16"/>
                <w:szCs w:val="16"/>
              </w:rPr>
            </w:pPr>
          </w:p>
        </w:tc>
      </w:tr>
      <w:tr w:rsidR="002E06DA" w14:paraId="0C598496" w14:textId="77777777">
        <w:trPr>
          <w:trHeight w:val="315"/>
        </w:trPr>
        <w:tc>
          <w:tcPr>
            <w:tcW w:w="3138" w:type="dxa"/>
            <w:tcBorders>
              <w:top w:val="nil"/>
              <w:left w:val="single" w:color="000000" w:sz="8" w:space="0"/>
              <w:bottom w:val="single" w:color="000000" w:sz="8" w:space="0"/>
              <w:right w:val="single" w:color="000000" w:sz="8" w:space="0"/>
            </w:tcBorders>
            <w:shd w:val="clear" w:color="auto" w:fill="BDD7EE"/>
            <w:vAlign w:val="bottom"/>
          </w:tcPr>
          <w:p w:rsidR="002E06DA" w:rsidRDefault="00A826E7" w14:paraId="00000092" w14:textId="77777777">
            <w:pPr>
              <w:widowControl/>
              <w:rPr>
                <w:rFonts w:ascii="Calibri" w:hAnsi="Calibri" w:eastAsia="Calibri" w:cs="Calibri"/>
                <w:b/>
                <w:color w:val="000000"/>
              </w:rPr>
            </w:pPr>
            <w:r>
              <w:rPr>
                <w:rFonts w:ascii="Calibri" w:hAnsi="Calibri" w:eastAsia="Calibri" w:cs="Calibri"/>
                <w:b/>
                <w:color w:val="000000"/>
              </w:rPr>
              <w:t>Totals</w:t>
            </w:r>
          </w:p>
        </w:tc>
        <w:tc>
          <w:tcPr>
            <w:tcW w:w="1982" w:type="dxa"/>
            <w:tcBorders>
              <w:top w:val="nil"/>
              <w:left w:val="nil"/>
              <w:bottom w:val="single" w:color="000000" w:sz="8" w:space="0"/>
              <w:right w:val="single" w:color="000000" w:sz="8" w:space="0"/>
            </w:tcBorders>
            <w:shd w:val="clear" w:color="auto" w:fill="000000"/>
            <w:vAlign w:val="bottom"/>
          </w:tcPr>
          <w:p w:rsidR="002E06DA" w:rsidRDefault="00A826E7" w14:paraId="00000093"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530" w:type="dxa"/>
            <w:tcBorders>
              <w:top w:val="nil"/>
              <w:left w:val="nil"/>
              <w:bottom w:val="single" w:color="000000" w:sz="8" w:space="0"/>
              <w:right w:val="single" w:color="000000" w:sz="8" w:space="0"/>
            </w:tcBorders>
            <w:shd w:val="clear" w:color="auto" w:fill="000000"/>
            <w:vAlign w:val="bottom"/>
          </w:tcPr>
          <w:p w:rsidR="002E06DA" w:rsidRDefault="00A826E7" w14:paraId="00000094"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210" w:type="dxa"/>
            <w:tcBorders>
              <w:top w:val="nil"/>
              <w:left w:val="nil"/>
              <w:bottom w:val="single" w:color="000000" w:sz="8" w:space="0"/>
              <w:right w:val="single" w:color="000000" w:sz="8" w:space="0"/>
            </w:tcBorders>
            <w:shd w:val="clear" w:color="auto" w:fill="000000"/>
            <w:vAlign w:val="bottom"/>
          </w:tcPr>
          <w:p w:rsidR="002E06DA" w:rsidRDefault="00A826E7" w14:paraId="00000095"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020" w:type="dxa"/>
            <w:tcBorders>
              <w:top w:val="nil"/>
              <w:left w:val="nil"/>
              <w:bottom w:val="single" w:color="000000" w:sz="8" w:space="0"/>
              <w:right w:val="single" w:color="000000" w:sz="8" w:space="0"/>
            </w:tcBorders>
            <w:shd w:val="clear" w:color="auto" w:fill="BDD7EE"/>
            <w:vAlign w:val="bottom"/>
          </w:tcPr>
          <w:p w:rsidR="002E06DA" w:rsidRDefault="00A826E7" w14:paraId="00000096" w14:textId="77777777">
            <w:pPr>
              <w:widowControl/>
              <w:rPr>
                <w:rFonts w:ascii="Calibri" w:hAnsi="Calibri" w:eastAsia="Calibri" w:cs="Calibri"/>
                <w:b/>
                <w:color w:val="000000"/>
              </w:rPr>
            </w:pPr>
            <w:r>
              <w:rPr>
                <w:rFonts w:ascii="Calibri" w:hAnsi="Calibri" w:eastAsia="Calibri" w:cs="Calibri"/>
                <w:b/>
                <w:sz w:val="16"/>
                <w:szCs w:val="16"/>
              </w:rPr>
              <w:t>49</w:t>
            </w:r>
            <w:sdt>
              <w:sdtPr>
                <w:tag w:val="goog_rdk_0"/>
                <w:id w:val="1386987642"/>
              </w:sdtPr>
              <w:sdtEndPr/>
              <w:sdtContent/>
            </w:sdt>
            <w:r>
              <w:rPr>
                <w:rFonts w:ascii="Calibri" w:hAnsi="Calibri" w:eastAsia="Calibri" w:cs="Calibri"/>
                <w:b/>
                <w:sz w:val="16"/>
                <w:szCs w:val="16"/>
              </w:rPr>
              <w:t>,</w:t>
            </w:r>
            <w:r>
              <w:rPr>
                <w:rFonts w:ascii="Calibri" w:hAnsi="Calibri" w:eastAsia="Calibri" w:cs="Calibri"/>
                <w:b/>
                <w:sz w:val="16"/>
                <w:szCs w:val="16"/>
              </w:rPr>
              <w:t>204</w:t>
            </w:r>
          </w:p>
        </w:tc>
        <w:tc>
          <w:tcPr>
            <w:tcW w:w="975" w:type="dxa"/>
            <w:tcBorders>
              <w:top w:val="nil"/>
              <w:left w:val="nil"/>
              <w:bottom w:val="single" w:color="000000" w:sz="8" w:space="0"/>
              <w:right w:val="single" w:color="000000" w:sz="8" w:space="0"/>
            </w:tcBorders>
            <w:shd w:val="clear" w:color="auto" w:fill="000000"/>
            <w:vAlign w:val="bottom"/>
          </w:tcPr>
          <w:p w:rsidR="002E06DA" w:rsidRDefault="00A826E7" w14:paraId="00000097"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078" w:type="dxa"/>
            <w:tcBorders>
              <w:top w:val="nil"/>
              <w:left w:val="nil"/>
              <w:bottom w:val="single" w:color="000000" w:sz="8" w:space="0"/>
              <w:right w:val="single" w:color="000000" w:sz="8" w:space="0"/>
            </w:tcBorders>
            <w:shd w:val="clear" w:color="auto" w:fill="BDD7EE"/>
            <w:vAlign w:val="bottom"/>
          </w:tcPr>
          <w:p w:rsidR="002E06DA" w:rsidRDefault="00A826E7" w14:paraId="00000098" w14:textId="77777777">
            <w:pPr>
              <w:widowControl/>
              <w:rPr>
                <w:rFonts w:ascii="Calibri" w:hAnsi="Calibri" w:eastAsia="Calibri" w:cs="Calibri"/>
                <w:b/>
                <w:color w:val="000000"/>
              </w:rPr>
            </w:pPr>
            <w:r>
              <w:rPr>
                <w:rFonts w:ascii="Calibri" w:hAnsi="Calibri" w:eastAsia="Calibri" w:cs="Calibri"/>
                <w:b/>
              </w:rPr>
              <w:t>16,276</w:t>
            </w:r>
          </w:p>
        </w:tc>
        <w:tc>
          <w:tcPr>
            <w:tcW w:w="1933" w:type="dxa"/>
            <w:tcBorders>
              <w:top w:val="nil"/>
              <w:left w:val="nil"/>
              <w:bottom w:val="single" w:color="000000" w:sz="8" w:space="0"/>
              <w:right w:val="single" w:color="000000" w:sz="8" w:space="0"/>
            </w:tcBorders>
            <w:shd w:val="clear" w:color="auto" w:fill="000000"/>
            <w:vAlign w:val="bottom"/>
          </w:tcPr>
          <w:p w:rsidR="002E06DA" w:rsidRDefault="00A826E7" w14:paraId="00000099"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239" w:type="dxa"/>
            <w:tcBorders>
              <w:top w:val="nil"/>
              <w:left w:val="nil"/>
              <w:bottom w:val="single" w:color="000000" w:sz="8" w:space="0"/>
              <w:right w:val="single" w:color="000000" w:sz="8" w:space="0"/>
            </w:tcBorders>
            <w:shd w:val="clear" w:color="auto" w:fill="BDD7EE"/>
            <w:vAlign w:val="bottom"/>
          </w:tcPr>
          <w:p w:rsidR="002E06DA" w:rsidRDefault="00A826E7" w14:paraId="0000009A" w14:textId="77777777">
            <w:pPr>
              <w:widowControl/>
              <w:rPr>
                <w:rFonts w:ascii="Calibri" w:hAnsi="Calibri" w:eastAsia="Calibri" w:cs="Calibri"/>
                <w:b/>
                <w:color w:val="000000"/>
              </w:rPr>
            </w:pPr>
            <w:r>
              <w:rPr>
                <w:rFonts w:ascii="Calibri" w:hAnsi="Calibri" w:eastAsia="Calibri" w:cs="Calibri"/>
                <w:b/>
                <w:color w:val="000000"/>
              </w:rPr>
              <w:t> </w:t>
            </w:r>
            <w:r>
              <w:rPr>
                <w:rFonts w:ascii="Calibri" w:hAnsi="Calibri" w:eastAsia="Calibri" w:cs="Calibri"/>
                <w:b/>
                <w:sz w:val="16"/>
                <w:szCs w:val="16"/>
              </w:rPr>
              <w:t>$983,884</w:t>
            </w:r>
          </w:p>
        </w:tc>
      </w:tr>
    </w:tbl>
    <w:p w:rsidR="002E06DA" w:rsidRDefault="002E06DA" w14:paraId="0000009B" w14:textId="77777777">
      <w:pPr>
        <w:ind w:left="-360"/>
        <w:rPr>
          <w:sz w:val="24"/>
          <w:szCs w:val="24"/>
        </w:rPr>
      </w:pPr>
    </w:p>
    <w:p w:rsidR="002E06DA" w:rsidRDefault="00A826E7" w14:paraId="0000009C" w14:textId="77777777">
      <w:pPr>
        <w:ind w:left="-360"/>
        <w:rPr>
          <w:sz w:val="24"/>
          <w:szCs w:val="24"/>
        </w:rPr>
      </w:pPr>
      <w:r>
        <w:rPr>
          <w:sz w:val="24"/>
          <w:szCs w:val="24"/>
          <w:vertAlign w:val="superscript"/>
        </w:rPr>
        <w:t>1</w:t>
      </w:r>
      <w:r>
        <w:rPr>
          <w:sz w:val="24"/>
          <w:szCs w:val="24"/>
        </w:rPr>
        <w:t xml:space="preserve"> - Estimate based on total number of estimated groundfish sea days (15,000) and 82% of fleet adopting EM.</w:t>
      </w:r>
    </w:p>
    <w:p w:rsidR="002E06DA" w:rsidRDefault="00A826E7" w14:paraId="0000009D" w14:textId="77777777">
      <w:pPr>
        <w:ind w:left="-360"/>
        <w:rPr>
          <w:sz w:val="24"/>
          <w:szCs w:val="24"/>
        </w:rPr>
      </w:pPr>
      <w:r>
        <w:rPr>
          <w:sz w:val="24"/>
          <w:szCs w:val="24"/>
          <w:vertAlign w:val="superscript"/>
        </w:rPr>
        <w:t>2</w:t>
      </w:r>
      <w:r>
        <w:rPr>
          <w:sz w:val="24"/>
          <w:szCs w:val="24"/>
        </w:rPr>
        <w:t xml:space="preserve"> - Estimating additional reports required for ~50% of trips.</w:t>
      </w:r>
    </w:p>
    <w:p w:rsidR="002E06DA" w:rsidRDefault="00A826E7" w14:paraId="0000009E" w14:textId="77777777">
      <w:pPr>
        <w:ind w:left="-360"/>
        <w:rPr>
          <w:sz w:val="24"/>
          <w:szCs w:val="24"/>
        </w:rPr>
      </w:pPr>
      <w:r>
        <w:rPr>
          <w:sz w:val="24"/>
          <w:szCs w:val="24"/>
          <w:vertAlign w:val="superscript"/>
        </w:rPr>
        <w:t>3</w:t>
      </w:r>
      <w:r>
        <w:rPr>
          <w:sz w:val="24"/>
          <w:szCs w:val="24"/>
        </w:rPr>
        <w:t xml:space="preserve"> - A conservative estimate that all active sectors (20) will contract with 2 DSM provid</w:t>
      </w:r>
      <w:r>
        <w:rPr>
          <w:sz w:val="24"/>
          <w:szCs w:val="24"/>
        </w:rPr>
        <w:t>ers.</w:t>
      </w:r>
    </w:p>
    <w:p w:rsidR="002E06DA" w:rsidRDefault="002E06DA" w14:paraId="0000009F" w14:textId="77777777">
      <w:pPr>
        <w:ind w:left="-360"/>
        <w:rPr>
          <w:sz w:val="24"/>
          <w:szCs w:val="24"/>
        </w:rPr>
      </w:pPr>
    </w:p>
    <w:p w:rsidR="002E06DA" w:rsidRDefault="00A826E7" w14:paraId="000000A0" w14:textId="77777777">
      <w:pPr>
        <w:ind w:left="-360"/>
        <w:rPr>
          <w:sz w:val="24"/>
          <w:szCs w:val="24"/>
        </w:rPr>
      </w:pPr>
      <w:r>
        <w:rPr>
          <w:sz w:val="24"/>
          <w:szCs w:val="24"/>
        </w:rPr>
        <w:t>The above information is all estimation since the dockside monitoring is new.  This information will be updated in following submissions for this collection of information once NMFS has actual data.</w:t>
      </w:r>
    </w:p>
    <w:p w:rsidR="002E06DA" w:rsidRDefault="002E06DA" w14:paraId="000000A1" w14:textId="77777777">
      <w:pPr>
        <w:ind w:left="-360"/>
        <w:rPr>
          <w:color w:val="FF0000"/>
          <w:sz w:val="24"/>
          <w:szCs w:val="24"/>
        </w:rPr>
      </w:pPr>
    </w:p>
    <w:p w:rsidR="002E06DA" w:rsidRDefault="002E06DA" w14:paraId="000000A2" w14:textId="77777777">
      <w:pPr>
        <w:ind w:left="-360"/>
        <w:rPr>
          <w:color w:val="FF0000"/>
          <w:sz w:val="24"/>
          <w:szCs w:val="24"/>
        </w:rPr>
      </w:pPr>
    </w:p>
    <w:p w:rsidR="002E06DA" w:rsidRDefault="002E06DA" w14:paraId="000000A3" w14:textId="77777777">
      <w:pPr>
        <w:ind w:left="-360"/>
        <w:rPr>
          <w:color w:val="FF0000"/>
          <w:sz w:val="24"/>
          <w:szCs w:val="24"/>
        </w:rPr>
        <w:sectPr w:rsidR="002E06DA">
          <w:pgSz w:w="15840" w:h="12240" w:orient="landscape"/>
          <w:pgMar w:top="1440" w:right="720" w:bottom="810" w:left="990" w:header="720" w:footer="720" w:gutter="0"/>
          <w:cols w:space="720"/>
        </w:sectPr>
      </w:pPr>
    </w:p>
    <w:p w:rsidR="002E06DA" w:rsidRDefault="002E06DA" w14:paraId="000000A4" w14:textId="77777777">
      <w:pPr>
        <w:tabs>
          <w:tab w:val="left" w:pos="540"/>
        </w:tabs>
        <w:ind w:left="540"/>
        <w:rPr>
          <w:sz w:val="24"/>
          <w:szCs w:val="24"/>
        </w:rPr>
      </w:pPr>
    </w:p>
    <w:p w:rsidR="002E06DA" w:rsidRDefault="00A826E7" w14:paraId="000000A5" w14:textId="77777777">
      <w:pPr>
        <w:tabs>
          <w:tab w:val="left" w:pos="540"/>
        </w:tabs>
        <w:ind w:left="540" w:hanging="540"/>
        <w:rPr>
          <w:b/>
          <w:sz w:val="24"/>
          <w:szCs w:val="24"/>
        </w:rPr>
      </w:pPr>
      <w:r>
        <w:rPr>
          <w:b/>
          <w:sz w:val="24"/>
          <w:szCs w:val="24"/>
        </w:rPr>
        <w:t>13.</w:t>
      </w:r>
      <w:r>
        <w:rPr>
          <w:b/>
          <w:sz w:val="24"/>
          <w:szCs w:val="24"/>
        </w:rPr>
        <w:tab/>
      </w:r>
      <w:r>
        <w:rPr>
          <w:b/>
          <w:sz w:val="24"/>
          <w:szCs w:val="24"/>
        </w:rPr>
        <w:t xml:space="preserve">Provide an estimate of the total annual cost burden to the respondents or record-keepers resulting from the collection (excluding the value of the burden hours in Question 12 above). </w:t>
      </w:r>
    </w:p>
    <w:p w:rsidR="002E06DA" w:rsidRDefault="002E06DA" w14:paraId="000000A6" w14:textId="77777777">
      <w:pPr>
        <w:pBdr>
          <w:top w:val="nil"/>
          <w:left w:val="nil"/>
          <w:bottom w:val="nil"/>
          <w:right w:val="nil"/>
          <w:between w:val="nil"/>
        </w:pBdr>
        <w:rPr>
          <w:color w:val="333333"/>
          <w:sz w:val="24"/>
          <w:szCs w:val="24"/>
        </w:rPr>
      </w:pPr>
    </w:p>
    <w:p w:rsidR="002E06DA" w:rsidRDefault="002E06DA" w14:paraId="000000A7" w14:textId="77777777">
      <w:pPr>
        <w:rPr>
          <w:color w:val="FF0000"/>
          <w:sz w:val="24"/>
          <w:szCs w:val="24"/>
        </w:rPr>
      </w:pPr>
    </w:p>
    <w:tbl>
      <w:tblPr>
        <w:tblStyle w:val="a0"/>
        <w:tblW w:w="8775" w:type="dxa"/>
        <w:tblLayout w:type="fixed"/>
        <w:tblLook w:val="0400" w:firstRow="0" w:lastRow="0" w:firstColumn="0" w:lastColumn="0" w:noHBand="0" w:noVBand="1"/>
      </w:tblPr>
      <w:tblGrid>
        <w:gridCol w:w="2775"/>
        <w:gridCol w:w="1230"/>
        <w:gridCol w:w="1260"/>
        <w:gridCol w:w="1095"/>
        <w:gridCol w:w="1065"/>
        <w:gridCol w:w="1350"/>
      </w:tblGrid>
      <w:tr w:rsidR="002E06DA" w14:paraId="61402C62" w14:textId="77777777">
        <w:trPr>
          <w:trHeight w:val="686"/>
        </w:trPr>
        <w:tc>
          <w:tcPr>
            <w:tcW w:w="2775"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2E06DA" w:rsidRDefault="00A826E7" w14:paraId="000000A8"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1230"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A9"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tc>
        <w:tc>
          <w:tcPr>
            <w:tcW w:w="1260"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AA"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Annual # of Responses </w:t>
            </w:r>
            <w:r>
              <w:rPr>
                <w:rFonts w:ascii="Calibri" w:hAnsi="Calibri" w:eastAsia="Calibri" w:cs="Calibri"/>
                <w:b/>
                <w:sz w:val="18"/>
                <w:szCs w:val="18"/>
              </w:rPr>
              <w:t>/</w:t>
            </w:r>
            <w:r>
              <w:rPr>
                <w:rFonts w:ascii="Calibri" w:hAnsi="Calibri" w:eastAsia="Calibri" w:cs="Calibri"/>
                <w:b/>
                <w:color w:val="000000"/>
                <w:sz w:val="18"/>
                <w:szCs w:val="18"/>
              </w:rPr>
              <w:t xml:space="preserve"> Respondent</w:t>
            </w:r>
          </w:p>
        </w:tc>
        <w:tc>
          <w:tcPr>
            <w:tcW w:w="1095"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AB"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 Total # of Annual Responses</w:t>
            </w:r>
          </w:p>
        </w:tc>
        <w:tc>
          <w:tcPr>
            <w:tcW w:w="1065" w:type="dxa"/>
            <w:tcBorders>
              <w:top w:val="single" w:color="000000" w:sz="8" w:space="0"/>
              <w:left w:val="nil"/>
              <w:bottom w:val="single" w:color="000000" w:sz="8" w:space="0"/>
              <w:right w:val="single" w:color="000000" w:sz="4" w:space="0"/>
            </w:tcBorders>
            <w:shd w:val="clear" w:color="auto" w:fill="5B9BD5"/>
          </w:tcPr>
          <w:p w:rsidR="002E06DA" w:rsidRDefault="00A826E7" w14:paraId="000000AC"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Cost</w:t>
            </w:r>
            <w:r>
              <w:rPr>
                <w:rFonts w:ascii="Calibri" w:hAnsi="Calibri" w:eastAsia="Calibri" w:cs="Calibri"/>
                <w:b/>
                <w:sz w:val="18"/>
                <w:szCs w:val="18"/>
              </w:rPr>
              <w:t xml:space="preserve"> </w:t>
            </w:r>
            <w:r>
              <w:rPr>
                <w:rFonts w:ascii="Calibri" w:hAnsi="Calibri" w:eastAsia="Calibri" w:cs="Calibri"/>
                <w:b/>
                <w:color w:val="000000"/>
                <w:sz w:val="18"/>
                <w:szCs w:val="18"/>
              </w:rPr>
              <w:t>/ Response</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2E06DA" w:rsidRDefault="00A826E7" w14:paraId="000000AD"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Cost Burden</w:t>
            </w:r>
          </w:p>
        </w:tc>
      </w:tr>
      <w:tr w:rsidR="002E06DA" w14:paraId="75F386C9" w14:textId="77777777">
        <w:trPr>
          <w:trHeight w:val="298"/>
        </w:trPr>
        <w:tc>
          <w:tcPr>
            <w:tcW w:w="2775" w:type="dxa"/>
            <w:tcBorders>
              <w:top w:val="nil"/>
              <w:left w:val="single" w:color="000000" w:sz="8" w:space="0"/>
              <w:bottom w:val="single" w:color="000000" w:sz="4" w:space="0"/>
              <w:right w:val="single" w:color="000000" w:sz="4" w:space="0"/>
            </w:tcBorders>
            <w:shd w:val="clear" w:color="auto" w:fill="FFF2CC"/>
            <w:vAlign w:val="bottom"/>
          </w:tcPr>
          <w:p w:rsidR="002E06DA" w:rsidRDefault="00A826E7" w14:paraId="000000AE" w14:textId="77777777">
            <w:pPr>
              <w:widowControl/>
              <w:rPr>
                <w:rFonts w:ascii="Calibri" w:hAnsi="Calibri" w:eastAsia="Calibri" w:cs="Calibri"/>
                <w:b/>
                <w:color w:val="000000"/>
                <w:sz w:val="16"/>
                <w:szCs w:val="16"/>
              </w:rPr>
            </w:pPr>
            <w:r>
              <w:rPr>
                <w:rFonts w:ascii="Calibri" w:hAnsi="Calibri" w:eastAsia="Calibri" w:cs="Calibri"/>
                <w:b/>
                <w:sz w:val="16"/>
                <w:szCs w:val="16"/>
              </w:rPr>
              <w:t>Vessel Requirements</w:t>
            </w:r>
          </w:p>
        </w:tc>
        <w:tc>
          <w:tcPr>
            <w:tcW w:w="1230" w:type="dxa"/>
            <w:tcBorders>
              <w:top w:val="nil"/>
              <w:left w:val="nil"/>
              <w:bottom w:val="single" w:color="000000" w:sz="4" w:space="0"/>
              <w:right w:val="single" w:color="000000" w:sz="4" w:space="0"/>
            </w:tcBorders>
            <w:shd w:val="clear" w:color="auto" w:fill="FFF2CC"/>
            <w:vAlign w:val="center"/>
          </w:tcPr>
          <w:p w:rsidR="002E06DA" w:rsidRDefault="00A826E7" w14:paraId="000000A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FFF2CC"/>
            <w:vAlign w:val="center"/>
          </w:tcPr>
          <w:p w:rsidR="002E06DA" w:rsidRDefault="00A826E7" w14:paraId="000000B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95" w:type="dxa"/>
            <w:tcBorders>
              <w:top w:val="nil"/>
              <w:left w:val="nil"/>
              <w:bottom w:val="single" w:color="000000" w:sz="4" w:space="0"/>
              <w:right w:val="single" w:color="000000" w:sz="4" w:space="0"/>
            </w:tcBorders>
            <w:shd w:val="clear" w:color="auto" w:fill="FFF2CC"/>
            <w:vAlign w:val="center"/>
          </w:tcPr>
          <w:p w:rsidR="002E06DA" w:rsidRDefault="00A826E7" w14:paraId="000000B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FFF2CC"/>
          </w:tcPr>
          <w:p w:rsidR="002E06DA" w:rsidRDefault="002E06DA" w14:paraId="000000B2" w14:textId="77777777">
            <w:pPr>
              <w:widowControl/>
              <w:jc w:val="right"/>
              <w:rPr>
                <w:rFonts w:ascii="Calibri" w:hAnsi="Calibri" w:eastAsia="Calibri" w:cs="Calibri"/>
                <w:color w:val="000000"/>
                <w:sz w:val="16"/>
                <w:szCs w:val="16"/>
              </w:rPr>
            </w:pPr>
          </w:p>
        </w:tc>
        <w:tc>
          <w:tcPr>
            <w:tcW w:w="1350" w:type="dxa"/>
            <w:tcBorders>
              <w:top w:val="nil"/>
              <w:left w:val="nil"/>
              <w:bottom w:val="single" w:color="000000" w:sz="4" w:space="0"/>
              <w:right w:val="single" w:color="000000" w:sz="8" w:space="0"/>
            </w:tcBorders>
            <w:shd w:val="clear" w:color="auto" w:fill="FFF2CC"/>
            <w:vAlign w:val="center"/>
          </w:tcPr>
          <w:p w:rsidR="002E06DA" w:rsidRDefault="00A826E7" w14:paraId="000000B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2E06DA" w14:paraId="1A86CF66" w14:textId="77777777">
        <w:trPr>
          <w:trHeight w:val="298"/>
        </w:trPr>
        <w:tc>
          <w:tcPr>
            <w:tcW w:w="2775" w:type="dxa"/>
            <w:tcBorders>
              <w:top w:val="nil"/>
              <w:left w:val="single" w:color="000000" w:sz="8" w:space="0"/>
              <w:bottom w:val="single" w:color="000000" w:sz="4" w:space="0"/>
              <w:right w:val="single" w:color="000000" w:sz="4" w:space="0"/>
            </w:tcBorders>
            <w:shd w:val="clear" w:color="auto" w:fill="FFF2CC"/>
            <w:vAlign w:val="bottom"/>
          </w:tcPr>
          <w:p w:rsidR="002E06DA" w:rsidRDefault="00A826E7" w14:paraId="000000B4" w14:textId="77777777">
            <w:pPr>
              <w:widowControl/>
              <w:rPr>
                <w:rFonts w:ascii="Calibri" w:hAnsi="Calibri" w:eastAsia="Calibri" w:cs="Calibri"/>
                <w:sz w:val="16"/>
                <w:szCs w:val="16"/>
              </w:rPr>
            </w:pPr>
            <w:r>
              <w:rPr>
                <w:rFonts w:ascii="Calibri" w:hAnsi="Calibri" w:eastAsia="Calibri" w:cs="Calibri"/>
                <w:b/>
                <w:sz w:val="16"/>
                <w:szCs w:val="16"/>
              </w:rPr>
              <w:t>Dockside Monitoring Provider Requirements</w:t>
            </w:r>
          </w:p>
        </w:tc>
        <w:tc>
          <w:tcPr>
            <w:tcW w:w="1230" w:type="dxa"/>
            <w:tcBorders>
              <w:top w:val="nil"/>
              <w:left w:val="nil"/>
              <w:bottom w:val="single" w:color="000000" w:sz="4" w:space="0"/>
              <w:right w:val="single" w:color="000000" w:sz="4" w:space="0"/>
            </w:tcBorders>
            <w:shd w:val="clear" w:color="auto" w:fill="FFF2CC"/>
            <w:vAlign w:val="bottom"/>
          </w:tcPr>
          <w:p w:rsidR="002E06DA" w:rsidRDefault="002E06DA" w14:paraId="000000B5" w14:textId="77777777">
            <w:pPr>
              <w:widowControl/>
              <w:jc w:val="right"/>
              <w:rPr>
                <w:rFonts w:ascii="Calibri" w:hAnsi="Calibri" w:eastAsia="Calibri" w:cs="Calibri"/>
                <w:sz w:val="16"/>
                <w:szCs w:val="16"/>
              </w:rPr>
            </w:pPr>
          </w:p>
        </w:tc>
        <w:tc>
          <w:tcPr>
            <w:tcW w:w="1260" w:type="dxa"/>
            <w:tcBorders>
              <w:top w:val="nil"/>
              <w:left w:val="nil"/>
              <w:bottom w:val="single" w:color="000000" w:sz="4" w:space="0"/>
              <w:right w:val="single" w:color="000000" w:sz="4" w:space="0"/>
            </w:tcBorders>
            <w:shd w:val="clear" w:color="auto" w:fill="FFF2CC"/>
            <w:vAlign w:val="bottom"/>
          </w:tcPr>
          <w:p w:rsidR="002E06DA" w:rsidRDefault="002E06DA" w14:paraId="000000B6" w14:textId="77777777">
            <w:pPr>
              <w:widowControl/>
              <w:jc w:val="right"/>
              <w:rPr>
                <w:rFonts w:ascii="Calibri" w:hAnsi="Calibri" w:eastAsia="Calibri" w:cs="Calibri"/>
                <w:sz w:val="16"/>
                <w:szCs w:val="16"/>
              </w:rPr>
            </w:pPr>
          </w:p>
        </w:tc>
        <w:tc>
          <w:tcPr>
            <w:tcW w:w="1095" w:type="dxa"/>
            <w:tcBorders>
              <w:top w:val="nil"/>
              <w:left w:val="nil"/>
              <w:bottom w:val="single" w:color="000000" w:sz="4" w:space="0"/>
              <w:right w:val="single" w:color="000000" w:sz="4" w:space="0"/>
            </w:tcBorders>
            <w:shd w:val="clear" w:color="auto" w:fill="FFF2CC"/>
            <w:vAlign w:val="bottom"/>
          </w:tcPr>
          <w:p w:rsidR="002E06DA" w:rsidRDefault="002E06DA" w14:paraId="000000B7" w14:textId="77777777">
            <w:pPr>
              <w:widowControl/>
              <w:jc w:val="right"/>
              <w:rPr>
                <w:rFonts w:ascii="Calibri" w:hAnsi="Calibri" w:eastAsia="Calibri" w:cs="Calibri"/>
                <w:sz w:val="16"/>
                <w:szCs w:val="16"/>
              </w:rPr>
            </w:pPr>
          </w:p>
        </w:tc>
        <w:tc>
          <w:tcPr>
            <w:tcW w:w="1065" w:type="dxa"/>
            <w:tcBorders>
              <w:top w:val="nil"/>
              <w:left w:val="nil"/>
              <w:bottom w:val="single" w:color="000000" w:sz="4" w:space="0"/>
              <w:right w:val="single" w:color="000000" w:sz="4" w:space="0"/>
            </w:tcBorders>
            <w:shd w:val="clear" w:color="auto" w:fill="FFF2CC"/>
          </w:tcPr>
          <w:p w:rsidR="002E06DA" w:rsidRDefault="002E06DA" w14:paraId="000000B8" w14:textId="77777777">
            <w:pPr>
              <w:widowControl/>
              <w:jc w:val="right"/>
              <w:rPr>
                <w:rFonts w:ascii="Calibri" w:hAnsi="Calibri" w:eastAsia="Calibri" w:cs="Calibri"/>
                <w:sz w:val="16"/>
                <w:szCs w:val="16"/>
              </w:rPr>
            </w:pPr>
          </w:p>
        </w:tc>
        <w:tc>
          <w:tcPr>
            <w:tcW w:w="1350" w:type="dxa"/>
            <w:tcBorders>
              <w:top w:val="nil"/>
              <w:left w:val="nil"/>
              <w:bottom w:val="single" w:color="000000" w:sz="4" w:space="0"/>
              <w:right w:val="single" w:color="000000" w:sz="8" w:space="0"/>
            </w:tcBorders>
            <w:shd w:val="clear" w:color="auto" w:fill="FFF2CC"/>
            <w:vAlign w:val="center"/>
          </w:tcPr>
          <w:p w:rsidR="002E06DA" w:rsidRDefault="002E06DA" w14:paraId="000000B9" w14:textId="77777777">
            <w:pPr>
              <w:widowControl/>
              <w:jc w:val="right"/>
              <w:rPr>
                <w:rFonts w:ascii="Calibri" w:hAnsi="Calibri" w:eastAsia="Calibri" w:cs="Calibri"/>
                <w:color w:val="000000"/>
                <w:sz w:val="16"/>
                <w:szCs w:val="16"/>
              </w:rPr>
            </w:pPr>
          </w:p>
        </w:tc>
      </w:tr>
      <w:tr w:rsidR="002E06DA" w:rsidTr="00A826E7" w14:paraId="40CF31A1" w14:textId="77777777">
        <w:trPr>
          <w:trHeight w:val="285"/>
        </w:trPr>
        <w:tc>
          <w:tcPr>
            <w:tcW w:w="2775" w:type="dxa"/>
            <w:tcBorders>
              <w:top w:val="nil"/>
              <w:left w:val="single" w:color="000000" w:sz="8" w:space="0"/>
              <w:bottom w:val="single" w:color="000000" w:sz="4" w:space="0"/>
              <w:right w:val="single" w:color="000000" w:sz="4" w:space="0"/>
            </w:tcBorders>
            <w:shd w:val="clear" w:color="auto" w:fill="auto"/>
            <w:vAlign w:val="center"/>
          </w:tcPr>
          <w:p w:rsidR="002E06DA" w:rsidP="00A826E7" w:rsidRDefault="00A826E7" w14:paraId="000000BA" w14:textId="77777777">
            <w:pPr>
              <w:widowControl/>
              <w:rPr>
                <w:rFonts w:ascii="Calibri" w:hAnsi="Calibri" w:eastAsia="Calibri" w:cs="Calibri"/>
                <w:sz w:val="16"/>
                <w:szCs w:val="16"/>
              </w:rPr>
            </w:pPr>
            <w:r>
              <w:rPr>
                <w:rFonts w:ascii="Calibri" w:hAnsi="Calibri" w:eastAsia="Calibri" w:cs="Calibri"/>
                <w:sz w:val="16"/>
                <w:szCs w:val="16"/>
              </w:rPr>
              <w:t>Monitoring and Reporting Service Providers Application and Response to Denial</w:t>
            </w:r>
          </w:p>
        </w:tc>
        <w:tc>
          <w:tcPr>
            <w:tcW w:w="1230" w:type="dxa"/>
            <w:tcBorders>
              <w:top w:val="nil"/>
              <w:left w:val="nil"/>
              <w:bottom w:val="single" w:color="000000" w:sz="4" w:space="0"/>
              <w:right w:val="single" w:color="000000" w:sz="4" w:space="0"/>
            </w:tcBorders>
            <w:shd w:val="clear" w:color="auto" w:fill="FFFFFF"/>
            <w:vAlign w:val="center"/>
          </w:tcPr>
          <w:p w:rsidR="002E06DA" w:rsidP="00A826E7" w:rsidRDefault="00A826E7" w14:paraId="000000BB" w14:textId="77777777">
            <w:pPr>
              <w:widowControl/>
              <w:jc w:val="center"/>
              <w:rPr>
                <w:rFonts w:ascii="Calibri" w:hAnsi="Calibri" w:eastAsia="Calibri" w:cs="Calibri"/>
                <w:sz w:val="16"/>
                <w:szCs w:val="16"/>
              </w:rPr>
            </w:pPr>
            <w:r>
              <w:rPr>
                <w:rFonts w:ascii="Calibri" w:hAnsi="Calibri" w:eastAsia="Calibri" w:cs="Calibri"/>
                <w:sz w:val="16"/>
                <w:szCs w:val="16"/>
              </w:rPr>
              <w:t>4</w:t>
            </w:r>
          </w:p>
        </w:tc>
        <w:tc>
          <w:tcPr>
            <w:tcW w:w="1260" w:type="dxa"/>
            <w:tcBorders>
              <w:top w:val="nil"/>
              <w:left w:val="nil"/>
              <w:bottom w:val="single" w:color="000000" w:sz="4" w:space="0"/>
              <w:right w:val="single" w:color="000000" w:sz="4" w:space="0"/>
            </w:tcBorders>
            <w:shd w:val="clear" w:color="auto" w:fill="FFFFFF"/>
            <w:vAlign w:val="center"/>
          </w:tcPr>
          <w:p w:rsidR="002E06DA" w:rsidP="00A826E7" w:rsidRDefault="00A826E7" w14:paraId="000000BC" w14:textId="77777777">
            <w:pPr>
              <w:widowControl/>
              <w:jc w:val="center"/>
              <w:rPr>
                <w:rFonts w:ascii="Calibri" w:hAnsi="Calibri" w:eastAsia="Calibri" w:cs="Calibri"/>
                <w:sz w:val="16"/>
                <w:szCs w:val="16"/>
              </w:rPr>
            </w:pPr>
            <w:r>
              <w:rPr>
                <w:rFonts w:ascii="Calibri" w:hAnsi="Calibri" w:eastAsia="Calibri" w:cs="Calibri"/>
                <w:sz w:val="16"/>
                <w:szCs w:val="16"/>
              </w:rPr>
              <w:t>1</w:t>
            </w:r>
          </w:p>
        </w:tc>
        <w:tc>
          <w:tcPr>
            <w:tcW w:w="1095" w:type="dxa"/>
            <w:tcBorders>
              <w:top w:val="nil"/>
              <w:left w:val="nil"/>
              <w:bottom w:val="single" w:color="000000" w:sz="4" w:space="0"/>
              <w:right w:val="single" w:color="000000" w:sz="4" w:space="0"/>
            </w:tcBorders>
            <w:shd w:val="clear" w:color="auto" w:fill="FFFFFF"/>
            <w:vAlign w:val="center"/>
          </w:tcPr>
          <w:p w:rsidR="002E06DA" w:rsidP="00A826E7" w:rsidRDefault="00A826E7" w14:paraId="000000BD" w14:textId="77777777">
            <w:pPr>
              <w:widowControl/>
              <w:jc w:val="center"/>
              <w:rPr>
                <w:rFonts w:ascii="Calibri" w:hAnsi="Calibri" w:eastAsia="Calibri" w:cs="Calibri"/>
                <w:sz w:val="16"/>
                <w:szCs w:val="16"/>
              </w:rPr>
            </w:pPr>
            <w:r>
              <w:rPr>
                <w:rFonts w:ascii="Calibri" w:hAnsi="Calibri" w:eastAsia="Calibri" w:cs="Calibri"/>
                <w:sz w:val="16"/>
                <w:szCs w:val="16"/>
              </w:rPr>
              <w:t>4</w:t>
            </w:r>
          </w:p>
        </w:tc>
        <w:tc>
          <w:tcPr>
            <w:tcW w:w="1065" w:type="dxa"/>
            <w:tcBorders>
              <w:top w:val="nil"/>
              <w:left w:val="nil"/>
              <w:bottom w:val="single" w:color="000000" w:sz="4" w:space="0"/>
              <w:right w:val="single" w:color="000000" w:sz="4" w:space="0"/>
            </w:tcBorders>
            <w:shd w:val="clear" w:color="auto" w:fill="FFFFFF"/>
            <w:vAlign w:val="center"/>
          </w:tcPr>
          <w:p w:rsidR="002E06DA" w:rsidP="00A826E7" w:rsidRDefault="00A826E7" w14:paraId="000000BE" w14:textId="77777777">
            <w:pPr>
              <w:widowControl/>
              <w:jc w:val="center"/>
              <w:rPr>
                <w:rFonts w:ascii="Calibri" w:hAnsi="Calibri" w:eastAsia="Calibri" w:cs="Calibri"/>
                <w:sz w:val="16"/>
                <w:szCs w:val="16"/>
              </w:rPr>
            </w:pPr>
            <w:r>
              <w:rPr>
                <w:rFonts w:ascii="Calibri" w:hAnsi="Calibri" w:eastAsia="Calibri" w:cs="Calibri"/>
                <w:sz w:val="16"/>
                <w:szCs w:val="16"/>
              </w:rPr>
              <w:t>$2.88</w:t>
            </w:r>
          </w:p>
        </w:tc>
        <w:tc>
          <w:tcPr>
            <w:tcW w:w="1350" w:type="dxa"/>
            <w:tcBorders>
              <w:top w:val="nil"/>
              <w:left w:val="nil"/>
              <w:bottom w:val="single" w:color="000000" w:sz="4" w:space="0"/>
              <w:right w:val="single" w:color="000000" w:sz="8" w:space="0"/>
            </w:tcBorders>
            <w:shd w:val="clear" w:color="auto" w:fill="FFFFFF"/>
            <w:vAlign w:val="center"/>
          </w:tcPr>
          <w:p w:rsidR="002E06DA" w:rsidP="00A826E7" w:rsidRDefault="00A826E7" w14:paraId="000000BF" w14:textId="77777777">
            <w:pPr>
              <w:widowControl/>
              <w:jc w:val="center"/>
              <w:rPr>
                <w:rFonts w:ascii="Calibri" w:hAnsi="Calibri" w:eastAsia="Calibri" w:cs="Calibri"/>
                <w:sz w:val="16"/>
                <w:szCs w:val="16"/>
              </w:rPr>
            </w:pPr>
            <w:r>
              <w:rPr>
                <w:rFonts w:ascii="Calibri" w:hAnsi="Calibri" w:eastAsia="Calibri" w:cs="Calibri"/>
                <w:sz w:val="16"/>
                <w:szCs w:val="16"/>
              </w:rPr>
              <w:t>$11,520</w:t>
            </w:r>
          </w:p>
        </w:tc>
      </w:tr>
      <w:tr w:rsidR="002E06DA" w:rsidTr="00A826E7" w14:paraId="67AFC274" w14:textId="77777777">
        <w:trPr>
          <w:trHeight w:val="285"/>
        </w:trPr>
        <w:tc>
          <w:tcPr>
            <w:tcW w:w="2775" w:type="dxa"/>
            <w:tcBorders>
              <w:top w:val="nil"/>
              <w:left w:val="single" w:color="000000" w:sz="8" w:space="0"/>
              <w:bottom w:val="single" w:color="000000" w:sz="4" w:space="0"/>
              <w:right w:val="single" w:color="000000" w:sz="4" w:space="0"/>
            </w:tcBorders>
            <w:shd w:val="clear" w:color="auto" w:fill="auto"/>
            <w:vAlign w:val="center"/>
          </w:tcPr>
          <w:p w:rsidR="002E06DA" w:rsidP="00A826E7" w:rsidRDefault="00A826E7" w14:paraId="000000C0" w14:textId="77777777">
            <w:pPr>
              <w:widowControl/>
              <w:rPr>
                <w:rFonts w:ascii="Calibri" w:hAnsi="Calibri" w:eastAsia="Calibri" w:cs="Calibri"/>
                <w:sz w:val="16"/>
                <w:szCs w:val="16"/>
              </w:rPr>
            </w:pPr>
            <w:r>
              <w:rPr>
                <w:rFonts w:ascii="Calibri" w:hAnsi="Calibri" w:eastAsia="Calibri" w:cs="Calibri"/>
                <w:sz w:val="16"/>
                <w:szCs w:val="16"/>
              </w:rPr>
              <w:t>At-Sea Monitoring and Reporting Requirements - Notifications and database requirements and monitoring costs</w:t>
            </w:r>
          </w:p>
        </w:tc>
        <w:tc>
          <w:tcPr>
            <w:tcW w:w="1230" w:type="dxa"/>
            <w:tcBorders>
              <w:top w:val="nil"/>
              <w:left w:val="nil"/>
              <w:bottom w:val="single" w:color="000000" w:sz="4" w:space="0"/>
              <w:right w:val="single" w:color="000000" w:sz="4" w:space="0"/>
            </w:tcBorders>
            <w:shd w:val="clear" w:color="auto" w:fill="FFFFFF"/>
            <w:vAlign w:val="center"/>
          </w:tcPr>
          <w:p w:rsidR="002E06DA" w:rsidP="00A826E7" w:rsidRDefault="00A826E7" w14:paraId="000000C1" w14:textId="77777777">
            <w:pPr>
              <w:widowControl/>
              <w:jc w:val="center"/>
              <w:rPr>
                <w:rFonts w:ascii="Calibri" w:hAnsi="Calibri" w:eastAsia="Calibri" w:cs="Calibri"/>
                <w:sz w:val="16"/>
                <w:szCs w:val="16"/>
              </w:rPr>
            </w:pPr>
            <w:r>
              <w:rPr>
                <w:rFonts w:ascii="Calibri" w:hAnsi="Calibri" w:eastAsia="Calibri" w:cs="Calibri"/>
                <w:sz w:val="16"/>
                <w:szCs w:val="16"/>
              </w:rPr>
              <w:t>4</w:t>
            </w:r>
          </w:p>
        </w:tc>
        <w:tc>
          <w:tcPr>
            <w:tcW w:w="1260" w:type="dxa"/>
            <w:tcBorders>
              <w:top w:val="nil"/>
              <w:left w:val="nil"/>
              <w:bottom w:val="single" w:color="000000" w:sz="4" w:space="0"/>
              <w:right w:val="single" w:color="000000" w:sz="4" w:space="0"/>
            </w:tcBorders>
            <w:shd w:val="clear" w:color="auto" w:fill="auto"/>
            <w:vAlign w:val="center"/>
          </w:tcPr>
          <w:p w:rsidR="002E06DA" w:rsidP="00A826E7" w:rsidRDefault="00A826E7" w14:paraId="000000C2" w14:textId="77777777">
            <w:pPr>
              <w:widowControl/>
              <w:jc w:val="center"/>
              <w:rPr>
                <w:rFonts w:ascii="Calibri" w:hAnsi="Calibri" w:eastAsia="Calibri" w:cs="Calibri"/>
                <w:sz w:val="16"/>
                <w:szCs w:val="16"/>
              </w:rPr>
            </w:pPr>
            <w:r>
              <w:rPr>
                <w:rFonts w:ascii="Calibri" w:hAnsi="Calibri" w:eastAsia="Calibri" w:cs="Calibri"/>
                <w:sz w:val="16"/>
                <w:szCs w:val="16"/>
              </w:rPr>
              <w:t>12,300</w:t>
            </w:r>
          </w:p>
        </w:tc>
        <w:tc>
          <w:tcPr>
            <w:tcW w:w="1095" w:type="dxa"/>
            <w:tcBorders>
              <w:top w:val="nil"/>
              <w:left w:val="nil"/>
              <w:bottom w:val="single" w:color="000000" w:sz="4" w:space="0"/>
              <w:right w:val="single" w:color="000000" w:sz="4" w:space="0"/>
            </w:tcBorders>
            <w:shd w:val="clear" w:color="auto" w:fill="auto"/>
            <w:vAlign w:val="center"/>
          </w:tcPr>
          <w:p w:rsidR="002E06DA" w:rsidP="00A826E7" w:rsidRDefault="00A826E7" w14:paraId="000000C3" w14:textId="77777777">
            <w:pPr>
              <w:widowControl/>
              <w:jc w:val="center"/>
              <w:rPr>
                <w:rFonts w:ascii="Calibri" w:hAnsi="Calibri" w:eastAsia="Calibri" w:cs="Calibri"/>
                <w:sz w:val="16"/>
                <w:szCs w:val="16"/>
              </w:rPr>
            </w:pPr>
            <w:r>
              <w:rPr>
                <w:rFonts w:ascii="Calibri" w:hAnsi="Calibri" w:eastAsia="Calibri" w:cs="Calibri"/>
                <w:sz w:val="16"/>
                <w:szCs w:val="16"/>
              </w:rPr>
              <w:t>49,200</w:t>
            </w:r>
          </w:p>
        </w:tc>
        <w:tc>
          <w:tcPr>
            <w:tcW w:w="1065" w:type="dxa"/>
            <w:tcBorders>
              <w:top w:val="nil"/>
              <w:left w:val="nil"/>
              <w:bottom w:val="single" w:color="000000" w:sz="4" w:space="0"/>
              <w:right w:val="single" w:color="000000" w:sz="4" w:space="0"/>
            </w:tcBorders>
            <w:shd w:val="clear" w:color="auto" w:fill="FFFFFF"/>
            <w:vAlign w:val="center"/>
          </w:tcPr>
          <w:p w:rsidR="002E06DA" w:rsidP="00A826E7" w:rsidRDefault="00A826E7" w14:paraId="000000C4" w14:textId="77777777">
            <w:pPr>
              <w:widowControl/>
              <w:jc w:val="center"/>
              <w:rPr>
                <w:rFonts w:ascii="Calibri" w:hAnsi="Calibri" w:eastAsia="Calibri" w:cs="Calibri"/>
                <w:sz w:val="16"/>
                <w:szCs w:val="16"/>
              </w:rPr>
            </w:pPr>
            <w:r>
              <w:rPr>
                <w:rFonts w:ascii="Calibri" w:hAnsi="Calibri" w:eastAsia="Calibri" w:cs="Calibri"/>
                <w:sz w:val="16"/>
                <w:szCs w:val="16"/>
              </w:rPr>
              <w:t>$57.03</w:t>
            </w:r>
          </w:p>
        </w:tc>
        <w:tc>
          <w:tcPr>
            <w:tcW w:w="1350" w:type="dxa"/>
            <w:tcBorders>
              <w:top w:val="nil"/>
              <w:left w:val="nil"/>
              <w:bottom w:val="single" w:color="000000" w:sz="4" w:space="0"/>
              <w:right w:val="single" w:color="000000" w:sz="8" w:space="0"/>
            </w:tcBorders>
            <w:shd w:val="clear" w:color="auto" w:fill="FFFFFF"/>
            <w:vAlign w:val="center"/>
          </w:tcPr>
          <w:p w:rsidR="002E06DA" w:rsidP="00A826E7" w:rsidRDefault="00A826E7" w14:paraId="000000C5" w14:textId="77777777">
            <w:pPr>
              <w:widowControl/>
              <w:jc w:val="center"/>
              <w:rPr>
                <w:rFonts w:ascii="Calibri" w:hAnsi="Calibri" w:eastAsia="Calibri" w:cs="Calibri"/>
                <w:sz w:val="16"/>
                <w:szCs w:val="16"/>
              </w:rPr>
            </w:pPr>
            <w:r>
              <w:rPr>
                <w:rFonts w:ascii="Calibri" w:hAnsi="Calibri" w:eastAsia="Calibri" w:cs="Calibri"/>
                <w:sz w:val="16"/>
                <w:szCs w:val="16"/>
              </w:rPr>
              <w:t>$2,805,876</w:t>
            </w:r>
          </w:p>
        </w:tc>
      </w:tr>
      <w:tr w:rsidR="002E06DA" w14:paraId="5CC3DB98" w14:textId="77777777">
        <w:trPr>
          <w:trHeight w:val="298"/>
        </w:trPr>
        <w:tc>
          <w:tcPr>
            <w:tcW w:w="2775" w:type="dxa"/>
            <w:tcBorders>
              <w:top w:val="nil"/>
              <w:left w:val="single" w:color="000000" w:sz="4" w:space="0"/>
              <w:bottom w:val="single" w:color="000000" w:sz="4" w:space="0"/>
              <w:right w:val="single" w:color="000000" w:sz="4" w:space="0"/>
            </w:tcBorders>
            <w:shd w:val="clear" w:color="auto" w:fill="auto"/>
            <w:vAlign w:val="bottom"/>
          </w:tcPr>
          <w:p w:rsidR="002E06DA" w:rsidRDefault="00A826E7" w14:paraId="000000C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30" w:type="dxa"/>
            <w:tcBorders>
              <w:top w:val="nil"/>
              <w:left w:val="nil"/>
              <w:bottom w:val="single" w:color="000000" w:sz="4" w:space="0"/>
              <w:right w:val="single" w:color="000000" w:sz="4" w:space="0"/>
            </w:tcBorders>
            <w:shd w:val="clear" w:color="auto" w:fill="FFFFFF"/>
            <w:vAlign w:val="center"/>
          </w:tcPr>
          <w:p w:rsidR="002E06DA" w:rsidRDefault="00A826E7" w14:paraId="000000C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4" w:space="0"/>
            </w:tcBorders>
            <w:shd w:val="clear" w:color="auto" w:fill="FFFFFF"/>
            <w:vAlign w:val="center"/>
          </w:tcPr>
          <w:p w:rsidR="002E06DA" w:rsidRDefault="00A826E7" w14:paraId="000000C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95" w:type="dxa"/>
            <w:tcBorders>
              <w:top w:val="nil"/>
              <w:left w:val="nil"/>
              <w:bottom w:val="single" w:color="000000" w:sz="4" w:space="0"/>
              <w:right w:val="single" w:color="000000" w:sz="4" w:space="0"/>
            </w:tcBorders>
            <w:shd w:val="clear" w:color="auto" w:fill="FFFFFF"/>
            <w:vAlign w:val="center"/>
          </w:tcPr>
          <w:p w:rsidR="002E06DA" w:rsidRDefault="00A826E7" w14:paraId="000000C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65" w:type="dxa"/>
            <w:tcBorders>
              <w:top w:val="nil"/>
              <w:left w:val="nil"/>
              <w:bottom w:val="single" w:color="000000" w:sz="4" w:space="0"/>
              <w:right w:val="single" w:color="000000" w:sz="4" w:space="0"/>
            </w:tcBorders>
            <w:shd w:val="clear" w:color="auto" w:fill="FFFFFF"/>
          </w:tcPr>
          <w:p w:rsidR="002E06DA" w:rsidRDefault="002E06DA" w14:paraId="000000CA" w14:textId="77777777">
            <w:pPr>
              <w:widowControl/>
              <w:jc w:val="right"/>
              <w:rPr>
                <w:rFonts w:ascii="Calibri" w:hAnsi="Calibri" w:eastAsia="Calibri" w:cs="Calibri"/>
                <w:color w:val="000000"/>
                <w:sz w:val="16"/>
                <w:szCs w:val="16"/>
              </w:rPr>
            </w:pPr>
          </w:p>
        </w:tc>
        <w:tc>
          <w:tcPr>
            <w:tcW w:w="1350" w:type="dxa"/>
            <w:tcBorders>
              <w:top w:val="nil"/>
              <w:left w:val="nil"/>
              <w:bottom w:val="single" w:color="000000" w:sz="4" w:space="0"/>
              <w:right w:val="single" w:color="000000" w:sz="8" w:space="0"/>
            </w:tcBorders>
            <w:shd w:val="clear" w:color="auto" w:fill="FFFFFF"/>
            <w:vAlign w:val="center"/>
          </w:tcPr>
          <w:p w:rsidR="002E06DA" w:rsidRDefault="00A826E7" w14:paraId="000000C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2E06DA" w14:paraId="5E9A30DA" w14:textId="77777777">
        <w:trPr>
          <w:trHeight w:val="313"/>
        </w:trPr>
        <w:tc>
          <w:tcPr>
            <w:tcW w:w="2775" w:type="dxa"/>
            <w:tcBorders>
              <w:top w:val="single" w:color="000000" w:sz="8" w:space="0"/>
              <w:left w:val="single" w:color="000000" w:sz="8" w:space="0"/>
              <w:bottom w:val="single" w:color="000000" w:sz="8" w:space="0"/>
              <w:right w:val="single" w:color="000000" w:sz="4" w:space="0"/>
            </w:tcBorders>
            <w:shd w:val="clear" w:color="auto" w:fill="BDD7EE"/>
            <w:vAlign w:val="center"/>
          </w:tcPr>
          <w:p w:rsidR="002E06DA" w:rsidRDefault="00A826E7" w14:paraId="000000C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230" w:type="dxa"/>
            <w:tcBorders>
              <w:top w:val="single" w:color="000000" w:sz="8" w:space="0"/>
              <w:left w:val="nil"/>
              <w:bottom w:val="single" w:color="000000" w:sz="8" w:space="0"/>
              <w:right w:val="single" w:color="000000" w:sz="4" w:space="0"/>
            </w:tcBorders>
            <w:shd w:val="clear" w:color="auto" w:fill="000000"/>
            <w:vAlign w:val="center"/>
          </w:tcPr>
          <w:p w:rsidR="002E06DA" w:rsidRDefault="00A826E7" w14:paraId="000000CD"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260" w:type="dxa"/>
            <w:tcBorders>
              <w:top w:val="single" w:color="000000" w:sz="8" w:space="0"/>
              <w:left w:val="nil"/>
              <w:bottom w:val="single" w:color="000000" w:sz="8" w:space="0"/>
              <w:right w:val="single" w:color="000000" w:sz="4" w:space="0"/>
            </w:tcBorders>
            <w:shd w:val="clear" w:color="auto" w:fill="000000"/>
            <w:vAlign w:val="center"/>
          </w:tcPr>
          <w:p w:rsidR="002E06DA" w:rsidRDefault="00A826E7" w14:paraId="000000CE"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95" w:type="dxa"/>
            <w:tcBorders>
              <w:top w:val="single" w:color="000000" w:sz="8" w:space="0"/>
              <w:left w:val="nil"/>
              <w:bottom w:val="single" w:color="000000" w:sz="8" w:space="0"/>
              <w:right w:val="single" w:color="000000" w:sz="4" w:space="0"/>
            </w:tcBorders>
            <w:shd w:val="clear" w:color="auto" w:fill="BDD7EE"/>
            <w:vAlign w:val="center"/>
          </w:tcPr>
          <w:p w:rsidR="002E06DA" w:rsidRDefault="00A826E7" w14:paraId="000000CF" w14:textId="77777777">
            <w:pPr>
              <w:widowControl/>
              <w:jc w:val="right"/>
              <w:rPr>
                <w:rFonts w:ascii="Calibri" w:hAnsi="Calibri" w:eastAsia="Calibri" w:cs="Calibri"/>
                <w:b/>
                <w:color w:val="000000"/>
                <w:sz w:val="16"/>
                <w:szCs w:val="16"/>
              </w:rPr>
            </w:pPr>
            <w:r>
              <w:rPr>
                <w:rFonts w:ascii="Calibri" w:hAnsi="Calibri" w:eastAsia="Calibri" w:cs="Calibri"/>
                <w:b/>
                <w:sz w:val="16"/>
                <w:szCs w:val="16"/>
              </w:rPr>
              <w:t>49</w:t>
            </w:r>
            <w:sdt>
              <w:sdtPr>
                <w:tag w:val="goog_rdk_1"/>
                <w:id w:val="-1047058334"/>
              </w:sdtPr>
              <w:sdtEndPr/>
              <w:sdtContent/>
            </w:sdt>
            <w:r>
              <w:rPr>
                <w:rFonts w:ascii="Calibri" w:hAnsi="Calibri" w:eastAsia="Calibri" w:cs="Calibri"/>
                <w:b/>
                <w:sz w:val="16"/>
                <w:szCs w:val="16"/>
              </w:rPr>
              <w:t>,</w:t>
            </w:r>
            <w:r>
              <w:rPr>
                <w:rFonts w:ascii="Calibri" w:hAnsi="Calibri" w:eastAsia="Calibri" w:cs="Calibri"/>
                <w:b/>
                <w:sz w:val="16"/>
                <w:szCs w:val="16"/>
              </w:rPr>
              <w:t>204</w:t>
            </w:r>
          </w:p>
        </w:tc>
        <w:tc>
          <w:tcPr>
            <w:tcW w:w="1065" w:type="dxa"/>
            <w:tcBorders>
              <w:top w:val="single" w:color="000000" w:sz="8" w:space="0"/>
              <w:left w:val="nil"/>
              <w:bottom w:val="single" w:color="000000" w:sz="4" w:space="0"/>
              <w:right w:val="single" w:color="000000" w:sz="4" w:space="0"/>
            </w:tcBorders>
            <w:shd w:val="clear" w:color="auto" w:fill="000000"/>
          </w:tcPr>
          <w:p w:rsidR="002E06DA" w:rsidRDefault="002E06DA" w14:paraId="000000D0" w14:textId="77777777">
            <w:pPr>
              <w:widowControl/>
              <w:jc w:val="right"/>
              <w:rPr>
                <w:rFonts w:ascii="Calibri" w:hAnsi="Calibri" w:eastAsia="Calibri" w:cs="Calibri"/>
                <w:b/>
                <w:color w:val="000000"/>
                <w:sz w:val="16"/>
                <w:szCs w:val="16"/>
              </w:rPr>
            </w:pP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2E06DA" w:rsidRDefault="00A826E7" w14:paraId="000000D1" w14:textId="77777777">
            <w:pPr>
              <w:widowControl/>
              <w:jc w:val="right"/>
              <w:rPr>
                <w:rFonts w:ascii="Calibri" w:hAnsi="Calibri" w:eastAsia="Calibri" w:cs="Calibri"/>
                <w:b/>
                <w:color w:val="000000"/>
              </w:rPr>
            </w:pPr>
            <w:r>
              <w:rPr>
                <w:rFonts w:ascii="Calibri" w:hAnsi="Calibri" w:eastAsia="Calibri" w:cs="Calibri"/>
                <w:b/>
              </w:rPr>
              <w:t>$2,817,396</w:t>
            </w:r>
          </w:p>
        </w:tc>
      </w:tr>
    </w:tbl>
    <w:p w:rsidR="002E06DA" w:rsidRDefault="002E06DA" w14:paraId="000000D2" w14:textId="77777777">
      <w:pPr>
        <w:rPr>
          <w:color w:val="FF0000"/>
          <w:sz w:val="24"/>
          <w:szCs w:val="24"/>
        </w:rPr>
      </w:pPr>
    </w:p>
    <w:p w:rsidR="002E06DA" w:rsidRDefault="002E06DA" w14:paraId="000000D3" w14:textId="77777777">
      <w:pPr>
        <w:tabs>
          <w:tab w:val="left" w:pos="540"/>
        </w:tabs>
        <w:rPr>
          <w:color w:val="FF0000"/>
          <w:sz w:val="24"/>
          <w:szCs w:val="24"/>
        </w:rPr>
      </w:pPr>
    </w:p>
    <w:p w:rsidR="002E06DA" w:rsidRDefault="002E06DA" w14:paraId="000000D4" w14:textId="77777777">
      <w:pPr>
        <w:tabs>
          <w:tab w:val="left" w:pos="540"/>
        </w:tabs>
        <w:ind w:left="540"/>
        <w:rPr>
          <w:sz w:val="24"/>
          <w:szCs w:val="24"/>
        </w:rPr>
      </w:pPr>
    </w:p>
    <w:p w:rsidR="002E06DA" w:rsidRDefault="002E06DA" w14:paraId="000000D5" w14:textId="77777777">
      <w:pPr>
        <w:tabs>
          <w:tab w:val="left" w:pos="540"/>
        </w:tabs>
        <w:ind w:left="540"/>
        <w:rPr>
          <w:sz w:val="24"/>
          <w:szCs w:val="24"/>
        </w:rPr>
      </w:pPr>
    </w:p>
    <w:p w:rsidR="002E06DA" w:rsidRDefault="00A826E7" w14:paraId="000000D6" w14:textId="77777777">
      <w:pPr>
        <w:tabs>
          <w:tab w:val="left" w:pos="540"/>
        </w:tabs>
        <w:ind w:left="540" w:hanging="540"/>
        <w:rPr>
          <w:b/>
          <w:sz w:val="24"/>
          <w:szCs w:val="24"/>
        </w:rPr>
      </w:pPr>
      <w:r>
        <w:rPr>
          <w:b/>
          <w:sz w:val="24"/>
          <w:szCs w:val="24"/>
        </w:rPr>
        <w:t>14.</w:t>
      </w:r>
      <w:r>
        <w:rPr>
          <w:b/>
          <w:sz w:val="24"/>
          <w:szCs w:val="24"/>
        </w:rPr>
        <w:tab/>
      </w:r>
      <w:r>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sz w:val="24"/>
          <w:szCs w:val="24"/>
        </w:rPr>
        <w:t>and any other expense that would not have been incurred without this collection of information.</w:t>
      </w:r>
    </w:p>
    <w:p w:rsidR="002E06DA" w:rsidRDefault="002E06DA" w14:paraId="000000D7" w14:textId="77777777">
      <w:pPr>
        <w:tabs>
          <w:tab w:val="left" w:pos="540"/>
        </w:tabs>
        <w:ind w:left="540" w:hanging="540"/>
        <w:rPr>
          <w:b/>
          <w:sz w:val="24"/>
          <w:szCs w:val="24"/>
        </w:rPr>
      </w:pPr>
    </w:p>
    <w:p w:rsidR="002E06DA" w:rsidRDefault="00A826E7" w14:paraId="000000D8" w14:textId="77777777">
      <w:pPr>
        <w:tabs>
          <w:tab w:val="left" w:pos="540"/>
        </w:tabs>
        <w:ind w:left="540"/>
        <w:rPr>
          <w:sz w:val="24"/>
          <w:szCs w:val="24"/>
        </w:rPr>
      </w:pPr>
      <w:r>
        <w:rPr>
          <w:sz w:val="24"/>
          <w:szCs w:val="24"/>
        </w:rPr>
        <w:t xml:space="preserve">The estimated government cost estimate is conservative because it assumes the Federal government continues to operate the dockside monitoring program for MREM </w:t>
      </w:r>
      <w:r>
        <w:rPr>
          <w:sz w:val="24"/>
          <w:szCs w:val="24"/>
        </w:rPr>
        <w:t>vessels.  However, the proposed implementing regulations for Amendment 23 provide for a transition to an industry-funded program.  The intent is for NOAA Fisheries to continue operating the dockside monitoring program for 1 to 2 years while we work with pa</w:t>
      </w:r>
      <w:r>
        <w:rPr>
          <w:sz w:val="24"/>
          <w:szCs w:val="24"/>
        </w:rPr>
        <w:t>rtners to run a pilot program that will develop a cost-effective industry-funded dockside monitoring program that will remove the need for the agency to continue paying to operate the dockside monitoring program.  Additionally, we expect that dockside moni</w:t>
      </w:r>
      <w:r>
        <w:rPr>
          <w:sz w:val="24"/>
          <w:szCs w:val="24"/>
        </w:rPr>
        <w:t>toring providers will station staff close to the primary landing points which will reduce costs over having Federal staff based in Woods Hole, Massachusetts traveling to all ports.</w:t>
      </w:r>
    </w:p>
    <w:p w:rsidR="002E06DA" w:rsidRDefault="002E06DA" w14:paraId="000000D9" w14:textId="77777777">
      <w:pPr>
        <w:tabs>
          <w:tab w:val="left" w:pos="540"/>
        </w:tabs>
        <w:ind w:left="540"/>
        <w:rPr>
          <w:sz w:val="24"/>
          <w:szCs w:val="24"/>
        </w:rPr>
      </w:pPr>
    </w:p>
    <w:tbl>
      <w:tblPr>
        <w:tblStyle w:val="a1"/>
        <w:tblW w:w="9980" w:type="dxa"/>
        <w:tblLayout w:type="fixed"/>
        <w:tblLook w:val="0400" w:firstRow="0" w:lastRow="0" w:firstColumn="0" w:lastColumn="0" w:noHBand="0" w:noVBand="1"/>
      </w:tblPr>
      <w:tblGrid>
        <w:gridCol w:w="1970"/>
        <w:gridCol w:w="1620"/>
        <w:gridCol w:w="1530"/>
        <w:gridCol w:w="1080"/>
        <w:gridCol w:w="1800"/>
        <w:gridCol w:w="1980"/>
      </w:tblGrid>
      <w:tr w:rsidR="002E06DA" w14:paraId="5C50F568" w14:textId="77777777">
        <w:trPr>
          <w:trHeight w:val="450"/>
        </w:trPr>
        <w:tc>
          <w:tcPr>
            <w:tcW w:w="1970" w:type="dxa"/>
            <w:tcBorders>
              <w:top w:val="single" w:color="000000" w:sz="8" w:space="0"/>
              <w:left w:val="single" w:color="000000" w:sz="8" w:space="0"/>
              <w:bottom w:val="nil"/>
              <w:right w:val="single" w:color="000000" w:sz="8" w:space="0"/>
            </w:tcBorders>
            <w:shd w:val="clear" w:color="auto" w:fill="5B9BD5"/>
            <w:vAlign w:val="center"/>
          </w:tcPr>
          <w:p w:rsidR="002E06DA" w:rsidRDefault="00A826E7" w14:paraId="000000D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620" w:type="dxa"/>
            <w:tcBorders>
              <w:top w:val="single" w:color="000000" w:sz="8" w:space="0"/>
              <w:left w:val="nil"/>
              <w:bottom w:val="nil"/>
              <w:right w:val="single" w:color="000000" w:sz="8" w:space="0"/>
            </w:tcBorders>
            <w:shd w:val="clear" w:color="auto" w:fill="5B9BD5"/>
            <w:vAlign w:val="center"/>
          </w:tcPr>
          <w:p w:rsidR="002E06DA" w:rsidRDefault="00A826E7" w14:paraId="000000D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530" w:type="dxa"/>
            <w:tcBorders>
              <w:top w:val="single" w:color="000000" w:sz="8" w:space="0"/>
              <w:left w:val="nil"/>
              <w:bottom w:val="nil"/>
              <w:right w:val="single" w:color="000000" w:sz="8" w:space="0"/>
            </w:tcBorders>
            <w:shd w:val="clear" w:color="auto" w:fill="5B9BD5"/>
            <w:vAlign w:val="center"/>
          </w:tcPr>
          <w:p w:rsidR="002E06DA" w:rsidRDefault="00A826E7" w14:paraId="000000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080" w:type="dxa"/>
            <w:tcBorders>
              <w:top w:val="single" w:color="000000" w:sz="8" w:space="0"/>
              <w:left w:val="nil"/>
              <w:bottom w:val="nil"/>
              <w:right w:val="single" w:color="000000" w:sz="8" w:space="0"/>
            </w:tcBorders>
            <w:shd w:val="clear" w:color="auto" w:fill="5B9BD5"/>
            <w:vAlign w:val="center"/>
          </w:tcPr>
          <w:p w:rsidR="002E06DA" w:rsidRDefault="00A826E7" w14:paraId="000000D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800" w:type="dxa"/>
            <w:tcBorders>
              <w:top w:val="single" w:color="000000" w:sz="8" w:space="0"/>
              <w:left w:val="nil"/>
              <w:bottom w:val="nil"/>
              <w:right w:val="single" w:color="000000" w:sz="8" w:space="0"/>
            </w:tcBorders>
            <w:shd w:val="clear" w:color="auto" w:fill="5B9BD5"/>
            <w:vAlign w:val="center"/>
          </w:tcPr>
          <w:p w:rsidR="002E06DA" w:rsidRDefault="00A826E7" w14:paraId="000000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980" w:type="dxa"/>
            <w:tcBorders>
              <w:top w:val="single" w:color="000000" w:sz="8" w:space="0"/>
              <w:left w:val="nil"/>
              <w:bottom w:val="nil"/>
              <w:right w:val="single" w:color="000000" w:sz="8" w:space="0"/>
            </w:tcBorders>
            <w:shd w:val="clear" w:color="auto" w:fill="5B9BD5"/>
            <w:vAlign w:val="center"/>
          </w:tcPr>
          <w:p w:rsidR="002E06DA" w:rsidRDefault="00A826E7" w14:paraId="000000D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2E06DA" w14:paraId="28E38B4C" w14:textId="77777777">
        <w:trPr>
          <w:trHeight w:val="300"/>
        </w:trPr>
        <w:tc>
          <w:tcPr>
            <w:tcW w:w="1970" w:type="dxa"/>
            <w:tcBorders>
              <w:top w:val="single" w:color="000000" w:sz="4" w:space="0"/>
              <w:left w:val="single" w:color="000000" w:sz="8" w:space="0"/>
              <w:bottom w:val="single" w:color="000000" w:sz="4" w:space="0"/>
              <w:right w:val="single" w:color="000000" w:sz="8" w:space="0"/>
            </w:tcBorders>
            <w:shd w:val="clear" w:color="auto" w:fill="auto"/>
            <w:vAlign w:val="bottom"/>
          </w:tcPr>
          <w:p w:rsidR="002E06DA" w:rsidRDefault="00A826E7" w14:paraId="000000E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620" w:type="dxa"/>
            <w:tcBorders>
              <w:top w:val="single" w:color="000000" w:sz="4" w:space="0"/>
              <w:left w:val="nil"/>
              <w:bottom w:val="single" w:color="000000" w:sz="4" w:space="0"/>
              <w:right w:val="single" w:color="000000" w:sz="4" w:space="0"/>
            </w:tcBorders>
            <w:shd w:val="clear" w:color="auto" w:fill="auto"/>
            <w:vAlign w:val="bottom"/>
          </w:tcPr>
          <w:p w:rsidR="002E06DA" w:rsidRDefault="00A826E7" w14:paraId="000000E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single" w:color="000000" w:sz="4" w:space="0"/>
              <w:left w:val="nil"/>
              <w:bottom w:val="single" w:color="000000" w:sz="4" w:space="0"/>
              <w:right w:val="single" w:color="000000" w:sz="4" w:space="0"/>
            </w:tcBorders>
            <w:shd w:val="clear" w:color="auto" w:fill="auto"/>
            <w:vAlign w:val="bottom"/>
          </w:tcPr>
          <w:p w:rsidR="002E06DA" w:rsidRDefault="00A826E7" w14:paraId="000000E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single" w:color="000000" w:sz="4" w:space="0"/>
              <w:left w:val="nil"/>
              <w:bottom w:val="single" w:color="000000" w:sz="4" w:space="0"/>
              <w:right w:val="single" w:color="000000" w:sz="4" w:space="0"/>
            </w:tcBorders>
            <w:shd w:val="clear" w:color="auto" w:fill="auto"/>
            <w:vAlign w:val="bottom"/>
          </w:tcPr>
          <w:p w:rsidR="002E06DA" w:rsidRDefault="00A826E7" w14:paraId="000000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single" w:color="000000" w:sz="4" w:space="0"/>
              <w:left w:val="nil"/>
              <w:bottom w:val="single" w:color="000000" w:sz="4" w:space="0"/>
              <w:right w:val="single" w:color="000000" w:sz="4" w:space="0"/>
            </w:tcBorders>
            <w:shd w:val="clear" w:color="auto" w:fill="808080"/>
            <w:vAlign w:val="bottom"/>
          </w:tcPr>
          <w:p w:rsidR="002E06DA" w:rsidRDefault="00A826E7" w14:paraId="000000E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single" w:color="000000" w:sz="4" w:space="0"/>
              <w:left w:val="nil"/>
              <w:bottom w:val="single" w:color="000000" w:sz="4" w:space="0"/>
              <w:right w:val="single" w:color="000000" w:sz="8" w:space="0"/>
            </w:tcBorders>
            <w:shd w:val="clear" w:color="auto" w:fill="auto"/>
            <w:vAlign w:val="bottom"/>
          </w:tcPr>
          <w:p w:rsidR="002E06DA" w:rsidRDefault="00A826E7" w14:paraId="000000E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2E06DA" w14:paraId="3C63A765"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0E6" w14:textId="77777777">
            <w:pPr>
              <w:widowControl/>
              <w:rPr>
                <w:rFonts w:ascii="Calibri" w:hAnsi="Calibri" w:eastAsia="Calibri" w:cs="Calibri"/>
                <w:sz w:val="16"/>
                <w:szCs w:val="16"/>
              </w:rPr>
            </w:pPr>
            <w:r>
              <w:rPr>
                <w:rFonts w:ascii="Calibri" w:hAnsi="Calibri" w:eastAsia="Calibri" w:cs="Calibri"/>
                <w:sz w:val="16"/>
                <w:szCs w:val="16"/>
              </w:rPr>
              <w:t>Daily Cost of Monitoring</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0E7" w14:textId="77777777">
            <w:pPr>
              <w:widowControl/>
              <w:jc w:val="right"/>
              <w:rPr>
                <w:rFonts w:ascii="Calibri" w:hAnsi="Calibri" w:eastAsia="Calibri" w:cs="Calibri"/>
                <w:color w:val="000000"/>
                <w:sz w:val="16"/>
                <w:szCs w:val="16"/>
              </w:rPr>
            </w:pPr>
            <w:r>
              <w:rPr>
                <w:rFonts w:ascii="Calibri" w:hAnsi="Calibri" w:eastAsia="Calibri" w:cs="Calibri"/>
                <w:sz w:val="16"/>
                <w:szCs w:val="16"/>
              </w:rPr>
              <w:t>Band III/Step 3</w:t>
            </w: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0E8" w14:textId="77777777">
            <w:pPr>
              <w:widowControl/>
              <w:jc w:val="right"/>
              <w:rPr>
                <w:rFonts w:ascii="Calibri" w:hAnsi="Calibri" w:eastAsia="Calibri" w:cs="Calibri"/>
                <w:color w:val="000000"/>
                <w:sz w:val="16"/>
                <w:szCs w:val="16"/>
              </w:rPr>
            </w:pPr>
            <w:r>
              <w:rPr>
                <w:rFonts w:ascii="Calibri" w:hAnsi="Calibri" w:eastAsia="Calibri" w:cs="Calibri"/>
                <w:sz w:val="16"/>
                <w:szCs w:val="16"/>
              </w:rPr>
              <w:t>$112,172</w:t>
            </w: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0E9" w14:textId="77777777">
            <w:pPr>
              <w:widowControl/>
              <w:jc w:val="right"/>
              <w:rPr>
                <w:rFonts w:ascii="Calibri" w:hAnsi="Calibri" w:eastAsia="Calibri" w:cs="Calibri"/>
                <w:color w:val="000000"/>
                <w:sz w:val="16"/>
                <w:szCs w:val="16"/>
              </w:rPr>
            </w:pPr>
            <w:r>
              <w:rPr>
                <w:rFonts w:ascii="Calibri" w:hAnsi="Calibri" w:eastAsia="Calibri" w:cs="Calibri"/>
                <w:sz w:val="16"/>
                <w:szCs w:val="16"/>
              </w:rPr>
              <w:t>80</w:t>
            </w:r>
          </w:p>
        </w:tc>
        <w:tc>
          <w:tcPr>
            <w:tcW w:w="1800" w:type="dxa"/>
            <w:tcBorders>
              <w:top w:val="nil"/>
              <w:left w:val="nil"/>
              <w:bottom w:val="single" w:color="000000" w:sz="4" w:space="0"/>
              <w:right w:val="single" w:color="000000" w:sz="4" w:space="0"/>
            </w:tcBorders>
            <w:shd w:val="clear" w:color="auto" w:fill="808080"/>
            <w:vAlign w:val="bottom"/>
          </w:tcPr>
          <w:p w:rsidR="002E06DA" w:rsidRDefault="00A826E7" w14:paraId="000000E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0EB" w14:textId="77777777">
            <w:pPr>
              <w:widowControl/>
              <w:jc w:val="right"/>
              <w:rPr>
                <w:rFonts w:ascii="Calibri" w:hAnsi="Calibri" w:eastAsia="Calibri" w:cs="Calibri"/>
                <w:color w:val="000000"/>
                <w:sz w:val="16"/>
                <w:szCs w:val="16"/>
              </w:rPr>
            </w:pPr>
            <w:r>
              <w:rPr>
                <w:rFonts w:ascii="Calibri" w:hAnsi="Calibri" w:eastAsia="Calibri" w:cs="Calibri"/>
                <w:sz w:val="16"/>
                <w:szCs w:val="16"/>
              </w:rPr>
              <w:t>$89,738</w:t>
            </w:r>
          </w:p>
        </w:tc>
      </w:tr>
      <w:tr w:rsidR="002E06DA" w14:paraId="56199DCA"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0EC" w14:textId="77777777">
            <w:pPr>
              <w:widowControl/>
              <w:rPr>
                <w:rFonts w:ascii="Calibri" w:hAnsi="Calibri" w:eastAsia="Calibri" w:cs="Calibri"/>
                <w:sz w:val="16"/>
                <w:szCs w:val="16"/>
              </w:rPr>
            </w:pPr>
            <w:r>
              <w:rPr>
                <w:rFonts w:ascii="Calibri" w:hAnsi="Calibri" w:eastAsia="Calibri" w:cs="Calibri"/>
                <w:sz w:val="16"/>
                <w:szCs w:val="16"/>
              </w:rPr>
              <w:t>DSM Database and Data Entry</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0ED" w14:textId="77777777">
            <w:pPr>
              <w:widowControl/>
              <w:jc w:val="right"/>
              <w:rPr>
                <w:rFonts w:ascii="Calibri" w:hAnsi="Calibri" w:eastAsia="Calibri" w:cs="Calibri"/>
                <w:color w:val="000000"/>
                <w:sz w:val="16"/>
                <w:szCs w:val="16"/>
              </w:rPr>
            </w:pPr>
            <w:r>
              <w:rPr>
                <w:rFonts w:ascii="Calibri" w:hAnsi="Calibri" w:eastAsia="Calibri" w:cs="Calibri"/>
                <w:sz w:val="16"/>
                <w:szCs w:val="16"/>
              </w:rPr>
              <w:t>Band III/Step 3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0EE" w14:textId="77777777">
            <w:pPr>
              <w:widowControl/>
              <w:jc w:val="right"/>
              <w:rPr>
                <w:rFonts w:ascii="Calibri" w:hAnsi="Calibri" w:eastAsia="Calibri" w:cs="Calibri"/>
                <w:color w:val="000000"/>
                <w:sz w:val="16"/>
                <w:szCs w:val="16"/>
              </w:rPr>
            </w:pPr>
            <w:r>
              <w:rPr>
                <w:rFonts w:ascii="Calibri" w:hAnsi="Calibri" w:eastAsia="Calibri" w:cs="Calibri"/>
                <w:sz w:val="16"/>
                <w:szCs w:val="16"/>
              </w:rPr>
              <w:t>$112,172 </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0EF" w14:textId="77777777">
            <w:pPr>
              <w:widowControl/>
              <w:jc w:val="right"/>
              <w:rPr>
                <w:rFonts w:ascii="Calibri" w:hAnsi="Calibri" w:eastAsia="Calibri" w:cs="Calibri"/>
                <w:color w:val="000000"/>
                <w:sz w:val="16"/>
                <w:szCs w:val="16"/>
              </w:rPr>
            </w:pPr>
            <w:r>
              <w:rPr>
                <w:rFonts w:ascii="Calibri" w:hAnsi="Calibri" w:eastAsia="Calibri" w:cs="Calibri"/>
                <w:sz w:val="16"/>
                <w:szCs w:val="16"/>
              </w:rPr>
              <w:t>10</w:t>
            </w:r>
          </w:p>
        </w:tc>
        <w:tc>
          <w:tcPr>
            <w:tcW w:w="1800" w:type="dxa"/>
            <w:tcBorders>
              <w:top w:val="nil"/>
              <w:left w:val="nil"/>
              <w:bottom w:val="single" w:color="000000" w:sz="4" w:space="0"/>
              <w:right w:val="single" w:color="000000" w:sz="4" w:space="0"/>
            </w:tcBorders>
            <w:shd w:val="clear" w:color="auto" w:fill="808080"/>
            <w:vAlign w:val="bottom"/>
          </w:tcPr>
          <w:p w:rsidR="002E06DA" w:rsidRDefault="002E06DA" w14:paraId="000000F0" w14:textId="77777777">
            <w:pPr>
              <w:widowControl/>
              <w:jc w:val="right"/>
              <w:rPr>
                <w:rFonts w:ascii="Calibri" w:hAnsi="Calibri" w:eastAsia="Calibri" w:cs="Calibri"/>
                <w:color w:val="000000"/>
                <w:sz w:val="16"/>
                <w:szCs w:val="16"/>
              </w:rPr>
            </w:pP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0F1" w14:textId="77777777">
            <w:pPr>
              <w:widowControl/>
              <w:jc w:val="right"/>
              <w:rPr>
                <w:rFonts w:ascii="Calibri" w:hAnsi="Calibri" w:eastAsia="Calibri" w:cs="Calibri"/>
                <w:color w:val="000000"/>
                <w:sz w:val="16"/>
                <w:szCs w:val="16"/>
              </w:rPr>
            </w:pPr>
            <w:r>
              <w:rPr>
                <w:rFonts w:ascii="Calibri" w:hAnsi="Calibri" w:eastAsia="Calibri" w:cs="Calibri"/>
                <w:sz w:val="16"/>
                <w:szCs w:val="16"/>
              </w:rPr>
              <w:t>$11,217</w:t>
            </w:r>
          </w:p>
        </w:tc>
      </w:tr>
      <w:tr w:rsidR="002E06DA" w14:paraId="2FC72EE4"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0F2" w14:textId="77777777">
            <w:pPr>
              <w:widowControl/>
              <w:rPr>
                <w:rFonts w:ascii="Calibri" w:hAnsi="Calibri" w:eastAsia="Calibri" w:cs="Calibri"/>
                <w:color w:val="000000"/>
                <w:sz w:val="16"/>
                <w:szCs w:val="16"/>
              </w:rPr>
            </w:pPr>
            <w:r>
              <w:rPr>
                <w:rFonts w:ascii="Calibri" w:hAnsi="Calibri" w:eastAsia="Calibri" w:cs="Calibri"/>
                <w:sz w:val="16"/>
                <w:szCs w:val="16"/>
              </w:rPr>
              <w:t>Dealer Facilitation of DSM</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0F3" w14:textId="77777777">
            <w:pPr>
              <w:widowControl/>
              <w:jc w:val="right"/>
              <w:rPr>
                <w:rFonts w:ascii="Calibri" w:hAnsi="Calibri" w:eastAsia="Calibri" w:cs="Calibri"/>
                <w:color w:val="000000"/>
                <w:sz w:val="16"/>
                <w:szCs w:val="16"/>
              </w:rPr>
            </w:pPr>
            <w:r>
              <w:rPr>
                <w:rFonts w:ascii="Calibri" w:hAnsi="Calibri" w:eastAsia="Calibri" w:cs="Calibri"/>
                <w:sz w:val="16"/>
                <w:szCs w:val="16"/>
              </w:rPr>
              <w:t>Band III/Step 3</w:t>
            </w: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0F4" w14:textId="77777777">
            <w:pPr>
              <w:widowControl/>
              <w:jc w:val="right"/>
              <w:rPr>
                <w:rFonts w:ascii="Calibri" w:hAnsi="Calibri" w:eastAsia="Calibri" w:cs="Calibri"/>
                <w:color w:val="000000"/>
                <w:sz w:val="16"/>
                <w:szCs w:val="16"/>
              </w:rPr>
            </w:pPr>
            <w:r>
              <w:rPr>
                <w:rFonts w:ascii="Calibri" w:hAnsi="Calibri" w:eastAsia="Calibri" w:cs="Calibri"/>
                <w:sz w:val="16"/>
                <w:szCs w:val="16"/>
              </w:rPr>
              <w:t>$112,172 </w:t>
            </w: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0F5" w14:textId="77777777">
            <w:pPr>
              <w:widowControl/>
              <w:jc w:val="right"/>
              <w:rPr>
                <w:rFonts w:ascii="Calibri" w:hAnsi="Calibri" w:eastAsia="Calibri" w:cs="Calibri"/>
                <w:color w:val="000000"/>
                <w:sz w:val="16"/>
                <w:szCs w:val="16"/>
              </w:rPr>
            </w:pPr>
            <w:r>
              <w:rPr>
                <w:rFonts w:ascii="Calibri" w:hAnsi="Calibri" w:eastAsia="Calibri" w:cs="Calibri"/>
                <w:sz w:val="16"/>
                <w:szCs w:val="16"/>
              </w:rPr>
              <w:t>10</w:t>
            </w: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vAlign w:val="bottom"/>
          </w:tcPr>
          <w:p w:rsidR="002E06DA" w:rsidRDefault="00A826E7" w14:paraId="000000F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0F7" w14:textId="77777777">
            <w:pPr>
              <w:widowControl/>
              <w:jc w:val="right"/>
              <w:rPr>
                <w:rFonts w:ascii="Calibri" w:hAnsi="Calibri" w:eastAsia="Calibri" w:cs="Calibri"/>
                <w:color w:val="000000"/>
                <w:sz w:val="16"/>
                <w:szCs w:val="16"/>
              </w:rPr>
            </w:pPr>
            <w:r>
              <w:rPr>
                <w:rFonts w:ascii="Calibri" w:hAnsi="Calibri" w:eastAsia="Calibri" w:cs="Calibri"/>
                <w:sz w:val="16"/>
                <w:szCs w:val="16"/>
              </w:rPr>
              <w:t>$11,217</w:t>
            </w:r>
            <w:r>
              <w:rPr>
                <w:rFonts w:ascii="Calibri" w:hAnsi="Calibri" w:eastAsia="Calibri" w:cs="Calibri"/>
                <w:color w:val="000000"/>
                <w:sz w:val="16"/>
                <w:szCs w:val="16"/>
              </w:rPr>
              <w:t> </w:t>
            </w:r>
          </w:p>
        </w:tc>
      </w:tr>
      <w:tr w:rsidR="002E06DA" w14:paraId="075EB8DF"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0F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0F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0F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0F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vAlign w:val="bottom"/>
          </w:tcPr>
          <w:p w:rsidR="002E06DA" w:rsidRDefault="00A826E7" w14:paraId="000000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0F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2E06DA" w14:paraId="57E706E5"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0FE"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620" w:type="dxa"/>
            <w:tcBorders>
              <w:top w:val="nil"/>
              <w:left w:val="nil"/>
              <w:bottom w:val="single" w:color="000000" w:sz="4" w:space="0"/>
              <w:right w:val="single" w:color="000000" w:sz="4" w:space="0"/>
            </w:tcBorders>
            <w:shd w:val="clear" w:color="auto" w:fill="808080"/>
            <w:vAlign w:val="bottom"/>
          </w:tcPr>
          <w:p w:rsidR="002E06DA" w:rsidRDefault="00A826E7" w14:paraId="000000F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10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10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auto"/>
            <w:vAlign w:val="bottom"/>
          </w:tcPr>
          <w:p w:rsidR="002E06DA" w:rsidRDefault="00A826E7" w14:paraId="0000010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10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2E06DA" w14:paraId="55006EC2"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10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D</w:t>
            </w:r>
            <w:r>
              <w:rPr>
                <w:rFonts w:ascii="Calibri" w:hAnsi="Calibri" w:eastAsia="Calibri" w:cs="Calibri"/>
                <w:sz w:val="16"/>
                <w:szCs w:val="16"/>
              </w:rPr>
              <w:t>aily Cost of Monitoring</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105" w14:textId="77777777">
            <w:pPr>
              <w:widowControl/>
              <w:jc w:val="right"/>
              <w:rPr>
                <w:rFonts w:ascii="Calibri" w:hAnsi="Calibri" w:eastAsia="Calibri" w:cs="Calibri"/>
                <w:color w:val="000000"/>
                <w:sz w:val="16"/>
                <w:szCs w:val="16"/>
              </w:rPr>
            </w:pPr>
            <w:r>
              <w:rPr>
                <w:rFonts w:ascii="Calibri" w:hAnsi="Calibri" w:eastAsia="Calibri" w:cs="Calibri"/>
                <w:sz w:val="16"/>
                <w:szCs w:val="16"/>
              </w:rPr>
              <w:t>Band II/Step 3</w:t>
            </w: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106" w14:textId="77777777">
            <w:pPr>
              <w:widowControl/>
              <w:jc w:val="right"/>
              <w:rPr>
                <w:rFonts w:ascii="Calibri" w:hAnsi="Calibri" w:eastAsia="Calibri" w:cs="Calibri"/>
                <w:color w:val="000000"/>
                <w:sz w:val="16"/>
                <w:szCs w:val="16"/>
              </w:rPr>
            </w:pPr>
            <w:r>
              <w:rPr>
                <w:rFonts w:ascii="Calibri" w:hAnsi="Calibri" w:eastAsia="Calibri" w:cs="Calibri"/>
                <w:sz w:val="16"/>
                <w:szCs w:val="16"/>
              </w:rPr>
              <w:t>$85,182</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107" w14:textId="77777777">
            <w:pPr>
              <w:widowControl/>
              <w:jc w:val="right"/>
              <w:rPr>
                <w:rFonts w:ascii="Calibri" w:hAnsi="Calibri" w:eastAsia="Calibri" w:cs="Calibri"/>
                <w:color w:val="000000"/>
                <w:sz w:val="16"/>
                <w:szCs w:val="16"/>
              </w:rPr>
            </w:pPr>
            <w:r>
              <w:rPr>
                <w:rFonts w:ascii="Calibri" w:hAnsi="Calibri" w:eastAsia="Calibri" w:cs="Calibri"/>
                <w:sz w:val="16"/>
                <w:szCs w:val="16"/>
              </w:rPr>
              <w:t>240</w:t>
            </w: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auto"/>
            <w:vAlign w:val="bottom"/>
          </w:tcPr>
          <w:p w:rsidR="002E06DA" w:rsidRDefault="00A826E7" w14:paraId="0000010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109" w14:textId="77777777">
            <w:pPr>
              <w:widowControl/>
              <w:jc w:val="right"/>
              <w:rPr>
                <w:rFonts w:ascii="Calibri" w:hAnsi="Calibri" w:eastAsia="Calibri" w:cs="Calibri"/>
                <w:color w:val="000000"/>
                <w:sz w:val="16"/>
                <w:szCs w:val="16"/>
              </w:rPr>
            </w:pPr>
            <w:r>
              <w:rPr>
                <w:rFonts w:ascii="Calibri" w:hAnsi="Calibri" w:eastAsia="Calibri" w:cs="Calibri"/>
                <w:sz w:val="16"/>
                <w:szCs w:val="16"/>
              </w:rPr>
              <w:t>$204,437</w:t>
            </w:r>
            <w:r>
              <w:rPr>
                <w:rFonts w:ascii="Calibri" w:hAnsi="Calibri" w:eastAsia="Calibri" w:cs="Calibri"/>
                <w:color w:val="000000"/>
                <w:sz w:val="16"/>
                <w:szCs w:val="16"/>
              </w:rPr>
              <w:t> </w:t>
            </w:r>
          </w:p>
        </w:tc>
      </w:tr>
      <w:tr w:rsidR="002E06DA" w14:paraId="0CA5F414"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10A" w14:textId="77777777">
            <w:pPr>
              <w:widowControl/>
              <w:rPr>
                <w:rFonts w:ascii="Calibri" w:hAnsi="Calibri" w:eastAsia="Calibri" w:cs="Calibri"/>
                <w:color w:val="000000"/>
                <w:sz w:val="16"/>
                <w:szCs w:val="16"/>
              </w:rPr>
            </w:pPr>
            <w:r>
              <w:rPr>
                <w:rFonts w:ascii="Calibri" w:hAnsi="Calibri" w:eastAsia="Calibri" w:cs="Calibri"/>
                <w:sz w:val="16"/>
                <w:szCs w:val="16"/>
              </w:rPr>
              <w:t>DSM Database and Data Entry</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10B" w14:textId="77777777">
            <w:pPr>
              <w:widowControl/>
              <w:jc w:val="right"/>
              <w:rPr>
                <w:rFonts w:ascii="Calibri" w:hAnsi="Calibri" w:eastAsia="Calibri" w:cs="Calibri"/>
                <w:color w:val="000000"/>
                <w:sz w:val="16"/>
                <w:szCs w:val="16"/>
              </w:rPr>
            </w:pPr>
            <w:r>
              <w:rPr>
                <w:rFonts w:ascii="Calibri" w:hAnsi="Calibri" w:eastAsia="Calibri" w:cs="Calibri"/>
                <w:sz w:val="16"/>
                <w:szCs w:val="16"/>
              </w:rPr>
              <w:t>Band II/Step 3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10C" w14:textId="77777777">
            <w:pPr>
              <w:widowControl/>
              <w:jc w:val="right"/>
              <w:rPr>
                <w:rFonts w:ascii="Calibri" w:hAnsi="Calibri" w:eastAsia="Calibri" w:cs="Calibri"/>
                <w:sz w:val="16"/>
                <w:szCs w:val="16"/>
              </w:rPr>
            </w:pPr>
            <w:r>
              <w:rPr>
                <w:rFonts w:ascii="Calibri" w:hAnsi="Calibri" w:eastAsia="Calibri" w:cs="Calibri"/>
                <w:sz w:val="16"/>
                <w:szCs w:val="16"/>
              </w:rPr>
              <w:t>$85,182</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10D" w14:textId="77777777">
            <w:pPr>
              <w:widowControl/>
              <w:jc w:val="right"/>
              <w:rPr>
                <w:rFonts w:ascii="Calibri" w:hAnsi="Calibri" w:eastAsia="Calibri" w:cs="Calibri"/>
                <w:color w:val="000000"/>
                <w:sz w:val="16"/>
                <w:szCs w:val="16"/>
              </w:rPr>
            </w:pPr>
            <w:r>
              <w:rPr>
                <w:rFonts w:ascii="Calibri" w:hAnsi="Calibri" w:eastAsia="Calibri" w:cs="Calibri"/>
                <w:sz w:val="16"/>
                <w:szCs w:val="16"/>
              </w:rPr>
              <w:t>30</w:t>
            </w:r>
          </w:p>
        </w:tc>
        <w:tc>
          <w:tcPr>
            <w:tcW w:w="1800" w:type="dxa"/>
            <w:tcBorders>
              <w:top w:val="nil"/>
              <w:left w:val="nil"/>
              <w:bottom w:val="single" w:color="000000" w:sz="4" w:space="0"/>
              <w:right w:val="single" w:color="000000" w:sz="4" w:space="0"/>
            </w:tcBorders>
            <w:shd w:val="clear" w:color="auto" w:fill="auto"/>
            <w:vAlign w:val="bottom"/>
          </w:tcPr>
          <w:p w:rsidR="002E06DA" w:rsidRDefault="002E06DA" w14:paraId="0000010E" w14:textId="77777777">
            <w:pPr>
              <w:widowControl/>
              <w:jc w:val="right"/>
              <w:rPr>
                <w:rFonts w:ascii="Calibri" w:hAnsi="Calibri" w:eastAsia="Calibri" w:cs="Calibri"/>
                <w:color w:val="000000"/>
                <w:sz w:val="16"/>
                <w:szCs w:val="16"/>
              </w:rPr>
            </w:pP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10F" w14:textId="77777777">
            <w:pPr>
              <w:widowControl/>
              <w:jc w:val="right"/>
              <w:rPr>
                <w:rFonts w:ascii="Calibri" w:hAnsi="Calibri" w:eastAsia="Calibri" w:cs="Calibri"/>
                <w:color w:val="000000"/>
                <w:sz w:val="16"/>
                <w:szCs w:val="16"/>
              </w:rPr>
            </w:pPr>
            <w:r>
              <w:rPr>
                <w:rFonts w:ascii="Calibri" w:hAnsi="Calibri" w:eastAsia="Calibri" w:cs="Calibri"/>
                <w:sz w:val="16"/>
                <w:szCs w:val="16"/>
              </w:rPr>
              <w:t>$25,555</w:t>
            </w:r>
          </w:p>
        </w:tc>
      </w:tr>
      <w:tr w:rsidR="002E06DA" w14:paraId="55915072"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110" w14:textId="77777777">
            <w:pPr>
              <w:widowControl/>
              <w:rPr>
                <w:rFonts w:ascii="Calibri" w:hAnsi="Calibri" w:eastAsia="Calibri" w:cs="Calibri"/>
                <w:color w:val="000000"/>
                <w:sz w:val="16"/>
                <w:szCs w:val="16"/>
              </w:rPr>
            </w:pPr>
            <w:r>
              <w:rPr>
                <w:rFonts w:ascii="Calibri" w:hAnsi="Calibri" w:eastAsia="Calibri" w:cs="Calibri"/>
                <w:sz w:val="16"/>
                <w:szCs w:val="16"/>
              </w:rPr>
              <w:t>Dealer Facilitation of DSM</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111" w14:textId="77777777">
            <w:pPr>
              <w:widowControl/>
              <w:jc w:val="right"/>
              <w:rPr>
                <w:rFonts w:ascii="Calibri" w:hAnsi="Calibri" w:eastAsia="Calibri" w:cs="Calibri"/>
                <w:color w:val="000000"/>
                <w:sz w:val="16"/>
                <w:szCs w:val="16"/>
              </w:rPr>
            </w:pPr>
            <w:r>
              <w:rPr>
                <w:rFonts w:ascii="Calibri" w:hAnsi="Calibri" w:eastAsia="Calibri" w:cs="Calibri"/>
                <w:sz w:val="16"/>
                <w:szCs w:val="16"/>
              </w:rPr>
              <w:t>Band II/Step 3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112" w14:textId="77777777">
            <w:pPr>
              <w:widowControl/>
              <w:jc w:val="right"/>
              <w:rPr>
                <w:rFonts w:ascii="Calibri" w:hAnsi="Calibri" w:eastAsia="Calibri" w:cs="Calibri"/>
                <w:color w:val="000000"/>
                <w:sz w:val="16"/>
                <w:szCs w:val="16"/>
              </w:rPr>
            </w:pPr>
            <w:r>
              <w:rPr>
                <w:rFonts w:ascii="Calibri" w:hAnsi="Calibri" w:eastAsia="Calibri" w:cs="Calibri"/>
                <w:sz w:val="16"/>
                <w:szCs w:val="16"/>
              </w:rPr>
              <w:t>$85,182</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113" w14:textId="77777777">
            <w:pPr>
              <w:widowControl/>
              <w:jc w:val="right"/>
              <w:rPr>
                <w:rFonts w:ascii="Calibri" w:hAnsi="Calibri" w:eastAsia="Calibri" w:cs="Calibri"/>
                <w:color w:val="000000"/>
                <w:sz w:val="16"/>
                <w:szCs w:val="16"/>
              </w:rPr>
            </w:pPr>
            <w:r>
              <w:rPr>
                <w:rFonts w:ascii="Calibri" w:hAnsi="Calibri" w:eastAsia="Calibri" w:cs="Calibri"/>
                <w:sz w:val="16"/>
                <w:szCs w:val="16"/>
              </w:rPr>
              <w:t>30</w:t>
            </w:r>
          </w:p>
        </w:tc>
        <w:tc>
          <w:tcPr>
            <w:tcW w:w="1800" w:type="dxa"/>
            <w:tcBorders>
              <w:top w:val="nil"/>
              <w:left w:val="nil"/>
              <w:bottom w:val="single" w:color="000000" w:sz="4" w:space="0"/>
              <w:right w:val="single" w:color="000000" w:sz="4" w:space="0"/>
            </w:tcBorders>
            <w:shd w:val="clear" w:color="auto" w:fill="auto"/>
            <w:vAlign w:val="bottom"/>
          </w:tcPr>
          <w:p w:rsidR="002E06DA" w:rsidRDefault="002E06DA" w14:paraId="00000114" w14:textId="77777777">
            <w:pPr>
              <w:widowControl/>
              <w:jc w:val="right"/>
              <w:rPr>
                <w:rFonts w:ascii="Calibri" w:hAnsi="Calibri" w:eastAsia="Calibri" w:cs="Calibri"/>
                <w:color w:val="000000"/>
                <w:sz w:val="16"/>
                <w:szCs w:val="16"/>
              </w:rPr>
            </w:pP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115" w14:textId="77777777">
            <w:pPr>
              <w:widowControl/>
              <w:jc w:val="right"/>
              <w:rPr>
                <w:rFonts w:ascii="Calibri" w:hAnsi="Calibri" w:eastAsia="Calibri" w:cs="Calibri"/>
                <w:color w:val="000000"/>
                <w:sz w:val="16"/>
                <w:szCs w:val="16"/>
              </w:rPr>
            </w:pPr>
            <w:r>
              <w:rPr>
                <w:rFonts w:ascii="Calibri" w:hAnsi="Calibri" w:eastAsia="Calibri" w:cs="Calibri"/>
                <w:sz w:val="16"/>
                <w:szCs w:val="16"/>
              </w:rPr>
              <w:t>$25,555</w:t>
            </w:r>
          </w:p>
        </w:tc>
      </w:tr>
      <w:tr w:rsidR="002E06DA" w14:paraId="42C8138F"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1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4" w:space="0"/>
            </w:tcBorders>
            <w:shd w:val="clear" w:color="auto" w:fill="auto"/>
            <w:vAlign w:val="bottom"/>
          </w:tcPr>
          <w:p w:rsidR="002E06DA" w:rsidRDefault="00A826E7" w14:paraId="0000011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2E06DA" w:rsidRDefault="00A826E7" w14:paraId="0000011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002E06DA" w:rsidRDefault="00A826E7" w14:paraId="0000011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auto"/>
            <w:vAlign w:val="bottom"/>
          </w:tcPr>
          <w:p w:rsidR="002E06DA" w:rsidRDefault="00A826E7" w14:paraId="0000011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11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r>
      <w:tr w:rsidR="002E06DA" w14:paraId="4FDBE6D2" w14:textId="77777777">
        <w:trPr>
          <w:trHeight w:val="300"/>
        </w:trPr>
        <w:tc>
          <w:tcPr>
            <w:tcW w:w="1970" w:type="dxa"/>
            <w:tcBorders>
              <w:top w:val="nil"/>
              <w:left w:val="single" w:color="000000" w:sz="8" w:space="0"/>
              <w:bottom w:val="single" w:color="000000" w:sz="4" w:space="0"/>
              <w:right w:val="single" w:color="000000" w:sz="8" w:space="0"/>
            </w:tcBorders>
            <w:shd w:val="clear" w:color="auto" w:fill="auto"/>
            <w:vAlign w:val="bottom"/>
          </w:tcPr>
          <w:p w:rsidR="002E06DA" w:rsidRDefault="00A826E7" w14:paraId="0000011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620" w:type="dxa"/>
            <w:tcBorders>
              <w:top w:val="nil"/>
              <w:left w:val="nil"/>
              <w:bottom w:val="single" w:color="000000" w:sz="4" w:space="0"/>
              <w:right w:val="single" w:color="000000" w:sz="4" w:space="0"/>
            </w:tcBorders>
            <w:shd w:val="clear" w:color="auto" w:fill="808080"/>
            <w:vAlign w:val="bottom"/>
          </w:tcPr>
          <w:p w:rsidR="002E06DA" w:rsidRDefault="00A826E7" w14:paraId="0000011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808080"/>
            <w:vAlign w:val="bottom"/>
          </w:tcPr>
          <w:p w:rsidR="002E06DA" w:rsidRDefault="00A826E7" w14:paraId="0000011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080" w:type="dxa"/>
            <w:tcBorders>
              <w:top w:val="nil"/>
              <w:left w:val="nil"/>
              <w:bottom w:val="single" w:color="000000" w:sz="4" w:space="0"/>
              <w:right w:val="single" w:color="000000" w:sz="4" w:space="0"/>
            </w:tcBorders>
            <w:shd w:val="clear" w:color="auto" w:fill="808080"/>
            <w:vAlign w:val="bottom"/>
          </w:tcPr>
          <w:p w:rsidR="002E06DA" w:rsidRDefault="00A826E7" w14:paraId="0000011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800" w:type="dxa"/>
            <w:tcBorders>
              <w:top w:val="nil"/>
              <w:left w:val="nil"/>
              <w:bottom w:val="single" w:color="000000" w:sz="4" w:space="0"/>
              <w:right w:val="single" w:color="000000" w:sz="4" w:space="0"/>
            </w:tcBorders>
            <w:shd w:val="clear" w:color="auto" w:fill="808080"/>
            <w:vAlign w:val="bottom"/>
          </w:tcPr>
          <w:p w:rsidR="002E06DA" w:rsidRDefault="00A826E7" w14:paraId="0000012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p>
        </w:tc>
        <w:tc>
          <w:tcPr>
            <w:tcW w:w="1980" w:type="dxa"/>
            <w:tcBorders>
              <w:top w:val="nil"/>
              <w:left w:val="nil"/>
              <w:bottom w:val="single" w:color="000000" w:sz="4" w:space="0"/>
              <w:right w:val="single" w:color="000000" w:sz="8" w:space="0"/>
            </w:tcBorders>
            <w:shd w:val="clear" w:color="auto" w:fill="auto"/>
            <w:vAlign w:val="bottom"/>
          </w:tcPr>
          <w:p w:rsidR="002E06DA" w:rsidRDefault="00A826E7" w14:paraId="00000121" w14:textId="77777777">
            <w:pPr>
              <w:widowControl/>
              <w:jc w:val="right"/>
              <w:rPr>
                <w:rFonts w:ascii="Calibri" w:hAnsi="Calibri" w:eastAsia="Calibri" w:cs="Calibri"/>
                <w:color w:val="000000"/>
                <w:sz w:val="16"/>
                <w:szCs w:val="16"/>
              </w:rPr>
            </w:pPr>
            <w:r>
              <w:rPr>
                <w:rFonts w:ascii="Calibri" w:hAnsi="Calibri" w:eastAsia="Calibri" w:cs="Calibri"/>
                <w:sz w:val="16"/>
                <w:szCs w:val="16"/>
              </w:rPr>
              <w:t>$1,439,100</w:t>
            </w:r>
            <w:r>
              <w:rPr>
                <w:rFonts w:ascii="Calibri" w:hAnsi="Calibri" w:eastAsia="Calibri" w:cs="Calibri"/>
                <w:sz w:val="16"/>
                <w:szCs w:val="16"/>
                <w:vertAlign w:val="superscript"/>
              </w:rPr>
              <w:footnoteReference w:id="1"/>
            </w:r>
            <w:r>
              <w:rPr>
                <w:rFonts w:ascii="Calibri" w:hAnsi="Calibri" w:eastAsia="Calibri" w:cs="Calibri"/>
                <w:color w:val="000000"/>
                <w:sz w:val="16"/>
                <w:szCs w:val="16"/>
              </w:rPr>
              <w:t> </w:t>
            </w:r>
          </w:p>
        </w:tc>
      </w:tr>
      <w:tr w:rsidR="002E06DA" w14:paraId="647C2F73" w14:textId="77777777">
        <w:trPr>
          <w:trHeight w:val="315"/>
        </w:trPr>
        <w:tc>
          <w:tcPr>
            <w:tcW w:w="1970" w:type="dxa"/>
            <w:tcBorders>
              <w:top w:val="single" w:color="000000" w:sz="8" w:space="0"/>
              <w:left w:val="single" w:color="000000" w:sz="8" w:space="0"/>
              <w:bottom w:val="single" w:color="000000" w:sz="8" w:space="0"/>
              <w:right w:val="single" w:color="000000" w:sz="8" w:space="0"/>
            </w:tcBorders>
            <w:shd w:val="clear" w:color="auto" w:fill="BDD7EE"/>
            <w:vAlign w:val="bottom"/>
          </w:tcPr>
          <w:p w:rsidR="002E06DA" w:rsidRDefault="00A826E7" w14:paraId="0000012E"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620" w:type="dxa"/>
            <w:tcBorders>
              <w:top w:val="single" w:color="000000" w:sz="8" w:space="0"/>
              <w:left w:val="nil"/>
              <w:bottom w:val="single" w:color="000000" w:sz="8" w:space="0"/>
              <w:right w:val="single" w:color="000000" w:sz="8" w:space="0"/>
            </w:tcBorders>
            <w:shd w:val="clear" w:color="auto" w:fill="808080"/>
            <w:vAlign w:val="bottom"/>
          </w:tcPr>
          <w:p w:rsidR="002E06DA" w:rsidRDefault="00A826E7" w14:paraId="0000012F"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8" w:space="0"/>
            </w:tcBorders>
            <w:shd w:val="clear" w:color="auto" w:fill="BDD7EE"/>
            <w:vAlign w:val="bottom"/>
          </w:tcPr>
          <w:p w:rsidR="002E06DA" w:rsidRDefault="00A826E7" w14:paraId="00000130"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80" w:type="dxa"/>
            <w:tcBorders>
              <w:top w:val="single" w:color="000000" w:sz="8" w:space="0"/>
              <w:left w:val="nil"/>
              <w:bottom w:val="single" w:color="000000" w:sz="8" w:space="0"/>
              <w:right w:val="single" w:color="000000" w:sz="8" w:space="0"/>
            </w:tcBorders>
            <w:shd w:val="clear" w:color="auto" w:fill="757171"/>
            <w:vAlign w:val="bottom"/>
          </w:tcPr>
          <w:p w:rsidR="002E06DA" w:rsidRDefault="00A826E7" w14:paraId="00000131"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800" w:type="dxa"/>
            <w:tcBorders>
              <w:top w:val="single" w:color="000000" w:sz="8" w:space="0"/>
              <w:left w:val="nil"/>
              <w:bottom w:val="single" w:color="000000" w:sz="8" w:space="0"/>
              <w:right w:val="single" w:color="000000" w:sz="8" w:space="0"/>
            </w:tcBorders>
            <w:shd w:val="clear" w:color="auto" w:fill="BDD7EE"/>
            <w:vAlign w:val="bottom"/>
          </w:tcPr>
          <w:p w:rsidR="002E06DA" w:rsidRDefault="00A826E7" w14:paraId="00000132"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980" w:type="dxa"/>
            <w:tcBorders>
              <w:top w:val="single" w:color="000000" w:sz="8" w:space="0"/>
              <w:left w:val="nil"/>
              <w:bottom w:val="single" w:color="000000" w:sz="8" w:space="0"/>
              <w:right w:val="single" w:color="000000" w:sz="8" w:space="0"/>
            </w:tcBorders>
            <w:shd w:val="clear" w:color="auto" w:fill="BDD7EE"/>
            <w:vAlign w:val="bottom"/>
          </w:tcPr>
          <w:p w:rsidR="002E06DA" w:rsidRDefault="00A826E7" w14:paraId="00000133" w14:textId="77777777">
            <w:pPr>
              <w:widowControl/>
              <w:jc w:val="right"/>
              <w:rPr>
                <w:rFonts w:ascii="Calibri" w:hAnsi="Calibri" w:eastAsia="Calibri" w:cs="Calibri"/>
                <w:b/>
                <w:color w:val="000000"/>
                <w:sz w:val="16"/>
                <w:szCs w:val="16"/>
              </w:rPr>
            </w:pPr>
            <w:r>
              <w:rPr>
                <w:rFonts w:ascii="Calibri" w:hAnsi="Calibri" w:eastAsia="Calibri" w:cs="Calibri"/>
                <w:b/>
                <w:sz w:val="16"/>
                <w:szCs w:val="16"/>
              </w:rPr>
              <w:t>$1,806,819</w:t>
            </w:r>
          </w:p>
        </w:tc>
      </w:tr>
    </w:tbl>
    <w:p w:rsidR="002E06DA" w:rsidRDefault="002E06DA" w14:paraId="00000134" w14:textId="77777777">
      <w:pPr>
        <w:tabs>
          <w:tab w:val="left" w:pos="540"/>
        </w:tabs>
        <w:rPr>
          <w:sz w:val="24"/>
          <w:szCs w:val="24"/>
        </w:rPr>
      </w:pPr>
    </w:p>
    <w:p w:rsidR="002E06DA" w:rsidRDefault="002E06DA" w14:paraId="00000135" w14:textId="77777777">
      <w:pPr>
        <w:tabs>
          <w:tab w:val="left" w:pos="540"/>
        </w:tabs>
        <w:ind w:left="540"/>
        <w:rPr>
          <w:sz w:val="24"/>
          <w:szCs w:val="24"/>
        </w:rPr>
      </w:pPr>
    </w:p>
    <w:p w:rsidR="002E06DA" w:rsidRDefault="00A826E7" w14:paraId="00000136" w14:textId="77777777">
      <w:pPr>
        <w:tabs>
          <w:tab w:val="left" w:pos="540"/>
        </w:tabs>
        <w:ind w:left="540" w:hanging="540"/>
        <w:rPr>
          <w:sz w:val="24"/>
          <w:szCs w:val="24"/>
        </w:rPr>
      </w:pPr>
      <w:r>
        <w:rPr>
          <w:b/>
          <w:sz w:val="24"/>
          <w:szCs w:val="24"/>
        </w:rPr>
        <w:t>15.</w:t>
      </w:r>
      <w:r>
        <w:rPr>
          <w:b/>
          <w:sz w:val="24"/>
          <w:szCs w:val="24"/>
        </w:rPr>
        <w:tab/>
        <w:t>Explain the reasons for any program changes or adjustments.</w:t>
      </w:r>
    </w:p>
    <w:p w:rsidR="002E06DA" w:rsidRDefault="002E06DA" w14:paraId="00000137" w14:textId="77777777">
      <w:pPr>
        <w:rPr>
          <w:sz w:val="24"/>
          <w:szCs w:val="24"/>
        </w:rPr>
      </w:pPr>
    </w:p>
    <w:p w:rsidR="002E06DA" w:rsidRDefault="00A826E7" w14:paraId="00000138" w14:textId="77777777">
      <w:pPr>
        <w:rPr>
          <w:color w:val="FF0000"/>
          <w:sz w:val="24"/>
          <w:szCs w:val="24"/>
        </w:rPr>
      </w:pPr>
      <w:r>
        <w:rPr>
          <w:sz w:val="24"/>
          <w:szCs w:val="24"/>
        </w:rPr>
        <w:t>This is a new program.</w:t>
      </w:r>
    </w:p>
    <w:p w:rsidR="002E06DA" w:rsidRDefault="002E06DA" w14:paraId="00000139" w14:textId="77777777">
      <w:pPr>
        <w:rPr>
          <w:sz w:val="24"/>
          <w:szCs w:val="24"/>
        </w:rPr>
      </w:pPr>
    </w:p>
    <w:p w:rsidR="002E06DA" w:rsidRDefault="00A826E7" w14:paraId="0000013A" w14:textId="77777777">
      <w:pPr>
        <w:tabs>
          <w:tab w:val="left" w:pos="540"/>
        </w:tabs>
        <w:ind w:left="540" w:hanging="540"/>
        <w:rPr>
          <w:b/>
          <w:sz w:val="24"/>
          <w:szCs w:val="24"/>
        </w:rPr>
      </w:pPr>
      <w:r>
        <w:rPr>
          <w:b/>
          <w:sz w:val="24"/>
          <w:szCs w:val="24"/>
        </w:rPr>
        <w:t>16.</w:t>
      </w:r>
      <w:r>
        <w:rPr>
          <w:b/>
          <w:sz w:val="24"/>
          <w:szCs w:val="24"/>
        </w:rPr>
        <w:tab/>
      </w:r>
      <w:r>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w:t>
      </w:r>
      <w:r>
        <w:rPr>
          <w:b/>
          <w:sz w:val="24"/>
          <w:szCs w:val="24"/>
        </w:rPr>
        <w:t>s of the collection of information, completion of report, publication dates, and other actions.</w:t>
      </w:r>
    </w:p>
    <w:p w:rsidR="002E06DA" w:rsidRDefault="002E06DA" w14:paraId="0000013B" w14:textId="77777777">
      <w:pPr>
        <w:rPr>
          <w:sz w:val="24"/>
          <w:szCs w:val="24"/>
        </w:rPr>
      </w:pPr>
    </w:p>
    <w:p w:rsidR="002E06DA" w:rsidRDefault="00A826E7" w14:paraId="0000013C" w14:textId="77777777">
      <w:pPr>
        <w:widowControl/>
        <w:rPr>
          <w:sz w:val="24"/>
          <w:szCs w:val="24"/>
        </w:rPr>
      </w:pPr>
      <w:r>
        <w:rPr>
          <w:sz w:val="24"/>
          <w:szCs w:val="24"/>
        </w:rPr>
        <w:t xml:space="preserve">Results from this collection could be used in scientific, management, technical, or general informational publications such as Fisheries of the United States, </w:t>
      </w:r>
      <w:r>
        <w:rPr>
          <w:sz w:val="24"/>
          <w:szCs w:val="24"/>
        </w:rPr>
        <w:t>which follows prescribed statistical tabulations and summary table formats.  Data are available to the general public on request in summary form only.  Data are available to NMFS employees, and Council staff and state employees with confidential data agree</w:t>
      </w:r>
      <w:r>
        <w:rPr>
          <w:sz w:val="24"/>
          <w:szCs w:val="24"/>
        </w:rPr>
        <w:t>ments, in detailed form on a need-to-know basis only.  Information from the DSM program would only be released to the public in an aggregate form that protects the confidentiality of the entities that generated the data.</w:t>
      </w:r>
    </w:p>
    <w:p w:rsidR="002E06DA" w:rsidRDefault="002E06DA" w14:paraId="0000013D" w14:textId="77777777">
      <w:pPr>
        <w:widowControl/>
        <w:rPr>
          <w:sz w:val="24"/>
          <w:szCs w:val="24"/>
        </w:rPr>
      </w:pPr>
    </w:p>
    <w:p w:rsidR="002E06DA" w:rsidRDefault="002E06DA" w14:paraId="0000013F" w14:textId="77777777">
      <w:pPr>
        <w:rPr>
          <w:sz w:val="24"/>
          <w:szCs w:val="24"/>
        </w:rPr>
      </w:pPr>
    </w:p>
    <w:p w:rsidR="002E06DA" w:rsidRDefault="00A826E7" w14:paraId="00000140" w14:textId="77777777">
      <w:pPr>
        <w:tabs>
          <w:tab w:val="left" w:pos="540"/>
        </w:tabs>
        <w:ind w:left="540" w:hanging="540"/>
        <w:rPr>
          <w:sz w:val="24"/>
          <w:szCs w:val="24"/>
        </w:rPr>
      </w:pPr>
      <w:r>
        <w:rPr>
          <w:b/>
          <w:sz w:val="24"/>
          <w:szCs w:val="24"/>
        </w:rPr>
        <w:t>17.</w:t>
      </w:r>
      <w:r>
        <w:rPr>
          <w:b/>
          <w:sz w:val="24"/>
          <w:szCs w:val="24"/>
        </w:rPr>
        <w:tab/>
      </w:r>
      <w:r>
        <w:rPr>
          <w:b/>
          <w:sz w:val="24"/>
          <w:szCs w:val="24"/>
        </w:rPr>
        <w:t>If seeking approval to not display the expiration date for OMB approval of the information collection, explain the reasons why display would be inappropriate.</w:t>
      </w:r>
    </w:p>
    <w:p w:rsidR="002E06DA" w:rsidRDefault="002E06DA" w14:paraId="00000141" w14:textId="77777777">
      <w:pPr>
        <w:rPr>
          <w:sz w:val="24"/>
          <w:szCs w:val="24"/>
        </w:rPr>
      </w:pPr>
    </w:p>
    <w:p w:rsidR="002E06DA" w:rsidRDefault="00A826E7" w14:paraId="00000142" w14:textId="77777777">
      <w:pPr>
        <w:spacing w:before="161"/>
        <w:rPr>
          <w:color w:val="333333"/>
          <w:sz w:val="24"/>
          <w:szCs w:val="24"/>
          <w:highlight w:val="white"/>
        </w:rPr>
      </w:pPr>
      <w:r>
        <w:rPr>
          <w:color w:val="333333"/>
          <w:sz w:val="24"/>
          <w:szCs w:val="24"/>
        </w:rPr>
        <w:t>The agency plans to display the expiration date for OMB approval of the information collection o</w:t>
      </w:r>
      <w:r>
        <w:rPr>
          <w:color w:val="333333"/>
          <w:sz w:val="24"/>
          <w:szCs w:val="24"/>
        </w:rPr>
        <w:t>n all instruments.</w:t>
      </w:r>
    </w:p>
    <w:p w:rsidR="002E06DA" w:rsidRDefault="002E06DA" w14:paraId="00000143" w14:textId="77777777">
      <w:pPr>
        <w:rPr>
          <w:sz w:val="24"/>
          <w:szCs w:val="24"/>
        </w:rPr>
      </w:pPr>
    </w:p>
    <w:p w:rsidR="002E06DA" w:rsidRDefault="002E06DA" w14:paraId="00000144" w14:textId="77777777">
      <w:pPr>
        <w:rPr>
          <w:sz w:val="24"/>
          <w:szCs w:val="24"/>
        </w:rPr>
      </w:pPr>
    </w:p>
    <w:p w:rsidR="002E06DA" w:rsidRDefault="00A826E7" w14:paraId="00000145" w14:textId="77777777">
      <w:pPr>
        <w:tabs>
          <w:tab w:val="left" w:pos="540"/>
        </w:tabs>
        <w:ind w:left="540" w:hanging="540"/>
        <w:rPr>
          <w:b/>
          <w:sz w:val="24"/>
          <w:szCs w:val="24"/>
        </w:rPr>
      </w:pPr>
      <w:r>
        <w:rPr>
          <w:b/>
          <w:sz w:val="24"/>
          <w:szCs w:val="24"/>
        </w:rPr>
        <w:t>18.</w:t>
      </w:r>
      <w:r>
        <w:rPr>
          <w:b/>
          <w:sz w:val="24"/>
          <w:szCs w:val="24"/>
        </w:rPr>
        <w:tab/>
        <w:t>Explain each exception to the certification statement identified in “Certification for Paperwork Reduction Act Submissions."</w:t>
      </w:r>
    </w:p>
    <w:p w:rsidR="002E06DA" w:rsidRDefault="002E06DA" w14:paraId="00000146" w14:textId="77777777">
      <w:pPr>
        <w:rPr>
          <w:sz w:val="24"/>
          <w:szCs w:val="24"/>
        </w:rPr>
      </w:pPr>
    </w:p>
    <w:p w:rsidRPr="00A826E7" w:rsidR="002E06DA" w:rsidP="00A826E7" w:rsidRDefault="00A826E7" w14:paraId="00000148" w14:textId="09AADDA8">
      <w:pPr>
        <w:spacing w:before="221" w:line="259" w:lineRule="auto"/>
        <w:jc w:val="both"/>
        <w:rPr>
          <w:sz w:val="24"/>
          <w:szCs w:val="24"/>
        </w:rPr>
      </w:pPr>
      <w:r>
        <w:rPr>
          <w:sz w:val="24"/>
          <w:szCs w:val="24"/>
        </w:rPr>
        <w:t xml:space="preserve">The agency certifies compliance with </w:t>
      </w:r>
      <w:hyperlink r:id="rId11">
        <w:r>
          <w:rPr>
            <w:color w:val="0563C1"/>
            <w:sz w:val="24"/>
            <w:szCs w:val="24"/>
            <w:u w:val="single"/>
          </w:rPr>
          <w:t>5 CFR 1320.9</w:t>
        </w:r>
      </w:hyperlink>
      <w:hyperlink r:id="rId12">
        <w:r>
          <w:rPr>
            <w:color w:val="0563C1"/>
            <w:sz w:val="24"/>
            <w:szCs w:val="24"/>
          </w:rPr>
          <w:t xml:space="preserve"> </w:t>
        </w:r>
      </w:hyperlink>
      <w:r>
        <w:rPr>
          <w:sz w:val="24"/>
          <w:szCs w:val="24"/>
        </w:rPr>
        <w:t xml:space="preserve">and the related provisions of </w:t>
      </w:r>
      <w:hyperlink r:id="rId13">
        <w:r>
          <w:rPr>
            <w:color w:val="0563C1"/>
            <w:sz w:val="24"/>
            <w:szCs w:val="24"/>
            <w:u w:val="single"/>
          </w:rPr>
          <w:t>5 CFR</w:t>
        </w:r>
      </w:hyperlink>
      <w:r>
        <w:rPr>
          <w:color w:val="0563C1"/>
          <w:sz w:val="24"/>
          <w:szCs w:val="24"/>
        </w:rPr>
        <w:t xml:space="preserve"> </w:t>
      </w:r>
      <w:hyperlink r:id="rId14">
        <w:r>
          <w:rPr>
            <w:color w:val="0563C1"/>
            <w:sz w:val="24"/>
            <w:szCs w:val="24"/>
            <w:u w:val="single"/>
          </w:rPr>
          <w:t>1320.8(b)(3)</w:t>
        </w:r>
      </w:hyperlink>
      <w:r>
        <w:rPr>
          <w:sz w:val="24"/>
          <w:szCs w:val="24"/>
        </w:rPr>
        <w:t>.</w:t>
      </w:r>
      <w:bookmarkStart w:name="_GoBack" w:id="1"/>
      <w:bookmarkEnd w:id="1"/>
    </w:p>
    <w:sectPr w:rsidRPr="00A826E7" w:rsidR="002E06D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2C8E8" w14:textId="77777777" w:rsidR="00000000" w:rsidRDefault="00A826E7">
      <w:r>
        <w:separator/>
      </w:r>
    </w:p>
  </w:endnote>
  <w:endnote w:type="continuationSeparator" w:id="0">
    <w:p w14:paraId="5373792C" w14:textId="77777777" w:rsidR="00000000" w:rsidRDefault="00A8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49" w14:textId="7BE906BF" w:rsidR="002E06DA" w:rsidRDefault="00A826E7">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sidR="00351421">
      <w:rPr>
        <w:color w:val="000000"/>
        <w:sz w:val="24"/>
        <w:szCs w:val="24"/>
      </w:rPr>
      <w:fldChar w:fldCharType="separate"/>
    </w:r>
    <w:r>
      <w:rPr>
        <w:noProof/>
        <w:color w:val="000000"/>
        <w:sz w:val="24"/>
        <w:szCs w:val="24"/>
      </w:rPr>
      <w:t>10</w:t>
    </w:r>
    <w:r>
      <w:rPr>
        <w:color w:val="000000"/>
        <w:sz w:val="24"/>
        <w:szCs w:val="24"/>
      </w:rPr>
      <w:fldChar w:fldCharType="end"/>
    </w:r>
  </w:p>
  <w:p w14:paraId="0000014A" w14:textId="77777777" w:rsidR="002E06DA" w:rsidRDefault="002E06D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A233E" w14:textId="77777777" w:rsidR="00000000" w:rsidRDefault="00A826E7">
      <w:r>
        <w:separator/>
      </w:r>
    </w:p>
  </w:footnote>
  <w:footnote w:type="continuationSeparator" w:id="0">
    <w:p w14:paraId="72C3ADE3" w14:textId="77777777" w:rsidR="00000000" w:rsidRDefault="00A826E7">
      <w:r>
        <w:continuationSeparator/>
      </w:r>
    </w:p>
  </w:footnote>
  <w:footnote w:id="1">
    <w:p w14:paraId="0000014B" w14:textId="77777777" w:rsidR="002E06DA" w:rsidRDefault="00A826E7">
      <w:r>
        <w:rPr>
          <w:vertAlign w:val="superscript"/>
        </w:rPr>
        <w:footnoteRef/>
      </w:r>
      <w:r>
        <w:t xml:space="preserve"> Estimat</w:t>
      </w:r>
      <w:r>
        <w:t>e based conservatively on all ports being approximately 100 miles (200 miles roundtrip) from the DSM’s homeport, the 2022 mileage rate being $0.585, and 12,300 MREM trips per fishing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2F1"/>
    <w:multiLevelType w:val="multilevel"/>
    <w:tmpl w:val="D24A0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DA"/>
    <w:rsid w:val="002E06DA"/>
    <w:rsid w:val="00351421"/>
    <w:rsid w:val="00A826E7"/>
    <w:rsid w:val="00FB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331E"/>
  <w15:docId w15:val="{F47C7D92-7B9F-4F3C-9125-C964E628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semiHidden/>
    <w:unhideWhenUsed/>
    <w:qFormat/>
    <w:rsid w:val="00FE6A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B24D3C"/>
    <w:rPr>
      <w:sz w:val="16"/>
      <w:szCs w:val="16"/>
    </w:rPr>
  </w:style>
  <w:style w:type="paragraph" w:styleId="CommentText">
    <w:name w:val="annotation text"/>
    <w:basedOn w:val="Normal"/>
    <w:link w:val="CommentTextChar"/>
    <w:rsid w:val="00B24D3C"/>
  </w:style>
  <w:style w:type="character" w:customStyle="1" w:styleId="CommentTextChar">
    <w:name w:val="Comment Text Char"/>
    <w:basedOn w:val="DefaultParagraphFont"/>
    <w:link w:val="CommentText"/>
    <w:rsid w:val="00B24D3C"/>
  </w:style>
  <w:style w:type="paragraph" w:styleId="CommentSubject">
    <w:name w:val="annotation subject"/>
    <w:basedOn w:val="CommentText"/>
    <w:next w:val="CommentText"/>
    <w:link w:val="CommentSubjectChar"/>
    <w:rsid w:val="00B24D3C"/>
    <w:rPr>
      <w:b/>
      <w:bCs/>
    </w:rPr>
  </w:style>
  <w:style w:type="character" w:customStyle="1" w:styleId="CommentSubjectChar">
    <w:name w:val="Comment Subject Char"/>
    <w:basedOn w:val="CommentTextChar"/>
    <w:link w:val="CommentSubject"/>
    <w:rsid w:val="00B24D3C"/>
    <w:rPr>
      <w:b/>
      <w:bCs/>
    </w:rPr>
  </w:style>
  <w:style w:type="paragraph" w:styleId="BalloonText">
    <w:name w:val="Balloon Text"/>
    <w:basedOn w:val="Normal"/>
    <w:link w:val="BalloonTextChar"/>
    <w:rsid w:val="00B24D3C"/>
    <w:rPr>
      <w:rFonts w:ascii="Segoe UI" w:hAnsi="Segoe UI" w:cs="Segoe UI"/>
      <w:sz w:val="18"/>
      <w:szCs w:val="18"/>
    </w:rPr>
  </w:style>
  <w:style w:type="character" w:customStyle="1" w:styleId="BalloonTextChar">
    <w:name w:val="Balloon Text Char"/>
    <w:basedOn w:val="DefaultParagraphFont"/>
    <w:link w:val="BalloonText"/>
    <w:rsid w:val="00B24D3C"/>
    <w:rPr>
      <w:rFonts w:ascii="Segoe UI" w:hAnsi="Segoe UI" w:cs="Segoe UI"/>
      <w:sz w:val="18"/>
      <w:szCs w:val="18"/>
    </w:rPr>
  </w:style>
  <w:style w:type="character" w:styleId="FollowedHyperlink">
    <w:name w:val="FollowedHyperlink"/>
    <w:basedOn w:val="DefaultParagraphFont"/>
    <w:rsid w:val="00F03D78"/>
    <w:rPr>
      <w:color w:val="954F72" w:themeColor="followedHyperlink"/>
      <w:u w:val="single"/>
    </w:rPr>
  </w:style>
  <w:style w:type="character" w:customStyle="1" w:styleId="Heading2Char">
    <w:name w:val="Heading 2 Char"/>
    <w:basedOn w:val="DefaultParagraphFont"/>
    <w:link w:val="Heading2"/>
    <w:semiHidden/>
    <w:rsid w:val="00FE6A19"/>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294DF8"/>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rporateservices.noaa.gov/ames/administrative_orders/chapter_216/216-100.html"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k+IHbyjDV/eLfePE5/kp/PTwCg==">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Adrienne.Thomas</cp:lastModifiedBy>
  <cp:revision>4</cp:revision>
  <dcterms:created xsi:type="dcterms:W3CDTF">2022-03-15T15:16:00Z</dcterms:created>
  <dcterms:modified xsi:type="dcterms:W3CDTF">2022-03-15T15:21:00Z</dcterms:modified>
</cp:coreProperties>
</file>