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A55" w:rsidP="00DC6F01" w:rsidRDefault="00333FBA" w14:paraId="4D1D868B" w14:textId="77777777">
      <w:pPr>
        <w:pStyle w:val="Heading1"/>
        <w:spacing w:before="0"/>
        <w:ind w:left="0"/>
        <w:jc w:val="center"/>
      </w:pPr>
      <w:r>
        <w:t>SUPPORTING STATEMENT</w:t>
      </w:r>
    </w:p>
    <w:p w:rsidR="00BD2A55" w:rsidP="00DC6F01" w:rsidRDefault="00333FBA" w14:paraId="00BF56B8" w14:textId="77777777">
      <w:pPr>
        <w:spacing w:line="259" w:lineRule="auto"/>
        <w:ind w:firstLine="14"/>
        <w:jc w:val="center"/>
        <w:rPr>
          <w:b/>
        </w:rPr>
      </w:pPr>
      <w:r>
        <w:rPr>
          <w:b/>
        </w:rPr>
        <w:t>U.S. Department of Commerce</w:t>
      </w:r>
    </w:p>
    <w:p w:rsidR="00BD2A55" w:rsidP="00DC6F01" w:rsidRDefault="00333FBA" w14:paraId="476E8A9D" w14:textId="77777777">
      <w:pPr>
        <w:spacing w:line="259" w:lineRule="auto"/>
        <w:ind w:firstLine="14"/>
        <w:jc w:val="center"/>
        <w:rPr>
          <w:b/>
        </w:rPr>
      </w:pPr>
      <w:r>
        <w:rPr>
          <w:b/>
        </w:rPr>
        <w:t>National Oceanic &amp; Atmospheric Administration</w:t>
      </w:r>
    </w:p>
    <w:p w:rsidR="00635114" w:rsidP="00DC6F01" w:rsidRDefault="00635114" w14:paraId="5E0054A6" w14:textId="672093E8">
      <w:pPr>
        <w:spacing w:line="259" w:lineRule="auto"/>
        <w:ind w:hanging="6"/>
        <w:jc w:val="center"/>
        <w:rPr>
          <w:b/>
        </w:rPr>
      </w:pPr>
      <w:r w:rsidRPr="00635114">
        <w:rPr>
          <w:b/>
        </w:rPr>
        <w:t>A</w:t>
      </w:r>
      <w:r>
        <w:rPr>
          <w:b/>
        </w:rPr>
        <w:t>laska Cost Recovery and Fee Programs</w:t>
      </w:r>
    </w:p>
    <w:p w:rsidR="00BD2A55" w:rsidP="00DC6F01" w:rsidRDefault="00333FBA" w14:paraId="0593C58A" w14:textId="32F43775">
      <w:pPr>
        <w:spacing w:line="259" w:lineRule="auto"/>
        <w:ind w:hanging="6"/>
        <w:jc w:val="center"/>
        <w:rPr>
          <w:b/>
        </w:rPr>
      </w:pPr>
      <w:r>
        <w:rPr>
          <w:b/>
        </w:rPr>
        <w:t>OMB Control No. 0648-</w:t>
      </w:r>
      <w:r w:rsidR="00635114">
        <w:rPr>
          <w:b/>
        </w:rPr>
        <w:t>0711</w:t>
      </w:r>
    </w:p>
    <w:p w:rsidR="00333FBA" w:rsidP="00DC6F01" w:rsidRDefault="00333FBA" w14:paraId="7D6FC628" w14:textId="7DFC3B4A">
      <w:pPr>
        <w:spacing w:line="259" w:lineRule="auto"/>
        <w:rPr>
          <w:b/>
        </w:rPr>
      </w:pPr>
    </w:p>
    <w:p w:rsidR="00333FBA" w:rsidP="00DC6F01" w:rsidRDefault="00333FBA" w14:paraId="314A03B6" w14:textId="518A636E">
      <w:pPr>
        <w:pStyle w:val="Heading1"/>
        <w:spacing w:before="0"/>
        <w:ind w:left="0"/>
      </w:pPr>
      <w:r>
        <w:t>Abstract</w:t>
      </w:r>
    </w:p>
    <w:p w:rsidRPr="00333FBA" w:rsidR="00333FBA" w:rsidP="00DC6F01" w:rsidRDefault="00333FBA" w14:paraId="774E99A3" w14:textId="1BEAFBA4">
      <w:pPr>
        <w:spacing w:line="259" w:lineRule="auto"/>
      </w:pPr>
    </w:p>
    <w:p w:rsidR="00A04187" w:rsidP="00A04187" w:rsidRDefault="00A04187" w14:paraId="4C4215DC" w14:textId="61617AEB">
      <w:r w:rsidRPr="00713BC9">
        <w:t>The National</w:t>
      </w:r>
      <w:r w:rsidR="009B3B7D">
        <w:t xml:space="preserve"> Marine Fisheries Service</w:t>
      </w:r>
      <w:r w:rsidRPr="00713BC9">
        <w:t xml:space="preserve"> Alaska Regional Office</w:t>
      </w:r>
      <w:r w:rsidR="009B3B7D">
        <w:t xml:space="preserve"> (NMFS AKR)</w:t>
      </w:r>
      <w:r w:rsidRPr="00713BC9">
        <w:t xml:space="preserve">, </w:t>
      </w:r>
      <w:r>
        <w:t xml:space="preserve">requests </w:t>
      </w:r>
      <w:r w:rsidR="00F21EA9">
        <w:t xml:space="preserve">revision and </w:t>
      </w:r>
      <w:r>
        <w:t>extension of this</w:t>
      </w:r>
      <w:r w:rsidRPr="00713BC9">
        <w:t xml:space="preserve"> currently approved information collection that contains </w:t>
      </w:r>
      <w:r w:rsidRPr="00220B8C" w:rsidR="00220B8C">
        <w:t xml:space="preserve">requirements for the NMFS Alaska Region cost recovery fee programs and the </w:t>
      </w:r>
      <w:proofErr w:type="gramStart"/>
      <w:r w:rsidRPr="00220B8C" w:rsidR="00220B8C">
        <w:t>observer coverage fee program</w:t>
      </w:r>
      <w:proofErr w:type="gramEnd"/>
      <w:r w:rsidR="00220B8C">
        <w:t>.</w:t>
      </w:r>
      <w:r w:rsidRPr="00220B8C" w:rsidR="00220B8C">
        <w:t xml:space="preserve"> </w:t>
      </w:r>
    </w:p>
    <w:p w:rsidR="00F21EA9" w:rsidP="00A04187" w:rsidRDefault="00F21EA9" w14:paraId="68E3437D" w14:textId="77777777"/>
    <w:p w:rsidR="00A04187" w:rsidP="00A04187" w:rsidRDefault="001D7A5A" w14:paraId="6C339802" w14:textId="066D11B1">
      <w:r>
        <w:t xml:space="preserve">NMFS AKR recovers program costs for seven cost recovery programs: </w:t>
      </w:r>
      <w:r w:rsidRPr="00D351C7">
        <w:t>Pacific Halibut and Sablefish Individual Fishing Quota (IFQ) Program</w:t>
      </w:r>
      <w:r>
        <w:t xml:space="preserve">, Crab Rationalization Program, Central Gulf of Alaska Rockfish Program, </w:t>
      </w:r>
      <w:r w:rsidRPr="00EF4F0A">
        <w:t xml:space="preserve">Western Alaska Community Development Quota (CDQ) Program for </w:t>
      </w:r>
      <w:proofErr w:type="spellStart"/>
      <w:r w:rsidRPr="00EF4F0A">
        <w:t>groundfish</w:t>
      </w:r>
      <w:proofErr w:type="spellEnd"/>
      <w:r w:rsidRPr="00EF4F0A">
        <w:t xml:space="preserve"> and halibut</w:t>
      </w:r>
      <w:r>
        <w:t xml:space="preserve">, </w:t>
      </w:r>
      <w:r w:rsidRPr="00ED1D10">
        <w:t>Aleutian Islands Pollock Program</w:t>
      </w:r>
      <w:r>
        <w:t xml:space="preserve">, and American Fisheries Act Program, Amendment 80 Program. </w:t>
      </w:r>
      <w:r w:rsidRPr="00220B8C" w:rsidR="00220B8C">
        <w:t xml:space="preserve">This information collection is necessary under the Magnuson-Stevens Act, which authorizes observer deployment fees and requires cost recovery fees to be collected for all limited access privilege (LAP) programs and community development quota (CDQ) programs. </w:t>
      </w:r>
    </w:p>
    <w:p w:rsidR="00D351C7" w:rsidP="00A04187" w:rsidRDefault="00D351C7" w14:paraId="366BBFA5" w14:textId="54AC67B6"/>
    <w:p w:rsidR="00333FBA" w:rsidP="00CE2344" w:rsidRDefault="009B3B7D" w14:paraId="20C47C93" w14:textId="51200FD0">
      <w:r>
        <w:t>Three</w:t>
      </w:r>
      <w:r w:rsidRPr="00CE2344" w:rsidR="00CE2344">
        <w:t xml:space="preserve"> revisions </w:t>
      </w:r>
      <w:proofErr w:type="gramStart"/>
      <w:r w:rsidRPr="00CE2344" w:rsidR="00CE2344">
        <w:t>are made</w:t>
      </w:r>
      <w:proofErr w:type="gramEnd"/>
      <w:r w:rsidRPr="00CE2344" w:rsidR="00CE2344">
        <w:t xml:space="preserve"> to this collection</w:t>
      </w:r>
      <w:r w:rsidR="00CE2344">
        <w:t>.</w:t>
      </w:r>
      <w:r w:rsidRPr="00CE2344" w:rsidR="00CE2344">
        <w:t xml:space="preserve"> </w:t>
      </w:r>
      <w:r w:rsidRPr="00E32C75" w:rsidR="00E32C75">
        <w:t>A slight revision is requested to change the title of the collection from “Alaska Quota Cost Recovery Programs” to “Alaska Cost Recovery and Fee Programs”</w:t>
      </w:r>
      <w:r w:rsidR="00CE2344">
        <w:t xml:space="preserve"> to better reflect the contents of this information collection. Two forms </w:t>
      </w:r>
      <w:r>
        <w:t>have been</w:t>
      </w:r>
      <w:r w:rsidR="00CE2344">
        <w:t xml:space="preserve"> revised and renamed and are now reported</w:t>
      </w:r>
      <w:r>
        <w:t xml:space="preserve"> separately </w:t>
      </w:r>
      <w:r w:rsidR="00CE2344">
        <w:t>from the cost recovery fees</w:t>
      </w:r>
      <w:r>
        <w:t xml:space="preserve"> in the tables in this supporting statement because </w:t>
      </w:r>
      <w:r w:rsidR="00CE2344">
        <w:t>NMFS AKR has finished transitioning to online payments</w:t>
      </w:r>
      <w:r>
        <w:t xml:space="preserve"> only</w:t>
      </w:r>
      <w:r w:rsidR="00CE2344">
        <w:t xml:space="preserve"> </w:t>
      </w:r>
      <w:r>
        <w:t xml:space="preserve">and these forms are no longer used to submit payments. </w:t>
      </w:r>
      <w:r w:rsidRPr="009B3B7D">
        <w:t xml:space="preserve">Minor editorial changes </w:t>
      </w:r>
      <w:proofErr w:type="gramStart"/>
      <w:r w:rsidRPr="009B3B7D">
        <w:t>are made</w:t>
      </w:r>
      <w:proofErr w:type="gramEnd"/>
      <w:r w:rsidRPr="009B3B7D">
        <w:t xml:space="preserve"> to </w:t>
      </w:r>
      <w:r>
        <w:t xml:space="preserve">all </w:t>
      </w:r>
      <w:r w:rsidRPr="009B3B7D">
        <w:t>the forms in this collection to improve clarity and consistency.</w:t>
      </w:r>
    </w:p>
    <w:p w:rsidRPr="00333FBA" w:rsidR="00CE2344" w:rsidP="00CE2344" w:rsidRDefault="00CE2344" w14:paraId="09344385" w14:textId="77777777"/>
    <w:p w:rsidR="00BD2A55" w:rsidP="00DC6F01" w:rsidRDefault="00333FBA" w14:paraId="2761FED8" w14:textId="77777777">
      <w:pPr>
        <w:pStyle w:val="Heading1"/>
        <w:spacing w:before="0"/>
        <w:ind w:left="0"/>
      </w:pPr>
      <w:r>
        <w:t>Justification</w:t>
      </w:r>
    </w:p>
    <w:p w:rsidR="00BD2A55" w:rsidP="00DC6F01" w:rsidRDefault="00333FBA" w14:paraId="757A795C" w14:textId="77777777">
      <w:pPr>
        <w:numPr>
          <w:ilvl w:val="0"/>
          <w:numId w:val="3"/>
        </w:numPr>
        <w:pBdr>
          <w:top w:val="nil"/>
          <w:left w:val="nil"/>
          <w:bottom w:val="nil"/>
          <w:right w:val="nil"/>
          <w:between w:val="nil"/>
        </w:pBdr>
        <w:tabs>
          <w:tab w:val="left" w:pos="360"/>
        </w:tabs>
        <w:spacing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33FBA" w:rsidR="00333FBA" w:rsidP="00DC6F01" w:rsidRDefault="00333FBA" w14:paraId="5CF88196" w14:textId="6932F532">
      <w:pPr>
        <w:pBdr>
          <w:top w:val="nil"/>
          <w:left w:val="nil"/>
          <w:bottom w:val="nil"/>
          <w:right w:val="nil"/>
          <w:between w:val="nil"/>
        </w:pBdr>
        <w:spacing w:line="259" w:lineRule="auto"/>
      </w:pPr>
    </w:p>
    <w:p w:rsidRPr="008C7476" w:rsidR="008C7476" w:rsidP="00EA2320" w:rsidRDefault="008C7476" w14:paraId="6CA15290" w14:textId="2832CA22">
      <w:pPr>
        <w:widowControl/>
        <w:rPr>
          <w:rFonts w:eastAsia="Calibri"/>
        </w:rPr>
      </w:pPr>
      <w:r w:rsidRPr="008C7476">
        <w:rPr>
          <w:rFonts w:eastAsia="Calibri"/>
        </w:rPr>
        <w:t xml:space="preserve">Under the </w:t>
      </w:r>
      <w:hyperlink w:history="1" r:id="rId9">
        <w:r w:rsidRPr="00EA2320">
          <w:rPr>
            <w:rStyle w:val="Hyperlink"/>
            <w:rFonts w:eastAsia="Calibri"/>
          </w:rPr>
          <w:t>Magnuson-Stevens Fishery Conservation and Management Act</w:t>
        </w:r>
      </w:hyperlink>
      <w:r w:rsidRPr="008C7476">
        <w:rPr>
          <w:rFonts w:eastAsia="Calibri"/>
        </w:rPr>
        <w:t xml:space="preserve"> </w:t>
      </w:r>
      <w:r w:rsidR="00EA2320">
        <w:rPr>
          <w:rFonts w:eastAsia="Calibri"/>
        </w:rPr>
        <w:t>(</w:t>
      </w:r>
      <w:r w:rsidRPr="008C7476">
        <w:rPr>
          <w:rFonts w:eastAsia="Calibri"/>
        </w:rPr>
        <w:t>Magnuson-Stevens Act</w:t>
      </w:r>
      <w:r w:rsidR="00EA2320">
        <w:rPr>
          <w:rFonts w:eastAsia="Calibri"/>
        </w:rPr>
        <w:t xml:space="preserve">; </w:t>
      </w:r>
      <w:r w:rsidRPr="008C7476" w:rsidR="00EA2320">
        <w:rPr>
          <w:rFonts w:eastAsia="Calibri"/>
        </w:rPr>
        <w:t xml:space="preserve">16 U.S.C. 1801 </w:t>
      </w:r>
      <w:r w:rsidRPr="008C7476" w:rsidR="00EA2320">
        <w:rPr>
          <w:rFonts w:eastAsia="Calibri"/>
          <w:i/>
        </w:rPr>
        <w:t>et seq</w:t>
      </w:r>
      <w:r w:rsidRPr="008C7476" w:rsidR="00EA2320">
        <w:rPr>
          <w:rFonts w:eastAsia="Calibri"/>
        </w:rPr>
        <w:t>.</w:t>
      </w:r>
      <w:r w:rsidRPr="008C7476">
        <w:rPr>
          <w:rFonts w:eastAsia="Calibri"/>
        </w:rPr>
        <w:t xml:space="preserve">), the Secretary of Commerce is responsible for the conservation and management of marine fishery resources within the Exclusive Economic Zone (EEZ) of the United States through National Oceanic and Atmospheric Administration/National Marine Fisheries Service. NMFS Alaska Region manages the </w:t>
      </w:r>
      <w:proofErr w:type="spellStart"/>
      <w:r w:rsidRPr="008C7476">
        <w:rPr>
          <w:rFonts w:eastAsia="Calibri"/>
        </w:rPr>
        <w:t>groundfish</w:t>
      </w:r>
      <w:proofErr w:type="spellEnd"/>
      <w:r w:rsidRPr="008C7476">
        <w:rPr>
          <w:rFonts w:eastAsia="Calibri"/>
        </w:rPr>
        <w:t xml:space="preserve"> fisheries in the EEZ of the Bering Sea and Aleutian Islands Management Area (BSAI) and Gulf of Alaska</w:t>
      </w:r>
      <w:r w:rsidR="0067306D">
        <w:rPr>
          <w:rFonts w:eastAsia="Calibri"/>
        </w:rPr>
        <w:t xml:space="preserve"> under fishery management plans </w:t>
      </w:r>
      <w:r w:rsidR="0075076B">
        <w:rPr>
          <w:rFonts w:eastAsia="Calibri"/>
        </w:rPr>
        <w:t>prepared</w:t>
      </w:r>
      <w:r w:rsidRPr="008C7476">
        <w:rPr>
          <w:rFonts w:eastAsia="Calibri"/>
        </w:rPr>
        <w:t xml:space="preserve"> by the North Pacific Fishery Management Council</w:t>
      </w:r>
      <w:r w:rsidRPr="0075076B" w:rsidR="0075076B">
        <w:rPr>
          <w:rFonts w:eastAsiaTheme="minorHAnsi" w:cstheme="minorBidi"/>
          <w:szCs w:val="22"/>
        </w:rPr>
        <w:t xml:space="preserve"> </w:t>
      </w:r>
      <w:r w:rsidRPr="008A7D4C" w:rsidR="0075076B">
        <w:rPr>
          <w:rFonts w:eastAsiaTheme="minorHAnsi" w:cstheme="minorBidi"/>
          <w:szCs w:val="22"/>
        </w:rPr>
        <w:t>under the authority of the Magnuson-Stevens Act and other applicable laws.</w:t>
      </w:r>
      <w:r w:rsidRPr="008C7476">
        <w:rPr>
          <w:rFonts w:eastAsia="Calibri"/>
        </w:rPr>
        <w:t xml:space="preserve"> </w:t>
      </w:r>
    </w:p>
    <w:p w:rsidRPr="008C7476" w:rsidR="008C7476" w:rsidP="008C7476" w:rsidRDefault="008C7476" w14:paraId="03E94053" w14:textId="77777777">
      <w:pPr>
        <w:widowControl/>
        <w:rPr>
          <w:rFonts w:eastAsia="Calibri"/>
        </w:rPr>
      </w:pPr>
    </w:p>
    <w:p w:rsidRPr="008C7476" w:rsidR="00103B9E" w:rsidP="00103B9E" w:rsidRDefault="008C7476" w14:paraId="64CDEFDA" w14:textId="58C58732">
      <w:pPr>
        <w:autoSpaceDE w:val="0"/>
        <w:autoSpaceDN w:val="0"/>
        <w:adjustRightInd w:val="0"/>
      </w:pPr>
      <w:r w:rsidRPr="008C7476">
        <w:rPr>
          <w:rFonts w:eastAsia="Calibri"/>
        </w:rPr>
        <w:t>Th</w:t>
      </w:r>
      <w:r w:rsidR="00E229EC">
        <w:rPr>
          <w:rFonts w:eastAsia="Calibri"/>
        </w:rPr>
        <w:t>is information collection contains requirements for</w:t>
      </w:r>
      <w:r w:rsidRPr="008C7476">
        <w:rPr>
          <w:rFonts w:eastAsia="Calibri"/>
        </w:rPr>
        <w:t xml:space="preserve"> the NMFS Alaska Region cost recovery fee programs and the observer coverage fee program. </w:t>
      </w:r>
      <w:r w:rsidRPr="008C7476" w:rsidR="00103B9E">
        <w:t xml:space="preserve">This information collection is necessary </w:t>
      </w:r>
      <w:r w:rsidRPr="008C7476" w:rsidR="00103B9E">
        <w:lastRenderedPageBreak/>
        <w:t xml:space="preserve">under the Magnuson-Stevens Act, which authorizes observer deployment fees and requires cost recovery fees to be collected for all </w:t>
      </w:r>
      <w:r w:rsidRPr="00E169A2" w:rsidR="00E169A2">
        <w:t xml:space="preserve">limited access privilege (LAP) programs </w:t>
      </w:r>
      <w:r w:rsidRPr="008C7476" w:rsidR="00103B9E">
        <w:t xml:space="preserve">and </w:t>
      </w:r>
      <w:r w:rsidRPr="00E169A2" w:rsidR="00E169A2">
        <w:t xml:space="preserve">community development quota </w:t>
      </w:r>
      <w:r w:rsidR="00E169A2">
        <w:t>(</w:t>
      </w:r>
      <w:r w:rsidRPr="008C7476" w:rsidR="00103B9E">
        <w:t>CDQ</w:t>
      </w:r>
      <w:r w:rsidR="00E169A2">
        <w:t>)</w:t>
      </w:r>
      <w:r w:rsidRPr="008C7476" w:rsidR="00103B9E">
        <w:t xml:space="preserve"> programs. The fee </w:t>
      </w:r>
      <w:r w:rsidR="00B028A0">
        <w:t>calculation</w:t>
      </w:r>
      <w:r w:rsidRPr="008C7476" w:rsidR="00B028A0">
        <w:t xml:space="preserve"> </w:t>
      </w:r>
      <w:r w:rsidRPr="008C7476" w:rsidR="00103B9E">
        <w:t xml:space="preserve">forms and the volume and value reports </w:t>
      </w:r>
      <w:r w:rsidR="00E169A2">
        <w:t xml:space="preserve">contained in this collection </w:t>
      </w:r>
      <w:r w:rsidRPr="008C7476" w:rsidR="00103B9E">
        <w:t>are necessary to track, verify, and enforce the fee collection systems.</w:t>
      </w:r>
    </w:p>
    <w:p w:rsidRPr="008C7476" w:rsidR="008C7476" w:rsidP="008C7476" w:rsidRDefault="008C7476" w14:paraId="265553BF" w14:textId="77777777">
      <w:pPr>
        <w:widowControl/>
        <w:rPr>
          <w:rFonts w:eastAsia="Calibri"/>
        </w:rPr>
      </w:pPr>
    </w:p>
    <w:p w:rsidR="00CA5F62" w:rsidP="00CA5F62" w:rsidRDefault="00CA5F62" w14:paraId="456EC46F" w14:textId="01624BAA">
      <w:pPr>
        <w:autoSpaceDE w:val="0"/>
        <w:autoSpaceDN w:val="0"/>
        <w:adjustRightInd w:val="0"/>
      </w:pPr>
      <w:r>
        <w:t>T</w:t>
      </w:r>
      <w:r w:rsidR="00996C61">
        <w:t>his</w:t>
      </w:r>
      <w:r>
        <w:t xml:space="preserve"> information </w:t>
      </w:r>
      <w:r w:rsidR="00996C61">
        <w:t xml:space="preserve">collection </w:t>
      </w:r>
      <w:r>
        <w:t xml:space="preserve">is required in </w:t>
      </w:r>
      <w:r w:rsidRPr="00CF23DD">
        <w:t>Federal regulations</w:t>
      </w:r>
      <w:r>
        <w:t xml:space="preserve"> at 50 CFR parts 679 and 680.</w:t>
      </w:r>
      <w:r w:rsidRPr="00863A78">
        <w:rPr>
          <w:rFonts w:eastAsia="Calibri"/>
        </w:rPr>
        <w:t xml:space="preserve"> </w:t>
      </w:r>
      <w:r w:rsidRPr="00E86CA8">
        <w:rPr>
          <w:rFonts w:eastAsia="Calibri"/>
        </w:rPr>
        <w:t>T</w:t>
      </w:r>
      <w:r w:rsidRPr="00525C2D">
        <w:rPr>
          <w:rFonts w:eastAsia="Calibri"/>
        </w:rPr>
        <w:t>he</w:t>
      </w:r>
      <w:r>
        <w:rPr>
          <w:rFonts w:eastAsia="Calibri"/>
        </w:rPr>
        <w:t xml:space="preserve"> specific</w:t>
      </w:r>
      <w:r w:rsidR="00E229EC">
        <w:rPr>
          <w:rFonts w:eastAsia="Calibri"/>
        </w:rPr>
        <w:t xml:space="preserve"> regulations </w:t>
      </w:r>
      <w:r w:rsidRPr="00E229EC">
        <w:rPr>
          <w:rFonts w:eastAsia="Calibri"/>
        </w:rPr>
        <w:t>for the instruments</w:t>
      </w:r>
      <w:r w:rsidRPr="00525C2D">
        <w:rPr>
          <w:rFonts w:eastAsia="Calibri"/>
        </w:rPr>
        <w:t xml:space="preserve"> in this information collection</w:t>
      </w:r>
      <w:r w:rsidRPr="00E86CA8">
        <w:rPr>
          <w:rFonts w:eastAsia="Calibri"/>
        </w:rPr>
        <w:t xml:space="preserve"> </w:t>
      </w:r>
      <w:proofErr w:type="gramStart"/>
      <w:r w:rsidRPr="00E86CA8">
        <w:rPr>
          <w:rFonts w:eastAsia="Calibri"/>
        </w:rPr>
        <w:t>are provided</w:t>
      </w:r>
      <w:proofErr w:type="gramEnd"/>
      <w:r w:rsidRPr="00E86CA8">
        <w:rPr>
          <w:rFonts w:eastAsia="Calibri"/>
        </w:rPr>
        <w:t xml:space="preserve"> in t</w:t>
      </w:r>
      <w:r w:rsidRPr="00525C2D">
        <w:rPr>
          <w:rFonts w:eastAsia="Calibri"/>
        </w:rPr>
        <w:t xml:space="preserve">he table in question #2 below.  </w:t>
      </w:r>
      <w:r w:rsidR="00BC468D">
        <w:rPr>
          <w:rFonts w:eastAsia="Calibri"/>
        </w:rPr>
        <w:t>I</w:t>
      </w:r>
      <w:r w:rsidRPr="00CF23DD">
        <w:rPr>
          <w:rFonts w:eastAsia="Calibri"/>
        </w:rPr>
        <w:t xml:space="preserve">nformation on the </w:t>
      </w:r>
      <w:r w:rsidR="00EB780F">
        <w:rPr>
          <w:rFonts w:eastAsia="Calibri"/>
        </w:rPr>
        <w:t>o</w:t>
      </w:r>
      <w:r w:rsidRPr="00CF23DD">
        <w:rPr>
          <w:rFonts w:eastAsia="Calibri"/>
        </w:rPr>
        <w:t xml:space="preserve">bserver </w:t>
      </w:r>
      <w:r w:rsidR="00EB780F">
        <w:rPr>
          <w:rFonts w:eastAsia="Calibri"/>
        </w:rPr>
        <w:t>coverage</w:t>
      </w:r>
      <w:r w:rsidRPr="00CF23DD" w:rsidR="00EB780F">
        <w:rPr>
          <w:rFonts w:eastAsia="Calibri"/>
        </w:rPr>
        <w:t xml:space="preserve"> </w:t>
      </w:r>
      <w:r w:rsidRPr="00CF23DD">
        <w:rPr>
          <w:rFonts w:eastAsia="Calibri"/>
        </w:rPr>
        <w:t xml:space="preserve">fee and </w:t>
      </w:r>
      <w:proofErr w:type="gramStart"/>
      <w:r w:rsidRPr="00CF23DD">
        <w:rPr>
          <w:rFonts w:eastAsia="Calibri"/>
        </w:rPr>
        <w:t xml:space="preserve">cost recovery </w:t>
      </w:r>
      <w:r w:rsidR="00E229EC">
        <w:rPr>
          <w:rFonts w:eastAsia="Calibri"/>
        </w:rPr>
        <w:t xml:space="preserve">fee </w:t>
      </w:r>
      <w:r w:rsidRPr="00CF23DD">
        <w:rPr>
          <w:rFonts w:eastAsia="Calibri"/>
        </w:rPr>
        <w:t>program</w:t>
      </w:r>
      <w:r w:rsidR="00E229EC">
        <w:rPr>
          <w:rFonts w:eastAsia="Calibri"/>
        </w:rPr>
        <w:t>s</w:t>
      </w:r>
      <w:proofErr w:type="gramEnd"/>
      <w:r w:rsidRPr="00CF23DD">
        <w:rPr>
          <w:rFonts w:eastAsia="Calibri"/>
        </w:rPr>
        <w:t xml:space="preserve"> is provided on the </w:t>
      </w:r>
      <w:hyperlink w:history="1" r:id="rId10">
        <w:r w:rsidR="009F7C74">
          <w:rPr>
            <w:rStyle w:val="Hyperlink"/>
            <w:rFonts w:eastAsia="Calibri"/>
          </w:rPr>
          <w:t>c</w:t>
        </w:r>
        <w:r w:rsidRPr="00CF23DD">
          <w:rPr>
            <w:rStyle w:val="Hyperlink"/>
            <w:rFonts w:eastAsia="Calibri"/>
          </w:rPr>
          <w:t xml:space="preserve">ost </w:t>
        </w:r>
        <w:r w:rsidR="009F7C74">
          <w:rPr>
            <w:rStyle w:val="Hyperlink"/>
            <w:rFonts w:eastAsia="Calibri"/>
          </w:rPr>
          <w:t>r</w:t>
        </w:r>
        <w:r w:rsidRPr="00CF23DD">
          <w:rPr>
            <w:rStyle w:val="Hyperlink"/>
            <w:rFonts w:eastAsia="Calibri"/>
          </w:rPr>
          <w:t xml:space="preserve">ecovery </w:t>
        </w:r>
        <w:r w:rsidR="009F7C74">
          <w:rPr>
            <w:rStyle w:val="Hyperlink"/>
            <w:rFonts w:eastAsia="Calibri"/>
          </w:rPr>
          <w:t>p</w:t>
        </w:r>
        <w:r w:rsidRPr="00CF23DD">
          <w:rPr>
            <w:rStyle w:val="Hyperlink"/>
            <w:rFonts w:eastAsia="Calibri"/>
          </w:rPr>
          <w:t xml:space="preserve">rograms, </w:t>
        </w:r>
        <w:r w:rsidR="009F7C74">
          <w:rPr>
            <w:rStyle w:val="Hyperlink"/>
            <w:rFonts w:eastAsia="Calibri"/>
          </w:rPr>
          <w:t>f</w:t>
        </w:r>
        <w:r w:rsidRPr="00CF23DD">
          <w:rPr>
            <w:rStyle w:val="Hyperlink"/>
            <w:rFonts w:eastAsia="Calibri"/>
          </w:rPr>
          <w:t xml:space="preserve">ee </w:t>
        </w:r>
        <w:r w:rsidR="009F7C74">
          <w:rPr>
            <w:rStyle w:val="Hyperlink"/>
            <w:rFonts w:eastAsia="Calibri"/>
          </w:rPr>
          <w:t>c</w:t>
        </w:r>
        <w:r w:rsidRPr="00CF23DD">
          <w:rPr>
            <w:rStyle w:val="Hyperlink"/>
            <w:rFonts w:eastAsia="Calibri"/>
          </w:rPr>
          <w:t>ollection</w:t>
        </w:r>
        <w:r w:rsidR="009F7C74">
          <w:rPr>
            <w:rStyle w:val="Hyperlink"/>
            <w:rFonts w:eastAsia="Calibri"/>
          </w:rPr>
          <w:t>, and f</w:t>
        </w:r>
        <w:r w:rsidRPr="00CF23DD">
          <w:rPr>
            <w:rStyle w:val="Hyperlink"/>
            <w:rFonts w:eastAsia="Calibri"/>
          </w:rPr>
          <w:t xml:space="preserve">ee </w:t>
        </w:r>
        <w:r w:rsidR="009F7C74">
          <w:rPr>
            <w:rStyle w:val="Hyperlink"/>
            <w:rFonts w:eastAsia="Calibri"/>
          </w:rPr>
          <w:t>p</w:t>
        </w:r>
        <w:r w:rsidRPr="00CF23DD">
          <w:rPr>
            <w:rStyle w:val="Hyperlink"/>
            <w:rFonts w:eastAsia="Calibri"/>
          </w:rPr>
          <w:t>ayment</w:t>
        </w:r>
        <w:r w:rsidR="00074603">
          <w:rPr>
            <w:rStyle w:val="Hyperlink"/>
            <w:rFonts w:eastAsia="Calibri"/>
          </w:rPr>
          <w:t xml:space="preserve"> </w:t>
        </w:r>
        <w:r w:rsidRPr="00CF23DD">
          <w:rPr>
            <w:rStyle w:val="Hyperlink"/>
            <w:rFonts w:eastAsia="Calibri"/>
          </w:rPr>
          <w:t>web</w:t>
        </w:r>
        <w:r w:rsidR="00187748">
          <w:rPr>
            <w:rStyle w:val="Hyperlink"/>
            <w:rFonts w:eastAsia="Calibri"/>
          </w:rPr>
          <w:t>site</w:t>
        </w:r>
      </w:hyperlink>
      <w:r w:rsidRPr="00CF23DD">
        <w:rPr>
          <w:rFonts w:eastAsia="Calibri"/>
        </w:rPr>
        <w:t xml:space="preserve"> for the NMFS Alaska Region.</w:t>
      </w:r>
    </w:p>
    <w:p w:rsidR="008C7476" w:rsidP="008C7476" w:rsidRDefault="008C7476" w14:paraId="327A8494" w14:textId="463C3D19">
      <w:pPr>
        <w:widowControl/>
        <w:rPr>
          <w:rFonts w:eastAsia="Calibri"/>
        </w:rPr>
      </w:pPr>
    </w:p>
    <w:p w:rsidRPr="00CA5F62" w:rsidR="00CA5F62" w:rsidP="008C7476" w:rsidRDefault="00CA5F62" w14:paraId="1000CB4A" w14:textId="42856318">
      <w:pPr>
        <w:widowControl/>
        <w:rPr>
          <w:rFonts w:eastAsia="Calibri"/>
          <w:b/>
        </w:rPr>
      </w:pPr>
      <w:r w:rsidRPr="00CA5F62">
        <w:rPr>
          <w:rFonts w:eastAsia="Calibri"/>
          <w:b/>
        </w:rPr>
        <w:t>Cost Recovery F</w:t>
      </w:r>
      <w:r w:rsidR="00BB4534">
        <w:rPr>
          <w:rFonts w:eastAsia="Calibri"/>
          <w:b/>
        </w:rPr>
        <w:t>ees</w:t>
      </w:r>
    </w:p>
    <w:p w:rsidRPr="008C7476" w:rsidR="008C7476" w:rsidP="008C7476" w:rsidRDefault="008C7476" w14:paraId="213CF277" w14:textId="185E66FB">
      <w:pPr>
        <w:widowControl/>
        <w:rPr>
          <w:rFonts w:eastAsia="Calibri"/>
        </w:rPr>
      </w:pPr>
      <w:r w:rsidRPr="008C7476">
        <w:rPr>
          <w:rFonts w:eastAsia="Calibri"/>
        </w:rPr>
        <w:t xml:space="preserve">Section 304(d) of the Magnuson-Stevens Act authorizes and requires the collection of cost recovery fees for LAP programs and CDQ programs. The cost recovery fees may not exceed 3 percent of the ex-vessel value of the fishery, and must recover incremental (program) costs associated with the management, data collection, and enforcement of these programs that </w:t>
      </w:r>
      <w:proofErr w:type="gramStart"/>
      <w:r w:rsidRPr="008C7476">
        <w:rPr>
          <w:rFonts w:eastAsia="Calibri"/>
        </w:rPr>
        <w:t>are directly incurred</w:t>
      </w:r>
      <w:proofErr w:type="gramEnd"/>
      <w:r w:rsidRPr="008C7476">
        <w:rPr>
          <w:rFonts w:eastAsia="Calibri"/>
        </w:rPr>
        <w:t xml:space="preserve"> by government agencies tasked with overseeing these fisheries.</w:t>
      </w:r>
    </w:p>
    <w:p w:rsidR="008C7476" w:rsidP="008C7476" w:rsidRDefault="008C7476" w14:paraId="3A2E8AC2" w14:textId="6A8E8167">
      <w:pPr>
        <w:widowControl/>
        <w:rPr>
          <w:rFonts w:eastAsia="Calibri"/>
        </w:rPr>
      </w:pPr>
    </w:p>
    <w:p w:rsidR="00103B9E" w:rsidP="00103B9E" w:rsidRDefault="00103B9E" w14:paraId="4E44C07B" w14:textId="395AE5D5">
      <w:pPr>
        <w:autoSpaceDE w:val="0"/>
        <w:autoSpaceDN w:val="0"/>
        <w:adjustRightInd w:val="0"/>
      </w:pPr>
      <w:r w:rsidRPr="008C7476">
        <w:t>NMFS recovers the program costs associated with management, data collection, and enforcement of the seven cost recovery programs in this information collection</w:t>
      </w:r>
      <w:r w:rsidR="00E169A2">
        <w:t xml:space="preserve"> (see the table under #2</w:t>
      </w:r>
      <w:r w:rsidR="00E229EC">
        <w:t>)</w:t>
      </w:r>
      <w:r w:rsidRPr="008C7476">
        <w:t xml:space="preserve">. For any of these tasks, NMFS may recover only those costs for activities or aspects of activities that NMFS did not have to undertake prior to implementation or establishment of the program. </w:t>
      </w:r>
      <w:proofErr w:type="gramStart"/>
      <w:r w:rsidRPr="008C7476">
        <w:t>Examples of the specific management activities undertaken by staff at the NM</w:t>
      </w:r>
      <w:r>
        <w:t>F</w:t>
      </w:r>
      <w:r w:rsidRPr="008C7476">
        <w:t>S Alaska Region or the Alaska Fishery Science Center that are recoverable include at-sea scale inspections, creation and maintenance of software programs to track exclusive harvest privileges, development and implementation of regulation changes for programs subject to cost recovery, and staff time devoted to monitoring and tracking catch associated with a fishery subject to cost recovery.</w:t>
      </w:r>
      <w:proofErr w:type="gramEnd"/>
    </w:p>
    <w:p w:rsidR="00E229EC" w:rsidP="008C7476" w:rsidRDefault="00E229EC" w14:paraId="1DCFE4F8" w14:textId="77777777">
      <w:pPr>
        <w:widowControl/>
        <w:rPr>
          <w:rFonts w:eastAsia="Calibri"/>
        </w:rPr>
      </w:pPr>
    </w:p>
    <w:p w:rsidRPr="00CA5F62" w:rsidR="00CA5F62" w:rsidP="008C7476" w:rsidRDefault="00CA5F62" w14:paraId="2E0A027C" w14:textId="39A833C2">
      <w:pPr>
        <w:widowControl/>
        <w:rPr>
          <w:rFonts w:eastAsia="Calibri"/>
          <w:b/>
        </w:rPr>
      </w:pPr>
      <w:r w:rsidRPr="00CA5F62">
        <w:rPr>
          <w:rFonts w:eastAsia="Calibri"/>
          <w:b/>
        </w:rPr>
        <w:t xml:space="preserve">Observer </w:t>
      </w:r>
      <w:r w:rsidR="00EB780F">
        <w:rPr>
          <w:rFonts w:eastAsia="Calibri"/>
          <w:b/>
        </w:rPr>
        <w:t>Coverage</w:t>
      </w:r>
      <w:r w:rsidRPr="00CA5F62" w:rsidR="00EB780F">
        <w:rPr>
          <w:rFonts w:eastAsia="Calibri"/>
          <w:b/>
        </w:rPr>
        <w:t xml:space="preserve"> </w:t>
      </w:r>
      <w:r w:rsidRPr="00CA5F62">
        <w:rPr>
          <w:rFonts w:eastAsia="Calibri"/>
          <w:b/>
        </w:rPr>
        <w:t>Fee</w:t>
      </w:r>
    </w:p>
    <w:p w:rsidR="00BB4534" w:rsidP="008C7476" w:rsidRDefault="008C7476" w14:paraId="57AA8D9D" w14:textId="3F62EAC3">
      <w:pPr>
        <w:widowControl/>
        <w:autoSpaceDE w:val="0"/>
        <w:autoSpaceDN w:val="0"/>
        <w:adjustRightInd w:val="0"/>
      </w:pPr>
      <w:r w:rsidRPr="008C7476">
        <w:t>Section 313 of the Magnuson-Stevens Act authorizes a system of fees to support a fisheries research plan and deploy observers in the North Pacific fisheries. Unlike the cost recovery fees, this is a straight fee and does not recover incremental costs associated with the program. NMFS assesses a fee of 1.</w:t>
      </w:r>
      <w:r w:rsidR="00B3469F">
        <w:t>6</w:t>
      </w:r>
      <w:r w:rsidRPr="008C7476" w:rsidR="00B3469F">
        <w:t xml:space="preserve">5 </w:t>
      </w:r>
      <w:r w:rsidRPr="008C7476">
        <w:t xml:space="preserve">percent of the ex-vessel value of </w:t>
      </w:r>
      <w:proofErr w:type="spellStart"/>
      <w:r w:rsidRPr="008C7476">
        <w:t>groundfish</w:t>
      </w:r>
      <w:proofErr w:type="spellEnd"/>
      <w:r w:rsidRPr="008C7476">
        <w:t xml:space="preserve"> and halibut landed in the partial coverage category under the North Pacific Observer Program (Observer Program</w:t>
      </w:r>
      <w:r w:rsidRPr="001D1353">
        <w:t>)</w:t>
      </w:r>
      <w:r w:rsidR="00337ABE">
        <w:t xml:space="preserve"> (</w:t>
      </w:r>
      <w:hyperlink w:history="1" r:id="rId11">
        <w:r w:rsidRPr="00337ABE" w:rsidR="00337ABE">
          <w:rPr>
            <w:rStyle w:val="Hyperlink"/>
          </w:rPr>
          <w:t>85 FR 41424</w:t>
        </w:r>
      </w:hyperlink>
      <w:r w:rsidRPr="00337ABE" w:rsidR="00337ABE">
        <w:t>, July 10, 2020)</w:t>
      </w:r>
      <w:r w:rsidRPr="001D1353">
        <w:t>.</w:t>
      </w:r>
      <w:r w:rsidRPr="001D1353" w:rsidR="00BB4534">
        <w:t xml:space="preserve"> </w:t>
      </w:r>
      <w:r w:rsidRPr="00D460A5" w:rsidR="001D1353">
        <w:rPr>
          <w:color w:val="000000" w:themeColor="text1"/>
        </w:rPr>
        <w:t>T</w:t>
      </w:r>
      <w:r w:rsidRPr="00D460A5" w:rsidR="001D1353">
        <w:rPr>
          <w:rStyle w:val="CommentReference"/>
          <w:color w:val="000000" w:themeColor="text1"/>
          <w:sz w:val="24"/>
          <w:szCs w:val="24"/>
        </w:rPr>
        <w:t xml:space="preserve">he fee percentage is set in regulations at § 679.55 and reviewed periodically by the Council. </w:t>
      </w:r>
      <w:r w:rsidRPr="001D1353" w:rsidR="00EB780F">
        <w:t>Vessels</w:t>
      </w:r>
      <w:r w:rsidRPr="008C7476" w:rsidR="00EB780F">
        <w:t xml:space="preserve"> and processing plants in the full coverage category </w:t>
      </w:r>
      <w:r w:rsidR="00EB780F">
        <w:t xml:space="preserve">under the Observer Program </w:t>
      </w:r>
      <w:r w:rsidRPr="008C7476" w:rsidR="00EB780F">
        <w:t>directly pay observer providers for the observer on their vessel or in their plant.</w:t>
      </w:r>
      <w:r w:rsidR="00BC468D">
        <w:t xml:space="preserve"> I</w:t>
      </w:r>
      <w:r w:rsidR="00266621">
        <w:t xml:space="preserve">nformation on the Observer Program </w:t>
      </w:r>
      <w:proofErr w:type="gramStart"/>
      <w:r w:rsidR="00266621">
        <w:t>is provided</w:t>
      </w:r>
      <w:proofErr w:type="gramEnd"/>
      <w:r w:rsidR="00266621">
        <w:t xml:space="preserve"> on the </w:t>
      </w:r>
      <w:hyperlink w:history="1" r:id="rId12">
        <w:r w:rsidRPr="00187748" w:rsidR="00266621">
          <w:rPr>
            <w:rStyle w:val="Hyperlink"/>
          </w:rPr>
          <w:t xml:space="preserve">Observer Program </w:t>
        </w:r>
        <w:r w:rsidRPr="00187748" w:rsidR="00187748">
          <w:rPr>
            <w:rStyle w:val="Hyperlink"/>
          </w:rPr>
          <w:t>website</w:t>
        </w:r>
      </w:hyperlink>
      <w:r w:rsidR="00266621">
        <w:t xml:space="preserve"> for the NMFS Alaska R</w:t>
      </w:r>
      <w:r w:rsidR="00187748">
        <w:t>egion</w:t>
      </w:r>
      <w:r w:rsidR="00266621">
        <w:t xml:space="preserve">. </w:t>
      </w:r>
    </w:p>
    <w:p w:rsidR="00BB4534" w:rsidP="008C7476" w:rsidRDefault="00BB4534" w14:paraId="5ACD455A" w14:textId="77777777">
      <w:pPr>
        <w:widowControl/>
        <w:autoSpaceDE w:val="0"/>
        <w:autoSpaceDN w:val="0"/>
        <w:adjustRightInd w:val="0"/>
      </w:pPr>
    </w:p>
    <w:p w:rsidRPr="008C7476" w:rsidR="008C7476" w:rsidP="008C7476" w:rsidRDefault="00BB4534" w14:paraId="2CFE53A1" w14:textId="3A1FA68D">
      <w:pPr>
        <w:autoSpaceDE w:val="0"/>
        <w:autoSpaceDN w:val="0"/>
        <w:adjustRightInd w:val="0"/>
      </w:pPr>
      <w:r w:rsidRPr="008C7476">
        <w:t>The observer coverage fee funds deployment of observers and electronic monitoring in the partial coverage category of the Observer Program.</w:t>
      </w:r>
      <w:r w:rsidRPr="008C7476" w:rsidR="008C7476">
        <w:t xml:space="preserve"> NMFS </w:t>
      </w:r>
      <w:proofErr w:type="gramStart"/>
      <w:r w:rsidRPr="008C7476" w:rsidR="008C7476">
        <w:t>is authorized</w:t>
      </w:r>
      <w:proofErr w:type="gramEnd"/>
      <w:r w:rsidRPr="008C7476" w:rsidR="008C7476">
        <w:t xml:space="preserve"> to use the observer fees for stationing observers and electronic monitoring systems on board fishing vessels and processing plants that have been selected for observer coverage in the partial coverage category. The information collected by observers provides scientific information for minimizing bycatch </w:t>
      </w:r>
      <w:r w:rsidRPr="008C7476" w:rsidR="008C7476">
        <w:lastRenderedPageBreak/>
        <w:t xml:space="preserve">and managing the </w:t>
      </w:r>
      <w:proofErr w:type="spellStart"/>
      <w:r w:rsidRPr="008C7476" w:rsidR="008C7476">
        <w:t>groundfish</w:t>
      </w:r>
      <w:proofErr w:type="spellEnd"/>
      <w:r w:rsidRPr="008C7476" w:rsidR="008C7476">
        <w:t xml:space="preserve"> and halibut fisheries in the BSAI and Gulf of Alaska.</w:t>
      </w:r>
      <w:r w:rsidR="00BC468D">
        <w:t xml:space="preserve"> </w:t>
      </w:r>
    </w:p>
    <w:p w:rsidR="00650CE1" w:rsidP="008C7476" w:rsidRDefault="00650CE1" w14:paraId="23801CD9" w14:textId="1528A170">
      <w:pPr>
        <w:autoSpaceDE w:val="0"/>
        <w:autoSpaceDN w:val="0"/>
        <w:adjustRightInd w:val="0"/>
      </w:pPr>
    </w:p>
    <w:p w:rsidR="00BD2A55" w:rsidP="00DC6F01" w:rsidRDefault="00333FBA" w14:paraId="5C0BBF1E" w14:textId="77777777">
      <w:pPr>
        <w:pStyle w:val="Heading1"/>
        <w:numPr>
          <w:ilvl w:val="0"/>
          <w:numId w:val="3"/>
        </w:numPr>
        <w:tabs>
          <w:tab w:val="left" w:pos="360"/>
        </w:tabs>
        <w:spacing w:before="0"/>
        <w:ind w:left="0" w:firstLine="0"/>
      </w:pPr>
      <w:r>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005372AA" w:rsidP="005372AA" w:rsidRDefault="005372AA" w14:paraId="5AFB7C26" w14:textId="77777777">
      <w:pPr>
        <w:autoSpaceDE w:val="0"/>
        <w:autoSpaceDN w:val="0"/>
        <w:adjustRightInd w:val="0"/>
      </w:pPr>
    </w:p>
    <w:p w:rsidR="005372AA" w:rsidP="007A0B96" w:rsidRDefault="003733DD" w14:paraId="345DE43A" w14:textId="149CB30D">
      <w:pPr>
        <w:widowControl/>
        <w:rPr>
          <w:b/>
        </w:rPr>
      </w:pPr>
      <w:r w:rsidRPr="00650CE1">
        <w:rPr>
          <w:rFonts w:eastAsia="Calibri"/>
        </w:rPr>
        <w:t>This information collection contains the following NMFS Alaska Region fee payments, reports, and appeals</w:t>
      </w:r>
      <w:r>
        <w:rPr>
          <w:rFonts w:eastAsia="Calibri"/>
        </w:rPr>
        <w:t>.</w:t>
      </w:r>
      <w:r w:rsidR="00D21E4B">
        <w:rPr>
          <w:rFonts w:eastAsia="Calibri"/>
        </w:rPr>
        <w:t xml:space="preserve"> </w:t>
      </w:r>
      <w:r w:rsidR="00600FB4">
        <w:rPr>
          <w:rFonts w:eastAsia="Calibri"/>
        </w:rPr>
        <w:t xml:space="preserve">All </w:t>
      </w:r>
      <w:proofErr w:type="gramStart"/>
      <w:r w:rsidR="00600FB4">
        <w:rPr>
          <w:rFonts w:eastAsia="Calibri"/>
        </w:rPr>
        <w:t>are submitted</w:t>
      </w:r>
      <w:proofErr w:type="gramEnd"/>
      <w:r w:rsidR="00600FB4">
        <w:rPr>
          <w:rFonts w:eastAsia="Calibri"/>
        </w:rPr>
        <w:t xml:space="preserve"> annually except for </w:t>
      </w:r>
      <w:r w:rsidR="00060055">
        <w:rPr>
          <w:rFonts w:eastAsia="Calibri"/>
        </w:rPr>
        <w:t xml:space="preserve">the </w:t>
      </w:r>
      <w:r w:rsidR="00145667">
        <w:rPr>
          <w:rFonts w:eastAsia="Calibri"/>
        </w:rPr>
        <w:t xml:space="preserve">two </w:t>
      </w:r>
      <w:r w:rsidRPr="00E04936" w:rsidR="00060055">
        <w:rPr>
          <w:rFonts w:eastAsia="Calibri"/>
        </w:rPr>
        <w:t>fee calculation</w:t>
      </w:r>
      <w:r w:rsidR="00060055">
        <w:rPr>
          <w:rFonts w:eastAsia="Calibri"/>
        </w:rPr>
        <w:t xml:space="preserve"> forms and </w:t>
      </w:r>
      <w:r w:rsidR="00600FB4">
        <w:rPr>
          <w:rFonts w:eastAsia="Calibri"/>
        </w:rPr>
        <w:t xml:space="preserve">appeals, which are submitted </w:t>
      </w:r>
      <w:r w:rsidR="00906270">
        <w:rPr>
          <w:rFonts w:eastAsia="Calibri"/>
        </w:rPr>
        <w:t>when needed</w:t>
      </w:r>
      <w:r w:rsidR="007A0B96">
        <w:rPr>
          <w:rFonts w:eastAsia="Calibri"/>
        </w:rPr>
        <w:t>.</w:t>
      </w:r>
      <w:r w:rsidR="00D21E4B">
        <w:rPr>
          <w:rFonts w:eastAsia="Calibri"/>
        </w:rPr>
        <w:t xml:space="preserve"> </w:t>
      </w:r>
    </w:p>
    <w:p w:rsidR="003733DD" w:rsidP="00DC6F01" w:rsidRDefault="003733DD" w14:paraId="49EA64C2" w14:textId="63D88A76">
      <w:pPr>
        <w:pStyle w:val="Heading1"/>
        <w:spacing w:before="0"/>
        <w:ind w:left="0"/>
        <w:rPr>
          <w:b w:val="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76"/>
        <w:gridCol w:w="1344"/>
        <w:gridCol w:w="3113"/>
        <w:gridCol w:w="1079"/>
        <w:gridCol w:w="773"/>
        <w:gridCol w:w="2813"/>
      </w:tblGrid>
      <w:tr w:rsidRPr="00650CE1" w:rsidR="00056EAF" w:rsidTr="00D22B45" w14:paraId="0F0F2A44" w14:textId="685128F7">
        <w:trPr>
          <w:trHeight w:val="966"/>
          <w:tblHeader/>
          <w:jc w:val="center"/>
        </w:trPr>
        <w:tc>
          <w:tcPr>
            <w:tcW w:w="2076" w:type="dxa"/>
            <w:tcBorders>
              <w:bottom w:val="single" w:color="auto" w:sz="4" w:space="0"/>
            </w:tcBorders>
            <w:shd w:val="clear" w:color="auto" w:fill="DBE5F1"/>
            <w:vAlign w:val="center"/>
          </w:tcPr>
          <w:p w:rsidRPr="00650CE1" w:rsidR="00056EAF" w:rsidP="00600FB4" w:rsidRDefault="00056EAF" w14:paraId="22B3C233" w14:textId="40E394B7">
            <w:pPr>
              <w:widowControl/>
              <w:jc w:val="center"/>
              <w:rPr>
                <w:rFonts w:ascii="Calibri" w:hAnsi="Calibri" w:eastAsia="Calibri"/>
                <w:b/>
                <w:sz w:val="20"/>
                <w:szCs w:val="20"/>
              </w:rPr>
            </w:pPr>
            <w:r w:rsidRPr="00650CE1">
              <w:rPr>
                <w:rFonts w:ascii="Calibri" w:hAnsi="Calibri" w:eastAsia="Calibri"/>
                <w:b/>
                <w:sz w:val="20"/>
                <w:szCs w:val="20"/>
              </w:rPr>
              <w:t>R</w:t>
            </w:r>
            <w:r>
              <w:rPr>
                <w:rFonts w:ascii="Calibri" w:hAnsi="Calibri" w:eastAsia="Calibri"/>
                <w:b/>
                <w:sz w:val="20"/>
                <w:szCs w:val="20"/>
              </w:rPr>
              <w:t>equirements</w:t>
            </w:r>
          </w:p>
        </w:tc>
        <w:tc>
          <w:tcPr>
            <w:tcW w:w="1343" w:type="dxa"/>
            <w:tcBorders>
              <w:bottom w:val="single" w:color="auto" w:sz="4" w:space="0"/>
            </w:tcBorders>
            <w:shd w:val="clear" w:color="auto" w:fill="DBE5F1"/>
            <w:vAlign w:val="center"/>
          </w:tcPr>
          <w:p w:rsidR="00056EAF" w:rsidP="00BF5075" w:rsidRDefault="00056EAF" w14:paraId="60B69390" w14:textId="289722A0">
            <w:pPr>
              <w:widowControl/>
              <w:jc w:val="center"/>
              <w:rPr>
                <w:rFonts w:ascii="Calibri" w:hAnsi="Calibri" w:eastAsia="Calibri"/>
                <w:b/>
                <w:sz w:val="20"/>
                <w:szCs w:val="20"/>
              </w:rPr>
            </w:pPr>
            <w:r>
              <w:rPr>
                <w:rFonts w:ascii="Calibri" w:hAnsi="Calibri" w:eastAsia="Calibri"/>
                <w:b/>
                <w:sz w:val="20"/>
                <w:szCs w:val="20"/>
              </w:rPr>
              <w:t>Regulations</w:t>
            </w:r>
          </w:p>
          <w:p w:rsidRPr="00650CE1" w:rsidR="00056EAF" w:rsidP="00BF5075" w:rsidRDefault="00056EAF" w14:paraId="2CFD5E16" w14:textId="6E923315">
            <w:pPr>
              <w:widowControl/>
              <w:jc w:val="center"/>
              <w:rPr>
                <w:rFonts w:ascii="Calibri" w:hAnsi="Calibri" w:eastAsia="Calibri"/>
                <w:b/>
                <w:sz w:val="20"/>
                <w:szCs w:val="20"/>
              </w:rPr>
            </w:pPr>
            <w:r>
              <w:rPr>
                <w:rFonts w:ascii="Calibri" w:hAnsi="Calibri" w:eastAsia="Calibri"/>
                <w:b/>
                <w:sz w:val="20"/>
                <w:szCs w:val="20"/>
              </w:rPr>
              <w:t>(50 CFR)</w:t>
            </w:r>
            <w:r w:rsidRPr="00650CE1">
              <w:rPr>
                <w:rFonts w:ascii="Calibri" w:hAnsi="Calibri" w:eastAsia="Calibri"/>
                <w:b/>
                <w:sz w:val="20"/>
                <w:szCs w:val="20"/>
              </w:rPr>
              <w:t xml:space="preserve"> </w:t>
            </w:r>
          </w:p>
        </w:tc>
        <w:tc>
          <w:tcPr>
            <w:tcW w:w="3113" w:type="dxa"/>
            <w:tcBorders>
              <w:bottom w:val="single" w:color="auto" w:sz="4" w:space="0"/>
            </w:tcBorders>
            <w:shd w:val="clear" w:color="auto" w:fill="DBE5F1"/>
            <w:vAlign w:val="center"/>
          </w:tcPr>
          <w:p w:rsidRPr="00650CE1" w:rsidR="00056EAF" w:rsidP="00266C5F" w:rsidRDefault="00056EAF" w14:paraId="0668AE9D" w14:textId="1AF121EC">
            <w:pPr>
              <w:widowControl/>
              <w:jc w:val="center"/>
              <w:rPr>
                <w:rFonts w:ascii="Calibri" w:hAnsi="Calibri" w:eastAsia="Calibri"/>
                <w:b/>
                <w:sz w:val="20"/>
                <w:szCs w:val="20"/>
              </w:rPr>
            </w:pPr>
            <w:r w:rsidRPr="00600FB4">
              <w:rPr>
                <w:rFonts w:ascii="Calibri" w:hAnsi="Calibri" w:eastAsia="Calibri"/>
                <w:b/>
                <w:sz w:val="20"/>
                <w:szCs w:val="20"/>
              </w:rPr>
              <w:t xml:space="preserve">Who submits the </w:t>
            </w:r>
            <w:r w:rsidR="00943D76">
              <w:rPr>
                <w:rFonts w:ascii="Calibri" w:hAnsi="Calibri" w:eastAsia="Calibri"/>
                <w:b/>
                <w:sz w:val="20"/>
                <w:szCs w:val="20"/>
              </w:rPr>
              <w:t xml:space="preserve">fee or </w:t>
            </w:r>
            <w:r w:rsidRPr="00600FB4">
              <w:rPr>
                <w:rFonts w:ascii="Calibri" w:hAnsi="Calibri" w:eastAsia="Calibri"/>
                <w:b/>
                <w:sz w:val="20"/>
                <w:szCs w:val="20"/>
              </w:rPr>
              <w:t>information?</w:t>
            </w:r>
          </w:p>
        </w:tc>
        <w:tc>
          <w:tcPr>
            <w:tcW w:w="1079" w:type="dxa"/>
            <w:tcBorders>
              <w:bottom w:val="single" w:color="auto" w:sz="4" w:space="0"/>
            </w:tcBorders>
            <w:shd w:val="clear" w:color="auto" w:fill="DBE5F1"/>
            <w:vAlign w:val="center"/>
          </w:tcPr>
          <w:p w:rsidRPr="00650CE1" w:rsidR="00056EAF" w:rsidP="00266C5F" w:rsidRDefault="00056EAF" w14:paraId="0C9D6978" w14:textId="336DB77C">
            <w:pPr>
              <w:widowControl/>
              <w:jc w:val="center"/>
              <w:rPr>
                <w:rFonts w:ascii="Calibri" w:hAnsi="Calibri" w:eastAsia="Calibri"/>
                <w:b/>
                <w:sz w:val="20"/>
                <w:szCs w:val="20"/>
              </w:rPr>
            </w:pPr>
            <w:r>
              <w:rPr>
                <w:rFonts w:ascii="Calibri" w:hAnsi="Calibri" w:eastAsia="Calibri"/>
                <w:b/>
                <w:sz w:val="20"/>
                <w:szCs w:val="20"/>
              </w:rPr>
              <w:t xml:space="preserve">How </w:t>
            </w:r>
            <w:proofErr w:type="gramStart"/>
            <w:r>
              <w:rPr>
                <w:rFonts w:ascii="Calibri" w:hAnsi="Calibri" w:eastAsia="Calibri"/>
                <w:b/>
                <w:sz w:val="20"/>
                <w:szCs w:val="20"/>
              </w:rPr>
              <w:t>is the payment or information submitted</w:t>
            </w:r>
            <w:proofErr w:type="gramEnd"/>
            <w:r>
              <w:rPr>
                <w:rFonts w:ascii="Calibri" w:hAnsi="Calibri" w:eastAsia="Calibri"/>
                <w:b/>
                <w:sz w:val="20"/>
                <w:szCs w:val="20"/>
              </w:rPr>
              <w:t>?</w:t>
            </w:r>
          </w:p>
        </w:tc>
        <w:tc>
          <w:tcPr>
            <w:tcW w:w="773" w:type="dxa"/>
            <w:tcBorders>
              <w:bottom w:val="single" w:color="auto" w:sz="4" w:space="0"/>
            </w:tcBorders>
            <w:shd w:val="clear" w:color="auto" w:fill="DBE5F1"/>
            <w:vAlign w:val="center"/>
          </w:tcPr>
          <w:p w:rsidR="00056EAF" w:rsidP="00056EAF" w:rsidRDefault="00056EAF" w14:paraId="1E7E6D29" w14:textId="730C3240">
            <w:pPr>
              <w:widowControl/>
              <w:jc w:val="center"/>
              <w:rPr>
                <w:rFonts w:ascii="Calibri" w:hAnsi="Calibri" w:eastAsia="Calibri"/>
                <w:b/>
                <w:sz w:val="20"/>
                <w:szCs w:val="20"/>
              </w:rPr>
            </w:pPr>
            <w:r>
              <w:rPr>
                <w:rFonts w:ascii="Calibri" w:hAnsi="Calibri" w:eastAsia="Calibri"/>
                <w:b/>
                <w:sz w:val="20"/>
                <w:szCs w:val="20"/>
              </w:rPr>
              <w:t>Is there a form?</w:t>
            </w:r>
          </w:p>
        </w:tc>
        <w:tc>
          <w:tcPr>
            <w:tcW w:w="2813" w:type="dxa"/>
            <w:tcBorders>
              <w:bottom w:val="single" w:color="auto" w:sz="4" w:space="0"/>
            </w:tcBorders>
            <w:shd w:val="clear" w:color="auto" w:fill="DBE5F1"/>
            <w:vAlign w:val="center"/>
          </w:tcPr>
          <w:p w:rsidRPr="00650CE1" w:rsidR="00056EAF" w:rsidP="00266C5F" w:rsidRDefault="00056EAF" w14:paraId="0DE3DCFD" w14:textId="06C71507">
            <w:pPr>
              <w:widowControl/>
              <w:jc w:val="center"/>
              <w:rPr>
                <w:rFonts w:ascii="Calibri" w:hAnsi="Calibri" w:eastAsia="Calibri"/>
                <w:b/>
                <w:sz w:val="20"/>
                <w:szCs w:val="20"/>
              </w:rPr>
            </w:pPr>
            <w:r>
              <w:rPr>
                <w:rFonts w:ascii="Calibri" w:hAnsi="Calibri" w:eastAsia="Calibri"/>
                <w:b/>
                <w:sz w:val="20"/>
                <w:szCs w:val="20"/>
              </w:rPr>
              <w:t>Payment or Submission Deadline</w:t>
            </w:r>
          </w:p>
        </w:tc>
      </w:tr>
      <w:tr w:rsidRPr="00650CE1" w:rsidR="003D6376" w:rsidTr="00D22B45" w14:paraId="4BBAC3EC" w14:textId="79A198D1">
        <w:trPr>
          <w:trHeight w:val="386"/>
          <w:jc w:val="center"/>
        </w:trPr>
        <w:tc>
          <w:tcPr>
            <w:tcW w:w="3420" w:type="dxa"/>
            <w:gridSpan w:val="2"/>
            <w:tcBorders>
              <w:top w:val="single" w:color="auto" w:sz="4" w:space="0"/>
              <w:left w:val="single" w:color="auto" w:sz="4" w:space="0"/>
              <w:bottom w:val="single" w:color="auto" w:sz="4" w:space="0"/>
              <w:right w:val="nil"/>
            </w:tcBorders>
            <w:shd w:val="clear" w:color="auto" w:fill="FBE4D5"/>
            <w:vAlign w:val="center"/>
          </w:tcPr>
          <w:p w:rsidRPr="00650CE1" w:rsidR="003D6376" w:rsidP="007E379F" w:rsidRDefault="003D6376" w14:paraId="35850919" w14:textId="603BC253">
            <w:pPr>
              <w:widowControl/>
              <w:rPr>
                <w:rFonts w:ascii="Calibri" w:hAnsi="Calibri" w:eastAsia="Calibri"/>
                <w:b/>
                <w:sz w:val="20"/>
                <w:szCs w:val="20"/>
              </w:rPr>
            </w:pPr>
            <w:r w:rsidRPr="00426FE1">
              <w:rPr>
                <w:rFonts w:ascii="Calibri" w:hAnsi="Calibri" w:eastAsia="Calibri"/>
                <w:i/>
                <w:sz w:val="20"/>
                <w:szCs w:val="20"/>
              </w:rPr>
              <w:t>Observer Coverage Fee</w:t>
            </w:r>
            <w:r>
              <w:rPr>
                <w:rFonts w:ascii="Calibri" w:hAnsi="Calibri" w:eastAsia="Calibri"/>
                <w:i/>
                <w:sz w:val="20"/>
                <w:szCs w:val="20"/>
              </w:rPr>
              <w:t xml:space="preserve"> </w:t>
            </w:r>
          </w:p>
        </w:tc>
        <w:tc>
          <w:tcPr>
            <w:tcW w:w="3113" w:type="dxa"/>
            <w:tcBorders>
              <w:top w:val="single" w:color="auto" w:sz="4" w:space="0"/>
              <w:left w:val="nil"/>
              <w:bottom w:val="single" w:color="auto" w:sz="4" w:space="0"/>
              <w:right w:val="nil"/>
            </w:tcBorders>
            <w:shd w:val="clear" w:color="auto" w:fill="FBE4D5"/>
          </w:tcPr>
          <w:p w:rsidRPr="00650CE1" w:rsidR="003D6376" w:rsidP="00266C5F" w:rsidRDefault="003D6376" w14:paraId="7C60AE2E" w14:textId="77777777">
            <w:pPr>
              <w:widowControl/>
              <w:jc w:val="center"/>
              <w:rPr>
                <w:rFonts w:ascii="Calibri" w:hAnsi="Calibri" w:eastAsia="Calibri"/>
                <w:b/>
                <w:sz w:val="20"/>
                <w:szCs w:val="20"/>
              </w:rPr>
            </w:pPr>
          </w:p>
        </w:tc>
        <w:tc>
          <w:tcPr>
            <w:tcW w:w="1079" w:type="dxa"/>
            <w:tcBorders>
              <w:top w:val="single" w:color="auto" w:sz="4" w:space="0"/>
              <w:left w:val="nil"/>
              <w:bottom w:val="single" w:color="auto" w:sz="4" w:space="0"/>
              <w:right w:val="nil"/>
            </w:tcBorders>
            <w:shd w:val="clear" w:color="auto" w:fill="FBE4D5"/>
          </w:tcPr>
          <w:p w:rsidRPr="00650CE1" w:rsidR="003D6376" w:rsidP="00266C5F" w:rsidRDefault="003D6376" w14:paraId="477091FF" w14:textId="77777777">
            <w:pPr>
              <w:widowControl/>
              <w:jc w:val="center"/>
              <w:rPr>
                <w:rFonts w:ascii="Calibri" w:hAnsi="Calibri" w:eastAsia="Calibri"/>
                <w:b/>
                <w:sz w:val="20"/>
                <w:szCs w:val="20"/>
              </w:rPr>
            </w:pPr>
          </w:p>
        </w:tc>
        <w:tc>
          <w:tcPr>
            <w:tcW w:w="773" w:type="dxa"/>
            <w:tcBorders>
              <w:top w:val="single" w:color="auto" w:sz="4" w:space="0"/>
              <w:left w:val="nil"/>
              <w:bottom w:val="single" w:color="auto" w:sz="4" w:space="0"/>
              <w:right w:val="nil"/>
            </w:tcBorders>
            <w:shd w:val="clear" w:color="auto" w:fill="FBE4D5"/>
            <w:vAlign w:val="center"/>
          </w:tcPr>
          <w:p w:rsidRPr="00650CE1" w:rsidR="003D6376" w:rsidP="00056EAF" w:rsidRDefault="003D6376" w14:paraId="58F96D16" w14:textId="77777777">
            <w:pPr>
              <w:widowControl/>
              <w:jc w:val="center"/>
              <w:rPr>
                <w:rFonts w:ascii="Calibri" w:hAnsi="Calibri" w:eastAsia="Calibri"/>
                <w:b/>
                <w:sz w:val="20"/>
                <w:szCs w:val="20"/>
              </w:rPr>
            </w:pPr>
          </w:p>
        </w:tc>
        <w:tc>
          <w:tcPr>
            <w:tcW w:w="2813" w:type="dxa"/>
            <w:tcBorders>
              <w:top w:val="single" w:color="auto" w:sz="4" w:space="0"/>
              <w:left w:val="nil"/>
              <w:bottom w:val="single" w:color="auto" w:sz="4" w:space="0"/>
              <w:right w:val="single" w:color="auto" w:sz="4" w:space="0"/>
            </w:tcBorders>
            <w:shd w:val="clear" w:color="auto" w:fill="FBE4D5"/>
          </w:tcPr>
          <w:p w:rsidRPr="00650CE1" w:rsidR="003D6376" w:rsidP="00266C5F" w:rsidRDefault="003D6376" w14:paraId="449DB815" w14:textId="732E7989">
            <w:pPr>
              <w:widowControl/>
              <w:jc w:val="center"/>
              <w:rPr>
                <w:rFonts w:ascii="Calibri" w:hAnsi="Calibri" w:eastAsia="Calibri"/>
                <w:b/>
                <w:sz w:val="20"/>
                <w:szCs w:val="20"/>
              </w:rPr>
            </w:pPr>
          </w:p>
        </w:tc>
      </w:tr>
      <w:tr w:rsidRPr="00650CE1" w:rsidR="00056EAF" w:rsidTr="00D22B45" w14:paraId="4F473AD9" w14:textId="71ABCC4D">
        <w:trPr>
          <w:trHeight w:val="572"/>
          <w:jc w:val="center"/>
        </w:trPr>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rsidRPr="00650CE1" w:rsidR="00056EAF" w:rsidP="00F52848" w:rsidRDefault="00056EAF" w14:paraId="56FB0548" w14:textId="77777777">
            <w:pPr>
              <w:widowControl/>
              <w:rPr>
                <w:rFonts w:ascii="Calibri" w:hAnsi="Calibri" w:eastAsia="Calibri"/>
                <w:sz w:val="20"/>
                <w:szCs w:val="20"/>
              </w:rPr>
            </w:pPr>
            <w:r w:rsidRPr="00650CE1">
              <w:rPr>
                <w:rFonts w:ascii="Calibri" w:hAnsi="Calibri" w:eastAsia="Calibri"/>
                <w:sz w:val="20"/>
                <w:szCs w:val="20"/>
              </w:rPr>
              <w:t>Observer Coverage Fee Payment</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rsidRPr="00650CE1" w:rsidR="00056EAF" w:rsidP="00F52848" w:rsidRDefault="00CA270E" w14:paraId="77067F1C" w14:textId="24D83D94">
            <w:pPr>
              <w:widowControl/>
              <w:jc w:val="center"/>
              <w:rPr>
                <w:rFonts w:ascii="Calibri" w:hAnsi="Calibri" w:eastAsia="Calibri"/>
                <w:sz w:val="20"/>
                <w:szCs w:val="20"/>
              </w:rPr>
            </w:pPr>
            <w:hyperlink w:history="1" r:id="rId13">
              <w:r w:rsidRPr="00BF5075" w:rsidR="00056EAF">
                <w:rPr>
                  <w:rStyle w:val="Hyperlink"/>
                  <w:rFonts w:ascii="Calibri" w:hAnsi="Calibri" w:eastAsia="Calibri"/>
                  <w:sz w:val="20"/>
                  <w:szCs w:val="20"/>
                </w:rPr>
                <w:t>§ 679.55</w:t>
              </w:r>
            </w:hyperlink>
          </w:p>
        </w:tc>
        <w:tc>
          <w:tcPr>
            <w:tcW w:w="3113" w:type="dxa"/>
            <w:tcBorders>
              <w:bottom w:val="single" w:color="auto" w:sz="4" w:space="0"/>
            </w:tcBorders>
            <w:shd w:val="clear" w:color="auto" w:fill="auto"/>
            <w:vAlign w:val="center"/>
          </w:tcPr>
          <w:p w:rsidRPr="00650CE1" w:rsidR="00056EAF" w:rsidP="00F52848" w:rsidRDefault="00E47429" w14:paraId="3CA3B728" w14:textId="08EFCA90">
            <w:pPr>
              <w:widowControl/>
              <w:rPr>
                <w:rFonts w:ascii="Calibri" w:hAnsi="Calibri" w:eastAsia="Calibri"/>
                <w:sz w:val="20"/>
                <w:szCs w:val="20"/>
              </w:rPr>
            </w:pPr>
            <w:r w:rsidRPr="00E47429">
              <w:rPr>
                <w:rFonts w:ascii="Calibri" w:hAnsi="Calibri" w:eastAsia="Calibri"/>
                <w:sz w:val="20"/>
                <w:szCs w:val="20"/>
              </w:rPr>
              <w:t xml:space="preserve">While the owners of catcher vessels and processors in the partial coverage category </w:t>
            </w:r>
            <w:r>
              <w:rPr>
                <w:rFonts w:ascii="Calibri" w:hAnsi="Calibri" w:eastAsia="Calibri"/>
                <w:sz w:val="20"/>
                <w:szCs w:val="20"/>
              </w:rPr>
              <w:t xml:space="preserve">of the Observer Program </w:t>
            </w:r>
            <w:r w:rsidRPr="00E47429">
              <w:rPr>
                <w:rFonts w:ascii="Calibri" w:hAnsi="Calibri" w:eastAsia="Calibri"/>
                <w:sz w:val="20"/>
                <w:szCs w:val="20"/>
              </w:rPr>
              <w:t xml:space="preserve">are each responsible for paying their portion of the fee, the owners of </w:t>
            </w:r>
            <w:proofErr w:type="spellStart"/>
            <w:r w:rsidRPr="00E47429">
              <w:rPr>
                <w:rFonts w:ascii="Calibri" w:hAnsi="Calibri" w:eastAsia="Calibri"/>
                <w:sz w:val="20"/>
                <w:szCs w:val="20"/>
              </w:rPr>
              <w:t>shoreside</w:t>
            </w:r>
            <w:proofErr w:type="spellEnd"/>
            <w:r w:rsidRPr="00E47429">
              <w:rPr>
                <w:rFonts w:ascii="Calibri" w:hAnsi="Calibri" w:eastAsia="Calibri"/>
                <w:sz w:val="20"/>
                <w:szCs w:val="20"/>
              </w:rPr>
              <w:t xml:space="preserve"> or stationary floating processors and registered buyers are responsible for collecting the fees from catcher vessels, and remitting the full fee to NMFS. Owners of catcher/processors in the partial coverage category are responsible for remitting the full fee to NMFS.</w:t>
            </w:r>
          </w:p>
        </w:tc>
        <w:tc>
          <w:tcPr>
            <w:tcW w:w="1079" w:type="dxa"/>
            <w:tcBorders>
              <w:bottom w:val="single" w:color="auto" w:sz="4" w:space="0"/>
            </w:tcBorders>
            <w:shd w:val="clear" w:color="auto" w:fill="auto"/>
            <w:vAlign w:val="center"/>
          </w:tcPr>
          <w:p w:rsidRPr="00650CE1" w:rsidR="00056EAF" w:rsidP="00F52848" w:rsidRDefault="00056EAF" w14:paraId="66C99B88" w14:textId="1BF97F16">
            <w:pPr>
              <w:widowControl/>
              <w:jc w:val="center"/>
              <w:rPr>
                <w:rFonts w:ascii="Calibri" w:hAnsi="Calibri" w:eastAsia="Calibri"/>
                <w:sz w:val="20"/>
                <w:szCs w:val="20"/>
              </w:rPr>
            </w:pPr>
            <w:proofErr w:type="spellStart"/>
            <w:r>
              <w:rPr>
                <w:rFonts w:ascii="Calibri" w:hAnsi="Calibri" w:eastAsia="Calibri"/>
                <w:sz w:val="20"/>
                <w:szCs w:val="20"/>
              </w:rPr>
              <w:t>eFISH</w:t>
            </w:r>
            <w:proofErr w:type="spellEnd"/>
          </w:p>
        </w:tc>
        <w:tc>
          <w:tcPr>
            <w:tcW w:w="773" w:type="dxa"/>
            <w:tcBorders>
              <w:bottom w:val="single" w:color="auto" w:sz="4" w:space="0"/>
            </w:tcBorders>
            <w:vAlign w:val="center"/>
          </w:tcPr>
          <w:p w:rsidRPr="00650CE1" w:rsidR="00056EAF" w:rsidP="00056EAF" w:rsidRDefault="00056EAF" w14:paraId="2B75B06E" w14:textId="73E90942">
            <w:pPr>
              <w:widowControl/>
              <w:jc w:val="center"/>
              <w:rPr>
                <w:rFonts w:ascii="Calibri" w:hAnsi="Calibri" w:eastAsia="Calibri"/>
                <w:sz w:val="20"/>
                <w:szCs w:val="20"/>
              </w:rPr>
            </w:pPr>
            <w:r>
              <w:rPr>
                <w:rFonts w:ascii="Calibri" w:hAnsi="Calibri" w:eastAsia="Calibri"/>
                <w:sz w:val="20"/>
                <w:szCs w:val="20"/>
              </w:rPr>
              <w:t>N</w:t>
            </w:r>
          </w:p>
        </w:tc>
        <w:tc>
          <w:tcPr>
            <w:tcW w:w="2813" w:type="dxa"/>
            <w:tcBorders>
              <w:bottom w:val="single" w:color="auto" w:sz="4" w:space="0"/>
            </w:tcBorders>
            <w:shd w:val="clear" w:color="auto" w:fill="auto"/>
            <w:vAlign w:val="center"/>
          </w:tcPr>
          <w:p w:rsidRPr="00650CE1" w:rsidR="00056EAF" w:rsidP="00F52848" w:rsidRDefault="00056EAF" w14:paraId="5F60B075" w14:textId="73DAC99E">
            <w:pPr>
              <w:widowControl/>
              <w:rPr>
                <w:rFonts w:ascii="Calibri" w:hAnsi="Calibri" w:eastAsia="Calibri"/>
                <w:sz w:val="20"/>
                <w:szCs w:val="20"/>
              </w:rPr>
            </w:pPr>
            <w:r w:rsidRPr="00650CE1">
              <w:rPr>
                <w:rFonts w:ascii="Calibri" w:hAnsi="Calibri" w:eastAsia="Calibri"/>
                <w:sz w:val="20"/>
                <w:szCs w:val="20"/>
              </w:rPr>
              <w:t xml:space="preserve">February 15 of the year following the calendar year in which the </w:t>
            </w:r>
            <w:proofErr w:type="spellStart"/>
            <w:r w:rsidRPr="00650CE1">
              <w:rPr>
                <w:rFonts w:ascii="Calibri" w:hAnsi="Calibri" w:eastAsia="Calibri"/>
                <w:sz w:val="20"/>
                <w:szCs w:val="20"/>
              </w:rPr>
              <w:t>groundfish</w:t>
            </w:r>
            <w:proofErr w:type="spellEnd"/>
            <w:r w:rsidRPr="00650CE1">
              <w:rPr>
                <w:rFonts w:ascii="Calibri" w:hAnsi="Calibri" w:eastAsia="Calibri"/>
                <w:sz w:val="20"/>
                <w:szCs w:val="20"/>
              </w:rPr>
              <w:t xml:space="preserve"> or halibut landings subject to the observer coverage fee were made</w:t>
            </w:r>
          </w:p>
        </w:tc>
      </w:tr>
      <w:tr w:rsidRPr="00650CE1" w:rsidR="003D6376" w:rsidTr="00D22B45" w14:paraId="5A246896" w14:textId="1B5E629B">
        <w:trPr>
          <w:trHeight w:val="392"/>
          <w:jc w:val="center"/>
        </w:trPr>
        <w:tc>
          <w:tcPr>
            <w:tcW w:w="3420" w:type="dxa"/>
            <w:gridSpan w:val="2"/>
            <w:tcBorders>
              <w:right w:val="nil"/>
            </w:tcBorders>
            <w:shd w:val="clear" w:color="auto" w:fill="FDE9D9"/>
            <w:vAlign w:val="center"/>
          </w:tcPr>
          <w:p w:rsidRPr="00650CE1" w:rsidR="003D6376" w:rsidP="007E379F" w:rsidRDefault="003D6376" w14:paraId="5422E7D3" w14:textId="5BA2345E">
            <w:pPr>
              <w:widowControl/>
              <w:rPr>
                <w:rFonts w:ascii="Calibri" w:hAnsi="Calibri" w:eastAsia="Calibri"/>
                <w:sz w:val="20"/>
                <w:szCs w:val="20"/>
              </w:rPr>
            </w:pPr>
            <w:r>
              <w:rPr>
                <w:rFonts w:ascii="Calibri" w:hAnsi="Calibri" w:eastAsia="Calibri"/>
                <w:i/>
                <w:sz w:val="20"/>
                <w:szCs w:val="20"/>
              </w:rPr>
              <w:t xml:space="preserve">Cost Recovery Fee </w:t>
            </w:r>
          </w:p>
        </w:tc>
        <w:tc>
          <w:tcPr>
            <w:tcW w:w="3113" w:type="dxa"/>
            <w:tcBorders>
              <w:left w:val="nil"/>
              <w:right w:val="nil"/>
            </w:tcBorders>
            <w:shd w:val="clear" w:color="auto" w:fill="FDE9D9"/>
          </w:tcPr>
          <w:p w:rsidRPr="00650CE1" w:rsidR="003D6376" w:rsidP="00266C5F" w:rsidRDefault="003D6376" w14:paraId="3F30A620" w14:textId="77777777">
            <w:pPr>
              <w:widowControl/>
              <w:rPr>
                <w:rFonts w:ascii="Calibri" w:hAnsi="Calibri" w:eastAsia="Calibri"/>
                <w:sz w:val="20"/>
                <w:szCs w:val="20"/>
              </w:rPr>
            </w:pPr>
          </w:p>
        </w:tc>
        <w:tc>
          <w:tcPr>
            <w:tcW w:w="1079" w:type="dxa"/>
            <w:tcBorders>
              <w:left w:val="nil"/>
              <w:right w:val="nil"/>
            </w:tcBorders>
            <w:shd w:val="clear" w:color="auto" w:fill="FDE9D9"/>
          </w:tcPr>
          <w:p w:rsidRPr="00650CE1" w:rsidR="003D6376" w:rsidP="00266C5F" w:rsidRDefault="003D6376" w14:paraId="0EF98F95" w14:textId="77777777">
            <w:pPr>
              <w:widowControl/>
              <w:rPr>
                <w:rFonts w:ascii="Calibri" w:hAnsi="Calibri" w:eastAsia="Calibri"/>
                <w:sz w:val="20"/>
                <w:szCs w:val="20"/>
              </w:rPr>
            </w:pPr>
          </w:p>
        </w:tc>
        <w:tc>
          <w:tcPr>
            <w:tcW w:w="773" w:type="dxa"/>
            <w:tcBorders>
              <w:left w:val="nil"/>
              <w:right w:val="nil"/>
            </w:tcBorders>
            <w:shd w:val="clear" w:color="auto" w:fill="FDE9D9"/>
            <w:vAlign w:val="center"/>
          </w:tcPr>
          <w:p w:rsidRPr="00650CE1" w:rsidR="003D6376" w:rsidP="00056EAF" w:rsidRDefault="003D6376" w14:paraId="1F0B3AB4" w14:textId="77777777">
            <w:pPr>
              <w:widowControl/>
              <w:jc w:val="center"/>
              <w:rPr>
                <w:rFonts w:ascii="Calibri" w:hAnsi="Calibri" w:eastAsia="Calibri"/>
                <w:sz w:val="20"/>
                <w:szCs w:val="20"/>
              </w:rPr>
            </w:pPr>
          </w:p>
        </w:tc>
        <w:tc>
          <w:tcPr>
            <w:tcW w:w="2813" w:type="dxa"/>
            <w:tcBorders>
              <w:left w:val="nil"/>
            </w:tcBorders>
            <w:shd w:val="clear" w:color="auto" w:fill="FDE9D9"/>
          </w:tcPr>
          <w:p w:rsidRPr="00650CE1" w:rsidR="003D6376" w:rsidP="00266C5F" w:rsidRDefault="003D6376" w14:paraId="1705EE3F" w14:textId="5CFE3384">
            <w:pPr>
              <w:widowControl/>
              <w:rPr>
                <w:rFonts w:ascii="Calibri" w:hAnsi="Calibri" w:eastAsia="Calibri"/>
                <w:sz w:val="20"/>
                <w:szCs w:val="20"/>
              </w:rPr>
            </w:pPr>
          </w:p>
        </w:tc>
      </w:tr>
      <w:tr w:rsidRPr="00650CE1" w:rsidR="00056EAF" w:rsidTr="00D22B45" w14:paraId="4FBCEAD9" w14:textId="59919351">
        <w:trPr>
          <w:trHeight w:val="572"/>
          <w:jc w:val="center"/>
        </w:trPr>
        <w:tc>
          <w:tcPr>
            <w:tcW w:w="2076" w:type="dxa"/>
            <w:shd w:val="clear" w:color="auto" w:fill="auto"/>
            <w:vAlign w:val="center"/>
          </w:tcPr>
          <w:p w:rsidRPr="00650CE1" w:rsidR="00056EAF" w:rsidP="00A31A0A" w:rsidRDefault="00056EAF" w14:paraId="41CD21A7" w14:textId="77777777">
            <w:pPr>
              <w:widowControl/>
              <w:rPr>
                <w:rFonts w:ascii="Calibri" w:hAnsi="Calibri" w:eastAsia="Calibri"/>
                <w:sz w:val="20"/>
                <w:szCs w:val="20"/>
              </w:rPr>
            </w:pPr>
            <w:r w:rsidRPr="00650CE1">
              <w:rPr>
                <w:rFonts w:ascii="Calibri" w:hAnsi="Calibri" w:eastAsia="Calibri"/>
                <w:sz w:val="20"/>
                <w:szCs w:val="20"/>
              </w:rPr>
              <w:t>Pacific Halibut and Sablefish Individual Fishing Quota (IFQ) Program</w:t>
            </w:r>
          </w:p>
        </w:tc>
        <w:tc>
          <w:tcPr>
            <w:tcW w:w="1343" w:type="dxa"/>
            <w:shd w:val="clear" w:color="auto" w:fill="auto"/>
            <w:vAlign w:val="center"/>
          </w:tcPr>
          <w:p w:rsidRPr="00650CE1" w:rsidR="00056EAF" w:rsidP="00A31A0A" w:rsidRDefault="00CA270E" w14:paraId="7590D15E" w14:textId="19A85A39">
            <w:pPr>
              <w:widowControl/>
              <w:jc w:val="center"/>
              <w:rPr>
                <w:rFonts w:ascii="Calibri" w:hAnsi="Calibri" w:eastAsia="Calibri"/>
                <w:sz w:val="20"/>
                <w:szCs w:val="20"/>
              </w:rPr>
            </w:pPr>
            <w:hyperlink w:history="1" w:anchor="p-679.5(l)(7)(ii)" r:id="rId14">
              <w:r w:rsidRPr="004B311E" w:rsidR="00056EAF">
                <w:rPr>
                  <w:rStyle w:val="Hyperlink"/>
                  <w:rFonts w:ascii="Calibri" w:hAnsi="Calibri" w:eastAsia="Calibri"/>
                  <w:sz w:val="20"/>
                  <w:szCs w:val="20"/>
                </w:rPr>
                <w:t>§§ 679.5(l)(7)(ii)</w:t>
              </w:r>
            </w:hyperlink>
            <w:r w:rsidRPr="00650CE1" w:rsidR="00056EAF">
              <w:rPr>
                <w:rFonts w:ascii="Calibri" w:hAnsi="Calibri" w:eastAsia="Calibri"/>
                <w:sz w:val="20"/>
                <w:szCs w:val="20"/>
              </w:rPr>
              <w:t xml:space="preserve"> and </w:t>
            </w:r>
            <w:hyperlink w:history="1" r:id="rId15">
              <w:r w:rsidRPr="006065DF" w:rsidR="00056EAF">
                <w:rPr>
                  <w:rStyle w:val="Hyperlink"/>
                  <w:rFonts w:ascii="Calibri" w:hAnsi="Calibri" w:eastAsia="Calibri"/>
                  <w:sz w:val="20"/>
                  <w:szCs w:val="20"/>
                </w:rPr>
                <w:t>679.45</w:t>
              </w:r>
            </w:hyperlink>
          </w:p>
        </w:tc>
        <w:tc>
          <w:tcPr>
            <w:tcW w:w="3113" w:type="dxa"/>
            <w:shd w:val="clear" w:color="auto" w:fill="auto"/>
            <w:vAlign w:val="center"/>
          </w:tcPr>
          <w:p w:rsidRPr="00650CE1" w:rsidR="00056EAF" w:rsidP="00A31A0A" w:rsidRDefault="00056EAF" w14:paraId="477C726B" w14:textId="77777777">
            <w:pPr>
              <w:numPr>
                <w:ilvl w:val="0"/>
                <w:numId w:val="14"/>
              </w:numPr>
              <w:autoSpaceDE w:val="0"/>
              <w:autoSpaceDN w:val="0"/>
              <w:adjustRightInd w:val="0"/>
              <w:ind w:left="216" w:hanging="216"/>
              <w:rPr>
                <w:rFonts w:ascii="Calibri" w:hAnsi="Calibri" w:eastAsia="Calibri"/>
                <w:sz w:val="20"/>
                <w:szCs w:val="20"/>
              </w:rPr>
            </w:pPr>
            <w:r w:rsidRPr="00650CE1">
              <w:rPr>
                <w:rFonts w:ascii="Calibri" w:hAnsi="Calibri" w:eastAsia="Calibri"/>
                <w:sz w:val="20"/>
                <w:szCs w:val="20"/>
              </w:rPr>
              <w:t>IFQ permit holder with IFQ and/or guided angler fish (GAF) landings</w:t>
            </w:r>
          </w:p>
          <w:p w:rsidR="00056EAF" w:rsidP="00A31A0A" w:rsidRDefault="00056EAF" w14:paraId="4F05E7DD" w14:textId="77777777">
            <w:pPr>
              <w:numPr>
                <w:ilvl w:val="0"/>
                <w:numId w:val="14"/>
              </w:numPr>
              <w:autoSpaceDE w:val="0"/>
              <w:autoSpaceDN w:val="0"/>
              <w:adjustRightInd w:val="0"/>
              <w:ind w:left="216" w:hanging="216"/>
              <w:rPr>
                <w:rFonts w:ascii="Calibri" w:hAnsi="Calibri" w:eastAsia="Calibri"/>
                <w:sz w:val="20"/>
                <w:szCs w:val="20"/>
              </w:rPr>
            </w:pPr>
            <w:r w:rsidRPr="00650CE1">
              <w:rPr>
                <w:rFonts w:ascii="Calibri" w:hAnsi="Calibri" w:eastAsia="Calibri"/>
                <w:sz w:val="20"/>
                <w:szCs w:val="20"/>
              </w:rPr>
              <w:t>RQE representative</w:t>
            </w:r>
          </w:p>
          <w:p w:rsidRPr="00650CE1" w:rsidR="00056EAF" w:rsidP="00A31A0A" w:rsidRDefault="00056EAF" w14:paraId="7121E9C3" w14:textId="42EB115D">
            <w:pPr>
              <w:numPr>
                <w:ilvl w:val="0"/>
                <w:numId w:val="14"/>
              </w:numPr>
              <w:autoSpaceDE w:val="0"/>
              <w:autoSpaceDN w:val="0"/>
              <w:adjustRightInd w:val="0"/>
              <w:ind w:left="216" w:hanging="216"/>
              <w:rPr>
                <w:rFonts w:ascii="Calibri" w:hAnsi="Calibri" w:eastAsia="Calibri"/>
                <w:sz w:val="20"/>
                <w:szCs w:val="20"/>
              </w:rPr>
            </w:pPr>
            <w:r w:rsidRPr="00650CE1">
              <w:rPr>
                <w:rFonts w:ascii="Calibri" w:hAnsi="Calibri" w:eastAsia="Calibri"/>
                <w:sz w:val="20"/>
                <w:szCs w:val="20"/>
              </w:rPr>
              <w:t>CDQ groups that lease (receive by transfer) halibut IFQ</w:t>
            </w:r>
          </w:p>
        </w:tc>
        <w:tc>
          <w:tcPr>
            <w:tcW w:w="1079" w:type="dxa"/>
            <w:shd w:val="clear" w:color="auto" w:fill="auto"/>
            <w:vAlign w:val="center"/>
          </w:tcPr>
          <w:p w:rsidRPr="00650CE1" w:rsidR="00056EAF" w:rsidP="00626012" w:rsidRDefault="00056EAF" w14:paraId="40CD7F9D" w14:textId="18EDB989">
            <w:pPr>
              <w:widowControl/>
              <w:jc w:val="center"/>
              <w:rPr>
                <w:rFonts w:ascii="Calibri" w:hAnsi="Calibri" w:eastAsia="Calibri"/>
                <w:sz w:val="20"/>
                <w:szCs w:val="20"/>
              </w:rPr>
            </w:pPr>
            <w:proofErr w:type="spellStart"/>
            <w:r>
              <w:rPr>
                <w:rFonts w:ascii="Calibri" w:hAnsi="Calibri" w:eastAsia="Calibri"/>
                <w:sz w:val="20"/>
                <w:szCs w:val="20"/>
              </w:rPr>
              <w:t>eFISH</w:t>
            </w:r>
            <w:proofErr w:type="spellEnd"/>
          </w:p>
        </w:tc>
        <w:tc>
          <w:tcPr>
            <w:tcW w:w="773" w:type="dxa"/>
            <w:vAlign w:val="center"/>
          </w:tcPr>
          <w:p w:rsidRPr="00650CE1" w:rsidR="00056EAF" w:rsidP="00056EAF" w:rsidRDefault="00056EAF" w14:paraId="4CE74F21" w14:textId="10778501">
            <w:pPr>
              <w:widowControl/>
              <w:jc w:val="center"/>
              <w:rPr>
                <w:rFonts w:ascii="Calibri" w:hAnsi="Calibri" w:eastAsia="Calibri"/>
                <w:sz w:val="20"/>
                <w:szCs w:val="20"/>
              </w:rPr>
            </w:pPr>
            <w:r>
              <w:rPr>
                <w:rFonts w:ascii="Calibri" w:hAnsi="Calibri" w:eastAsia="Calibri"/>
                <w:sz w:val="20"/>
                <w:szCs w:val="20"/>
              </w:rPr>
              <w:t>N</w:t>
            </w:r>
          </w:p>
        </w:tc>
        <w:tc>
          <w:tcPr>
            <w:tcW w:w="2813" w:type="dxa"/>
            <w:shd w:val="clear" w:color="auto" w:fill="auto"/>
            <w:vAlign w:val="center"/>
          </w:tcPr>
          <w:p w:rsidRPr="00650CE1" w:rsidR="00056EAF" w:rsidP="00A31A0A" w:rsidRDefault="00056EAF" w14:paraId="26A5872C" w14:textId="0CD7C683">
            <w:pPr>
              <w:widowControl/>
              <w:rPr>
                <w:rFonts w:ascii="Calibri" w:hAnsi="Calibri" w:eastAsia="Calibri"/>
                <w:sz w:val="20"/>
                <w:szCs w:val="20"/>
              </w:rPr>
            </w:pPr>
            <w:r w:rsidRPr="00650CE1">
              <w:rPr>
                <w:rFonts w:ascii="Calibri" w:hAnsi="Calibri" w:eastAsia="Calibri"/>
                <w:sz w:val="20"/>
                <w:szCs w:val="20"/>
              </w:rPr>
              <w:t>January 31 following the calendar year in which the IFQ and/or GAF landings were made</w:t>
            </w:r>
          </w:p>
        </w:tc>
      </w:tr>
      <w:tr w:rsidRPr="00650CE1" w:rsidR="00056EAF" w:rsidTr="00D22B45" w14:paraId="54302A0D" w14:textId="373F745B">
        <w:trPr>
          <w:trHeight w:val="429"/>
          <w:jc w:val="center"/>
        </w:trPr>
        <w:tc>
          <w:tcPr>
            <w:tcW w:w="2076" w:type="dxa"/>
            <w:shd w:val="clear" w:color="auto" w:fill="auto"/>
            <w:vAlign w:val="center"/>
          </w:tcPr>
          <w:p w:rsidRPr="00650CE1" w:rsidR="00056EAF" w:rsidP="00A31A0A" w:rsidRDefault="00056EAF" w14:paraId="1D8A6FA9" w14:textId="77777777">
            <w:pPr>
              <w:widowControl/>
              <w:rPr>
                <w:rFonts w:ascii="Calibri" w:hAnsi="Calibri" w:eastAsia="Calibri"/>
                <w:sz w:val="20"/>
                <w:szCs w:val="20"/>
              </w:rPr>
            </w:pPr>
            <w:r w:rsidRPr="00650CE1">
              <w:rPr>
                <w:rFonts w:ascii="Calibri" w:hAnsi="Calibri" w:eastAsia="Calibri"/>
                <w:sz w:val="20"/>
                <w:szCs w:val="20"/>
              </w:rPr>
              <w:t>Crab Rationalization (CR) Program</w:t>
            </w:r>
          </w:p>
        </w:tc>
        <w:tc>
          <w:tcPr>
            <w:tcW w:w="1343" w:type="dxa"/>
            <w:shd w:val="clear" w:color="auto" w:fill="auto"/>
            <w:vAlign w:val="center"/>
          </w:tcPr>
          <w:p w:rsidRPr="00650CE1" w:rsidR="00056EAF" w:rsidP="00A31A0A" w:rsidRDefault="00CA270E" w14:paraId="62EA5E4A" w14:textId="6986D170">
            <w:pPr>
              <w:widowControl/>
              <w:jc w:val="center"/>
              <w:rPr>
                <w:rFonts w:ascii="Calibri" w:hAnsi="Calibri" w:eastAsia="Calibri"/>
                <w:sz w:val="20"/>
                <w:szCs w:val="20"/>
              </w:rPr>
            </w:pPr>
            <w:hyperlink w:history="1" w:anchor="p-680.5(g)" r:id="rId16">
              <w:r w:rsidRPr="0048222B" w:rsidR="00056EAF">
                <w:rPr>
                  <w:rStyle w:val="Hyperlink"/>
                  <w:rFonts w:ascii="Calibri" w:hAnsi="Calibri" w:eastAsia="Calibri"/>
                  <w:sz w:val="20"/>
                  <w:szCs w:val="20"/>
                </w:rPr>
                <w:t>§§ 680.5(g)</w:t>
              </w:r>
            </w:hyperlink>
            <w:r w:rsidRPr="00650CE1" w:rsidR="00056EAF">
              <w:rPr>
                <w:rFonts w:ascii="Calibri" w:hAnsi="Calibri" w:eastAsia="Calibri"/>
                <w:sz w:val="20"/>
                <w:szCs w:val="20"/>
              </w:rPr>
              <w:t xml:space="preserve"> and </w:t>
            </w:r>
            <w:hyperlink w:history="1" r:id="rId17">
              <w:r w:rsidRPr="00AD7329" w:rsidR="00056EAF">
                <w:rPr>
                  <w:rStyle w:val="Hyperlink"/>
                  <w:rFonts w:ascii="Calibri" w:hAnsi="Calibri" w:eastAsia="Calibri"/>
                  <w:sz w:val="20"/>
                  <w:szCs w:val="20"/>
                </w:rPr>
                <w:t>680.44</w:t>
              </w:r>
            </w:hyperlink>
          </w:p>
        </w:tc>
        <w:tc>
          <w:tcPr>
            <w:tcW w:w="3113" w:type="dxa"/>
            <w:shd w:val="clear" w:color="auto" w:fill="auto"/>
            <w:vAlign w:val="center"/>
          </w:tcPr>
          <w:p w:rsidRPr="00650CE1" w:rsidR="00056EAF" w:rsidP="00A31A0A" w:rsidRDefault="00056EAF" w14:paraId="6EEAFB7C" w14:textId="63E34971">
            <w:pPr>
              <w:widowControl/>
              <w:rPr>
                <w:rFonts w:ascii="Calibri" w:hAnsi="Calibri" w:eastAsia="Calibri"/>
                <w:sz w:val="20"/>
                <w:szCs w:val="20"/>
              </w:rPr>
            </w:pPr>
            <w:r w:rsidRPr="00650CE1">
              <w:rPr>
                <w:rFonts w:ascii="Calibri" w:hAnsi="Calibri" w:eastAsia="Calibri"/>
                <w:sz w:val="20"/>
                <w:szCs w:val="20"/>
              </w:rPr>
              <w:t xml:space="preserve">Each Registered Crab Receiver (RCR) who receives CR crab </w:t>
            </w:r>
          </w:p>
        </w:tc>
        <w:tc>
          <w:tcPr>
            <w:tcW w:w="1079" w:type="dxa"/>
            <w:shd w:val="clear" w:color="auto" w:fill="auto"/>
            <w:vAlign w:val="center"/>
          </w:tcPr>
          <w:p w:rsidRPr="00650CE1" w:rsidR="00056EAF" w:rsidP="00626012" w:rsidRDefault="00056EAF" w14:paraId="185FAAF1" w14:textId="4C6CCD23">
            <w:pPr>
              <w:autoSpaceDE w:val="0"/>
              <w:autoSpaceDN w:val="0"/>
              <w:adjustRightInd w:val="0"/>
              <w:spacing w:line="360" w:lineRule="auto"/>
              <w:jc w:val="center"/>
              <w:rPr>
                <w:rFonts w:ascii="Calibri" w:hAnsi="Calibri" w:eastAsia="Calibri"/>
                <w:sz w:val="20"/>
                <w:szCs w:val="20"/>
              </w:rPr>
            </w:pPr>
            <w:proofErr w:type="spellStart"/>
            <w:r>
              <w:rPr>
                <w:rFonts w:ascii="Calibri" w:hAnsi="Calibri" w:eastAsia="Calibri"/>
                <w:sz w:val="20"/>
                <w:szCs w:val="20"/>
              </w:rPr>
              <w:t>eFISH</w:t>
            </w:r>
            <w:proofErr w:type="spellEnd"/>
          </w:p>
        </w:tc>
        <w:tc>
          <w:tcPr>
            <w:tcW w:w="773" w:type="dxa"/>
            <w:vAlign w:val="center"/>
          </w:tcPr>
          <w:p w:rsidRPr="00650CE1" w:rsidR="00056EAF" w:rsidP="00056EAF" w:rsidRDefault="00056EAF" w14:paraId="2CE35A9F" w14:textId="04E7DCCC">
            <w:pPr>
              <w:widowControl/>
              <w:jc w:val="center"/>
              <w:rPr>
                <w:rFonts w:ascii="Calibri" w:hAnsi="Calibri" w:eastAsia="Calibri"/>
                <w:sz w:val="20"/>
                <w:szCs w:val="20"/>
              </w:rPr>
            </w:pPr>
            <w:r>
              <w:rPr>
                <w:rFonts w:ascii="Calibri" w:hAnsi="Calibri" w:eastAsia="Calibri"/>
                <w:sz w:val="20"/>
                <w:szCs w:val="20"/>
              </w:rPr>
              <w:t>N</w:t>
            </w:r>
          </w:p>
        </w:tc>
        <w:tc>
          <w:tcPr>
            <w:tcW w:w="2813" w:type="dxa"/>
            <w:shd w:val="clear" w:color="auto" w:fill="auto"/>
            <w:vAlign w:val="center"/>
          </w:tcPr>
          <w:p w:rsidRPr="00650CE1" w:rsidR="00056EAF" w:rsidP="00A31A0A" w:rsidRDefault="00056EAF" w14:paraId="292D97E6" w14:textId="60D38006">
            <w:pPr>
              <w:widowControl/>
              <w:rPr>
                <w:rFonts w:ascii="Calibri" w:hAnsi="Calibri" w:eastAsia="Calibri"/>
                <w:sz w:val="20"/>
                <w:szCs w:val="20"/>
              </w:rPr>
            </w:pPr>
            <w:r w:rsidRPr="00650CE1">
              <w:rPr>
                <w:rFonts w:ascii="Calibri" w:hAnsi="Calibri" w:eastAsia="Calibri"/>
                <w:sz w:val="20"/>
                <w:szCs w:val="20"/>
              </w:rPr>
              <w:t>July 31 following the crab fishing year in which the CR crab landings were made</w:t>
            </w:r>
          </w:p>
        </w:tc>
      </w:tr>
      <w:tr w:rsidRPr="00650CE1" w:rsidR="00056EAF" w:rsidTr="00D22B45" w14:paraId="46420987" w14:textId="55291CCF">
        <w:trPr>
          <w:trHeight w:val="429"/>
          <w:jc w:val="center"/>
        </w:trPr>
        <w:tc>
          <w:tcPr>
            <w:tcW w:w="2076" w:type="dxa"/>
            <w:shd w:val="clear" w:color="auto" w:fill="auto"/>
            <w:vAlign w:val="center"/>
          </w:tcPr>
          <w:p w:rsidRPr="00650CE1" w:rsidR="00056EAF" w:rsidP="00A31A0A" w:rsidRDefault="00056EAF" w14:paraId="56CA2783" w14:textId="77777777">
            <w:pPr>
              <w:widowControl/>
              <w:rPr>
                <w:rFonts w:ascii="Calibri" w:hAnsi="Calibri" w:eastAsia="Calibri"/>
                <w:sz w:val="20"/>
                <w:szCs w:val="20"/>
              </w:rPr>
            </w:pPr>
            <w:r w:rsidRPr="00650CE1">
              <w:rPr>
                <w:rFonts w:ascii="Calibri" w:hAnsi="Calibri" w:eastAsia="Calibri"/>
                <w:sz w:val="20"/>
                <w:szCs w:val="20"/>
              </w:rPr>
              <w:t>Rockfish Program</w:t>
            </w:r>
          </w:p>
        </w:tc>
        <w:tc>
          <w:tcPr>
            <w:tcW w:w="1343" w:type="dxa"/>
            <w:shd w:val="clear" w:color="auto" w:fill="auto"/>
            <w:vAlign w:val="center"/>
          </w:tcPr>
          <w:p w:rsidRPr="00650CE1" w:rsidR="00056EAF" w:rsidP="00A31A0A" w:rsidRDefault="00CA270E" w14:paraId="245AB0EC" w14:textId="3D48D414">
            <w:pPr>
              <w:widowControl/>
              <w:jc w:val="center"/>
              <w:rPr>
                <w:rFonts w:ascii="Calibri" w:hAnsi="Calibri" w:eastAsia="Calibri"/>
                <w:sz w:val="20"/>
                <w:szCs w:val="20"/>
              </w:rPr>
            </w:pPr>
            <w:hyperlink w:history="1" r:id="rId18">
              <w:r w:rsidRPr="003471DB" w:rsidR="00056EAF">
                <w:rPr>
                  <w:rStyle w:val="Hyperlink"/>
                  <w:rFonts w:ascii="Calibri" w:hAnsi="Calibri" w:eastAsia="Calibri"/>
                  <w:sz w:val="20"/>
                  <w:szCs w:val="20"/>
                </w:rPr>
                <w:t>§ 679.85</w:t>
              </w:r>
            </w:hyperlink>
          </w:p>
        </w:tc>
        <w:tc>
          <w:tcPr>
            <w:tcW w:w="3113" w:type="dxa"/>
            <w:shd w:val="clear" w:color="auto" w:fill="auto"/>
            <w:vAlign w:val="center"/>
          </w:tcPr>
          <w:p w:rsidRPr="00650CE1" w:rsidR="00056EAF" w:rsidP="00A31A0A" w:rsidRDefault="00056EAF" w14:paraId="7BC68511" w14:textId="6EECAEE0">
            <w:pPr>
              <w:widowControl/>
              <w:rPr>
                <w:rFonts w:ascii="Calibri" w:hAnsi="Calibri" w:eastAsia="Calibri"/>
                <w:sz w:val="20"/>
                <w:szCs w:val="20"/>
              </w:rPr>
            </w:pPr>
            <w:r w:rsidRPr="00650CE1">
              <w:rPr>
                <w:rFonts w:ascii="Calibri" w:hAnsi="Calibri" w:eastAsia="Calibri"/>
                <w:sz w:val="20"/>
                <w:szCs w:val="20"/>
              </w:rPr>
              <w:t>Rockfish cooperative quota (CQ) permit holders who hold a rockfish CQ permit against which landings were made</w:t>
            </w:r>
          </w:p>
        </w:tc>
        <w:tc>
          <w:tcPr>
            <w:tcW w:w="1079" w:type="dxa"/>
            <w:shd w:val="clear" w:color="auto" w:fill="auto"/>
            <w:vAlign w:val="center"/>
          </w:tcPr>
          <w:p w:rsidRPr="00650CE1" w:rsidR="00056EAF" w:rsidP="00A31A0A" w:rsidRDefault="00056EAF" w14:paraId="25430B44" w14:textId="08FDC363">
            <w:pPr>
              <w:widowControl/>
              <w:jc w:val="center"/>
              <w:rPr>
                <w:rFonts w:ascii="Calibri" w:hAnsi="Calibri" w:eastAsia="Calibri"/>
                <w:sz w:val="20"/>
                <w:szCs w:val="20"/>
              </w:rPr>
            </w:pPr>
            <w:proofErr w:type="spellStart"/>
            <w:r w:rsidRPr="00650CE1">
              <w:rPr>
                <w:rFonts w:ascii="Calibri" w:hAnsi="Calibri" w:eastAsia="Calibri"/>
                <w:sz w:val="20"/>
                <w:szCs w:val="20"/>
              </w:rPr>
              <w:t>eFISH</w:t>
            </w:r>
            <w:proofErr w:type="spellEnd"/>
          </w:p>
        </w:tc>
        <w:tc>
          <w:tcPr>
            <w:tcW w:w="773" w:type="dxa"/>
            <w:vAlign w:val="center"/>
          </w:tcPr>
          <w:p w:rsidRPr="00650CE1" w:rsidR="00056EAF" w:rsidP="00056EAF" w:rsidRDefault="00056EAF" w14:paraId="22E558FD" w14:textId="49618B5C">
            <w:pPr>
              <w:widowControl/>
              <w:jc w:val="center"/>
              <w:rPr>
                <w:rFonts w:ascii="Calibri" w:hAnsi="Calibri" w:eastAsia="Calibri"/>
                <w:sz w:val="20"/>
                <w:szCs w:val="20"/>
              </w:rPr>
            </w:pPr>
            <w:r>
              <w:rPr>
                <w:rFonts w:ascii="Calibri" w:hAnsi="Calibri" w:eastAsia="Calibri"/>
                <w:sz w:val="20"/>
                <w:szCs w:val="20"/>
              </w:rPr>
              <w:t>N</w:t>
            </w:r>
          </w:p>
        </w:tc>
        <w:tc>
          <w:tcPr>
            <w:tcW w:w="2813" w:type="dxa"/>
            <w:shd w:val="clear" w:color="auto" w:fill="auto"/>
            <w:vAlign w:val="center"/>
          </w:tcPr>
          <w:p w:rsidRPr="00650CE1" w:rsidR="00056EAF" w:rsidP="00A31A0A" w:rsidRDefault="00056EAF" w14:paraId="1813EFEB" w14:textId="29184394">
            <w:pPr>
              <w:widowControl/>
              <w:rPr>
                <w:rFonts w:ascii="Calibri" w:hAnsi="Calibri" w:eastAsia="Calibri"/>
                <w:sz w:val="20"/>
                <w:szCs w:val="20"/>
              </w:rPr>
            </w:pPr>
            <w:r w:rsidRPr="00650CE1">
              <w:rPr>
                <w:rFonts w:ascii="Calibri" w:hAnsi="Calibri" w:eastAsia="Calibri"/>
                <w:sz w:val="20"/>
                <w:szCs w:val="20"/>
              </w:rPr>
              <w:t>February 15 of the year following the calendar year in which the rockfish CQ landings were made</w:t>
            </w:r>
          </w:p>
        </w:tc>
      </w:tr>
      <w:tr w:rsidRPr="00650CE1" w:rsidR="00056EAF" w:rsidTr="00D22B45" w14:paraId="3C02382A" w14:textId="4FE7D766">
        <w:trPr>
          <w:trHeight w:val="795"/>
          <w:jc w:val="center"/>
        </w:trPr>
        <w:tc>
          <w:tcPr>
            <w:tcW w:w="2076" w:type="dxa"/>
            <w:shd w:val="clear" w:color="auto" w:fill="auto"/>
            <w:vAlign w:val="center"/>
          </w:tcPr>
          <w:p w:rsidRPr="00650CE1" w:rsidR="00056EAF" w:rsidP="00A31A0A" w:rsidRDefault="00056EAF" w14:paraId="6E7457EE" w14:textId="77777777">
            <w:pPr>
              <w:widowControl/>
              <w:rPr>
                <w:rFonts w:ascii="Calibri" w:hAnsi="Calibri" w:eastAsia="Calibri"/>
                <w:sz w:val="20"/>
                <w:szCs w:val="20"/>
              </w:rPr>
            </w:pPr>
            <w:r w:rsidRPr="00650CE1">
              <w:rPr>
                <w:rFonts w:ascii="Calibri" w:hAnsi="Calibri" w:eastAsia="Calibri"/>
                <w:sz w:val="20"/>
                <w:szCs w:val="20"/>
              </w:rPr>
              <w:lastRenderedPageBreak/>
              <w:t xml:space="preserve">Western Alaska Community Development Quota (CDQ) Program for </w:t>
            </w:r>
            <w:proofErr w:type="spellStart"/>
            <w:r w:rsidRPr="00650CE1">
              <w:rPr>
                <w:rFonts w:ascii="Calibri" w:hAnsi="Calibri" w:eastAsia="Calibri"/>
                <w:sz w:val="20"/>
                <w:szCs w:val="20"/>
              </w:rPr>
              <w:t>groundfish</w:t>
            </w:r>
            <w:proofErr w:type="spellEnd"/>
            <w:r w:rsidRPr="00650CE1">
              <w:rPr>
                <w:rFonts w:ascii="Calibri" w:hAnsi="Calibri" w:eastAsia="Calibri"/>
                <w:sz w:val="20"/>
                <w:szCs w:val="20"/>
              </w:rPr>
              <w:t xml:space="preserve"> and halibut</w:t>
            </w:r>
          </w:p>
        </w:tc>
        <w:tc>
          <w:tcPr>
            <w:tcW w:w="1343" w:type="dxa"/>
            <w:shd w:val="clear" w:color="auto" w:fill="auto"/>
            <w:vAlign w:val="center"/>
          </w:tcPr>
          <w:p w:rsidRPr="00650CE1" w:rsidR="00056EAF" w:rsidP="00A31A0A" w:rsidRDefault="00CA270E" w14:paraId="005E4824" w14:textId="0C72BE04">
            <w:pPr>
              <w:widowControl/>
              <w:jc w:val="center"/>
              <w:rPr>
                <w:rFonts w:ascii="Calibri" w:hAnsi="Calibri" w:eastAsia="Calibri"/>
                <w:sz w:val="20"/>
                <w:szCs w:val="20"/>
              </w:rPr>
            </w:pPr>
            <w:hyperlink w:history="1" r:id="rId19">
              <w:r w:rsidRPr="006065DF" w:rsidR="00056EAF">
                <w:rPr>
                  <w:rStyle w:val="Hyperlink"/>
                  <w:rFonts w:ascii="Calibri" w:hAnsi="Calibri" w:eastAsia="Calibri"/>
                  <w:sz w:val="20"/>
                  <w:szCs w:val="20"/>
                </w:rPr>
                <w:t>§ 679.33</w:t>
              </w:r>
            </w:hyperlink>
          </w:p>
        </w:tc>
        <w:tc>
          <w:tcPr>
            <w:tcW w:w="3113" w:type="dxa"/>
            <w:shd w:val="clear" w:color="auto" w:fill="auto"/>
            <w:vAlign w:val="center"/>
          </w:tcPr>
          <w:p w:rsidRPr="00650CE1" w:rsidR="00056EAF" w:rsidP="00A31A0A" w:rsidRDefault="00056EAF" w14:paraId="3731543A" w14:textId="6D763A11">
            <w:pPr>
              <w:widowControl/>
              <w:rPr>
                <w:rFonts w:ascii="Calibri" w:hAnsi="Calibri" w:eastAsia="Calibri"/>
                <w:sz w:val="20"/>
                <w:szCs w:val="20"/>
              </w:rPr>
            </w:pPr>
            <w:r w:rsidRPr="00650CE1">
              <w:rPr>
                <w:rFonts w:ascii="Calibri" w:hAnsi="Calibri" w:eastAsia="Calibri"/>
                <w:sz w:val="20"/>
                <w:szCs w:val="20"/>
              </w:rPr>
              <w:t xml:space="preserve">Representative at the time of landing of each CDQ group that receives a CDQ allocation of </w:t>
            </w:r>
            <w:proofErr w:type="spellStart"/>
            <w:r w:rsidRPr="00650CE1">
              <w:rPr>
                <w:rFonts w:ascii="Calibri" w:hAnsi="Calibri" w:eastAsia="Calibri"/>
                <w:sz w:val="20"/>
                <w:szCs w:val="20"/>
              </w:rPr>
              <w:t>groundfish</w:t>
            </w:r>
            <w:proofErr w:type="spellEnd"/>
            <w:r w:rsidRPr="00650CE1">
              <w:rPr>
                <w:rFonts w:ascii="Calibri" w:hAnsi="Calibri" w:eastAsia="Calibri"/>
                <w:sz w:val="20"/>
                <w:szCs w:val="20"/>
              </w:rPr>
              <w:t xml:space="preserve"> and halibut</w:t>
            </w:r>
          </w:p>
        </w:tc>
        <w:tc>
          <w:tcPr>
            <w:tcW w:w="1079" w:type="dxa"/>
            <w:shd w:val="clear" w:color="auto" w:fill="auto"/>
            <w:vAlign w:val="center"/>
          </w:tcPr>
          <w:p w:rsidRPr="00650CE1" w:rsidR="00056EAF" w:rsidP="00A31A0A" w:rsidRDefault="00056EAF" w14:paraId="0C3F3368" w14:textId="6B9EA006">
            <w:pPr>
              <w:widowControl/>
              <w:jc w:val="center"/>
              <w:rPr>
                <w:rFonts w:ascii="Calibri" w:hAnsi="Calibri" w:eastAsia="Calibri"/>
                <w:sz w:val="20"/>
                <w:szCs w:val="20"/>
              </w:rPr>
            </w:pPr>
            <w:proofErr w:type="spellStart"/>
            <w:r w:rsidRPr="00650CE1">
              <w:rPr>
                <w:rFonts w:ascii="Calibri" w:hAnsi="Calibri" w:eastAsia="Calibri"/>
                <w:sz w:val="20"/>
                <w:szCs w:val="20"/>
              </w:rPr>
              <w:t>eFISH</w:t>
            </w:r>
            <w:proofErr w:type="spellEnd"/>
          </w:p>
        </w:tc>
        <w:tc>
          <w:tcPr>
            <w:tcW w:w="773" w:type="dxa"/>
            <w:vAlign w:val="center"/>
          </w:tcPr>
          <w:p w:rsidRPr="00650CE1" w:rsidR="00056EAF" w:rsidP="00056EAF" w:rsidRDefault="00056EAF" w14:paraId="60C83DC6" w14:textId="0592D61D">
            <w:pPr>
              <w:widowControl/>
              <w:jc w:val="center"/>
              <w:rPr>
                <w:rFonts w:ascii="Calibri" w:hAnsi="Calibri" w:eastAsia="Calibri"/>
                <w:sz w:val="20"/>
                <w:szCs w:val="20"/>
              </w:rPr>
            </w:pPr>
            <w:r>
              <w:rPr>
                <w:rFonts w:ascii="Calibri" w:hAnsi="Calibri" w:eastAsia="Calibri"/>
                <w:sz w:val="20"/>
                <w:szCs w:val="20"/>
              </w:rPr>
              <w:t>N</w:t>
            </w:r>
          </w:p>
        </w:tc>
        <w:tc>
          <w:tcPr>
            <w:tcW w:w="2813" w:type="dxa"/>
            <w:shd w:val="clear" w:color="auto" w:fill="auto"/>
            <w:vAlign w:val="center"/>
          </w:tcPr>
          <w:p w:rsidRPr="00650CE1" w:rsidR="00056EAF" w:rsidP="00A31A0A" w:rsidRDefault="00056EAF" w14:paraId="6FA3DDF7" w14:textId="53939BAE">
            <w:pPr>
              <w:widowControl/>
              <w:rPr>
                <w:rFonts w:ascii="Calibri" w:hAnsi="Calibri" w:eastAsia="Calibri"/>
                <w:sz w:val="20"/>
                <w:szCs w:val="20"/>
              </w:rPr>
            </w:pPr>
            <w:r w:rsidRPr="00650CE1">
              <w:rPr>
                <w:rFonts w:ascii="Calibri" w:hAnsi="Calibri" w:eastAsia="Calibri"/>
                <w:sz w:val="20"/>
                <w:szCs w:val="20"/>
              </w:rPr>
              <w:t xml:space="preserve">December 31 of the calendar year in which the CDQ </w:t>
            </w:r>
            <w:proofErr w:type="spellStart"/>
            <w:r w:rsidRPr="00650CE1">
              <w:rPr>
                <w:rFonts w:ascii="Calibri" w:hAnsi="Calibri" w:eastAsia="Calibri"/>
                <w:sz w:val="20"/>
                <w:szCs w:val="20"/>
              </w:rPr>
              <w:t>groundfish</w:t>
            </w:r>
            <w:proofErr w:type="spellEnd"/>
            <w:r w:rsidRPr="00650CE1">
              <w:rPr>
                <w:rFonts w:ascii="Calibri" w:hAnsi="Calibri" w:eastAsia="Calibri"/>
                <w:sz w:val="20"/>
                <w:szCs w:val="20"/>
              </w:rPr>
              <w:t xml:space="preserve"> and halibut landings were made</w:t>
            </w:r>
          </w:p>
        </w:tc>
      </w:tr>
      <w:tr w:rsidRPr="00650CE1" w:rsidR="00056EAF" w:rsidTr="00D22B45" w14:paraId="32763ED6" w14:textId="7C874DFA">
        <w:trPr>
          <w:trHeight w:val="429"/>
          <w:jc w:val="center"/>
        </w:trPr>
        <w:tc>
          <w:tcPr>
            <w:tcW w:w="2076" w:type="dxa"/>
            <w:shd w:val="clear" w:color="auto" w:fill="auto"/>
            <w:vAlign w:val="center"/>
          </w:tcPr>
          <w:p w:rsidRPr="00650CE1" w:rsidR="00056EAF" w:rsidP="00A31A0A" w:rsidRDefault="00056EAF" w14:paraId="3C3167BF" w14:textId="77777777">
            <w:pPr>
              <w:widowControl/>
              <w:rPr>
                <w:rFonts w:ascii="Calibri" w:hAnsi="Calibri" w:eastAsia="Calibri"/>
                <w:sz w:val="20"/>
                <w:szCs w:val="20"/>
              </w:rPr>
            </w:pPr>
            <w:r w:rsidRPr="00650CE1">
              <w:rPr>
                <w:rFonts w:ascii="Calibri" w:hAnsi="Calibri" w:eastAsia="Calibri"/>
                <w:sz w:val="20"/>
                <w:szCs w:val="20"/>
              </w:rPr>
              <w:t>American Fisheries Act (AFA) Program</w:t>
            </w:r>
          </w:p>
        </w:tc>
        <w:tc>
          <w:tcPr>
            <w:tcW w:w="1343" w:type="dxa"/>
            <w:shd w:val="clear" w:color="auto" w:fill="auto"/>
            <w:vAlign w:val="center"/>
          </w:tcPr>
          <w:p w:rsidRPr="00650CE1" w:rsidR="00056EAF" w:rsidP="00A31A0A" w:rsidRDefault="00CA270E" w14:paraId="4E65CCFF" w14:textId="6EB7A828">
            <w:pPr>
              <w:widowControl/>
              <w:jc w:val="center"/>
              <w:rPr>
                <w:rFonts w:ascii="Calibri" w:hAnsi="Calibri" w:eastAsia="Calibri"/>
                <w:sz w:val="20"/>
                <w:szCs w:val="20"/>
              </w:rPr>
            </w:pPr>
            <w:hyperlink w:history="1" r:id="rId20">
              <w:r w:rsidRPr="006065DF" w:rsidR="00056EAF">
                <w:rPr>
                  <w:rStyle w:val="Hyperlink"/>
                  <w:rFonts w:ascii="Calibri" w:hAnsi="Calibri" w:eastAsia="Calibri"/>
                  <w:sz w:val="20"/>
                  <w:szCs w:val="20"/>
                </w:rPr>
                <w:t>§ 679.66</w:t>
              </w:r>
            </w:hyperlink>
          </w:p>
        </w:tc>
        <w:tc>
          <w:tcPr>
            <w:tcW w:w="3113" w:type="dxa"/>
            <w:shd w:val="clear" w:color="auto" w:fill="auto"/>
            <w:vAlign w:val="center"/>
          </w:tcPr>
          <w:p w:rsidRPr="00650CE1" w:rsidR="00056EAF" w:rsidP="004E6E09" w:rsidRDefault="004E6E09" w14:paraId="0FF900EF" w14:textId="44390A80">
            <w:pPr>
              <w:widowControl/>
              <w:rPr>
                <w:rFonts w:ascii="Calibri" w:hAnsi="Calibri" w:eastAsia="Calibri"/>
                <w:sz w:val="20"/>
                <w:szCs w:val="20"/>
              </w:rPr>
            </w:pPr>
            <w:r>
              <w:rPr>
                <w:rFonts w:ascii="Calibri" w:hAnsi="Calibri" w:eastAsia="Calibri"/>
                <w:sz w:val="20"/>
                <w:szCs w:val="20"/>
              </w:rPr>
              <w:t>The d</w:t>
            </w:r>
            <w:r w:rsidRPr="00650CE1" w:rsidR="00056EAF">
              <w:rPr>
                <w:rFonts w:ascii="Calibri" w:hAnsi="Calibri" w:eastAsia="Calibri"/>
                <w:sz w:val="20"/>
                <w:szCs w:val="20"/>
              </w:rPr>
              <w:t>esignated representative on the AFA inshore cooperative permit</w:t>
            </w:r>
            <w:r w:rsidR="009027DA">
              <w:t xml:space="preserve"> </w:t>
            </w:r>
            <w:r w:rsidR="009027DA">
              <w:rPr>
                <w:rFonts w:ascii="Calibri" w:hAnsi="Calibri" w:eastAsia="Calibri"/>
                <w:sz w:val="20"/>
                <w:szCs w:val="20"/>
              </w:rPr>
              <w:t>a</w:t>
            </w:r>
            <w:r w:rsidRPr="009027DA" w:rsidR="009027DA">
              <w:rPr>
                <w:rFonts w:ascii="Calibri" w:hAnsi="Calibri" w:eastAsia="Calibri"/>
                <w:sz w:val="20"/>
                <w:szCs w:val="20"/>
              </w:rPr>
              <w:t xml:space="preserve">t the time of a Bering Sea </w:t>
            </w:r>
            <w:proofErr w:type="spellStart"/>
            <w:r w:rsidRPr="009027DA" w:rsidR="009027DA">
              <w:rPr>
                <w:rFonts w:ascii="Calibri" w:hAnsi="Calibri" w:eastAsia="Calibri"/>
                <w:sz w:val="20"/>
                <w:szCs w:val="20"/>
              </w:rPr>
              <w:t>pollock</w:t>
            </w:r>
            <w:proofErr w:type="spellEnd"/>
            <w:r w:rsidRPr="009027DA" w:rsidR="009027DA">
              <w:rPr>
                <w:rFonts w:ascii="Calibri" w:hAnsi="Calibri" w:eastAsia="Calibri"/>
                <w:sz w:val="20"/>
                <w:szCs w:val="20"/>
              </w:rPr>
              <w:t xml:space="preserve"> landing</w:t>
            </w:r>
            <w:r>
              <w:rPr>
                <w:rFonts w:ascii="Calibri" w:hAnsi="Calibri" w:eastAsia="Calibri"/>
                <w:sz w:val="20"/>
                <w:szCs w:val="20"/>
              </w:rPr>
              <w:t xml:space="preserve"> is responsible for submitting the fee. The </w:t>
            </w:r>
            <w:r w:rsidR="00262AFA">
              <w:rPr>
                <w:rFonts w:ascii="Calibri" w:hAnsi="Calibri" w:eastAsia="Calibri"/>
                <w:sz w:val="20"/>
                <w:szCs w:val="20"/>
              </w:rPr>
              <w:t xml:space="preserve">AFA </w:t>
            </w:r>
            <w:r>
              <w:rPr>
                <w:rFonts w:ascii="Calibri" w:hAnsi="Calibri" w:eastAsia="Calibri"/>
                <w:sz w:val="20"/>
                <w:szCs w:val="20"/>
              </w:rPr>
              <w:t>catcher/processor and mothership sectors are</w:t>
            </w:r>
            <w:r>
              <w:t xml:space="preserve"> </w:t>
            </w:r>
            <w:r w:rsidRPr="004E6E09">
              <w:rPr>
                <w:rFonts w:ascii="Calibri" w:hAnsi="Calibri" w:eastAsia="Calibri"/>
                <w:sz w:val="20"/>
                <w:szCs w:val="20"/>
              </w:rPr>
              <w:t>no longer subject to the fee</w:t>
            </w:r>
            <w:r>
              <w:rPr>
                <w:rFonts w:ascii="Calibri" w:hAnsi="Calibri" w:eastAsia="Calibri"/>
                <w:sz w:val="20"/>
                <w:szCs w:val="20"/>
              </w:rPr>
              <w:t>.</w:t>
            </w:r>
          </w:p>
        </w:tc>
        <w:tc>
          <w:tcPr>
            <w:tcW w:w="1079" w:type="dxa"/>
            <w:shd w:val="clear" w:color="auto" w:fill="auto"/>
            <w:vAlign w:val="center"/>
          </w:tcPr>
          <w:p w:rsidRPr="00650CE1" w:rsidR="00056EAF" w:rsidP="00A31A0A" w:rsidRDefault="00056EAF" w14:paraId="6DC77CC2" w14:textId="28CD49B8">
            <w:pPr>
              <w:widowControl/>
              <w:jc w:val="center"/>
              <w:rPr>
                <w:rFonts w:ascii="Calibri" w:hAnsi="Calibri" w:eastAsia="Calibri"/>
                <w:sz w:val="20"/>
                <w:szCs w:val="20"/>
              </w:rPr>
            </w:pPr>
            <w:proofErr w:type="spellStart"/>
            <w:r w:rsidRPr="00650CE1">
              <w:rPr>
                <w:rFonts w:ascii="Calibri" w:hAnsi="Calibri" w:eastAsia="Calibri"/>
                <w:sz w:val="20"/>
                <w:szCs w:val="20"/>
              </w:rPr>
              <w:t>eFISH</w:t>
            </w:r>
            <w:proofErr w:type="spellEnd"/>
          </w:p>
        </w:tc>
        <w:tc>
          <w:tcPr>
            <w:tcW w:w="773" w:type="dxa"/>
            <w:vAlign w:val="center"/>
          </w:tcPr>
          <w:p w:rsidRPr="00650CE1" w:rsidR="00056EAF" w:rsidP="00056EAF" w:rsidRDefault="00056EAF" w14:paraId="1E67CF92" w14:textId="180CA3B6">
            <w:pPr>
              <w:widowControl/>
              <w:jc w:val="center"/>
              <w:rPr>
                <w:rFonts w:ascii="Calibri" w:hAnsi="Calibri" w:eastAsia="Calibri"/>
                <w:sz w:val="20"/>
                <w:szCs w:val="20"/>
              </w:rPr>
            </w:pPr>
            <w:r>
              <w:rPr>
                <w:rFonts w:ascii="Calibri" w:hAnsi="Calibri" w:eastAsia="Calibri"/>
                <w:sz w:val="20"/>
                <w:szCs w:val="20"/>
              </w:rPr>
              <w:t>N</w:t>
            </w:r>
          </w:p>
        </w:tc>
        <w:tc>
          <w:tcPr>
            <w:tcW w:w="2813" w:type="dxa"/>
            <w:shd w:val="clear" w:color="auto" w:fill="auto"/>
            <w:vAlign w:val="center"/>
          </w:tcPr>
          <w:p w:rsidRPr="00650CE1" w:rsidR="00056EAF" w:rsidP="00A31A0A" w:rsidRDefault="00056EAF" w14:paraId="190A11F2" w14:textId="7CF6AD6B">
            <w:pPr>
              <w:widowControl/>
              <w:rPr>
                <w:rFonts w:ascii="Calibri" w:hAnsi="Calibri" w:eastAsia="Calibri"/>
                <w:sz w:val="20"/>
                <w:szCs w:val="20"/>
              </w:rPr>
            </w:pPr>
            <w:r w:rsidRPr="00650CE1">
              <w:rPr>
                <w:rFonts w:ascii="Calibri" w:hAnsi="Calibri" w:eastAsia="Calibri"/>
                <w:sz w:val="20"/>
                <w:szCs w:val="20"/>
              </w:rPr>
              <w:t xml:space="preserve">December 31 of the calendar year in which the Bering Sea </w:t>
            </w:r>
            <w:proofErr w:type="spellStart"/>
            <w:r w:rsidRPr="00650CE1">
              <w:rPr>
                <w:rFonts w:ascii="Calibri" w:hAnsi="Calibri" w:eastAsia="Calibri"/>
                <w:sz w:val="20"/>
                <w:szCs w:val="20"/>
              </w:rPr>
              <w:t>pollock</w:t>
            </w:r>
            <w:proofErr w:type="spellEnd"/>
            <w:r w:rsidRPr="00650CE1">
              <w:rPr>
                <w:rFonts w:ascii="Calibri" w:hAnsi="Calibri" w:eastAsia="Calibri"/>
                <w:sz w:val="20"/>
                <w:szCs w:val="20"/>
              </w:rPr>
              <w:t xml:space="preserve"> landings were made</w:t>
            </w:r>
          </w:p>
        </w:tc>
      </w:tr>
      <w:tr w:rsidRPr="00650CE1" w:rsidR="00056EAF" w:rsidTr="00D22B45" w14:paraId="2DD22BD0" w14:textId="325F20F2">
        <w:trPr>
          <w:trHeight w:val="429"/>
          <w:jc w:val="center"/>
        </w:trPr>
        <w:tc>
          <w:tcPr>
            <w:tcW w:w="2076" w:type="dxa"/>
            <w:shd w:val="clear" w:color="auto" w:fill="auto"/>
            <w:vAlign w:val="center"/>
          </w:tcPr>
          <w:p w:rsidRPr="00650CE1" w:rsidR="00056EAF" w:rsidP="00A31A0A" w:rsidRDefault="00056EAF" w14:paraId="7D55564E" w14:textId="77777777">
            <w:pPr>
              <w:widowControl/>
              <w:rPr>
                <w:rFonts w:ascii="Calibri" w:hAnsi="Calibri" w:eastAsia="Calibri"/>
                <w:sz w:val="20"/>
                <w:szCs w:val="20"/>
              </w:rPr>
            </w:pPr>
            <w:r w:rsidRPr="00650CE1">
              <w:rPr>
                <w:rFonts w:ascii="Calibri" w:hAnsi="Calibri" w:eastAsia="Calibri"/>
                <w:sz w:val="20"/>
                <w:szCs w:val="20"/>
              </w:rPr>
              <w:t>Aleutian Islands Pollock Program</w:t>
            </w:r>
          </w:p>
        </w:tc>
        <w:tc>
          <w:tcPr>
            <w:tcW w:w="1343" w:type="dxa"/>
            <w:shd w:val="clear" w:color="auto" w:fill="auto"/>
            <w:vAlign w:val="center"/>
          </w:tcPr>
          <w:p w:rsidRPr="00650CE1" w:rsidR="00056EAF" w:rsidP="00A31A0A" w:rsidRDefault="00CA270E" w14:paraId="4DDCE1E0" w14:textId="207F74DE">
            <w:pPr>
              <w:widowControl/>
              <w:jc w:val="center"/>
              <w:rPr>
                <w:rFonts w:ascii="Calibri" w:hAnsi="Calibri" w:eastAsia="Calibri"/>
                <w:sz w:val="20"/>
                <w:szCs w:val="20"/>
              </w:rPr>
            </w:pPr>
            <w:hyperlink w:history="1" r:id="rId21">
              <w:r w:rsidRPr="006065DF" w:rsidR="00056EAF">
                <w:rPr>
                  <w:rStyle w:val="Hyperlink"/>
                  <w:rFonts w:ascii="Calibri" w:hAnsi="Calibri" w:eastAsia="Calibri"/>
                  <w:sz w:val="20"/>
                  <w:szCs w:val="20"/>
                </w:rPr>
                <w:t>§ 679.67</w:t>
              </w:r>
            </w:hyperlink>
          </w:p>
        </w:tc>
        <w:tc>
          <w:tcPr>
            <w:tcW w:w="3113" w:type="dxa"/>
            <w:shd w:val="clear" w:color="auto" w:fill="auto"/>
            <w:vAlign w:val="center"/>
          </w:tcPr>
          <w:p w:rsidRPr="00650CE1" w:rsidR="00056EAF" w:rsidP="00A31A0A" w:rsidRDefault="00056EAF" w14:paraId="0F8F071D" w14:textId="0528B853">
            <w:pPr>
              <w:widowControl/>
              <w:rPr>
                <w:rFonts w:ascii="Calibri" w:hAnsi="Calibri" w:eastAsia="Calibri"/>
                <w:sz w:val="20"/>
                <w:szCs w:val="20"/>
              </w:rPr>
            </w:pPr>
            <w:r w:rsidRPr="00650CE1">
              <w:rPr>
                <w:rFonts w:ascii="Calibri" w:hAnsi="Calibri" w:eastAsia="Calibri"/>
                <w:sz w:val="20"/>
                <w:szCs w:val="20"/>
              </w:rPr>
              <w:t>Authorized representative designated by the Aleut Corporation</w:t>
            </w:r>
          </w:p>
        </w:tc>
        <w:tc>
          <w:tcPr>
            <w:tcW w:w="1079" w:type="dxa"/>
            <w:shd w:val="clear" w:color="auto" w:fill="auto"/>
            <w:vAlign w:val="center"/>
          </w:tcPr>
          <w:p w:rsidRPr="00650CE1" w:rsidR="00056EAF" w:rsidP="00A31A0A" w:rsidRDefault="00056EAF" w14:paraId="067FA7F4" w14:textId="0633ED65">
            <w:pPr>
              <w:widowControl/>
              <w:jc w:val="center"/>
              <w:rPr>
                <w:rFonts w:ascii="Calibri" w:hAnsi="Calibri" w:eastAsia="Calibri"/>
                <w:sz w:val="20"/>
                <w:szCs w:val="20"/>
              </w:rPr>
            </w:pPr>
            <w:proofErr w:type="spellStart"/>
            <w:r w:rsidRPr="00650CE1">
              <w:rPr>
                <w:rFonts w:ascii="Calibri" w:hAnsi="Calibri" w:eastAsia="Calibri"/>
                <w:sz w:val="20"/>
                <w:szCs w:val="20"/>
              </w:rPr>
              <w:t>eFISH</w:t>
            </w:r>
            <w:proofErr w:type="spellEnd"/>
          </w:p>
        </w:tc>
        <w:tc>
          <w:tcPr>
            <w:tcW w:w="773" w:type="dxa"/>
            <w:vAlign w:val="center"/>
          </w:tcPr>
          <w:p w:rsidRPr="00650CE1" w:rsidR="00056EAF" w:rsidP="00056EAF" w:rsidRDefault="00056EAF" w14:paraId="0C89E9CD" w14:textId="5944037F">
            <w:pPr>
              <w:widowControl/>
              <w:jc w:val="center"/>
              <w:rPr>
                <w:rFonts w:ascii="Calibri" w:hAnsi="Calibri" w:eastAsia="Calibri"/>
                <w:sz w:val="20"/>
                <w:szCs w:val="20"/>
              </w:rPr>
            </w:pPr>
            <w:r>
              <w:rPr>
                <w:rFonts w:ascii="Calibri" w:hAnsi="Calibri" w:eastAsia="Calibri"/>
                <w:sz w:val="20"/>
                <w:szCs w:val="20"/>
              </w:rPr>
              <w:t>N</w:t>
            </w:r>
          </w:p>
        </w:tc>
        <w:tc>
          <w:tcPr>
            <w:tcW w:w="2813" w:type="dxa"/>
            <w:shd w:val="clear" w:color="auto" w:fill="auto"/>
            <w:vAlign w:val="center"/>
          </w:tcPr>
          <w:p w:rsidRPr="00650CE1" w:rsidR="00056EAF" w:rsidP="00A31A0A" w:rsidRDefault="00056EAF" w14:paraId="6A5AEC6B" w14:textId="0F92C485">
            <w:pPr>
              <w:widowControl/>
              <w:rPr>
                <w:rFonts w:ascii="Calibri" w:hAnsi="Calibri" w:eastAsia="Calibri"/>
                <w:sz w:val="20"/>
                <w:szCs w:val="20"/>
              </w:rPr>
            </w:pPr>
            <w:r w:rsidRPr="00650CE1">
              <w:rPr>
                <w:rFonts w:ascii="Calibri" w:hAnsi="Calibri" w:eastAsia="Calibri"/>
                <w:sz w:val="20"/>
                <w:szCs w:val="20"/>
              </w:rPr>
              <w:t xml:space="preserve">December 31 of the calendar year in which the Aleutian Islands </w:t>
            </w:r>
            <w:proofErr w:type="spellStart"/>
            <w:r w:rsidRPr="00650CE1">
              <w:rPr>
                <w:rFonts w:ascii="Calibri" w:hAnsi="Calibri" w:eastAsia="Calibri"/>
                <w:sz w:val="20"/>
                <w:szCs w:val="20"/>
              </w:rPr>
              <w:t>pollock</w:t>
            </w:r>
            <w:proofErr w:type="spellEnd"/>
            <w:r w:rsidRPr="00650CE1">
              <w:rPr>
                <w:rFonts w:ascii="Calibri" w:hAnsi="Calibri" w:eastAsia="Calibri"/>
                <w:sz w:val="20"/>
                <w:szCs w:val="20"/>
              </w:rPr>
              <w:t xml:space="preserve"> landings were made</w:t>
            </w:r>
          </w:p>
        </w:tc>
      </w:tr>
      <w:tr w:rsidRPr="00650CE1" w:rsidR="00056EAF" w:rsidTr="00D22B45" w14:paraId="4257067B" w14:textId="3D2CA83A">
        <w:trPr>
          <w:trHeight w:val="429"/>
          <w:jc w:val="center"/>
        </w:trPr>
        <w:tc>
          <w:tcPr>
            <w:tcW w:w="2076" w:type="dxa"/>
            <w:tcBorders>
              <w:bottom w:val="single" w:color="auto" w:sz="4" w:space="0"/>
            </w:tcBorders>
            <w:shd w:val="clear" w:color="auto" w:fill="auto"/>
            <w:vAlign w:val="center"/>
          </w:tcPr>
          <w:p w:rsidRPr="00650CE1" w:rsidR="00056EAF" w:rsidP="00A31A0A" w:rsidRDefault="00056EAF" w14:paraId="72E79171" w14:textId="77777777">
            <w:pPr>
              <w:widowControl/>
              <w:rPr>
                <w:rFonts w:ascii="Calibri" w:hAnsi="Calibri" w:eastAsia="Calibri"/>
                <w:sz w:val="20"/>
                <w:szCs w:val="20"/>
              </w:rPr>
            </w:pPr>
            <w:r w:rsidRPr="00650CE1">
              <w:rPr>
                <w:rFonts w:ascii="Calibri" w:hAnsi="Calibri" w:eastAsia="Calibri"/>
                <w:sz w:val="20"/>
                <w:szCs w:val="20"/>
              </w:rPr>
              <w:t>Amendment 80 Program</w:t>
            </w:r>
          </w:p>
        </w:tc>
        <w:tc>
          <w:tcPr>
            <w:tcW w:w="1343" w:type="dxa"/>
            <w:tcBorders>
              <w:bottom w:val="single" w:color="auto" w:sz="4" w:space="0"/>
            </w:tcBorders>
            <w:shd w:val="clear" w:color="auto" w:fill="auto"/>
            <w:vAlign w:val="center"/>
          </w:tcPr>
          <w:p w:rsidRPr="00650CE1" w:rsidR="00056EAF" w:rsidP="00A31A0A" w:rsidRDefault="00CA270E" w14:paraId="38C395CF" w14:textId="29AF2E5C">
            <w:pPr>
              <w:widowControl/>
              <w:jc w:val="center"/>
              <w:rPr>
                <w:rFonts w:ascii="Calibri" w:hAnsi="Calibri" w:eastAsia="Calibri"/>
                <w:sz w:val="20"/>
                <w:szCs w:val="20"/>
              </w:rPr>
            </w:pPr>
            <w:hyperlink w:history="1" w:anchor="p-679.5(u)" r:id="rId22">
              <w:r w:rsidRPr="00BF5075" w:rsidR="00056EAF">
                <w:rPr>
                  <w:rStyle w:val="Hyperlink"/>
                  <w:rFonts w:ascii="Calibri" w:hAnsi="Calibri" w:eastAsia="Calibri"/>
                  <w:sz w:val="20"/>
                  <w:szCs w:val="20"/>
                </w:rPr>
                <w:t>§§ 679.5(u)</w:t>
              </w:r>
            </w:hyperlink>
            <w:r w:rsidRPr="00650CE1" w:rsidR="00056EAF">
              <w:rPr>
                <w:rFonts w:ascii="Calibri" w:hAnsi="Calibri" w:eastAsia="Calibri"/>
                <w:sz w:val="20"/>
                <w:szCs w:val="20"/>
              </w:rPr>
              <w:t xml:space="preserve"> and </w:t>
            </w:r>
            <w:hyperlink w:history="1" r:id="rId23">
              <w:r w:rsidRPr="00602D4E" w:rsidR="00056EAF">
                <w:rPr>
                  <w:rStyle w:val="Hyperlink"/>
                  <w:rFonts w:ascii="Calibri" w:hAnsi="Calibri" w:eastAsia="Calibri"/>
                  <w:sz w:val="20"/>
                  <w:szCs w:val="20"/>
                </w:rPr>
                <w:t>679.95</w:t>
              </w:r>
            </w:hyperlink>
          </w:p>
        </w:tc>
        <w:tc>
          <w:tcPr>
            <w:tcW w:w="3113" w:type="dxa"/>
            <w:shd w:val="clear" w:color="auto" w:fill="auto"/>
            <w:vAlign w:val="center"/>
          </w:tcPr>
          <w:p w:rsidRPr="00650CE1" w:rsidR="00056EAF" w:rsidP="00A31A0A" w:rsidRDefault="00056EAF" w14:paraId="7FE8A67C" w14:textId="1F47640F">
            <w:pPr>
              <w:widowControl/>
              <w:rPr>
                <w:rFonts w:ascii="Calibri" w:hAnsi="Calibri" w:eastAsia="Calibri"/>
                <w:sz w:val="20"/>
                <w:szCs w:val="20"/>
              </w:rPr>
            </w:pPr>
            <w:r w:rsidRPr="00650CE1">
              <w:rPr>
                <w:rFonts w:ascii="Calibri" w:hAnsi="Calibri" w:eastAsia="Calibri"/>
                <w:sz w:val="20"/>
                <w:szCs w:val="20"/>
              </w:rPr>
              <w:t>Authorized representative designated by the Amendment 80 cooperative</w:t>
            </w:r>
          </w:p>
        </w:tc>
        <w:tc>
          <w:tcPr>
            <w:tcW w:w="1079" w:type="dxa"/>
            <w:shd w:val="clear" w:color="auto" w:fill="auto"/>
            <w:vAlign w:val="center"/>
          </w:tcPr>
          <w:p w:rsidRPr="00650CE1" w:rsidR="00056EAF" w:rsidP="00A31A0A" w:rsidRDefault="00056EAF" w14:paraId="753E8D5D" w14:textId="10D66739">
            <w:pPr>
              <w:widowControl/>
              <w:jc w:val="center"/>
              <w:rPr>
                <w:rFonts w:ascii="Calibri" w:hAnsi="Calibri" w:eastAsia="Calibri"/>
                <w:sz w:val="20"/>
                <w:szCs w:val="20"/>
              </w:rPr>
            </w:pPr>
            <w:proofErr w:type="spellStart"/>
            <w:r w:rsidRPr="00650CE1">
              <w:rPr>
                <w:rFonts w:ascii="Calibri" w:hAnsi="Calibri" w:eastAsia="Calibri"/>
                <w:sz w:val="20"/>
                <w:szCs w:val="20"/>
              </w:rPr>
              <w:t>eFISH</w:t>
            </w:r>
            <w:proofErr w:type="spellEnd"/>
          </w:p>
        </w:tc>
        <w:tc>
          <w:tcPr>
            <w:tcW w:w="773" w:type="dxa"/>
            <w:vAlign w:val="center"/>
          </w:tcPr>
          <w:p w:rsidRPr="00650CE1" w:rsidR="00056EAF" w:rsidP="00056EAF" w:rsidRDefault="00056EAF" w14:paraId="6DC9B911" w14:textId="51EC9D50">
            <w:pPr>
              <w:widowControl/>
              <w:jc w:val="center"/>
              <w:rPr>
                <w:rFonts w:ascii="Calibri" w:hAnsi="Calibri" w:eastAsia="Calibri"/>
                <w:sz w:val="20"/>
                <w:szCs w:val="20"/>
              </w:rPr>
            </w:pPr>
            <w:r>
              <w:rPr>
                <w:rFonts w:ascii="Calibri" w:hAnsi="Calibri" w:eastAsia="Calibri"/>
                <w:sz w:val="20"/>
                <w:szCs w:val="20"/>
              </w:rPr>
              <w:t>N</w:t>
            </w:r>
          </w:p>
        </w:tc>
        <w:tc>
          <w:tcPr>
            <w:tcW w:w="2813" w:type="dxa"/>
            <w:shd w:val="clear" w:color="auto" w:fill="auto"/>
            <w:vAlign w:val="center"/>
          </w:tcPr>
          <w:p w:rsidRPr="00650CE1" w:rsidR="00056EAF" w:rsidP="00A31A0A" w:rsidRDefault="00056EAF" w14:paraId="7BC20FE2" w14:textId="21DB1BE4">
            <w:pPr>
              <w:widowControl/>
              <w:rPr>
                <w:rFonts w:ascii="Calibri" w:hAnsi="Calibri" w:eastAsia="Calibri"/>
                <w:sz w:val="20"/>
                <w:szCs w:val="20"/>
              </w:rPr>
            </w:pPr>
            <w:r w:rsidRPr="00650CE1">
              <w:rPr>
                <w:rFonts w:ascii="Calibri" w:hAnsi="Calibri" w:eastAsia="Calibri"/>
                <w:sz w:val="20"/>
                <w:szCs w:val="20"/>
              </w:rPr>
              <w:t>December 31 of the calendar year in which the Amendment 80 CQ landings were made</w:t>
            </w:r>
          </w:p>
        </w:tc>
      </w:tr>
      <w:tr w:rsidRPr="00650CE1" w:rsidR="00056EAF" w:rsidTr="00D22B45" w14:paraId="0A0D255C" w14:textId="77777777">
        <w:trPr>
          <w:trHeight w:val="429"/>
          <w:jc w:val="center"/>
        </w:trPr>
        <w:tc>
          <w:tcPr>
            <w:tcW w:w="2076" w:type="dxa"/>
            <w:tcBorders>
              <w:bottom w:val="single" w:color="auto" w:sz="4" w:space="0"/>
            </w:tcBorders>
            <w:shd w:val="clear" w:color="auto" w:fill="auto"/>
            <w:vAlign w:val="center"/>
          </w:tcPr>
          <w:p w:rsidRPr="00C7265C" w:rsidR="00056EAF" w:rsidP="00B028A0" w:rsidRDefault="00056EAF" w14:paraId="6B673DA8" w14:textId="3CB70935">
            <w:pPr>
              <w:widowControl/>
              <w:rPr>
                <w:rFonts w:eastAsia="Calibri" w:asciiTheme="minorHAnsi" w:hAnsiTheme="minorHAnsi" w:cstheme="minorHAnsi"/>
                <w:sz w:val="20"/>
                <w:szCs w:val="20"/>
              </w:rPr>
            </w:pPr>
            <w:r w:rsidRPr="00C7265C">
              <w:rPr>
                <w:rFonts w:asciiTheme="minorHAnsi" w:hAnsiTheme="minorHAnsi" w:cstheme="minorHAnsi"/>
                <w:sz w:val="20"/>
                <w:szCs w:val="20"/>
              </w:rPr>
              <w:t xml:space="preserve">IFQ Permit Holder Fee </w:t>
            </w:r>
            <w:r w:rsidRPr="00C7265C" w:rsidR="00B028A0">
              <w:rPr>
                <w:rFonts w:asciiTheme="minorHAnsi" w:hAnsiTheme="minorHAnsi" w:cstheme="minorHAnsi"/>
                <w:sz w:val="20"/>
                <w:szCs w:val="20"/>
              </w:rPr>
              <w:t xml:space="preserve">Calculation </w:t>
            </w:r>
            <w:r w:rsidRPr="00C7265C">
              <w:rPr>
                <w:rFonts w:asciiTheme="minorHAnsi" w:hAnsiTheme="minorHAnsi" w:cstheme="minorHAnsi"/>
                <w:sz w:val="20"/>
                <w:szCs w:val="20"/>
              </w:rPr>
              <w:t>Form</w:t>
            </w:r>
          </w:p>
        </w:tc>
        <w:tc>
          <w:tcPr>
            <w:tcW w:w="1343" w:type="dxa"/>
            <w:tcBorders>
              <w:bottom w:val="single" w:color="auto" w:sz="4" w:space="0"/>
            </w:tcBorders>
            <w:shd w:val="clear" w:color="auto" w:fill="auto"/>
            <w:vAlign w:val="center"/>
          </w:tcPr>
          <w:p w:rsidR="00056EAF" w:rsidP="00A31A0A" w:rsidRDefault="00CA270E" w14:paraId="72B548BE" w14:textId="284A127C">
            <w:pPr>
              <w:widowControl/>
              <w:jc w:val="center"/>
            </w:pPr>
            <w:hyperlink w:history="1" w:anchor="p-679.5(l)(7)(ii)" r:id="rId24">
              <w:r w:rsidRPr="004B311E" w:rsidR="00056EAF">
                <w:rPr>
                  <w:rStyle w:val="Hyperlink"/>
                  <w:rFonts w:ascii="Calibri" w:hAnsi="Calibri" w:eastAsia="Calibri"/>
                  <w:sz w:val="20"/>
                  <w:szCs w:val="20"/>
                </w:rPr>
                <w:t>§ 679.5(l)(7)(ii)</w:t>
              </w:r>
            </w:hyperlink>
          </w:p>
        </w:tc>
        <w:tc>
          <w:tcPr>
            <w:tcW w:w="3113" w:type="dxa"/>
            <w:shd w:val="clear" w:color="auto" w:fill="auto"/>
            <w:vAlign w:val="center"/>
          </w:tcPr>
          <w:p w:rsidRPr="00440310" w:rsidR="00440310" w:rsidP="00893ECE" w:rsidRDefault="00440310" w14:paraId="2FB4A4D3" w14:textId="7BDD9F98">
            <w:pPr>
              <w:widowControl/>
              <w:rPr>
                <w:rFonts w:ascii="Calibri" w:hAnsi="Calibri" w:eastAsia="Calibri"/>
                <w:sz w:val="20"/>
                <w:szCs w:val="20"/>
              </w:rPr>
            </w:pPr>
            <w:r>
              <w:rPr>
                <w:rFonts w:ascii="Calibri" w:hAnsi="Calibri" w:eastAsia="Calibri"/>
                <w:sz w:val="20"/>
                <w:szCs w:val="20"/>
              </w:rPr>
              <w:t xml:space="preserve">IFQ fishery participants paying their actual fee rather than their NMFS assessed fee liability use this </w:t>
            </w:r>
            <w:r w:rsidR="00477820">
              <w:rPr>
                <w:rFonts w:ascii="Calibri" w:hAnsi="Calibri" w:eastAsia="Calibri"/>
                <w:sz w:val="20"/>
                <w:szCs w:val="20"/>
              </w:rPr>
              <w:t xml:space="preserve">form </w:t>
            </w:r>
            <w:r>
              <w:rPr>
                <w:rFonts w:ascii="Calibri" w:hAnsi="Calibri" w:eastAsia="Calibri"/>
                <w:sz w:val="20"/>
                <w:szCs w:val="20"/>
              </w:rPr>
              <w:t xml:space="preserve">to submit </w:t>
            </w:r>
            <w:r w:rsidR="00D64ECA">
              <w:rPr>
                <w:rFonts w:ascii="Calibri" w:hAnsi="Calibri" w:eastAsia="Calibri"/>
                <w:sz w:val="20"/>
                <w:szCs w:val="20"/>
              </w:rPr>
              <w:t xml:space="preserve">calculations and </w:t>
            </w:r>
            <w:r>
              <w:rPr>
                <w:rFonts w:ascii="Calibri" w:hAnsi="Calibri" w:eastAsia="Calibri"/>
                <w:sz w:val="20"/>
                <w:szCs w:val="20"/>
              </w:rPr>
              <w:t xml:space="preserve">documentation supporting their </w:t>
            </w:r>
            <w:r w:rsidR="008E768C">
              <w:rPr>
                <w:rFonts w:ascii="Calibri" w:hAnsi="Calibri" w:eastAsia="Calibri"/>
                <w:sz w:val="20"/>
                <w:szCs w:val="20"/>
              </w:rPr>
              <w:t>revised fee liability</w:t>
            </w:r>
            <w:r w:rsidR="00477820">
              <w:rPr>
                <w:rFonts w:ascii="Calibri" w:hAnsi="Calibri" w:eastAsia="Calibri"/>
                <w:sz w:val="20"/>
                <w:szCs w:val="20"/>
              </w:rPr>
              <w:t>.</w:t>
            </w:r>
            <w:r>
              <w:rPr>
                <w:rFonts w:ascii="Calibri" w:hAnsi="Calibri" w:eastAsia="Calibri"/>
                <w:sz w:val="20"/>
                <w:szCs w:val="20"/>
              </w:rPr>
              <w:t xml:space="preserve"> </w:t>
            </w:r>
          </w:p>
        </w:tc>
        <w:tc>
          <w:tcPr>
            <w:tcW w:w="1079" w:type="dxa"/>
            <w:shd w:val="clear" w:color="auto" w:fill="auto"/>
            <w:vAlign w:val="center"/>
          </w:tcPr>
          <w:p w:rsidR="00056EAF" w:rsidP="00BA5189" w:rsidRDefault="009657CA" w14:paraId="4F0E7F15" w14:textId="77777777">
            <w:pPr>
              <w:widowControl/>
              <w:jc w:val="center"/>
              <w:rPr>
                <w:rFonts w:ascii="Calibri" w:hAnsi="Calibri" w:eastAsia="Calibri"/>
                <w:sz w:val="20"/>
                <w:szCs w:val="20"/>
              </w:rPr>
            </w:pPr>
            <w:r>
              <w:rPr>
                <w:rFonts w:ascii="Calibri" w:hAnsi="Calibri" w:eastAsia="Calibri"/>
                <w:sz w:val="20"/>
                <w:szCs w:val="20"/>
              </w:rPr>
              <w:t>m</w:t>
            </w:r>
            <w:r w:rsidR="00056EAF">
              <w:rPr>
                <w:rFonts w:ascii="Calibri" w:hAnsi="Calibri" w:eastAsia="Calibri"/>
                <w:sz w:val="20"/>
                <w:szCs w:val="20"/>
              </w:rPr>
              <w:t>ail (OMD)</w:t>
            </w:r>
          </w:p>
          <w:p w:rsidRPr="00650CE1" w:rsidR="005A4E69" w:rsidP="00BA5189" w:rsidRDefault="005A4E69" w14:paraId="4023F99C" w14:textId="24E7998F">
            <w:pPr>
              <w:widowControl/>
              <w:jc w:val="center"/>
              <w:rPr>
                <w:rFonts w:ascii="Calibri" w:hAnsi="Calibri" w:eastAsia="Calibri"/>
                <w:sz w:val="20"/>
                <w:szCs w:val="20"/>
              </w:rPr>
            </w:pPr>
            <w:r>
              <w:rPr>
                <w:rFonts w:ascii="Calibri" w:hAnsi="Calibri" w:eastAsia="Calibri"/>
                <w:sz w:val="20"/>
                <w:szCs w:val="20"/>
              </w:rPr>
              <w:t>fax (OMD)</w:t>
            </w:r>
          </w:p>
        </w:tc>
        <w:tc>
          <w:tcPr>
            <w:tcW w:w="773" w:type="dxa"/>
            <w:vAlign w:val="center"/>
          </w:tcPr>
          <w:p w:rsidRPr="00056EAF" w:rsidR="00056EAF" w:rsidP="00056EAF" w:rsidRDefault="00056EAF" w14:paraId="62812606" w14:textId="0D92D2F2">
            <w:pPr>
              <w:widowControl/>
              <w:jc w:val="center"/>
              <w:rPr>
                <w:rFonts w:ascii="Calibri" w:hAnsi="Calibri" w:eastAsia="Calibri"/>
                <w:sz w:val="20"/>
                <w:szCs w:val="20"/>
              </w:rPr>
            </w:pPr>
            <w:r w:rsidRPr="00056EAF">
              <w:rPr>
                <w:rFonts w:ascii="Calibri" w:hAnsi="Calibri" w:eastAsia="Calibri"/>
                <w:sz w:val="20"/>
                <w:szCs w:val="20"/>
              </w:rPr>
              <w:t>Y</w:t>
            </w:r>
          </w:p>
        </w:tc>
        <w:tc>
          <w:tcPr>
            <w:tcW w:w="2813" w:type="dxa"/>
            <w:shd w:val="clear" w:color="auto" w:fill="auto"/>
            <w:vAlign w:val="center"/>
          </w:tcPr>
          <w:p w:rsidRPr="00650CE1" w:rsidR="00056EAF" w:rsidP="00477820" w:rsidRDefault="00477820" w14:paraId="3F2BB009" w14:textId="548C6E7B">
            <w:pPr>
              <w:widowControl/>
              <w:rPr>
                <w:rFonts w:ascii="Calibri" w:hAnsi="Calibri" w:eastAsia="Calibri"/>
                <w:sz w:val="20"/>
                <w:szCs w:val="20"/>
              </w:rPr>
            </w:pPr>
            <w:r>
              <w:rPr>
                <w:rFonts w:ascii="Calibri" w:hAnsi="Calibri" w:eastAsia="Calibri"/>
                <w:sz w:val="20"/>
                <w:szCs w:val="20"/>
              </w:rPr>
              <w:t>January 31</w:t>
            </w:r>
          </w:p>
        </w:tc>
      </w:tr>
      <w:tr w:rsidRPr="00650CE1" w:rsidR="00056EAF" w:rsidTr="00D22B45" w14:paraId="6A496626" w14:textId="77777777">
        <w:trPr>
          <w:trHeight w:val="429"/>
          <w:jc w:val="center"/>
        </w:trPr>
        <w:tc>
          <w:tcPr>
            <w:tcW w:w="2076" w:type="dxa"/>
            <w:tcBorders>
              <w:bottom w:val="single" w:color="auto" w:sz="4" w:space="0"/>
            </w:tcBorders>
            <w:shd w:val="clear" w:color="auto" w:fill="auto"/>
            <w:vAlign w:val="center"/>
          </w:tcPr>
          <w:p w:rsidRPr="00C7265C" w:rsidR="00056EAF" w:rsidP="00B028A0" w:rsidRDefault="00056EAF" w14:paraId="39A9311A" w14:textId="05FD5E4D">
            <w:pPr>
              <w:widowControl/>
              <w:rPr>
                <w:rFonts w:eastAsia="Calibri" w:asciiTheme="minorHAnsi" w:hAnsiTheme="minorHAnsi" w:cstheme="minorHAnsi"/>
                <w:sz w:val="20"/>
                <w:szCs w:val="20"/>
              </w:rPr>
            </w:pPr>
            <w:r w:rsidRPr="00C7265C">
              <w:rPr>
                <w:rFonts w:asciiTheme="minorHAnsi" w:hAnsiTheme="minorHAnsi" w:cstheme="minorHAnsi"/>
                <w:sz w:val="20"/>
                <w:szCs w:val="20"/>
              </w:rPr>
              <w:t>R</w:t>
            </w:r>
            <w:r w:rsidRPr="00C7265C" w:rsidR="00FB07FB">
              <w:rPr>
                <w:rFonts w:asciiTheme="minorHAnsi" w:hAnsiTheme="minorHAnsi" w:cstheme="minorHAnsi"/>
                <w:sz w:val="20"/>
                <w:szCs w:val="20"/>
              </w:rPr>
              <w:t>egistered Crab Receiver F</w:t>
            </w:r>
            <w:r w:rsidRPr="00C7265C">
              <w:rPr>
                <w:rFonts w:asciiTheme="minorHAnsi" w:hAnsiTheme="minorHAnsi" w:cstheme="minorHAnsi"/>
                <w:sz w:val="20"/>
                <w:szCs w:val="20"/>
              </w:rPr>
              <w:t xml:space="preserve">ee </w:t>
            </w:r>
            <w:r w:rsidRPr="00C7265C" w:rsidR="00B028A0">
              <w:rPr>
                <w:rFonts w:asciiTheme="minorHAnsi" w:hAnsiTheme="minorHAnsi" w:cstheme="minorHAnsi"/>
                <w:sz w:val="20"/>
                <w:szCs w:val="20"/>
              </w:rPr>
              <w:t xml:space="preserve">Calculation </w:t>
            </w:r>
            <w:r w:rsidRPr="00C7265C" w:rsidR="00FB07FB">
              <w:rPr>
                <w:rFonts w:asciiTheme="minorHAnsi" w:hAnsiTheme="minorHAnsi" w:cstheme="minorHAnsi"/>
                <w:sz w:val="20"/>
                <w:szCs w:val="20"/>
              </w:rPr>
              <w:t>F</w:t>
            </w:r>
            <w:r w:rsidRPr="00C7265C">
              <w:rPr>
                <w:rFonts w:asciiTheme="minorHAnsi" w:hAnsiTheme="minorHAnsi" w:cstheme="minorHAnsi"/>
                <w:sz w:val="20"/>
                <w:szCs w:val="20"/>
              </w:rPr>
              <w:t>orm</w:t>
            </w:r>
          </w:p>
        </w:tc>
        <w:tc>
          <w:tcPr>
            <w:tcW w:w="1343" w:type="dxa"/>
            <w:tcBorders>
              <w:bottom w:val="single" w:color="auto" w:sz="4" w:space="0"/>
            </w:tcBorders>
            <w:shd w:val="clear" w:color="auto" w:fill="auto"/>
            <w:vAlign w:val="center"/>
          </w:tcPr>
          <w:p w:rsidR="00056EAF" w:rsidP="00A31A0A" w:rsidRDefault="00CA270E" w14:paraId="2ACD8E16" w14:textId="3CDA254D">
            <w:pPr>
              <w:widowControl/>
              <w:jc w:val="center"/>
            </w:pPr>
            <w:hyperlink w:history="1" w:anchor="p-680.5(g)" r:id="rId25">
              <w:r w:rsidRPr="0048222B" w:rsidR="00056EAF">
                <w:rPr>
                  <w:rStyle w:val="Hyperlink"/>
                  <w:rFonts w:ascii="Calibri" w:hAnsi="Calibri" w:eastAsia="Calibri"/>
                  <w:sz w:val="20"/>
                  <w:szCs w:val="20"/>
                </w:rPr>
                <w:t>§ 680.5(g)</w:t>
              </w:r>
            </w:hyperlink>
          </w:p>
        </w:tc>
        <w:tc>
          <w:tcPr>
            <w:tcW w:w="3113" w:type="dxa"/>
            <w:shd w:val="clear" w:color="auto" w:fill="auto"/>
            <w:vAlign w:val="center"/>
          </w:tcPr>
          <w:p w:rsidRPr="00BC468D" w:rsidR="00056EAF" w:rsidP="00893ECE" w:rsidRDefault="00056EAF" w14:paraId="2AD09B17" w14:textId="672DB536">
            <w:pPr>
              <w:widowControl/>
              <w:rPr>
                <w:rFonts w:ascii="Calibri" w:hAnsi="Calibri" w:eastAsia="Calibri"/>
                <w:sz w:val="20"/>
                <w:szCs w:val="20"/>
              </w:rPr>
            </w:pPr>
            <w:r w:rsidRPr="00BC468D">
              <w:rPr>
                <w:rFonts w:ascii="Calibri" w:hAnsi="Calibri" w:eastAsia="Calibri"/>
                <w:sz w:val="20"/>
                <w:szCs w:val="20"/>
              </w:rPr>
              <w:t>RCR</w:t>
            </w:r>
            <w:r w:rsidR="00D64ECA">
              <w:rPr>
                <w:rFonts w:ascii="Calibri" w:hAnsi="Calibri" w:eastAsia="Calibri"/>
                <w:sz w:val="20"/>
                <w:szCs w:val="20"/>
              </w:rPr>
              <w:t>s</w:t>
            </w:r>
            <w:r w:rsidRPr="00BC468D">
              <w:rPr>
                <w:rFonts w:ascii="Calibri" w:hAnsi="Calibri" w:eastAsia="Calibri"/>
                <w:sz w:val="20"/>
                <w:szCs w:val="20"/>
              </w:rPr>
              <w:t xml:space="preserve"> </w:t>
            </w:r>
            <w:r w:rsidRPr="00D64ECA" w:rsidR="00D64ECA">
              <w:rPr>
                <w:rFonts w:ascii="Calibri" w:hAnsi="Calibri" w:eastAsia="Calibri"/>
                <w:sz w:val="20"/>
                <w:szCs w:val="20"/>
              </w:rPr>
              <w:t xml:space="preserve">paying their actual fee rather than their NMFS assessed fee liability use this </w:t>
            </w:r>
            <w:r w:rsidR="008E16EB">
              <w:rPr>
                <w:rFonts w:ascii="Calibri" w:hAnsi="Calibri" w:eastAsia="Calibri"/>
                <w:sz w:val="20"/>
                <w:szCs w:val="20"/>
              </w:rPr>
              <w:t xml:space="preserve">form </w:t>
            </w:r>
            <w:r w:rsidRPr="00D64ECA" w:rsidR="00D64ECA">
              <w:rPr>
                <w:rFonts w:ascii="Calibri" w:hAnsi="Calibri" w:eastAsia="Calibri"/>
                <w:sz w:val="20"/>
                <w:szCs w:val="20"/>
              </w:rPr>
              <w:t xml:space="preserve">to submit calculations and </w:t>
            </w:r>
            <w:r w:rsidR="008E16EB">
              <w:rPr>
                <w:rFonts w:ascii="Calibri" w:hAnsi="Calibri" w:eastAsia="Calibri"/>
                <w:sz w:val="20"/>
                <w:szCs w:val="20"/>
              </w:rPr>
              <w:t>documentation supporting their revised fee liability</w:t>
            </w:r>
            <w:r w:rsidRPr="00D64ECA" w:rsidR="00D64ECA">
              <w:rPr>
                <w:rFonts w:ascii="Calibri" w:hAnsi="Calibri" w:eastAsia="Calibri"/>
                <w:sz w:val="20"/>
                <w:szCs w:val="20"/>
              </w:rPr>
              <w:t>.</w:t>
            </w:r>
          </w:p>
        </w:tc>
        <w:tc>
          <w:tcPr>
            <w:tcW w:w="1079" w:type="dxa"/>
            <w:shd w:val="clear" w:color="auto" w:fill="auto"/>
            <w:vAlign w:val="center"/>
          </w:tcPr>
          <w:p w:rsidR="000D4C7B" w:rsidP="002E11E7" w:rsidRDefault="00056EAF" w14:paraId="0BDBF761" w14:textId="77777777">
            <w:pPr>
              <w:widowControl/>
              <w:jc w:val="center"/>
              <w:rPr>
                <w:rFonts w:ascii="Calibri" w:hAnsi="Calibri" w:eastAsia="Calibri"/>
                <w:sz w:val="20"/>
                <w:szCs w:val="20"/>
              </w:rPr>
            </w:pPr>
            <w:r>
              <w:rPr>
                <w:rFonts w:ascii="Calibri" w:hAnsi="Calibri" w:eastAsia="Calibri"/>
                <w:sz w:val="20"/>
                <w:szCs w:val="20"/>
              </w:rPr>
              <w:t>mail (OMD)</w:t>
            </w:r>
          </w:p>
          <w:p w:rsidRPr="00650CE1" w:rsidR="00056EAF" w:rsidP="002E11E7" w:rsidRDefault="000D4C7B" w14:paraId="1FDA8492" w14:textId="63EB91E4">
            <w:pPr>
              <w:widowControl/>
              <w:jc w:val="center"/>
              <w:rPr>
                <w:rFonts w:ascii="Calibri" w:hAnsi="Calibri" w:eastAsia="Calibri"/>
                <w:sz w:val="20"/>
                <w:szCs w:val="20"/>
              </w:rPr>
            </w:pPr>
            <w:r>
              <w:rPr>
                <w:rFonts w:ascii="Calibri" w:hAnsi="Calibri" w:eastAsia="Calibri"/>
                <w:sz w:val="20"/>
                <w:szCs w:val="20"/>
              </w:rPr>
              <w:t>fax (OMD)</w:t>
            </w:r>
          </w:p>
        </w:tc>
        <w:tc>
          <w:tcPr>
            <w:tcW w:w="773" w:type="dxa"/>
            <w:vAlign w:val="center"/>
          </w:tcPr>
          <w:p w:rsidRPr="00056EAF" w:rsidR="00056EAF" w:rsidP="00056EAF" w:rsidRDefault="00056EAF" w14:paraId="06628C13" w14:textId="7A5E7876">
            <w:pPr>
              <w:widowControl/>
              <w:jc w:val="center"/>
              <w:rPr>
                <w:rFonts w:ascii="Calibri" w:hAnsi="Calibri" w:eastAsia="Calibri"/>
                <w:sz w:val="20"/>
                <w:szCs w:val="20"/>
              </w:rPr>
            </w:pPr>
            <w:r w:rsidRPr="00056EAF">
              <w:rPr>
                <w:rFonts w:ascii="Calibri" w:hAnsi="Calibri" w:eastAsia="Calibri"/>
                <w:sz w:val="20"/>
                <w:szCs w:val="20"/>
              </w:rPr>
              <w:t>Y</w:t>
            </w:r>
          </w:p>
        </w:tc>
        <w:tc>
          <w:tcPr>
            <w:tcW w:w="2813" w:type="dxa"/>
            <w:shd w:val="clear" w:color="auto" w:fill="auto"/>
            <w:vAlign w:val="center"/>
          </w:tcPr>
          <w:p w:rsidRPr="00650CE1" w:rsidR="00056EAF" w:rsidP="005836DD" w:rsidRDefault="00477820" w14:paraId="1D1C85E5" w14:textId="03710AE5">
            <w:pPr>
              <w:widowControl/>
              <w:rPr>
                <w:rFonts w:ascii="Calibri" w:hAnsi="Calibri" w:eastAsia="Calibri"/>
                <w:sz w:val="20"/>
                <w:szCs w:val="20"/>
              </w:rPr>
            </w:pPr>
            <w:r>
              <w:rPr>
                <w:rFonts w:ascii="Calibri" w:hAnsi="Calibri" w:eastAsia="Calibri"/>
                <w:sz w:val="20"/>
                <w:szCs w:val="20"/>
              </w:rPr>
              <w:t>July 31</w:t>
            </w:r>
            <w:r w:rsidR="005836DD">
              <w:rPr>
                <w:rStyle w:val="CommentReference"/>
                <w:color w:val="2E5395"/>
              </w:rPr>
              <w:t xml:space="preserve"> </w:t>
            </w:r>
          </w:p>
        </w:tc>
      </w:tr>
      <w:tr w:rsidRPr="00650CE1" w:rsidR="00056EAF" w:rsidTr="00D22B45" w14:paraId="35C8FD3C" w14:textId="5EE84EE8">
        <w:trPr>
          <w:trHeight w:val="374"/>
          <w:jc w:val="center"/>
        </w:trPr>
        <w:tc>
          <w:tcPr>
            <w:tcW w:w="2076" w:type="dxa"/>
            <w:tcBorders>
              <w:right w:val="nil"/>
            </w:tcBorders>
            <w:shd w:val="clear" w:color="auto" w:fill="FDE9D9"/>
            <w:vAlign w:val="center"/>
          </w:tcPr>
          <w:p w:rsidRPr="00426FE1" w:rsidR="00056EAF" w:rsidP="00F87F31" w:rsidRDefault="00056EAF" w14:paraId="1FA0862F" w14:textId="77777777">
            <w:pPr>
              <w:keepNext/>
              <w:keepLines/>
              <w:widowControl/>
              <w:rPr>
                <w:rFonts w:ascii="Calibri" w:hAnsi="Calibri" w:eastAsia="Calibri"/>
                <w:i/>
                <w:sz w:val="20"/>
                <w:szCs w:val="20"/>
              </w:rPr>
            </w:pPr>
            <w:r w:rsidRPr="00426FE1">
              <w:rPr>
                <w:rFonts w:ascii="Calibri" w:hAnsi="Calibri" w:eastAsia="Calibri"/>
                <w:i/>
                <w:sz w:val="20"/>
                <w:szCs w:val="20"/>
              </w:rPr>
              <w:t>Volume and Value Reports</w:t>
            </w:r>
          </w:p>
        </w:tc>
        <w:tc>
          <w:tcPr>
            <w:tcW w:w="1343" w:type="dxa"/>
            <w:tcBorders>
              <w:left w:val="nil"/>
              <w:right w:val="nil"/>
            </w:tcBorders>
            <w:shd w:val="clear" w:color="auto" w:fill="FDE9D9"/>
            <w:vAlign w:val="center"/>
          </w:tcPr>
          <w:p w:rsidRPr="00650CE1" w:rsidR="00056EAF" w:rsidP="00F87F31" w:rsidRDefault="00056EAF" w14:paraId="6C488952" w14:textId="77777777">
            <w:pPr>
              <w:keepNext/>
              <w:keepLines/>
              <w:widowControl/>
              <w:jc w:val="center"/>
              <w:rPr>
                <w:rFonts w:ascii="Calibri" w:hAnsi="Calibri" w:eastAsia="Calibri"/>
                <w:sz w:val="20"/>
                <w:szCs w:val="20"/>
              </w:rPr>
            </w:pPr>
          </w:p>
        </w:tc>
        <w:tc>
          <w:tcPr>
            <w:tcW w:w="3113" w:type="dxa"/>
            <w:tcBorders>
              <w:left w:val="nil"/>
              <w:right w:val="nil"/>
            </w:tcBorders>
            <w:shd w:val="clear" w:color="auto" w:fill="FDE9D9"/>
          </w:tcPr>
          <w:p w:rsidRPr="00650CE1" w:rsidR="00056EAF" w:rsidP="00F87F31" w:rsidRDefault="00056EAF" w14:paraId="2D78FBEF" w14:textId="77777777">
            <w:pPr>
              <w:keepNext/>
              <w:keepLines/>
              <w:widowControl/>
              <w:jc w:val="center"/>
              <w:rPr>
                <w:rFonts w:ascii="Calibri" w:hAnsi="Calibri" w:eastAsia="Calibri"/>
                <w:sz w:val="20"/>
                <w:szCs w:val="20"/>
              </w:rPr>
            </w:pPr>
          </w:p>
        </w:tc>
        <w:tc>
          <w:tcPr>
            <w:tcW w:w="1079" w:type="dxa"/>
            <w:tcBorders>
              <w:left w:val="nil"/>
              <w:right w:val="nil"/>
            </w:tcBorders>
            <w:shd w:val="clear" w:color="auto" w:fill="FDE9D9"/>
          </w:tcPr>
          <w:p w:rsidRPr="00650CE1" w:rsidR="00056EAF" w:rsidP="00F87F31" w:rsidRDefault="00056EAF" w14:paraId="1127F339" w14:textId="77777777">
            <w:pPr>
              <w:keepNext/>
              <w:keepLines/>
              <w:widowControl/>
              <w:jc w:val="center"/>
              <w:rPr>
                <w:rFonts w:ascii="Calibri" w:hAnsi="Calibri" w:eastAsia="Calibri"/>
                <w:sz w:val="20"/>
                <w:szCs w:val="20"/>
              </w:rPr>
            </w:pPr>
          </w:p>
        </w:tc>
        <w:tc>
          <w:tcPr>
            <w:tcW w:w="773" w:type="dxa"/>
            <w:tcBorders>
              <w:left w:val="nil"/>
              <w:right w:val="nil"/>
            </w:tcBorders>
            <w:shd w:val="clear" w:color="auto" w:fill="FDE9D9"/>
            <w:vAlign w:val="center"/>
          </w:tcPr>
          <w:p w:rsidRPr="00650CE1" w:rsidR="00056EAF" w:rsidP="00F87F31" w:rsidRDefault="00056EAF" w14:paraId="788154AE" w14:textId="77777777">
            <w:pPr>
              <w:keepNext/>
              <w:keepLines/>
              <w:widowControl/>
              <w:jc w:val="center"/>
              <w:rPr>
                <w:rFonts w:ascii="Calibri" w:hAnsi="Calibri" w:eastAsia="Calibri"/>
                <w:sz w:val="20"/>
                <w:szCs w:val="20"/>
              </w:rPr>
            </w:pPr>
          </w:p>
        </w:tc>
        <w:tc>
          <w:tcPr>
            <w:tcW w:w="2813" w:type="dxa"/>
            <w:tcBorders>
              <w:left w:val="nil"/>
            </w:tcBorders>
            <w:shd w:val="clear" w:color="auto" w:fill="FDE9D9"/>
          </w:tcPr>
          <w:p w:rsidRPr="00650CE1" w:rsidR="00056EAF" w:rsidP="00F87F31" w:rsidRDefault="00056EAF" w14:paraId="44AA9C7C" w14:textId="0DA470A0">
            <w:pPr>
              <w:keepNext/>
              <w:keepLines/>
              <w:widowControl/>
              <w:jc w:val="center"/>
              <w:rPr>
                <w:rFonts w:ascii="Calibri" w:hAnsi="Calibri" w:eastAsia="Calibri"/>
                <w:sz w:val="20"/>
                <w:szCs w:val="20"/>
              </w:rPr>
            </w:pPr>
          </w:p>
        </w:tc>
      </w:tr>
      <w:tr w:rsidRPr="00650CE1" w:rsidR="00056EAF" w:rsidTr="00D22B45" w14:paraId="09118A71" w14:textId="60422586">
        <w:trPr>
          <w:trHeight w:val="572"/>
          <w:jc w:val="center"/>
        </w:trPr>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rsidRPr="00650CE1" w:rsidR="00056EAF" w:rsidP="00F87F31" w:rsidRDefault="00056EAF" w14:paraId="7AA7B6BE" w14:textId="77777777">
            <w:pPr>
              <w:keepNext/>
              <w:keepLines/>
              <w:autoSpaceDE w:val="0"/>
              <w:autoSpaceDN w:val="0"/>
              <w:adjustRightInd w:val="0"/>
              <w:rPr>
                <w:rFonts w:ascii="Calibri" w:hAnsi="Calibri" w:eastAsia="Calibri"/>
                <w:sz w:val="20"/>
                <w:szCs w:val="20"/>
              </w:rPr>
            </w:pPr>
            <w:r w:rsidRPr="00650CE1">
              <w:rPr>
                <w:rFonts w:ascii="Calibri" w:hAnsi="Calibri" w:eastAsia="Calibri"/>
                <w:sz w:val="20"/>
                <w:szCs w:val="20"/>
              </w:rPr>
              <w:t>IFQ Registered Buyer Ex-vessel Volume and Value Report (IFQ Buyer Report)</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rsidRPr="00650CE1" w:rsidR="00056EAF" w:rsidP="00F87F31" w:rsidRDefault="00CA270E" w14:paraId="0F1A8FF6" w14:textId="2007B57B">
            <w:pPr>
              <w:keepNext/>
              <w:keepLines/>
              <w:widowControl/>
              <w:jc w:val="center"/>
              <w:rPr>
                <w:rFonts w:ascii="Calibri" w:hAnsi="Calibri" w:eastAsia="Calibri"/>
                <w:sz w:val="20"/>
                <w:szCs w:val="20"/>
              </w:rPr>
            </w:pPr>
            <w:hyperlink w:history="1" w:anchor="p-679.5(l)(7)(i)" r:id="rId26">
              <w:r w:rsidRPr="00BF5075" w:rsidR="00056EAF">
                <w:rPr>
                  <w:rStyle w:val="Hyperlink"/>
                  <w:rFonts w:ascii="Calibri" w:hAnsi="Calibri" w:eastAsia="Calibri"/>
                  <w:sz w:val="20"/>
                  <w:szCs w:val="20"/>
                </w:rPr>
                <w:t>§ 679.5(l)(7)(</w:t>
              </w:r>
              <w:proofErr w:type="spellStart"/>
              <w:r w:rsidRPr="00BF5075" w:rsidR="00056EAF">
                <w:rPr>
                  <w:rStyle w:val="Hyperlink"/>
                  <w:rFonts w:ascii="Calibri" w:hAnsi="Calibri" w:eastAsia="Calibri"/>
                  <w:sz w:val="20"/>
                  <w:szCs w:val="20"/>
                </w:rPr>
                <w:t>i</w:t>
              </w:r>
              <w:proofErr w:type="spellEnd"/>
              <w:r w:rsidRPr="00BF5075" w:rsidR="00056EAF">
                <w:rPr>
                  <w:rStyle w:val="Hyperlink"/>
                  <w:rFonts w:ascii="Calibri" w:hAnsi="Calibri" w:eastAsia="Calibri"/>
                  <w:sz w:val="20"/>
                  <w:szCs w:val="20"/>
                </w:rPr>
                <w:t>)</w:t>
              </w:r>
            </w:hyperlink>
          </w:p>
        </w:tc>
        <w:tc>
          <w:tcPr>
            <w:tcW w:w="3113" w:type="dxa"/>
            <w:shd w:val="clear" w:color="auto" w:fill="auto"/>
            <w:vAlign w:val="center"/>
          </w:tcPr>
          <w:p w:rsidRPr="00650CE1" w:rsidR="00056EAF" w:rsidP="00F87F31" w:rsidRDefault="00056EAF" w14:paraId="7BC169F1" w14:textId="5220F5FF">
            <w:pPr>
              <w:keepNext/>
              <w:keepLines/>
              <w:widowControl/>
              <w:rPr>
                <w:rFonts w:ascii="Calibri" w:hAnsi="Calibri" w:eastAsia="Calibri"/>
                <w:sz w:val="20"/>
                <w:szCs w:val="20"/>
              </w:rPr>
            </w:pPr>
            <w:r w:rsidRPr="00650CE1">
              <w:rPr>
                <w:rFonts w:ascii="Calibri" w:hAnsi="Calibri" w:eastAsia="Calibri"/>
                <w:sz w:val="20"/>
                <w:szCs w:val="20"/>
              </w:rPr>
              <w:t xml:space="preserve">IFQ Registered Buyers that operate as </w:t>
            </w:r>
            <w:proofErr w:type="spellStart"/>
            <w:r w:rsidRPr="00650CE1">
              <w:rPr>
                <w:rFonts w:ascii="Calibri" w:hAnsi="Calibri" w:eastAsia="Calibri"/>
                <w:sz w:val="20"/>
                <w:szCs w:val="20"/>
              </w:rPr>
              <w:t>shoreside</w:t>
            </w:r>
            <w:proofErr w:type="spellEnd"/>
            <w:r w:rsidRPr="00650CE1">
              <w:rPr>
                <w:rFonts w:ascii="Calibri" w:hAnsi="Calibri" w:eastAsia="Calibri"/>
                <w:sz w:val="20"/>
                <w:szCs w:val="20"/>
              </w:rPr>
              <w:t xml:space="preserve"> processors and receive and purchase IFQ landings of sablefish or halibut or CDQ landings of halibut</w:t>
            </w:r>
          </w:p>
        </w:tc>
        <w:tc>
          <w:tcPr>
            <w:tcW w:w="1079" w:type="dxa"/>
            <w:vAlign w:val="center"/>
          </w:tcPr>
          <w:p w:rsidR="00056EAF" w:rsidP="00F87F31" w:rsidRDefault="00056EAF" w14:paraId="26B4988A" w14:textId="77777777">
            <w:pPr>
              <w:keepNext/>
              <w:keepLines/>
              <w:widowControl/>
              <w:jc w:val="center"/>
              <w:rPr>
                <w:rFonts w:ascii="Calibri" w:hAnsi="Calibri" w:eastAsia="Calibri"/>
                <w:sz w:val="20"/>
                <w:szCs w:val="20"/>
              </w:rPr>
            </w:pPr>
            <w:proofErr w:type="spellStart"/>
            <w:r>
              <w:rPr>
                <w:rFonts w:ascii="Calibri" w:hAnsi="Calibri" w:eastAsia="Calibri"/>
                <w:sz w:val="20"/>
                <w:szCs w:val="20"/>
              </w:rPr>
              <w:t>eFISH</w:t>
            </w:r>
            <w:proofErr w:type="spellEnd"/>
          </w:p>
          <w:p w:rsidR="00056EAF" w:rsidP="00F87F31" w:rsidRDefault="00056EAF" w14:paraId="0D061A73" w14:textId="77777777">
            <w:pPr>
              <w:keepNext/>
              <w:keepLines/>
              <w:widowControl/>
              <w:jc w:val="center"/>
              <w:rPr>
                <w:rFonts w:ascii="Calibri" w:hAnsi="Calibri" w:eastAsia="Calibri"/>
                <w:sz w:val="20"/>
                <w:szCs w:val="20"/>
              </w:rPr>
            </w:pPr>
            <w:r>
              <w:rPr>
                <w:rFonts w:ascii="Calibri" w:hAnsi="Calibri" w:eastAsia="Calibri"/>
                <w:sz w:val="20"/>
                <w:szCs w:val="20"/>
              </w:rPr>
              <w:t>mail (RAM)</w:t>
            </w:r>
          </w:p>
          <w:p w:rsidRPr="00650CE1" w:rsidR="00056EAF" w:rsidP="00F87F31" w:rsidRDefault="00056EAF" w14:paraId="64A675C5" w14:textId="10F473AB">
            <w:pPr>
              <w:keepNext/>
              <w:keepLines/>
              <w:widowControl/>
              <w:jc w:val="center"/>
              <w:rPr>
                <w:rFonts w:ascii="Calibri" w:hAnsi="Calibri" w:eastAsia="Calibri"/>
                <w:sz w:val="20"/>
                <w:szCs w:val="20"/>
              </w:rPr>
            </w:pPr>
            <w:r>
              <w:rPr>
                <w:rFonts w:ascii="Calibri" w:hAnsi="Calibri" w:eastAsia="Calibri"/>
                <w:sz w:val="20"/>
                <w:szCs w:val="20"/>
              </w:rPr>
              <w:t>fax (RAM)</w:t>
            </w:r>
          </w:p>
        </w:tc>
        <w:tc>
          <w:tcPr>
            <w:tcW w:w="773" w:type="dxa"/>
            <w:vAlign w:val="center"/>
          </w:tcPr>
          <w:p w:rsidRPr="00650CE1" w:rsidR="00056EAF" w:rsidP="00F87F31" w:rsidRDefault="00056EAF" w14:paraId="0AAC83E1" w14:textId="5474C03E">
            <w:pPr>
              <w:keepNext/>
              <w:keepLines/>
              <w:widowControl/>
              <w:jc w:val="center"/>
              <w:rPr>
                <w:rFonts w:ascii="Calibri" w:hAnsi="Calibri" w:eastAsia="Calibri"/>
                <w:sz w:val="20"/>
                <w:szCs w:val="20"/>
              </w:rPr>
            </w:pPr>
            <w:r>
              <w:rPr>
                <w:rFonts w:ascii="Calibri" w:hAnsi="Calibri" w:eastAsia="Calibri"/>
                <w:sz w:val="20"/>
                <w:szCs w:val="20"/>
              </w:rPr>
              <w:t>Y</w:t>
            </w:r>
          </w:p>
        </w:tc>
        <w:tc>
          <w:tcPr>
            <w:tcW w:w="2813" w:type="dxa"/>
            <w:shd w:val="clear" w:color="auto" w:fill="auto"/>
            <w:vAlign w:val="center"/>
          </w:tcPr>
          <w:p w:rsidR="00454223" w:rsidP="00F87F31" w:rsidRDefault="00454223" w14:paraId="7864126F" w14:textId="68D6F6A3">
            <w:pPr>
              <w:keepNext/>
              <w:keepLines/>
              <w:widowControl/>
              <w:rPr>
                <w:rFonts w:ascii="Calibri" w:hAnsi="Calibri" w:eastAsia="Calibri"/>
                <w:sz w:val="20"/>
                <w:szCs w:val="20"/>
              </w:rPr>
            </w:pPr>
            <w:r w:rsidRPr="00454223">
              <w:rPr>
                <w:rFonts w:ascii="Calibri" w:hAnsi="Calibri" w:eastAsia="Calibri"/>
                <w:sz w:val="20"/>
                <w:szCs w:val="20"/>
              </w:rPr>
              <w:t>October 15 following the reporting period in which the IFQ Registered Buyer receives the IFQ fish or CDQ halibut.</w:t>
            </w:r>
          </w:p>
          <w:p w:rsidRPr="00650CE1" w:rsidR="00056EAF" w:rsidP="00F87F31" w:rsidRDefault="00454223" w14:paraId="6100FC94" w14:textId="39151219">
            <w:pPr>
              <w:keepNext/>
              <w:keepLines/>
              <w:widowControl/>
              <w:rPr>
                <w:rFonts w:ascii="Calibri" w:hAnsi="Calibri" w:eastAsia="Calibri"/>
                <w:sz w:val="20"/>
                <w:szCs w:val="20"/>
              </w:rPr>
            </w:pPr>
            <w:r>
              <w:rPr>
                <w:rFonts w:ascii="Calibri" w:hAnsi="Calibri" w:eastAsia="Calibri"/>
                <w:sz w:val="20"/>
                <w:szCs w:val="20"/>
              </w:rPr>
              <w:t xml:space="preserve">Reporting period: </w:t>
            </w:r>
            <w:r w:rsidRPr="00650CE1" w:rsidR="00056EAF">
              <w:rPr>
                <w:rFonts w:ascii="Calibri" w:hAnsi="Calibri" w:eastAsia="Calibri"/>
                <w:sz w:val="20"/>
                <w:szCs w:val="20"/>
              </w:rPr>
              <w:t>October 1–September 30 of the following year</w:t>
            </w:r>
          </w:p>
        </w:tc>
      </w:tr>
      <w:tr w:rsidRPr="00650CE1" w:rsidR="00056EAF" w:rsidTr="00D22B45" w14:paraId="1FC920AA" w14:textId="7DE696D3">
        <w:trPr>
          <w:trHeight w:val="572"/>
          <w:jc w:val="center"/>
        </w:trPr>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rsidRPr="00650CE1" w:rsidR="00056EAF" w:rsidP="007B0517" w:rsidRDefault="00056EAF" w14:paraId="00F8BBC4" w14:textId="77777777">
            <w:pPr>
              <w:autoSpaceDE w:val="0"/>
              <w:autoSpaceDN w:val="0"/>
              <w:adjustRightInd w:val="0"/>
              <w:rPr>
                <w:rFonts w:ascii="Calibri" w:hAnsi="Calibri" w:eastAsia="Calibri"/>
                <w:sz w:val="20"/>
                <w:szCs w:val="20"/>
              </w:rPr>
            </w:pPr>
            <w:r w:rsidRPr="00650CE1">
              <w:rPr>
                <w:rFonts w:ascii="Calibri" w:hAnsi="Calibri" w:eastAsia="Calibri"/>
                <w:sz w:val="20"/>
                <w:szCs w:val="20"/>
              </w:rPr>
              <w:t xml:space="preserve">CR Registered Crab Receiver Ex-vessel Volume and Value </w:t>
            </w:r>
            <w:r w:rsidRPr="00650CE1">
              <w:rPr>
                <w:rFonts w:ascii="Calibri" w:hAnsi="Calibri" w:eastAsia="Calibri"/>
                <w:sz w:val="20"/>
                <w:szCs w:val="20"/>
              </w:rPr>
              <w:lastRenderedPageBreak/>
              <w:t>Report</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rsidRPr="00650CE1" w:rsidR="00056EAF" w:rsidP="007B0517" w:rsidRDefault="00CA270E" w14:paraId="6147EFD8" w14:textId="4E3706B7">
            <w:pPr>
              <w:widowControl/>
              <w:jc w:val="center"/>
              <w:rPr>
                <w:rFonts w:ascii="Calibri" w:hAnsi="Calibri" w:eastAsia="Calibri"/>
                <w:sz w:val="20"/>
                <w:szCs w:val="20"/>
              </w:rPr>
            </w:pPr>
            <w:hyperlink w:history="1" w:anchor="p-680.5(m)" r:id="rId27">
              <w:r w:rsidRPr="0048222B" w:rsidR="00056EAF">
                <w:rPr>
                  <w:rStyle w:val="Hyperlink"/>
                  <w:rFonts w:ascii="Calibri" w:hAnsi="Calibri" w:eastAsia="Calibri"/>
                  <w:sz w:val="20"/>
                  <w:szCs w:val="20"/>
                </w:rPr>
                <w:t>§ 680.5(m)</w:t>
              </w:r>
            </w:hyperlink>
          </w:p>
        </w:tc>
        <w:tc>
          <w:tcPr>
            <w:tcW w:w="3113" w:type="dxa"/>
            <w:shd w:val="clear" w:color="auto" w:fill="auto"/>
            <w:vAlign w:val="center"/>
          </w:tcPr>
          <w:p w:rsidRPr="00650CE1" w:rsidR="00056EAF" w:rsidP="007B0517" w:rsidRDefault="00056EAF" w14:paraId="0FA4BAD6" w14:textId="2C247A29">
            <w:pPr>
              <w:widowControl/>
              <w:rPr>
                <w:rFonts w:ascii="Calibri" w:hAnsi="Calibri" w:eastAsia="Calibri"/>
                <w:sz w:val="20"/>
                <w:szCs w:val="20"/>
              </w:rPr>
            </w:pPr>
            <w:r w:rsidRPr="00650CE1">
              <w:rPr>
                <w:rFonts w:ascii="Calibri" w:hAnsi="Calibri" w:eastAsia="Calibri"/>
                <w:sz w:val="20"/>
                <w:szCs w:val="20"/>
              </w:rPr>
              <w:t xml:space="preserve">RCR that operates as a </w:t>
            </w:r>
            <w:proofErr w:type="spellStart"/>
            <w:r w:rsidRPr="00650CE1">
              <w:rPr>
                <w:rFonts w:ascii="Calibri" w:hAnsi="Calibri" w:eastAsia="Calibri"/>
                <w:sz w:val="20"/>
                <w:szCs w:val="20"/>
              </w:rPr>
              <w:t>shoreside</w:t>
            </w:r>
            <w:proofErr w:type="spellEnd"/>
            <w:r w:rsidRPr="00650CE1">
              <w:rPr>
                <w:rFonts w:ascii="Calibri" w:hAnsi="Calibri" w:eastAsia="Calibri"/>
                <w:sz w:val="20"/>
                <w:szCs w:val="20"/>
              </w:rPr>
              <w:t xml:space="preserve"> processor or stationary floating crab processor and receives and </w:t>
            </w:r>
            <w:r w:rsidRPr="00650CE1">
              <w:rPr>
                <w:rFonts w:ascii="Calibri" w:hAnsi="Calibri" w:eastAsia="Calibri"/>
                <w:sz w:val="20"/>
                <w:szCs w:val="20"/>
              </w:rPr>
              <w:lastRenderedPageBreak/>
              <w:t>purchases landings of CR crab for each reporting period in which the RCR receives CR crab</w:t>
            </w:r>
          </w:p>
        </w:tc>
        <w:tc>
          <w:tcPr>
            <w:tcW w:w="1079" w:type="dxa"/>
            <w:shd w:val="clear" w:color="auto" w:fill="auto"/>
            <w:vAlign w:val="center"/>
          </w:tcPr>
          <w:p w:rsidRPr="00650CE1" w:rsidR="00056EAF" w:rsidP="007B0517" w:rsidRDefault="00056EAF" w14:paraId="12350D6C" w14:textId="75320635">
            <w:pPr>
              <w:widowControl/>
              <w:jc w:val="center"/>
              <w:rPr>
                <w:rFonts w:ascii="Calibri" w:hAnsi="Calibri" w:eastAsia="Calibri"/>
                <w:sz w:val="20"/>
                <w:szCs w:val="20"/>
              </w:rPr>
            </w:pPr>
            <w:proofErr w:type="spellStart"/>
            <w:r w:rsidRPr="00650CE1">
              <w:rPr>
                <w:rFonts w:ascii="Calibri" w:hAnsi="Calibri" w:eastAsia="Calibri"/>
                <w:sz w:val="20"/>
                <w:szCs w:val="20"/>
              </w:rPr>
              <w:lastRenderedPageBreak/>
              <w:t>eFISH</w:t>
            </w:r>
            <w:proofErr w:type="spellEnd"/>
          </w:p>
        </w:tc>
        <w:tc>
          <w:tcPr>
            <w:tcW w:w="773" w:type="dxa"/>
            <w:vAlign w:val="center"/>
          </w:tcPr>
          <w:p w:rsidRPr="00650CE1" w:rsidR="00056EAF" w:rsidP="00056EAF" w:rsidRDefault="00056EAF" w14:paraId="585CFC67" w14:textId="6C094913">
            <w:pPr>
              <w:widowControl/>
              <w:jc w:val="center"/>
              <w:rPr>
                <w:rFonts w:ascii="Calibri" w:hAnsi="Calibri" w:eastAsia="Calibri"/>
                <w:sz w:val="20"/>
                <w:szCs w:val="20"/>
              </w:rPr>
            </w:pPr>
            <w:r>
              <w:rPr>
                <w:rFonts w:ascii="Calibri" w:hAnsi="Calibri" w:eastAsia="Calibri"/>
                <w:sz w:val="20"/>
                <w:szCs w:val="20"/>
              </w:rPr>
              <w:t>N</w:t>
            </w:r>
          </w:p>
        </w:tc>
        <w:tc>
          <w:tcPr>
            <w:tcW w:w="2813" w:type="dxa"/>
            <w:vAlign w:val="center"/>
          </w:tcPr>
          <w:p w:rsidR="00454223" w:rsidP="007B0517" w:rsidRDefault="00454223" w14:paraId="3C4585FA" w14:textId="62476FE9">
            <w:pPr>
              <w:widowControl/>
              <w:rPr>
                <w:rFonts w:ascii="Calibri" w:hAnsi="Calibri" w:eastAsia="Calibri"/>
                <w:sz w:val="20"/>
                <w:szCs w:val="20"/>
              </w:rPr>
            </w:pPr>
            <w:r w:rsidRPr="00454223">
              <w:rPr>
                <w:rFonts w:ascii="Calibri" w:hAnsi="Calibri" w:eastAsia="Calibri"/>
                <w:sz w:val="20"/>
                <w:szCs w:val="20"/>
              </w:rPr>
              <w:t>May 31 of the reporting period in which the RCR received the CR crab.</w:t>
            </w:r>
          </w:p>
          <w:p w:rsidRPr="00650CE1" w:rsidR="00056EAF" w:rsidP="007B0517" w:rsidRDefault="00454223" w14:paraId="1850A9F3" w14:textId="367FEAB3">
            <w:pPr>
              <w:widowControl/>
              <w:rPr>
                <w:rFonts w:ascii="Calibri" w:hAnsi="Calibri" w:eastAsia="Calibri"/>
                <w:sz w:val="20"/>
                <w:szCs w:val="20"/>
              </w:rPr>
            </w:pPr>
            <w:r>
              <w:rPr>
                <w:rFonts w:ascii="Calibri" w:hAnsi="Calibri" w:eastAsia="Calibri"/>
                <w:sz w:val="20"/>
                <w:szCs w:val="20"/>
              </w:rPr>
              <w:lastRenderedPageBreak/>
              <w:t xml:space="preserve">Reporting period: </w:t>
            </w:r>
            <w:r w:rsidRPr="00650CE1" w:rsidR="00056EAF">
              <w:rPr>
                <w:rFonts w:ascii="Calibri" w:hAnsi="Calibri" w:eastAsia="Calibri"/>
                <w:sz w:val="20"/>
                <w:szCs w:val="20"/>
              </w:rPr>
              <w:t>August 1–May 31 of the following year</w:t>
            </w:r>
          </w:p>
        </w:tc>
      </w:tr>
      <w:tr w:rsidRPr="00650CE1" w:rsidR="00056EAF" w:rsidTr="00D22B45" w14:paraId="2017BF35" w14:textId="69948E37">
        <w:trPr>
          <w:trHeight w:val="572"/>
          <w:jc w:val="center"/>
        </w:trPr>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rsidRPr="00650CE1" w:rsidR="00056EAF" w:rsidP="007B0517" w:rsidRDefault="00056EAF" w14:paraId="01F6EDFB" w14:textId="77777777">
            <w:pPr>
              <w:autoSpaceDE w:val="0"/>
              <w:autoSpaceDN w:val="0"/>
              <w:adjustRightInd w:val="0"/>
              <w:rPr>
                <w:rFonts w:ascii="Calibri" w:hAnsi="Calibri" w:eastAsia="Calibri"/>
                <w:sz w:val="20"/>
                <w:szCs w:val="20"/>
              </w:rPr>
            </w:pPr>
            <w:r w:rsidRPr="00650CE1">
              <w:rPr>
                <w:rFonts w:ascii="Calibri" w:hAnsi="Calibri" w:eastAsia="Calibri"/>
                <w:sz w:val="20"/>
                <w:szCs w:val="20"/>
              </w:rPr>
              <w:lastRenderedPageBreak/>
              <w:t>Rockfish Ex-vessel Volume and Value Report</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rsidRPr="00650CE1" w:rsidR="00056EAF" w:rsidP="007B0517" w:rsidRDefault="00CA270E" w14:paraId="79146FF3" w14:textId="4CEABF67">
            <w:pPr>
              <w:widowControl/>
              <w:jc w:val="center"/>
              <w:rPr>
                <w:rFonts w:ascii="Calibri" w:hAnsi="Calibri" w:eastAsia="Calibri"/>
                <w:sz w:val="20"/>
                <w:szCs w:val="20"/>
              </w:rPr>
            </w:pPr>
            <w:hyperlink w:history="1" w:anchor="p-679.5(r)(10)" r:id="rId28">
              <w:r w:rsidRPr="00BF5075" w:rsidR="00056EAF">
                <w:rPr>
                  <w:rStyle w:val="Hyperlink"/>
                  <w:rFonts w:ascii="Calibri" w:hAnsi="Calibri" w:eastAsia="Calibri"/>
                  <w:sz w:val="20"/>
                  <w:szCs w:val="20"/>
                </w:rPr>
                <w:t>§ 679.5(r)(10)</w:t>
              </w:r>
            </w:hyperlink>
          </w:p>
        </w:tc>
        <w:tc>
          <w:tcPr>
            <w:tcW w:w="3113" w:type="dxa"/>
            <w:shd w:val="clear" w:color="auto" w:fill="auto"/>
            <w:vAlign w:val="center"/>
          </w:tcPr>
          <w:p w:rsidRPr="00650CE1" w:rsidR="00056EAF" w:rsidP="007B0517" w:rsidRDefault="00056EAF" w14:paraId="4BD16A6B" w14:textId="0E6F3B15">
            <w:pPr>
              <w:widowControl/>
              <w:rPr>
                <w:rFonts w:ascii="Calibri" w:hAnsi="Calibri" w:eastAsia="Calibri"/>
                <w:sz w:val="20"/>
                <w:szCs w:val="20"/>
              </w:rPr>
            </w:pPr>
            <w:proofErr w:type="spellStart"/>
            <w:r w:rsidRPr="00650CE1">
              <w:rPr>
                <w:rFonts w:ascii="Calibri" w:hAnsi="Calibri" w:eastAsia="Calibri"/>
                <w:sz w:val="20"/>
                <w:szCs w:val="20"/>
              </w:rPr>
              <w:t>Shoreside</w:t>
            </w:r>
            <w:proofErr w:type="spellEnd"/>
            <w:r w:rsidRPr="00650CE1">
              <w:rPr>
                <w:rFonts w:ascii="Calibri" w:hAnsi="Calibri" w:eastAsia="Calibri"/>
                <w:sz w:val="20"/>
                <w:szCs w:val="20"/>
              </w:rPr>
              <w:t xml:space="preserve"> processors that receive Rockfish Program CQ </w:t>
            </w:r>
            <w:proofErr w:type="spellStart"/>
            <w:r w:rsidRPr="00650CE1">
              <w:rPr>
                <w:rFonts w:ascii="Calibri" w:hAnsi="Calibri" w:eastAsia="Calibri"/>
                <w:sz w:val="20"/>
                <w:szCs w:val="20"/>
              </w:rPr>
              <w:t>groundfish</w:t>
            </w:r>
            <w:proofErr w:type="spellEnd"/>
          </w:p>
        </w:tc>
        <w:tc>
          <w:tcPr>
            <w:tcW w:w="1079" w:type="dxa"/>
            <w:shd w:val="clear" w:color="auto" w:fill="auto"/>
            <w:vAlign w:val="center"/>
          </w:tcPr>
          <w:p w:rsidRPr="00650CE1" w:rsidR="00056EAF" w:rsidP="007B0517" w:rsidRDefault="00056EAF" w14:paraId="0320C401" w14:textId="1B2517F7">
            <w:pPr>
              <w:widowControl/>
              <w:jc w:val="center"/>
              <w:rPr>
                <w:rFonts w:ascii="Calibri" w:hAnsi="Calibri" w:eastAsia="Calibri"/>
                <w:sz w:val="20"/>
                <w:szCs w:val="20"/>
              </w:rPr>
            </w:pPr>
            <w:proofErr w:type="spellStart"/>
            <w:r w:rsidRPr="00650CE1">
              <w:rPr>
                <w:rFonts w:ascii="Calibri" w:hAnsi="Calibri" w:eastAsia="Calibri"/>
                <w:sz w:val="20"/>
                <w:szCs w:val="20"/>
              </w:rPr>
              <w:t>eFISH</w:t>
            </w:r>
            <w:proofErr w:type="spellEnd"/>
          </w:p>
        </w:tc>
        <w:tc>
          <w:tcPr>
            <w:tcW w:w="773" w:type="dxa"/>
            <w:vAlign w:val="center"/>
          </w:tcPr>
          <w:p w:rsidRPr="00650CE1" w:rsidR="00056EAF" w:rsidP="00056EAF" w:rsidRDefault="00056EAF" w14:paraId="357FD146" w14:textId="6A53F088">
            <w:pPr>
              <w:widowControl/>
              <w:jc w:val="center"/>
              <w:rPr>
                <w:rFonts w:ascii="Calibri" w:hAnsi="Calibri" w:eastAsia="Calibri"/>
                <w:sz w:val="20"/>
                <w:szCs w:val="20"/>
              </w:rPr>
            </w:pPr>
            <w:r>
              <w:rPr>
                <w:rFonts w:ascii="Calibri" w:hAnsi="Calibri" w:eastAsia="Calibri"/>
                <w:sz w:val="20"/>
                <w:szCs w:val="20"/>
              </w:rPr>
              <w:t>N</w:t>
            </w:r>
          </w:p>
        </w:tc>
        <w:tc>
          <w:tcPr>
            <w:tcW w:w="2813" w:type="dxa"/>
            <w:vAlign w:val="center"/>
          </w:tcPr>
          <w:p w:rsidR="0082119B" w:rsidP="007B0517" w:rsidRDefault="0082119B" w14:paraId="08F1765D" w14:textId="02A1CD12">
            <w:pPr>
              <w:widowControl/>
              <w:rPr>
                <w:rFonts w:ascii="Calibri" w:hAnsi="Calibri" w:eastAsia="Calibri"/>
                <w:sz w:val="20"/>
                <w:szCs w:val="20"/>
              </w:rPr>
            </w:pPr>
            <w:r w:rsidRPr="0082119B">
              <w:rPr>
                <w:rFonts w:ascii="Calibri" w:hAnsi="Calibri" w:eastAsia="Calibri"/>
                <w:sz w:val="20"/>
                <w:szCs w:val="20"/>
              </w:rPr>
              <w:t xml:space="preserve">December 1 of the year in which the rockfish processor received the rockfish CQ </w:t>
            </w:r>
            <w:proofErr w:type="spellStart"/>
            <w:r w:rsidRPr="0082119B">
              <w:rPr>
                <w:rFonts w:ascii="Calibri" w:hAnsi="Calibri" w:eastAsia="Calibri"/>
                <w:sz w:val="20"/>
                <w:szCs w:val="20"/>
              </w:rPr>
              <w:t>groundfish</w:t>
            </w:r>
            <w:proofErr w:type="spellEnd"/>
          </w:p>
          <w:p w:rsidRPr="00650CE1" w:rsidR="00056EAF" w:rsidP="007B0517" w:rsidRDefault="0082119B" w14:paraId="1B0BFCAF" w14:textId="078F86D9">
            <w:pPr>
              <w:widowControl/>
              <w:rPr>
                <w:rFonts w:ascii="Calibri" w:hAnsi="Calibri" w:eastAsia="Calibri"/>
                <w:sz w:val="20"/>
                <w:szCs w:val="20"/>
              </w:rPr>
            </w:pPr>
            <w:r>
              <w:rPr>
                <w:rFonts w:ascii="Calibri" w:hAnsi="Calibri" w:eastAsia="Calibri"/>
                <w:sz w:val="20"/>
                <w:szCs w:val="20"/>
              </w:rPr>
              <w:t xml:space="preserve">Reporting period: </w:t>
            </w:r>
            <w:r w:rsidRPr="00650CE1" w:rsidR="00056EAF">
              <w:rPr>
                <w:rFonts w:ascii="Calibri" w:hAnsi="Calibri" w:eastAsia="Calibri"/>
                <w:sz w:val="20"/>
                <w:szCs w:val="20"/>
              </w:rPr>
              <w:t>May 1–November 15 of each year</w:t>
            </w:r>
          </w:p>
        </w:tc>
      </w:tr>
      <w:tr w:rsidRPr="00650CE1" w:rsidR="00056EAF" w:rsidTr="00D22B45" w14:paraId="6B9FA1FD" w14:textId="35E98065">
        <w:trPr>
          <w:trHeight w:val="572"/>
          <w:jc w:val="center"/>
        </w:trPr>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rsidRPr="00650CE1" w:rsidR="00056EAF" w:rsidP="007B0517" w:rsidRDefault="00056EAF" w14:paraId="4A0F1D75" w14:textId="77777777">
            <w:pPr>
              <w:autoSpaceDE w:val="0"/>
              <w:autoSpaceDN w:val="0"/>
              <w:adjustRightInd w:val="0"/>
              <w:rPr>
                <w:rFonts w:ascii="Calibri" w:hAnsi="Calibri" w:eastAsia="Calibri"/>
                <w:sz w:val="20"/>
                <w:szCs w:val="20"/>
              </w:rPr>
            </w:pPr>
            <w:r w:rsidRPr="00650CE1">
              <w:rPr>
                <w:rFonts w:ascii="Calibri" w:hAnsi="Calibri" w:eastAsia="Calibri"/>
                <w:sz w:val="20"/>
                <w:szCs w:val="20"/>
              </w:rPr>
              <w:t>Pacific Cod Ex-vessel Volume and Value Report</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rsidRPr="00650CE1" w:rsidR="00056EAF" w:rsidP="007B0517" w:rsidRDefault="00CA270E" w14:paraId="40E9FD1A" w14:textId="11DBAE47">
            <w:pPr>
              <w:widowControl/>
              <w:jc w:val="center"/>
              <w:rPr>
                <w:rFonts w:ascii="Calibri" w:hAnsi="Calibri" w:eastAsia="Calibri"/>
                <w:sz w:val="20"/>
                <w:szCs w:val="20"/>
              </w:rPr>
            </w:pPr>
            <w:hyperlink w:history="1" w:anchor="p-679.5(u)(1)" r:id="rId29">
              <w:r w:rsidRPr="00BF5075" w:rsidR="00056EAF">
                <w:rPr>
                  <w:rStyle w:val="Hyperlink"/>
                  <w:rFonts w:ascii="Calibri" w:hAnsi="Calibri" w:eastAsia="Calibri"/>
                  <w:sz w:val="20"/>
                  <w:szCs w:val="20"/>
                </w:rPr>
                <w:t>§ 679.5(u)(1)</w:t>
              </w:r>
            </w:hyperlink>
          </w:p>
        </w:tc>
        <w:tc>
          <w:tcPr>
            <w:tcW w:w="3113" w:type="dxa"/>
            <w:shd w:val="clear" w:color="auto" w:fill="auto"/>
            <w:vAlign w:val="center"/>
          </w:tcPr>
          <w:p w:rsidRPr="00650CE1" w:rsidR="00056EAF" w:rsidP="007B0517" w:rsidRDefault="00056EAF" w14:paraId="79CEAA08" w14:textId="5C3A5358">
            <w:pPr>
              <w:widowControl/>
              <w:rPr>
                <w:rFonts w:ascii="Calibri" w:hAnsi="Calibri" w:eastAsia="Calibri"/>
                <w:sz w:val="20"/>
                <w:szCs w:val="20"/>
              </w:rPr>
            </w:pPr>
            <w:proofErr w:type="spellStart"/>
            <w:r w:rsidRPr="00650CE1">
              <w:rPr>
                <w:rFonts w:ascii="Calibri" w:hAnsi="Calibri" w:eastAsia="Calibri"/>
                <w:sz w:val="20"/>
                <w:szCs w:val="20"/>
              </w:rPr>
              <w:t>Shoreside</w:t>
            </w:r>
            <w:proofErr w:type="spellEnd"/>
            <w:r w:rsidRPr="00650CE1">
              <w:rPr>
                <w:rFonts w:ascii="Calibri" w:hAnsi="Calibri" w:eastAsia="Calibri"/>
                <w:sz w:val="20"/>
                <w:szCs w:val="20"/>
              </w:rPr>
              <w:t xml:space="preserve"> processor designated on an FPP or a mothership designated on an FFP and that processes landings of either CDQ Pacific cod or BSAI Pacific cod harvested by a vessel using trawl gear for each reporting period for which received Pacific cod</w:t>
            </w:r>
          </w:p>
        </w:tc>
        <w:tc>
          <w:tcPr>
            <w:tcW w:w="1079" w:type="dxa"/>
            <w:shd w:val="clear" w:color="auto" w:fill="auto"/>
            <w:vAlign w:val="center"/>
          </w:tcPr>
          <w:p w:rsidRPr="00650CE1" w:rsidR="00056EAF" w:rsidP="007B0517" w:rsidRDefault="00056EAF" w14:paraId="59EF83B9" w14:textId="79152A2E">
            <w:pPr>
              <w:widowControl/>
              <w:jc w:val="center"/>
              <w:rPr>
                <w:rFonts w:ascii="Calibri" w:hAnsi="Calibri" w:eastAsia="Calibri"/>
                <w:sz w:val="20"/>
                <w:szCs w:val="20"/>
              </w:rPr>
            </w:pPr>
            <w:proofErr w:type="spellStart"/>
            <w:r w:rsidRPr="00650CE1">
              <w:rPr>
                <w:rFonts w:ascii="Calibri" w:hAnsi="Calibri" w:eastAsia="Calibri"/>
                <w:sz w:val="20"/>
                <w:szCs w:val="20"/>
              </w:rPr>
              <w:t>eFISH</w:t>
            </w:r>
            <w:proofErr w:type="spellEnd"/>
          </w:p>
        </w:tc>
        <w:tc>
          <w:tcPr>
            <w:tcW w:w="773" w:type="dxa"/>
            <w:vAlign w:val="center"/>
          </w:tcPr>
          <w:p w:rsidRPr="00650CE1" w:rsidR="00056EAF" w:rsidP="00056EAF" w:rsidRDefault="00056EAF" w14:paraId="36D0977E" w14:textId="5B862543">
            <w:pPr>
              <w:widowControl/>
              <w:jc w:val="center"/>
              <w:rPr>
                <w:rFonts w:ascii="Calibri" w:hAnsi="Calibri" w:eastAsia="Calibri"/>
                <w:sz w:val="20"/>
                <w:szCs w:val="20"/>
              </w:rPr>
            </w:pPr>
            <w:r>
              <w:rPr>
                <w:rFonts w:ascii="Calibri" w:hAnsi="Calibri" w:eastAsia="Calibri"/>
                <w:sz w:val="20"/>
                <w:szCs w:val="20"/>
              </w:rPr>
              <w:t>N</w:t>
            </w:r>
          </w:p>
        </w:tc>
        <w:tc>
          <w:tcPr>
            <w:tcW w:w="2813" w:type="dxa"/>
            <w:vAlign w:val="center"/>
          </w:tcPr>
          <w:p w:rsidR="0091223E" w:rsidP="007B0517" w:rsidRDefault="0091223E" w14:paraId="73AC142D" w14:textId="46ED37AB">
            <w:pPr>
              <w:widowControl/>
              <w:rPr>
                <w:rFonts w:ascii="Calibri" w:hAnsi="Calibri" w:eastAsia="Calibri"/>
                <w:sz w:val="20"/>
                <w:szCs w:val="20"/>
              </w:rPr>
            </w:pPr>
            <w:r w:rsidRPr="0091223E">
              <w:rPr>
                <w:rFonts w:ascii="Calibri" w:hAnsi="Calibri" w:eastAsia="Calibri"/>
                <w:sz w:val="20"/>
                <w:szCs w:val="20"/>
              </w:rPr>
              <w:t>November 10 of the year in which the processor or mothership received the Pacific cod.</w:t>
            </w:r>
          </w:p>
          <w:p w:rsidRPr="00650CE1" w:rsidR="00056EAF" w:rsidP="007B0517" w:rsidRDefault="0091223E" w14:paraId="549D32A9" w14:textId="04472FBB">
            <w:pPr>
              <w:widowControl/>
              <w:rPr>
                <w:rFonts w:ascii="Calibri" w:hAnsi="Calibri" w:eastAsia="Calibri"/>
                <w:sz w:val="20"/>
                <w:szCs w:val="20"/>
              </w:rPr>
            </w:pPr>
            <w:r>
              <w:rPr>
                <w:rFonts w:ascii="Calibri" w:hAnsi="Calibri" w:eastAsia="Calibri"/>
                <w:sz w:val="20"/>
                <w:szCs w:val="20"/>
              </w:rPr>
              <w:t xml:space="preserve">Reporting period: </w:t>
            </w:r>
            <w:r w:rsidRPr="00650CE1" w:rsidR="00056EAF">
              <w:rPr>
                <w:rFonts w:ascii="Calibri" w:hAnsi="Calibri" w:eastAsia="Calibri"/>
                <w:sz w:val="20"/>
                <w:szCs w:val="20"/>
              </w:rPr>
              <w:t>January 1–October 31 of the year in which the landings were made</w:t>
            </w:r>
          </w:p>
        </w:tc>
      </w:tr>
      <w:tr w:rsidRPr="00650CE1" w:rsidR="00056EAF" w:rsidTr="00D22B45" w14:paraId="36EAFBBC" w14:textId="2DAD7129">
        <w:trPr>
          <w:trHeight w:val="572"/>
          <w:jc w:val="center"/>
        </w:trPr>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rsidRPr="00650CE1" w:rsidR="00056EAF" w:rsidP="007B0517" w:rsidRDefault="00056EAF" w14:paraId="6616550E" w14:textId="77777777">
            <w:pPr>
              <w:widowControl/>
              <w:rPr>
                <w:rFonts w:ascii="Calibri" w:hAnsi="Calibri" w:eastAsia="Calibri"/>
                <w:sz w:val="20"/>
                <w:szCs w:val="20"/>
              </w:rPr>
            </w:pPr>
            <w:r w:rsidRPr="00650CE1">
              <w:rPr>
                <w:rFonts w:ascii="Calibri" w:hAnsi="Calibri" w:eastAsia="Calibri"/>
                <w:sz w:val="20"/>
                <w:szCs w:val="20"/>
              </w:rPr>
              <w:t>First Wholesale Volume and Value Report</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rsidRPr="00650CE1" w:rsidR="00056EAF" w:rsidP="007B0517" w:rsidRDefault="00CA270E" w14:paraId="01C9D487" w14:textId="5F61C31C">
            <w:pPr>
              <w:widowControl/>
              <w:jc w:val="center"/>
              <w:rPr>
                <w:rFonts w:ascii="Calibri" w:hAnsi="Calibri" w:eastAsia="Calibri"/>
                <w:sz w:val="20"/>
                <w:szCs w:val="20"/>
              </w:rPr>
            </w:pPr>
            <w:hyperlink w:history="1" w:anchor="p-679.5(u)(2)" r:id="rId30">
              <w:r w:rsidRPr="00BF5075" w:rsidR="00056EAF">
                <w:rPr>
                  <w:rStyle w:val="Hyperlink"/>
                  <w:rFonts w:ascii="Calibri" w:hAnsi="Calibri" w:eastAsia="Calibri"/>
                  <w:sz w:val="20"/>
                  <w:szCs w:val="20"/>
                </w:rPr>
                <w:t>§ 679.5(u)(2)</w:t>
              </w:r>
            </w:hyperlink>
          </w:p>
        </w:tc>
        <w:tc>
          <w:tcPr>
            <w:tcW w:w="3113" w:type="dxa"/>
            <w:shd w:val="clear" w:color="auto" w:fill="auto"/>
            <w:vAlign w:val="center"/>
          </w:tcPr>
          <w:p w:rsidRPr="00650CE1" w:rsidR="00056EAF" w:rsidP="007B0517" w:rsidRDefault="00056EAF" w14:paraId="1749283B" w14:textId="449C3215">
            <w:pPr>
              <w:widowControl/>
              <w:rPr>
                <w:rFonts w:ascii="Calibri" w:hAnsi="Calibri" w:eastAsia="Calibri"/>
                <w:sz w:val="20"/>
                <w:szCs w:val="20"/>
              </w:rPr>
            </w:pPr>
            <w:r w:rsidRPr="00650CE1">
              <w:rPr>
                <w:rFonts w:ascii="Calibri" w:hAnsi="Calibri" w:eastAsia="Calibri"/>
                <w:sz w:val="20"/>
                <w:szCs w:val="20"/>
              </w:rPr>
              <w:t>Amendment 80 vessel owner that harvests Amendment 80 and CDQ species, other than Pacific cod, for each reporting period for which the vessel harvests Amendment 80 and CDQ species</w:t>
            </w:r>
          </w:p>
        </w:tc>
        <w:tc>
          <w:tcPr>
            <w:tcW w:w="1079" w:type="dxa"/>
            <w:shd w:val="clear" w:color="auto" w:fill="auto"/>
            <w:vAlign w:val="center"/>
          </w:tcPr>
          <w:p w:rsidRPr="00650CE1" w:rsidR="00056EAF" w:rsidP="007B0517" w:rsidRDefault="00056EAF" w14:paraId="71DAFDB8" w14:textId="3C00238B">
            <w:pPr>
              <w:widowControl/>
              <w:jc w:val="center"/>
              <w:rPr>
                <w:rFonts w:ascii="Calibri" w:hAnsi="Calibri" w:eastAsia="Calibri"/>
                <w:sz w:val="20"/>
                <w:szCs w:val="20"/>
              </w:rPr>
            </w:pPr>
            <w:proofErr w:type="spellStart"/>
            <w:r w:rsidRPr="00650CE1">
              <w:rPr>
                <w:rFonts w:ascii="Calibri" w:hAnsi="Calibri" w:eastAsia="Calibri"/>
                <w:sz w:val="20"/>
                <w:szCs w:val="20"/>
              </w:rPr>
              <w:t>eFISH</w:t>
            </w:r>
            <w:proofErr w:type="spellEnd"/>
          </w:p>
        </w:tc>
        <w:tc>
          <w:tcPr>
            <w:tcW w:w="773" w:type="dxa"/>
            <w:vAlign w:val="center"/>
          </w:tcPr>
          <w:p w:rsidRPr="00650CE1" w:rsidR="00056EAF" w:rsidP="00056EAF" w:rsidRDefault="00056EAF" w14:paraId="5CEB5F80" w14:textId="5E865A49">
            <w:pPr>
              <w:autoSpaceDE w:val="0"/>
              <w:autoSpaceDN w:val="0"/>
              <w:adjustRightInd w:val="0"/>
              <w:jc w:val="center"/>
              <w:rPr>
                <w:rFonts w:ascii="Calibri" w:hAnsi="Calibri" w:eastAsia="Calibri"/>
                <w:sz w:val="20"/>
                <w:szCs w:val="20"/>
              </w:rPr>
            </w:pPr>
            <w:r>
              <w:rPr>
                <w:rFonts w:ascii="Calibri" w:hAnsi="Calibri" w:eastAsia="Calibri"/>
                <w:sz w:val="20"/>
                <w:szCs w:val="20"/>
              </w:rPr>
              <w:t>N</w:t>
            </w:r>
          </w:p>
        </w:tc>
        <w:tc>
          <w:tcPr>
            <w:tcW w:w="2813" w:type="dxa"/>
            <w:vAlign w:val="center"/>
          </w:tcPr>
          <w:p w:rsidR="0091223E" w:rsidP="007B0517" w:rsidRDefault="0091223E" w14:paraId="125B3C0E" w14:textId="2BADD3C5">
            <w:pPr>
              <w:autoSpaceDE w:val="0"/>
              <w:autoSpaceDN w:val="0"/>
              <w:adjustRightInd w:val="0"/>
              <w:rPr>
                <w:rFonts w:ascii="Calibri" w:hAnsi="Calibri" w:eastAsia="Calibri"/>
                <w:sz w:val="20"/>
                <w:szCs w:val="20"/>
              </w:rPr>
            </w:pPr>
            <w:r w:rsidRPr="0091223E">
              <w:rPr>
                <w:rFonts w:ascii="Calibri" w:hAnsi="Calibri" w:eastAsia="Calibri"/>
                <w:sz w:val="20"/>
                <w:szCs w:val="20"/>
              </w:rPr>
              <w:t xml:space="preserve">November 10 of the year in which the Amendment 80 vessel received the </w:t>
            </w:r>
            <w:proofErr w:type="spellStart"/>
            <w:r w:rsidRPr="0091223E">
              <w:rPr>
                <w:rFonts w:ascii="Calibri" w:hAnsi="Calibri" w:eastAsia="Calibri"/>
                <w:sz w:val="20"/>
                <w:szCs w:val="20"/>
              </w:rPr>
              <w:t>groundfish</w:t>
            </w:r>
            <w:proofErr w:type="spellEnd"/>
            <w:r w:rsidRPr="0091223E">
              <w:rPr>
                <w:rFonts w:ascii="Calibri" w:hAnsi="Calibri" w:eastAsia="Calibri"/>
                <w:sz w:val="20"/>
                <w:szCs w:val="20"/>
              </w:rPr>
              <w:t xml:space="preserve"> species, other than Pacific cod.</w:t>
            </w:r>
          </w:p>
          <w:p w:rsidRPr="00650CE1" w:rsidR="00056EAF" w:rsidP="007B0517" w:rsidRDefault="0091223E" w14:paraId="79447526" w14:textId="460076A6">
            <w:pPr>
              <w:widowControl/>
              <w:rPr>
                <w:rFonts w:ascii="Calibri" w:hAnsi="Calibri" w:eastAsia="Calibri"/>
                <w:sz w:val="20"/>
                <w:szCs w:val="20"/>
              </w:rPr>
            </w:pPr>
            <w:r>
              <w:rPr>
                <w:rFonts w:ascii="Calibri" w:hAnsi="Calibri" w:eastAsia="Calibri"/>
                <w:sz w:val="20"/>
                <w:szCs w:val="20"/>
              </w:rPr>
              <w:t xml:space="preserve">Reporting period: </w:t>
            </w:r>
            <w:r w:rsidRPr="00650CE1" w:rsidR="00056EAF">
              <w:rPr>
                <w:rFonts w:ascii="Calibri" w:hAnsi="Calibri" w:eastAsia="Calibri"/>
                <w:sz w:val="20"/>
                <w:szCs w:val="20"/>
              </w:rPr>
              <w:t>All species but rock sole</w:t>
            </w:r>
            <w:r w:rsidR="00F3319B">
              <w:rPr>
                <w:rFonts w:ascii="Calibri" w:hAnsi="Calibri" w:eastAsia="Calibri"/>
                <w:sz w:val="20"/>
                <w:szCs w:val="20"/>
              </w:rPr>
              <w:t xml:space="preserve">, </w:t>
            </w:r>
            <w:r w:rsidRPr="00650CE1" w:rsidR="00056EAF">
              <w:rPr>
                <w:rFonts w:ascii="Calibri" w:hAnsi="Calibri" w:eastAsia="Calibri"/>
                <w:sz w:val="20"/>
                <w:szCs w:val="20"/>
              </w:rPr>
              <w:t>January 1–October 31</w:t>
            </w:r>
            <w:r w:rsidR="00F3319B">
              <w:rPr>
                <w:rFonts w:ascii="Calibri" w:hAnsi="Calibri" w:eastAsia="Calibri"/>
                <w:sz w:val="20"/>
                <w:szCs w:val="20"/>
              </w:rPr>
              <w:t xml:space="preserve">; </w:t>
            </w:r>
            <w:r w:rsidRPr="00650CE1" w:rsidR="00056EAF">
              <w:rPr>
                <w:rFonts w:ascii="Calibri" w:hAnsi="Calibri" w:eastAsia="Calibri"/>
                <w:sz w:val="20"/>
                <w:szCs w:val="20"/>
              </w:rPr>
              <w:t>Rock sole (2 reporting periods)</w:t>
            </w:r>
            <w:r w:rsidR="00F3319B">
              <w:rPr>
                <w:rFonts w:ascii="Calibri" w:hAnsi="Calibri" w:eastAsia="Calibri"/>
                <w:sz w:val="20"/>
                <w:szCs w:val="20"/>
              </w:rPr>
              <w:t>,</w:t>
            </w:r>
            <w:r w:rsidRPr="00650CE1" w:rsidR="00056EAF">
              <w:rPr>
                <w:rFonts w:ascii="Calibri" w:hAnsi="Calibri" w:eastAsia="Calibri"/>
                <w:sz w:val="20"/>
                <w:szCs w:val="20"/>
              </w:rPr>
              <w:t xml:space="preserve"> January 1–March 31 and April 1–October 31</w:t>
            </w:r>
          </w:p>
        </w:tc>
      </w:tr>
      <w:tr w:rsidRPr="00650CE1" w:rsidR="00056EAF" w:rsidTr="00D22B45" w14:paraId="2EF7E183" w14:textId="524F3601">
        <w:trPr>
          <w:trHeight w:val="177"/>
          <w:jc w:val="center"/>
        </w:trPr>
        <w:tc>
          <w:tcPr>
            <w:tcW w:w="2076" w:type="dxa"/>
            <w:tcBorders>
              <w:right w:val="nil"/>
            </w:tcBorders>
            <w:shd w:val="clear" w:color="auto" w:fill="FBE4D5"/>
            <w:vAlign w:val="center"/>
          </w:tcPr>
          <w:p w:rsidRPr="00426FE1" w:rsidR="00056EAF" w:rsidP="00266C5F" w:rsidRDefault="00056EAF" w14:paraId="6FC83A15" w14:textId="37BC6A7B">
            <w:pPr>
              <w:widowControl/>
              <w:rPr>
                <w:rFonts w:ascii="Calibri" w:hAnsi="Calibri" w:eastAsia="Calibri"/>
                <w:i/>
                <w:sz w:val="20"/>
                <w:szCs w:val="20"/>
              </w:rPr>
            </w:pPr>
            <w:r w:rsidRPr="00426FE1">
              <w:rPr>
                <w:rFonts w:ascii="Calibri" w:hAnsi="Calibri" w:eastAsia="Calibri"/>
                <w:i/>
                <w:sz w:val="20"/>
                <w:szCs w:val="20"/>
              </w:rPr>
              <w:t>Appeals</w:t>
            </w:r>
          </w:p>
        </w:tc>
        <w:tc>
          <w:tcPr>
            <w:tcW w:w="1343" w:type="dxa"/>
            <w:tcBorders>
              <w:left w:val="nil"/>
              <w:right w:val="nil"/>
            </w:tcBorders>
            <w:shd w:val="clear" w:color="auto" w:fill="FBE4D5"/>
            <w:vAlign w:val="center"/>
          </w:tcPr>
          <w:p w:rsidRPr="00650CE1" w:rsidR="00056EAF" w:rsidP="00266C5F" w:rsidRDefault="00056EAF" w14:paraId="6F691FDA" w14:textId="77777777">
            <w:pPr>
              <w:widowControl/>
              <w:jc w:val="center"/>
              <w:rPr>
                <w:rFonts w:ascii="Calibri" w:hAnsi="Calibri" w:eastAsia="Calibri"/>
                <w:sz w:val="20"/>
                <w:szCs w:val="20"/>
              </w:rPr>
            </w:pPr>
          </w:p>
        </w:tc>
        <w:tc>
          <w:tcPr>
            <w:tcW w:w="3113" w:type="dxa"/>
            <w:tcBorders>
              <w:left w:val="nil"/>
              <w:right w:val="nil"/>
            </w:tcBorders>
            <w:shd w:val="clear" w:color="auto" w:fill="FBE4D5"/>
          </w:tcPr>
          <w:p w:rsidRPr="00650CE1" w:rsidR="00056EAF" w:rsidP="007B0517" w:rsidRDefault="00056EAF" w14:paraId="47ADE3DC" w14:textId="77777777">
            <w:pPr>
              <w:widowControl/>
              <w:rPr>
                <w:rFonts w:ascii="Calibri" w:hAnsi="Calibri" w:eastAsia="Calibri"/>
                <w:sz w:val="20"/>
                <w:szCs w:val="20"/>
              </w:rPr>
            </w:pPr>
          </w:p>
        </w:tc>
        <w:tc>
          <w:tcPr>
            <w:tcW w:w="1079" w:type="dxa"/>
            <w:tcBorders>
              <w:left w:val="nil"/>
              <w:right w:val="nil"/>
            </w:tcBorders>
            <w:shd w:val="clear" w:color="auto" w:fill="FBE4D5"/>
          </w:tcPr>
          <w:p w:rsidRPr="00650CE1" w:rsidR="00056EAF" w:rsidP="00266C5F" w:rsidRDefault="00056EAF" w14:paraId="43D7A04D" w14:textId="77777777">
            <w:pPr>
              <w:widowControl/>
              <w:jc w:val="center"/>
              <w:rPr>
                <w:rFonts w:ascii="Calibri" w:hAnsi="Calibri" w:eastAsia="Calibri"/>
                <w:sz w:val="20"/>
                <w:szCs w:val="20"/>
              </w:rPr>
            </w:pPr>
          </w:p>
        </w:tc>
        <w:tc>
          <w:tcPr>
            <w:tcW w:w="773" w:type="dxa"/>
            <w:tcBorders>
              <w:left w:val="nil"/>
              <w:right w:val="nil"/>
            </w:tcBorders>
            <w:shd w:val="clear" w:color="auto" w:fill="FBE4D5"/>
            <w:vAlign w:val="center"/>
          </w:tcPr>
          <w:p w:rsidRPr="00650CE1" w:rsidR="00056EAF" w:rsidP="00056EAF" w:rsidRDefault="00056EAF" w14:paraId="5392469E" w14:textId="77777777">
            <w:pPr>
              <w:widowControl/>
              <w:jc w:val="center"/>
              <w:rPr>
                <w:rFonts w:ascii="Calibri" w:hAnsi="Calibri" w:eastAsia="Calibri"/>
                <w:sz w:val="20"/>
                <w:szCs w:val="20"/>
              </w:rPr>
            </w:pPr>
          </w:p>
        </w:tc>
        <w:tc>
          <w:tcPr>
            <w:tcW w:w="2813" w:type="dxa"/>
            <w:tcBorders>
              <w:left w:val="nil"/>
            </w:tcBorders>
            <w:shd w:val="clear" w:color="auto" w:fill="FBE4D5"/>
            <w:vAlign w:val="center"/>
          </w:tcPr>
          <w:p w:rsidRPr="00650CE1" w:rsidR="00056EAF" w:rsidP="00266C5F" w:rsidRDefault="00056EAF" w14:paraId="422D7EF1" w14:textId="4CBB96BA">
            <w:pPr>
              <w:widowControl/>
              <w:jc w:val="center"/>
              <w:rPr>
                <w:rFonts w:ascii="Calibri" w:hAnsi="Calibri" w:eastAsia="Calibri"/>
                <w:sz w:val="20"/>
                <w:szCs w:val="20"/>
              </w:rPr>
            </w:pPr>
          </w:p>
        </w:tc>
      </w:tr>
      <w:tr w:rsidRPr="00650CE1" w:rsidR="00056EAF" w:rsidTr="00D22B45" w14:paraId="70571AC1" w14:textId="666BBCA3">
        <w:trPr>
          <w:trHeight w:val="429"/>
          <w:jc w:val="center"/>
        </w:trPr>
        <w:tc>
          <w:tcPr>
            <w:tcW w:w="2076" w:type="dxa"/>
            <w:shd w:val="clear" w:color="auto" w:fill="auto"/>
            <w:vAlign w:val="center"/>
          </w:tcPr>
          <w:p w:rsidRPr="00650CE1" w:rsidR="00056EAF" w:rsidP="00266C5F" w:rsidRDefault="00056EAF" w14:paraId="7693270B" w14:textId="77777777">
            <w:pPr>
              <w:widowControl/>
              <w:rPr>
                <w:rFonts w:ascii="Calibri" w:hAnsi="Calibri" w:eastAsia="Calibri"/>
                <w:sz w:val="20"/>
                <w:szCs w:val="20"/>
              </w:rPr>
            </w:pPr>
            <w:r w:rsidRPr="00650CE1">
              <w:rPr>
                <w:rFonts w:ascii="Calibri" w:hAnsi="Calibri" w:eastAsia="Calibri"/>
                <w:sz w:val="20"/>
                <w:szCs w:val="20"/>
              </w:rPr>
              <w:t>Appeals</w:t>
            </w:r>
          </w:p>
        </w:tc>
        <w:tc>
          <w:tcPr>
            <w:tcW w:w="1343" w:type="dxa"/>
            <w:shd w:val="clear" w:color="auto" w:fill="auto"/>
            <w:vAlign w:val="center"/>
          </w:tcPr>
          <w:p w:rsidRPr="00650CE1" w:rsidR="00056EAF" w:rsidP="00266C5F" w:rsidRDefault="00CA270E" w14:paraId="064DC3A4" w14:textId="13AD4CE2">
            <w:pPr>
              <w:widowControl/>
              <w:jc w:val="center"/>
              <w:rPr>
                <w:rFonts w:ascii="Calibri" w:hAnsi="Calibri" w:eastAsia="Calibri"/>
                <w:sz w:val="20"/>
                <w:szCs w:val="20"/>
              </w:rPr>
            </w:pPr>
            <w:hyperlink w:history="1" r:id="rId31">
              <w:r w:rsidRPr="004B311E" w:rsidR="00056EAF">
                <w:rPr>
                  <w:rStyle w:val="Hyperlink"/>
                  <w:rFonts w:ascii="Calibri" w:hAnsi="Calibri" w:eastAsia="Calibri"/>
                  <w:sz w:val="20"/>
                  <w:szCs w:val="20"/>
                </w:rPr>
                <w:t>15 CFR 906</w:t>
              </w:r>
            </w:hyperlink>
          </w:p>
        </w:tc>
        <w:tc>
          <w:tcPr>
            <w:tcW w:w="3113" w:type="dxa"/>
          </w:tcPr>
          <w:p w:rsidRPr="00650CE1" w:rsidR="00056EAF" w:rsidP="007B0517" w:rsidRDefault="00306EBF" w14:paraId="4CA875E0" w14:textId="1760B425">
            <w:pPr>
              <w:widowControl/>
              <w:rPr>
                <w:rFonts w:ascii="Calibri" w:hAnsi="Calibri" w:eastAsia="Calibri"/>
                <w:sz w:val="20"/>
                <w:szCs w:val="20"/>
              </w:rPr>
            </w:pPr>
            <w:r w:rsidRPr="00306EBF">
              <w:rPr>
                <w:rFonts w:ascii="Calibri" w:hAnsi="Calibri" w:eastAsia="Calibri"/>
                <w:sz w:val="20"/>
                <w:szCs w:val="20"/>
              </w:rPr>
              <w:t>Any person who receives an initial ad</w:t>
            </w:r>
            <w:r>
              <w:rPr>
                <w:rFonts w:ascii="Calibri" w:hAnsi="Calibri" w:eastAsia="Calibri"/>
                <w:sz w:val="20"/>
                <w:szCs w:val="20"/>
              </w:rPr>
              <w:t>ministrative determination</w:t>
            </w:r>
            <w:r w:rsidRPr="00306EBF">
              <w:rPr>
                <w:rFonts w:ascii="Calibri" w:hAnsi="Calibri" w:eastAsia="Calibri"/>
                <w:sz w:val="20"/>
                <w:szCs w:val="20"/>
              </w:rPr>
              <w:t xml:space="preserve"> for incomplete payment of a cost recovery fee or observer coverage fee</w:t>
            </w:r>
          </w:p>
        </w:tc>
        <w:tc>
          <w:tcPr>
            <w:tcW w:w="1079" w:type="dxa"/>
            <w:vAlign w:val="center"/>
          </w:tcPr>
          <w:p w:rsidR="00056EAF" w:rsidP="007C2903" w:rsidRDefault="009657CA" w14:paraId="787A9DE2" w14:textId="52519B57">
            <w:pPr>
              <w:widowControl/>
              <w:jc w:val="center"/>
              <w:rPr>
                <w:rFonts w:ascii="Calibri" w:hAnsi="Calibri" w:eastAsia="Calibri"/>
                <w:sz w:val="20"/>
                <w:szCs w:val="20"/>
              </w:rPr>
            </w:pPr>
            <w:r>
              <w:rPr>
                <w:rFonts w:ascii="Calibri" w:hAnsi="Calibri" w:eastAsia="Calibri"/>
                <w:sz w:val="20"/>
                <w:szCs w:val="20"/>
              </w:rPr>
              <w:t>m</w:t>
            </w:r>
            <w:r w:rsidR="00056EAF">
              <w:rPr>
                <w:rFonts w:ascii="Calibri" w:hAnsi="Calibri" w:eastAsia="Calibri"/>
                <w:sz w:val="20"/>
                <w:szCs w:val="20"/>
              </w:rPr>
              <w:t>ail</w:t>
            </w:r>
          </w:p>
          <w:p w:rsidRPr="00650CE1" w:rsidR="00056EAF" w:rsidP="007C2903" w:rsidRDefault="009657CA" w14:paraId="4E30B84B" w14:textId="3C407003">
            <w:pPr>
              <w:widowControl/>
              <w:jc w:val="center"/>
              <w:rPr>
                <w:rFonts w:ascii="Calibri" w:hAnsi="Calibri" w:eastAsia="Calibri"/>
                <w:sz w:val="20"/>
                <w:szCs w:val="20"/>
              </w:rPr>
            </w:pPr>
            <w:r>
              <w:rPr>
                <w:rFonts w:ascii="Calibri" w:hAnsi="Calibri" w:eastAsia="Calibri"/>
                <w:sz w:val="20"/>
                <w:szCs w:val="20"/>
              </w:rPr>
              <w:t>f</w:t>
            </w:r>
            <w:r w:rsidR="00056EAF">
              <w:rPr>
                <w:rFonts w:ascii="Calibri" w:hAnsi="Calibri" w:eastAsia="Calibri"/>
                <w:sz w:val="20"/>
                <w:szCs w:val="20"/>
              </w:rPr>
              <w:t>ax</w:t>
            </w:r>
          </w:p>
        </w:tc>
        <w:tc>
          <w:tcPr>
            <w:tcW w:w="773" w:type="dxa"/>
            <w:vAlign w:val="center"/>
          </w:tcPr>
          <w:p w:rsidRPr="00650CE1" w:rsidR="00056EAF" w:rsidP="00056EAF" w:rsidRDefault="00056EAF" w14:paraId="3CB78B1F" w14:textId="39F013BD">
            <w:pPr>
              <w:widowControl/>
              <w:jc w:val="center"/>
              <w:rPr>
                <w:rFonts w:ascii="Calibri" w:hAnsi="Calibri" w:eastAsia="Calibri"/>
                <w:sz w:val="20"/>
                <w:szCs w:val="20"/>
              </w:rPr>
            </w:pPr>
            <w:r>
              <w:rPr>
                <w:rFonts w:ascii="Calibri" w:hAnsi="Calibri" w:eastAsia="Calibri"/>
                <w:sz w:val="20"/>
                <w:szCs w:val="20"/>
              </w:rPr>
              <w:t>N</w:t>
            </w:r>
          </w:p>
        </w:tc>
        <w:tc>
          <w:tcPr>
            <w:tcW w:w="2813" w:type="dxa"/>
            <w:vAlign w:val="center"/>
          </w:tcPr>
          <w:p w:rsidRPr="00650CE1" w:rsidR="00056EAF" w:rsidP="00830AD6" w:rsidRDefault="007C2903" w14:paraId="3E1AF17C" w14:textId="10B18781">
            <w:pPr>
              <w:widowControl/>
              <w:rPr>
                <w:rFonts w:ascii="Calibri" w:hAnsi="Calibri" w:eastAsia="Calibri"/>
                <w:sz w:val="20"/>
                <w:szCs w:val="20"/>
              </w:rPr>
            </w:pPr>
            <w:r>
              <w:rPr>
                <w:rFonts w:ascii="Calibri" w:hAnsi="Calibri" w:eastAsia="Calibri"/>
                <w:sz w:val="20"/>
                <w:szCs w:val="20"/>
              </w:rPr>
              <w:t>As needed</w:t>
            </w:r>
          </w:p>
        </w:tc>
      </w:tr>
    </w:tbl>
    <w:p w:rsidR="00FD2AA9" w:rsidP="001D6C5E" w:rsidRDefault="00FD2AA9" w14:paraId="727352FB" w14:textId="55102C43">
      <w:pPr>
        <w:pStyle w:val="Heading1"/>
        <w:spacing w:before="60"/>
        <w:ind w:left="0"/>
        <w:rPr>
          <w:rFonts w:asciiTheme="minorHAnsi" w:hAnsiTheme="minorHAnsi" w:cstheme="minorHAnsi"/>
          <w:b w:val="0"/>
          <w:sz w:val="18"/>
          <w:szCs w:val="18"/>
        </w:rPr>
      </w:pPr>
      <w:proofErr w:type="spellStart"/>
      <w:proofErr w:type="gramStart"/>
      <w:r>
        <w:rPr>
          <w:rFonts w:asciiTheme="minorHAnsi" w:hAnsiTheme="minorHAnsi" w:cstheme="minorHAnsi"/>
          <w:b w:val="0"/>
          <w:sz w:val="18"/>
          <w:szCs w:val="18"/>
        </w:rPr>
        <w:t>eFISH</w:t>
      </w:r>
      <w:proofErr w:type="spellEnd"/>
      <w:proofErr w:type="gramEnd"/>
      <w:r>
        <w:rPr>
          <w:rFonts w:asciiTheme="minorHAnsi" w:hAnsiTheme="minorHAnsi" w:cstheme="minorHAnsi"/>
          <w:b w:val="0"/>
          <w:sz w:val="18"/>
          <w:szCs w:val="18"/>
        </w:rPr>
        <w:t xml:space="preserve">: </w:t>
      </w:r>
      <w:hyperlink w:history="1" r:id="rId32">
        <w:r w:rsidRPr="00FD2AA9">
          <w:rPr>
            <w:rStyle w:val="Hyperlink"/>
            <w:rFonts w:asciiTheme="minorHAnsi" w:hAnsiTheme="minorHAnsi" w:cstheme="minorHAnsi"/>
            <w:b w:val="0"/>
            <w:sz w:val="18"/>
            <w:szCs w:val="18"/>
          </w:rPr>
          <w:t>https://alaskafisheries.noaa.gov/webapps/efish/login</w:t>
        </w:r>
      </w:hyperlink>
    </w:p>
    <w:p w:rsidR="00BA5189" w:rsidP="001D6C5E" w:rsidRDefault="00524F33" w14:paraId="018F1AAE" w14:textId="6ADBEDAE">
      <w:pPr>
        <w:pStyle w:val="Heading1"/>
        <w:spacing w:before="60"/>
        <w:ind w:left="0"/>
        <w:rPr>
          <w:rFonts w:asciiTheme="minorHAnsi" w:hAnsiTheme="minorHAnsi" w:cstheme="minorHAnsi"/>
          <w:b w:val="0"/>
          <w:sz w:val="18"/>
          <w:szCs w:val="18"/>
        </w:rPr>
      </w:pPr>
      <w:r>
        <w:rPr>
          <w:rFonts w:asciiTheme="minorHAnsi" w:hAnsiTheme="minorHAnsi" w:cstheme="minorHAnsi"/>
          <w:b w:val="0"/>
          <w:sz w:val="18"/>
          <w:szCs w:val="18"/>
        </w:rPr>
        <w:t>OMD</w:t>
      </w:r>
      <w:r w:rsidR="00F61207">
        <w:rPr>
          <w:rFonts w:asciiTheme="minorHAnsi" w:hAnsiTheme="minorHAnsi" w:cstheme="minorHAnsi"/>
          <w:b w:val="0"/>
          <w:sz w:val="18"/>
          <w:szCs w:val="18"/>
        </w:rPr>
        <w:t xml:space="preserve"> —</w:t>
      </w:r>
      <w:r>
        <w:rPr>
          <w:rFonts w:asciiTheme="minorHAnsi" w:hAnsiTheme="minorHAnsi" w:cstheme="minorHAnsi"/>
          <w:b w:val="0"/>
          <w:sz w:val="18"/>
          <w:szCs w:val="18"/>
        </w:rPr>
        <w:t xml:space="preserve"> </w:t>
      </w:r>
      <w:proofErr w:type="gramStart"/>
      <w:r w:rsidRPr="00AF5296" w:rsidR="007516BE">
        <w:rPr>
          <w:rFonts w:asciiTheme="minorHAnsi" w:hAnsiTheme="minorHAnsi" w:cstheme="minorHAnsi"/>
          <w:sz w:val="18"/>
          <w:szCs w:val="18"/>
        </w:rPr>
        <w:t>Mail</w:t>
      </w:r>
      <w:r w:rsidRPr="007516BE" w:rsidR="007516BE">
        <w:rPr>
          <w:rFonts w:asciiTheme="minorHAnsi" w:hAnsiTheme="minorHAnsi" w:cstheme="minorHAnsi"/>
          <w:b w:val="0"/>
          <w:sz w:val="18"/>
          <w:szCs w:val="18"/>
        </w:rPr>
        <w:t>:</w:t>
      </w:r>
      <w:proofErr w:type="gramEnd"/>
      <w:r w:rsidR="00F61207">
        <w:rPr>
          <w:rFonts w:asciiTheme="minorHAnsi" w:hAnsiTheme="minorHAnsi" w:cstheme="minorHAnsi"/>
          <w:b w:val="0"/>
          <w:sz w:val="18"/>
          <w:szCs w:val="18"/>
        </w:rPr>
        <w:t xml:space="preserve"> </w:t>
      </w:r>
      <w:r w:rsidRPr="00F61207" w:rsidR="00F61207">
        <w:rPr>
          <w:rFonts w:asciiTheme="minorHAnsi" w:hAnsiTheme="minorHAnsi" w:cstheme="minorHAnsi"/>
          <w:b w:val="0"/>
          <w:sz w:val="18"/>
          <w:szCs w:val="18"/>
        </w:rPr>
        <w:t>NMFS Alaska Region</w:t>
      </w:r>
      <w:r w:rsidR="00F61207">
        <w:rPr>
          <w:rFonts w:asciiTheme="minorHAnsi" w:hAnsiTheme="minorHAnsi" w:cstheme="minorHAnsi"/>
          <w:b w:val="0"/>
          <w:sz w:val="18"/>
          <w:szCs w:val="18"/>
        </w:rPr>
        <w:t>, Attn:</w:t>
      </w:r>
      <w:r w:rsidR="00BA5189">
        <w:rPr>
          <w:rFonts w:asciiTheme="minorHAnsi" w:hAnsiTheme="minorHAnsi" w:cstheme="minorHAnsi"/>
          <w:b w:val="0"/>
          <w:sz w:val="18"/>
          <w:szCs w:val="18"/>
        </w:rPr>
        <w:t xml:space="preserve"> </w:t>
      </w:r>
      <w:r w:rsidR="00F61207">
        <w:rPr>
          <w:rFonts w:asciiTheme="minorHAnsi" w:hAnsiTheme="minorHAnsi" w:cstheme="minorHAnsi"/>
          <w:b w:val="0"/>
          <w:sz w:val="18"/>
          <w:szCs w:val="18"/>
        </w:rPr>
        <w:t xml:space="preserve">Fee Coordinator, </w:t>
      </w:r>
      <w:r w:rsidRPr="007516BE" w:rsidR="007516BE">
        <w:rPr>
          <w:rFonts w:asciiTheme="minorHAnsi" w:hAnsiTheme="minorHAnsi" w:cstheme="minorHAnsi"/>
          <w:b w:val="0"/>
          <w:sz w:val="18"/>
          <w:szCs w:val="18"/>
        </w:rPr>
        <w:t>Operations and Management Division</w:t>
      </w:r>
      <w:r w:rsidR="00F61207">
        <w:rPr>
          <w:rFonts w:asciiTheme="minorHAnsi" w:hAnsiTheme="minorHAnsi" w:cstheme="minorHAnsi"/>
          <w:b w:val="0"/>
          <w:sz w:val="18"/>
          <w:szCs w:val="18"/>
        </w:rPr>
        <w:t xml:space="preserve">, </w:t>
      </w:r>
      <w:r w:rsidRPr="007516BE" w:rsidR="007516BE">
        <w:rPr>
          <w:rFonts w:asciiTheme="minorHAnsi" w:hAnsiTheme="minorHAnsi" w:cstheme="minorHAnsi"/>
          <w:b w:val="0"/>
          <w:sz w:val="18"/>
          <w:szCs w:val="18"/>
        </w:rPr>
        <w:t>P.O. Box 21668</w:t>
      </w:r>
      <w:r w:rsidR="00F61207">
        <w:rPr>
          <w:rFonts w:asciiTheme="minorHAnsi" w:hAnsiTheme="minorHAnsi" w:cstheme="minorHAnsi"/>
          <w:b w:val="0"/>
          <w:sz w:val="18"/>
          <w:szCs w:val="18"/>
        </w:rPr>
        <w:t>,</w:t>
      </w:r>
      <w:r w:rsidRPr="007516BE" w:rsidR="007516BE">
        <w:rPr>
          <w:rFonts w:asciiTheme="minorHAnsi" w:hAnsiTheme="minorHAnsi" w:cstheme="minorHAnsi"/>
          <w:b w:val="0"/>
          <w:sz w:val="18"/>
          <w:szCs w:val="18"/>
        </w:rPr>
        <w:t xml:space="preserve"> Juneau, Alaska 99802-1668</w:t>
      </w:r>
      <w:r w:rsidR="00F61207">
        <w:rPr>
          <w:rFonts w:asciiTheme="minorHAnsi" w:hAnsiTheme="minorHAnsi" w:cstheme="minorHAnsi"/>
          <w:b w:val="0"/>
          <w:sz w:val="18"/>
          <w:szCs w:val="18"/>
        </w:rPr>
        <w:t xml:space="preserve">; </w:t>
      </w:r>
      <w:r w:rsidRPr="00AF5296" w:rsidR="00BA5189">
        <w:rPr>
          <w:rFonts w:asciiTheme="minorHAnsi" w:hAnsiTheme="minorHAnsi" w:cstheme="minorHAnsi"/>
          <w:sz w:val="18"/>
          <w:szCs w:val="18"/>
        </w:rPr>
        <w:t>Fax</w:t>
      </w:r>
      <w:r w:rsidRPr="00BA5189" w:rsidR="00BA5189">
        <w:rPr>
          <w:rFonts w:asciiTheme="minorHAnsi" w:hAnsiTheme="minorHAnsi" w:cstheme="minorHAnsi"/>
          <w:b w:val="0"/>
          <w:sz w:val="18"/>
          <w:szCs w:val="18"/>
        </w:rPr>
        <w:t>: 907-586-7255</w:t>
      </w:r>
      <w:r w:rsidR="00F61207">
        <w:rPr>
          <w:rFonts w:asciiTheme="minorHAnsi" w:hAnsiTheme="minorHAnsi" w:cstheme="minorHAnsi"/>
          <w:b w:val="0"/>
          <w:sz w:val="18"/>
          <w:szCs w:val="18"/>
        </w:rPr>
        <w:t>.</w:t>
      </w:r>
    </w:p>
    <w:p w:rsidRPr="00BA5189" w:rsidR="00FD1DD3" w:rsidP="00FD1DD3" w:rsidRDefault="00FD1DD3" w14:paraId="7F2F0EE3" w14:textId="1CA2E957">
      <w:pPr>
        <w:pStyle w:val="Heading1"/>
        <w:spacing w:before="60"/>
        <w:ind w:left="0"/>
        <w:rPr>
          <w:rFonts w:asciiTheme="minorHAnsi" w:hAnsiTheme="minorHAnsi" w:cstheme="minorHAnsi"/>
          <w:b w:val="0"/>
          <w:sz w:val="18"/>
          <w:szCs w:val="18"/>
        </w:rPr>
      </w:pPr>
      <w:r>
        <w:rPr>
          <w:rFonts w:asciiTheme="minorHAnsi" w:hAnsiTheme="minorHAnsi" w:cstheme="minorHAnsi"/>
          <w:b w:val="0"/>
          <w:sz w:val="18"/>
          <w:szCs w:val="18"/>
        </w:rPr>
        <w:t xml:space="preserve">RAM </w:t>
      </w:r>
      <w:r w:rsidR="00F61207">
        <w:rPr>
          <w:rFonts w:asciiTheme="minorHAnsi" w:hAnsiTheme="minorHAnsi" w:cstheme="minorHAnsi"/>
          <w:b w:val="0"/>
          <w:sz w:val="18"/>
          <w:szCs w:val="18"/>
        </w:rPr>
        <w:t xml:space="preserve">— </w:t>
      </w:r>
      <w:proofErr w:type="gramStart"/>
      <w:r w:rsidRPr="00AF5296" w:rsidR="00F61207">
        <w:rPr>
          <w:rFonts w:asciiTheme="minorHAnsi" w:hAnsiTheme="minorHAnsi" w:cstheme="minorHAnsi"/>
          <w:sz w:val="18"/>
          <w:szCs w:val="18"/>
        </w:rPr>
        <w:t>Mail</w:t>
      </w:r>
      <w:r w:rsidRPr="00FD1DD3">
        <w:rPr>
          <w:rFonts w:asciiTheme="minorHAnsi" w:hAnsiTheme="minorHAnsi" w:cstheme="minorHAnsi"/>
          <w:b w:val="0"/>
          <w:sz w:val="18"/>
          <w:szCs w:val="18"/>
        </w:rPr>
        <w:t>:</w:t>
      </w:r>
      <w:proofErr w:type="gramEnd"/>
      <w:r w:rsidRPr="00FD1DD3">
        <w:rPr>
          <w:rFonts w:asciiTheme="minorHAnsi" w:hAnsiTheme="minorHAnsi" w:cstheme="minorHAnsi"/>
          <w:b w:val="0"/>
          <w:sz w:val="18"/>
          <w:szCs w:val="18"/>
        </w:rPr>
        <w:t xml:space="preserve"> NMFS Alaska Region, Attn: RAM Program, P.O. Box 21668, Juneau, AK 99802-1668</w:t>
      </w:r>
      <w:r w:rsidR="00F61207">
        <w:rPr>
          <w:rFonts w:asciiTheme="minorHAnsi" w:hAnsiTheme="minorHAnsi" w:cstheme="minorHAnsi"/>
          <w:b w:val="0"/>
          <w:sz w:val="18"/>
          <w:szCs w:val="18"/>
        </w:rPr>
        <w:t xml:space="preserve">; </w:t>
      </w:r>
      <w:r w:rsidRPr="00AF5296">
        <w:rPr>
          <w:rFonts w:asciiTheme="minorHAnsi" w:hAnsiTheme="minorHAnsi" w:cstheme="minorHAnsi"/>
          <w:sz w:val="18"/>
          <w:szCs w:val="18"/>
        </w:rPr>
        <w:t>Fax</w:t>
      </w:r>
      <w:r w:rsidRPr="00FD1DD3">
        <w:rPr>
          <w:rFonts w:asciiTheme="minorHAnsi" w:hAnsiTheme="minorHAnsi" w:cstheme="minorHAnsi"/>
          <w:b w:val="0"/>
          <w:sz w:val="18"/>
          <w:szCs w:val="18"/>
        </w:rPr>
        <w:t>: 907-586-7354.</w:t>
      </w:r>
    </w:p>
    <w:p w:rsidRPr="00AF5296" w:rsidR="003733DD" w:rsidP="00AF5296" w:rsidRDefault="00F61207" w14:paraId="2E743C85" w14:textId="5E2EF3C2">
      <w:pPr>
        <w:pStyle w:val="Heading1"/>
        <w:ind w:left="0"/>
        <w:rPr>
          <w:rFonts w:asciiTheme="minorHAnsi" w:hAnsiTheme="minorHAnsi" w:cstheme="minorHAnsi"/>
          <w:sz w:val="18"/>
          <w:szCs w:val="18"/>
        </w:rPr>
        <w:sectPr w:rsidRPr="00AF5296" w:rsidR="003733DD" w:rsidSect="00D22B45">
          <w:footerReference w:type="default" r:id="rId33"/>
          <w:pgSz w:w="12240" w:h="15840"/>
          <w:pgMar w:top="1440" w:right="1440" w:bottom="1440" w:left="1440" w:header="0" w:footer="714" w:gutter="0"/>
          <w:pgNumType w:start="1"/>
          <w:cols w:space="720"/>
          <w:docGrid w:linePitch="326"/>
        </w:sectPr>
      </w:pPr>
      <w:r w:rsidRPr="00AF5296">
        <w:rPr>
          <w:rFonts w:asciiTheme="minorHAnsi" w:hAnsiTheme="minorHAnsi" w:cstheme="minorHAnsi"/>
          <w:b w:val="0"/>
          <w:sz w:val="18"/>
          <w:szCs w:val="18"/>
        </w:rPr>
        <w:t>Appeals</w:t>
      </w:r>
      <w:r>
        <w:rPr>
          <w:rFonts w:asciiTheme="minorHAnsi" w:hAnsiTheme="minorHAnsi" w:cstheme="minorHAnsi"/>
          <w:b w:val="0"/>
          <w:sz w:val="18"/>
          <w:szCs w:val="18"/>
        </w:rPr>
        <w:t xml:space="preserve"> —</w:t>
      </w:r>
      <w:r w:rsidRPr="00AF5296">
        <w:rPr>
          <w:rFonts w:asciiTheme="minorHAnsi" w:hAnsiTheme="minorHAnsi" w:cstheme="minorHAnsi"/>
          <w:b w:val="0"/>
          <w:sz w:val="18"/>
          <w:szCs w:val="18"/>
        </w:rPr>
        <w:t xml:space="preserve"> </w:t>
      </w:r>
      <w:proofErr w:type="gramStart"/>
      <w:r w:rsidRPr="00F61207">
        <w:rPr>
          <w:rFonts w:asciiTheme="minorHAnsi" w:hAnsiTheme="minorHAnsi" w:cstheme="minorHAnsi"/>
          <w:sz w:val="18"/>
          <w:szCs w:val="18"/>
        </w:rPr>
        <w:t>Mail</w:t>
      </w:r>
      <w:r>
        <w:rPr>
          <w:rFonts w:asciiTheme="minorHAnsi" w:hAnsiTheme="minorHAnsi" w:cstheme="minorHAnsi"/>
          <w:b w:val="0"/>
          <w:sz w:val="18"/>
          <w:szCs w:val="18"/>
        </w:rPr>
        <w:t>:</w:t>
      </w:r>
      <w:proofErr w:type="gramEnd"/>
      <w:r>
        <w:rPr>
          <w:rFonts w:asciiTheme="minorHAnsi" w:hAnsiTheme="minorHAnsi" w:cstheme="minorHAnsi"/>
          <w:b w:val="0"/>
          <w:sz w:val="18"/>
          <w:szCs w:val="18"/>
        </w:rPr>
        <w:t xml:space="preserve"> </w:t>
      </w:r>
      <w:r w:rsidRPr="00AF5296">
        <w:rPr>
          <w:rFonts w:asciiTheme="minorHAnsi" w:hAnsiTheme="minorHAnsi" w:cstheme="minorHAnsi"/>
          <w:b w:val="0"/>
          <w:sz w:val="18"/>
          <w:szCs w:val="18"/>
        </w:rPr>
        <w:t xml:space="preserve">National Appeals Office, 1315 East-West Highway, Silver Spring, MD 20910; </w:t>
      </w:r>
      <w:r w:rsidRPr="00AF5296">
        <w:rPr>
          <w:rFonts w:asciiTheme="minorHAnsi" w:hAnsiTheme="minorHAnsi" w:cstheme="minorHAnsi"/>
          <w:sz w:val="18"/>
          <w:szCs w:val="18"/>
        </w:rPr>
        <w:t>Fax</w:t>
      </w:r>
      <w:r w:rsidRPr="00AF5296">
        <w:rPr>
          <w:rFonts w:asciiTheme="minorHAnsi" w:hAnsiTheme="minorHAnsi" w:cstheme="minorHAnsi"/>
          <w:b w:val="0"/>
          <w:sz w:val="18"/>
          <w:szCs w:val="18"/>
        </w:rPr>
        <w:t xml:space="preserve"> 307-713-2384</w:t>
      </w:r>
      <w:r>
        <w:rPr>
          <w:rFonts w:asciiTheme="minorHAnsi" w:hAnsiTheme="minorHAnsi" w:cstheme="minorHAnsi"/>
          <w:b w:val="0"/>
          <w:sz w:val="18"/>
          <w:szCs w:val="18"/>
        </w:rPr>
        <w:t>.</w:t>
      </w:r>
    </w:p>
    <w:p w:rsidRPr="0080431C" w:rsidR="00EC43C6" w:rsidP="003861A2" w:rsidRDefault="00EC43C6" w14:paraId="7BB0E655" w14:textId="69480ADB">
      <w:pPr>
        <w:widowControl/>
        <w:autoSpaceDE w:val="0"/>
        <w:autoSpaceDN w:val="0"/>
        <w:outlineLvl w:val="0"/>
        <w:rPr>
          <w:rFonts w:eastAsiaTheme="minorHAnsi"/>
          <w:b/>
          <w:bCs/>
        </w:rPr>
      </w:pPr>
      <w:proofErr w:type="spellStart"/>
      <w:proofErr w:type="gramStart"/>
      <w:r w:rsidRPr="0080431C">
        <w:rPr>
          <w:rFonts w:eastAsiaTheme="minorHAnsi"/>
          <w:b/>
          <w:bCs/>
        </w:rPr>
        <w:lastRenderedPageBreak/>
        <w:t>eFISH</w:t>
      </w:r>
      <w:proofErr w:type="spellEnd"/>
      <w:proofErr w:type="gramEnd"/>
    </w:p>
    <w:p w:rsidR="00AF4528" w:rsidP="003861A2" w:rsidRDefault="00AF4528" w14:paraId="45A3D81F" w14:textId="6D0283FA">
      <w:pPr>
        <w:widowControl/>
        <w:autoSpaceDE w:val="0"/>
        <w:autoSpaceDN w:val="0"/>
        <w:outlineLvl w:val="0"/>
      </w:pPr>
      <w:r w:rsidRPr="00AF4528">
        <w:t xml:space="preserve">NMFS collects fees and </w:t>
      </w:r>
      <w:r w:rsidR="004D32B6">
        <w:t xml:space="preserve">the </w:t>
      </w:r>
      <w:r w:rsidRPr="00AF4528">
        <w:t>volume and val</w:t>
      </w:r>
      <w:r>
        <w:t xml:space="preserve">ue reports through </w:t>
      </w:r>
      <w:hyperlink w:history="1" r:id="rId34">
        <w:proofErr w:type="spellStart"/>
        <w:r w:rsidRPr="007516BE">
          <w:rPr>
            <w:rStyle w:val="Hyperlink"/>
          </w:rPr>
          <w:t>eFISH</w:t>
        </w:r>
        <w:proofErr w:type="spellEnd"/>
      </w:hyperlink>
      <w:r>
        <w:t>,</w:t>
      </w:r>
      <w:r w:rsidRPr="00AF4528">
        <w:t xml:space="preserve"> which is NMFS Alaska Region’s online Fisheries Information System.</w:t>
      </w:r>
      <w:r>
        <w:t xml:space="preserve"> </w:t>
      </w:r>
      <w:r w:rsidRPr="00AF4528">
        <w:t xml:space="preserve">Participants access </w:t>
      </w:r>
      <w:proofErr w:type="spellStart"/>
      <w:r w:rsidRPr="00AF4528">
        <w:t>eFISH</w:t>
      </w:r>
      <w:proofErr w:type="spellEnd"/>
      <w:r w:rsidRPr="00AF4528">
        <w:t xml:space="preserve"> using their user ID and </w:t>
      </w:r>
      <w:r w:rsidR="00463BE4">
        <w:t xml:space="preserve">temporary </w:t>
      </w:r>
      <w:r w:rsidRPr="00AF4528">
        <w:t>password issued by NMFS.</w:t>
      </w:r>
    </w:p>
    <w:p w:rsidR="00AF4528" w:rsidP="003861A2" w:rsidRDefault="00AF4528" w14:paraId="5394171C" w14:textId="77777777">
      <w:pPr>
        <w:widowControl/>
        <w:autoSpaceDE w:val="0"/>
        <w:autoSpaceDN w:val="0"/>
        <w:outlineLvl w:val="0"/>
      </w:pPr>
    </w:p>
    <w:p w:rsidR="00EC43C6" w:rsidP="003861A2" w:rsidRDefault="00893ECE" w14:paraId="0BD5654E" w14:textId="2DF9125C">
      <w:pPr>
        <w:widowControl/>
        <w:autoSpaceDE w:val="0"/>
        <w:autoSpaceDN w:val="0"/>
        <w:outlineLvl w:val="0"/>
      </w:pPr>
      <w:r>
        <w:t>All f</w:t>
      </w:r>
      <w:r w:rsidRPr="00BA0799" w:rsidR="005E7952">
        <w:t xml:space="preserve">ee payments must be made electronically through </w:t>
      </w:r>
      <w:proofErr w:type="spellStart"/>
      <w:r w:rsidRPr="00BA0799" w:rsidR="005E7952">
        <w:t>eFISH</w:t>
      </w:r>
      <w:proofErr w:type="spellEnd"/>
      <w:r w:rsidRPr="00BA0799" w:rsidR="005E7952">
        <w:t xml:space="preserve"> in U.S. dollars by automated </w:t>
      </w:r>
      <w:proofErr w:type="gramStart"/>
      <w:r w:rsidRPr="00BA0799" w:rsidR="005E7952">
        <w:t>clearing house</w:t>
      </w:r>
      <w:proofErr w:type="gramEnd"/>
      <w:r w:rsidRPr="00BA0799" w:rsidR="005E7952">
        <w:t>, credit card, or electronic check drawn on a U.S. bank account.</w:t>
      </w:r>
      <w:r w:rsidR="005E7952">
        <w:t xml:space="preserve"> </w:t>
      </w:r>
      <w:hyperlink w:history="1" r:id="rId35">
        <w:r w:rsidRPr="00A402A1" w:rsidR="00BA0799">
          <w:rPr>
            <w:rStyle w:val="Hyperlink"/>
          </w:rPr>
          <w:t>Payment instructions</w:t>
        </w:r>
      </w:hyperlink>
      <w:r w:rsidRPr="00650CE1" w:rsidR="00BA0799">
        <w:t xml:space="preserve"> </w:t>
      </w:r>
      <w:proofErr w:type="gramStart"/>
      <w:r w:rsidRPr="00650CE1" w:rsidR="00BA0799">
        <w:t>are posted</w:t>
      </w:r>
      <w:proofErr w:type="gramEnd"/>
      <w:r w:rsidRPr="00650CE1" w:rsidR="00BA0799">
        <w:t xml:space="preserve"> on the NMFS Alaska Region website</w:t>
      </w:r>
      <w:r w:rsidR="00BA0799">
        <w:t>.</w:t>
      </w:r>
      <w:r w:rsidRPr="0080431C" w:rsidR="00BA0799">
        <w:t xml:space="preserve"> </w:t>
      </w:r>
      <w:r w:rsidRPr="0080431C" w:rsidR="0080431C">
        <w:t xml:space="preserve">To pay </w:t>
      </w:r>
      <w:r w:rsidR="00AF4528">
        <w:t>a</w:t>
      </w:r>
      <w:r w:rsidRPr="0080431C" w:rsidR="00AF4528">
        <w:t xml:space="preserve"> </w:t>
      </w:r>
      <w:r w:rsidRPr="0080431C" w:rsidR="0080431C">
        <w:t xml:space="preserve">fee, </w:t>
      </w:r>
      <w:r w:rsidR="0080431C">
        <w:t>participants</w:t>
      </w:r>
      <w:r w:rsidRPr="0080431C" w:rsidR="0080431C">
        <w:t xml:space="preserve"> select the payments tab and select the link for the </w:t>
      </w:r>
      <w:r w:rsidR="0080431C">
        <w:t>appropriate</w:t>
      </w:r>
      <w:r w:rsidRPr="0080431C" w:rsidR="0080431C">
        <w:t xml:space="preserve"> fee. The fee payment page summarizes their fee liability and transactions. After selecting “submit payment,” the participant </w:t>
      </w:r>
      <w:proofErr w:type="gramStart"/>
      <w:r w:rsidRPr="0080431C" w:rsidR="0080431C">
        <w:t>is redirected</w:t>
      </w:r>
      <w:proofErr w:type="gramEnd"/>
      <w:r w:rsidRPr="0080431C" w:rsidR="0080431C">
        <w:t xml:space="preserve"> to a pay.gov payment entry screen. The participant provides the following information in pay.gov: payment amount, billing address, account holder name, payment method</w:t>
      </w:r>
      <w:r w:rsidR="0080431C">
        <w:t>,</w:t>
      </w:r>
      <w:r w:rsidRPr="0080431C" w:rsidR="0080431C">
        <w:t xml:space="preserve"> and information associated with the payment method.</w:t>
      </w:r>
    </w:p>
    <w:p w:rsidR="00AF4528" w:rsidP="003861A2" w:rsidRDefault="00AF4528" w14:paraId="58FF38F5" w14:textId="4CA71880">
      <w:pPr>
        <w:widowControl/>
        <w:autoSpaceDE w:val="0"/>
        <w:autoSpaceDN w:val="0"/>
        <w:outlineLvl w:val="0"/>
      </w:pPr>
    </w:p>
    <w:p w:rsidR="00AF4528" w:rsidP="003861A2" w:rsidRDefault="004D32B6" w14:paraId="4163C3F0" w14:textId="4F54A4E9">
      <w:pPr>
        <w:widowControl/>
        <w:autoSpaceDE w:val="0"/>
        <w:autoSpaceDN w:val="0"/>
        <w:outlineLvl w:val="0"/>
      </w:pPr>
      <w:r>
        <w:t>To submit a volume and value report, f</w:t>
      </w:r>
      <w:r w:rsidRPr="00AF4528" w:rsidR="00AF4528">
        <w:t>or each species the participant enters in the volume and value report the landing month, the pounds landed, and the value of the pounds purchased.</w:t>
      </w:r>
    </w:p>
    <w:p w:rsidRPr="00EC43C6" w:rsidR="00EC43C6" w:rsidP="003861A2" w:rsidRDefault="00EC43C6" w14:paraId="3F8BB48E" w14:textId="77777777">
      <w:pPr>
        <w:widowControl/>
        <w:autoSpaceDE w:val="0"/>
        <w:autoSpaceDN w:val="0"/>
        <w:outlineLvl w:val="0"/>
        <w:rPr>
          <w:rFonts w:eastAsiaTheme="minorHAnsi"/>
          <w:bCs/>
        </w:rPr>
      </w:pPr>
    </w:p>
    <w:p w:rsidRPr="003861A2" w:rsidR="003861A2" w:rsidP="003861A2" w:rsidRDefault="003861A2" w14:paraId="185CCBEA" w14:textId="500DE15E">
      <w:pPr>
        <w:widowControl/>
        <w:autoSpaceDE w:val="0"/>
        <w:autoSpaceDN w:val="0"/>
        <w:outlineLvl w:val="0"/>
        <w:rPr>
          <w:rFonts w:eastAsiaTheme="minorHAnsi"/>
          <w:b/>
          <w:bCs/>
        </w:rPr>
      </w:pPr>
      <w:r w:rsidRPr="003861A2">
        <w:rPr>
          <w:rFonts w:eastAsiaTheme="minorHAnsi"/>
          <w:b/>
          <w:bCs/>
        </w:rPr>
        <w:t>Dissemination of Information</w:t>
      </w:r>
    </w:p>
    <w:p w:rsidRPr="003861A2" w:rsidR="003861A2" w:rsidP="003861A2" w:rsidRDefault="003861A2" w14:paraId="3B077BC4" w14:textId="77777777">
      <w:pPr>
        <w:widowControl/>
        <w:autoSpaceDE w:val="0"/>
        <w:autoSpaceDN w:val="0"/>
        <w:rPr>
          <w:rFonts w:eastAsiaTheme="minorHAnsi" w:cstheme="minorBidi"/>
        </w:rPr>
      </w:pPr>
      <w:r w:rsidRPr="003861A2">
        <w:rPr>
          <w:rFonts w:eastAsiaTheme="minorHAnsi" w:cstheme="minorBidi"/>
        </w:rPr>
        <w:t xml:space="preserve">This information collection </w:t>
      </w:r>
      <w:proofErr w:type="gramStart"/>
      <w:r w:rsidRPr="003861A2">
        <w:rPr>
          <w:rFonts w:eastAsiaTheme="minorHAnsi" w:cstheme="minorBidi"/>
        </w:rPr>
        <w:t>is designed</w:t>
      </w:r>
      <w:proofErr w:type="gramEnd"/>
      <w:r w:rsidRPr="003861A2">
        <w:rPr>
          <w:rFonts w:eastAsiaTheme="minorHAnsi" w:cstheme="minorBidi"/>
        </w:rPr>
        <w:t xml:space="preserve"> to yield data that meet all applicable information quality guidelines. Prior to dissemination, the information will be subjected to quality control measures and a pre-dissemination review pursuant to </w:t>
      </w:r>
      <w:hyperlink w:history="1" r:id="rId36">
        <w:r w:rsidRPr="003861A2">
          <w:rPr>
            <w:color w:val="0000FF"/>
            <w:u w:val="single"/>
          </w:rPr>
          <w:t>Section 515 of Public Law 106-554</w:t>
        </w:r>
      </w:hyperlink>
      <w:r w:rsidRPr="003861A2">
        <w:rPr>
          <w:rFonts w:eastAsiaTheme="minorHAnsi" w:cstheme="minorBidi"/>
        </w:rPr>
        <w:t xml:space="preserve"> </w:t>
      </w:r>
      <w:r w:rsidRPr="003861A2">
        <w:rPr>
          <w:rFonts w:eastAsia="Calibri"/>
          <w:color w:val="000000"/>
        </w:rPr>
        <w:t>(the Information Quality Act)</w:t>
      </w:r>
      <w:r w:rsidRPr="003861A2">
        <w:rPr>
          <w:rFonts w:eastAsiaTheme="minorHAnsi" w:cstheme="minorBidi"/>
        </w:rPr>
        <w:t xml:space="preserve">, which requires </w:t>
      </w:r>
      <w:r w:rsidRPr="003861A2">
        <w:rPr>
          <w:rFonts w:eastAsia="Calibri"/>
          <w:color w:val="000000"/>
        </w:rPr>
        <w:t xml:space="preserve">NMFS to ensure the quality, objectivity, utility, and integrity of information it publicly disseminates. Public dissemination of data collected by this information collection </w:t>
      </w:r>
      <w:proofErr w:type="gramStart"/>
      <w:r w:rsidRPr="003861A2">
        <w:rPr>
          <w:rFonts w:eastAsia="Calibri"/>
          <w:color w:val="000000"/>
        </w:rPr>
        <w:t>is governed</w:t>
      </w:r>
      <w:proofErr w:type="gramEnd"/>
      <w:r w:rsidRPr="003861A2">
        <w:rPr>
          <w:rFonts w:eastAsia="Calibri"/>
          <w:color w:val="000000"/>
        </w:rPr>
        <w:t xml:space="preserve"> by </w:t>
      </w:r>
      <w:hyperlink w:history="1" r:id="rId37">
        <w:r w:rsidRPr="003861A2">
          <w:rPr>
            <w:rFonts w:eastAsia="Calibri"/>
            <w:color w:val="0000FF" w:themeColor="hyperlink"/>
            <w:u w:val="single"/>
          </w:rPr>
          <w:t>NOAA's information quality guidelines</w:t>
        </w:r>
      </w:hyperlink>
      <w:r w:rsidRPr="003861A2">
        <w:rPr>
          <w:rFonts w:eastAsia="Calibri"/>
          <w:color w:val="000000"/>
        </w:rPr>
        <w:t>, which were issued on October 30, 2014.</w:t>
      </w:r>
      <w:r w:rsidRPr="003861A2">
        <w:rPr>
          <w:rFonts w:eastAsiaTheme="minorHAnsi" w:cstheme="minorBidi"/>
        </w:rPr>
        <w:t xml:space="preserve"> </w:t>
      </w:r>
    </w:p>
    <w:p w:rsidRPr="003861A2" w:rsidR="003861A2" w:rsidP="003861A2" w:rsidRDefault="003861A2" w14:paraId="2923EB0A" w14:textId="77777777">
      <w:pPr>
        <w:widowControl/>
        <w:autoSpaceDE w:val="0"/>
        <w:autoSpaceDN w:val="0"/>
        <w:rPr>
          <w:rFonts w:eastAsiaTheme="minorHAnsi"/>
        </w:rPr>
      </w:pPr>
    </w:p>
    <w:p w:rsidRPr="003861A2" w:rsidR="003861A2" w:rsidP="003861A2" w:rsidRDefault="003861A2" w14:paraId="61FCBA7E" w14:textId="00A3EB7D">
      <w:pPr>
        <w:widowControl/>
        <w:autoSpaceDE w:val="0"/>
        <w:autoSpaceDN w:val="0"/>
        <w:rPr>
          <w:rFonts w:eastAsiaTheme="minorHAnsi" w:cstheme="minorBidi"/>
        </w:rPr>
      </w:pPr>
      <w:r w:rsidRPr="003861A2">
        <w:rPr>
          <w:rFonts w:eastAsiaTheme="minorHAnsi" w:cstheme="minorBidi"/>
        </w:rPr>
        <w:t xml:space="preserve">It </w:t>
      </w:r>
      <w:proofErr w:type="gramStart"/>
      <w:r w:rsidRPr="003861A2">
        <w:rPr>
          <w:rFonts w:eastAsiaTheme="minorHAnsi" w:cstheme="minorBidi"/>
        </w:rPr>
        <w:t>is anticipated</w:t>
      </w:r>
      <w:proofErr w:type="gramEnd"/>
      <w:r w:rsidRPr="003861A2">
        <w:rPr>
          <w:rFonts w:eastAsiaTheme="minorHAnsi" w:cstheme="minorBidi"/>
        </w:rPr>
        <w:t xml:space="preserve"> that </w:t>
      </w:r>
      <w:r w:rsidR="00755168">
        <w:rPr>
          <w:rFonts w:eastAsiaTheme="minorHAnsi" w:cstheme="minorBidi"/>
        </w:rPr>
        <w:t xml:space="preserve">some of </w:t>
      </w:r>
      <w:r w:rsidRPr="003861A2">
        <w:rPr>
          <w:rFonts w:eastAsiaTheme="minorHAnsi" w:cstheme="minorBidi"/>
        </w:rPr>
        <w:t xml:space="preserve">the information collected will be disseminated to the public or used to support publicly disseminated information. NMFS and the National Appeals Office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See Question 16 of this Supporting Statement for information from </w:t>
      </w:r>
      <w:proofErr w:type="gramStart"/>
      <w:r w:rsidRPr="003861A2">
        <w:rPr>
          <w:rFonts w:eastAsiaTheme="minorHAnsi" w:cstheme="minorBidi"/>
        </w:rPr>
        <w:t>this</w:t>
      </w:r>
      <w:proofErr w:type="gramEnd"/>
      <w:r w:rsidRPr="003861A2">
        <w:rPr>
          <w:rFonts w:eastAsiaTheme="minorHAnsi" w:cstheme="minorBidi"/>
        </w:rPr>
        <w:t xml:space="preserve"> collection that is posted on the </w:t>
      </w:r>
      <w:r w:rsidRPr="000816C7" w:rsidR="000816C7">
        <w:t xml:space="preserve">NMFS </w:t>
      </w:r>
      <w:r w:rsidRPr="000816C7" w:rsidR="000816C7">
        <w:rPr>
          <w:rFonts w:eastAsia="Calibri"/>
        </w:rPr>
        <w:t>National Appeals Office</w:t>
      </w:r>
      <w:r w:rsidRPr="000816C7" w:rsidR="000816C7">
        <w:t xml:space="preserve"> website</w:t>
      </w:r>
      <w:r w:rsidRPr="003861A2">
        <w:rPr>
          <w:rFonts w:eastAsiaTheme="minorHAnsi" w:cstheme="minorBidi"/>
        </w:rPr>
        <w:t xml:space="preserve">.  </w:t>
      </w:r>
    </w:p>
    <w:p w:rsidR="00BD2A55" w:rsidRDefault="00BD2A55" w14:paraId="3249AA55" w14:textId="56BFFD03">
      <w:pPr>
        <w:pBdr>
          <w:top w:val="nil"/>
          <w:left w:val="nil"/>
          <w:bottom w:val="nil"/>
          <w:right w:val="nil"/>
          <w:between w:val="nil"/>
        </w:pBdr>
        <w:spacing w:before="7"/>
      </w:pPr>
    </w:p>
    <w:p w:rsidR="003861A2" w:rsidP="00C7269F" w:rsidRDefault="00C7269F" w14:paraId="1E5A3688" w14:textId="0B761D82">
      <w:pPr>
        <w:widowControl/>
        <w:autoSpaceDE w:val="0"/>
        <w:autoSpaceDN w:val="0"/>
      </w:pPr>
      <w:r>
        <w:rPr>
          <w:b/>
          <w:color w:val="943634" w:themeColor="accent2" w:themeShade="BF"/>
        </w:rPr>
        <w:t>The sections below provide additional information on the</w:t>
      </w:r>
      <w:r w:rsidR="006E0984">
        <w:rPr>
          <w:b/>
          <w:color w:val="943634" w:themeColor="accent2" w:themeShade="BF"/>
        </w:rPr>
        <w:t xml:space="preserve"> requirements for</w:t>
      </w:r>
      <w:r>
        <w:rPr>
          <w:b/>
          <w:color w:val="943634" w:themeColor="accent2" w:themeShade="BF"/>
        </w:rPr>
        <w:t xml:space="preserve"> observer and cost recovery fees, volume and value reports, and appeals. </w:t>
      </w:r>
    </w:p>
    <w:p w:rsidRPr="00333FBA" w:rsidR="003861A2" w:rsidRDefault="003861A2" w14:paraId="04EE4BAB" w14:textId="77777777">
      <w:pPr>
        <w:pBdr>
          <w:top w:val="nil"/>
          <w:left w:val="nil"/>
          <w:bottom w:val="nil"/>
          <w:right w:val="nil"/>
          <w:between w:val="nil"/>
        </w:pBdr>
        <w:spacing w:before="7"/>
      </w:pPr>
    </w:p>
    <w:p w:rsidRPr="00BC5C4F" w:rsidR="00650CE1" w:rsidP="00650CE1" w:rsidRDefault="00650CE1" w14:paraId="743A12A6" w14:textId="7D3A5088">
      <w:pPr>
        <w:numPr>
          <w:ilvl w:val="0"/>
          <w:numId w:val="12"/>
        </w:numPr>
        <w:autoSpaceDE w:val="0"/>
        <w:autoSpaceDN w:val="0"/>
        <w:adjustRightInd w:val="0"/>
        <w:ind w:left="360"/>
        <w:rPr>
          <w:b/>
        </w:rPr>
      </w:pPr>
      <w:r w:rsidRPr="00BC5C4F">
        <w:rPr>
          <w:b/>
        </w:rPr>
        <w:t xml:space="preserve">Observer Coverage Fee Payment </w:t>
      </w:r>
      <w:r w:rsidRPr="00CE2344" w:rsidR="00441FB1">
        <w:rPr>
          <w:b/>
        </w:rPr>
        <w:t>[no change]</w:t>
      </w:r>
    </w:p>
    <w:p w:rsidRPr="00650CE1" w:rsidR="00650CE1" w:rsidP="00650CE1" w:rsidRDefault="00650CE1" w14:paraId="72EA7226" w14:textId="77777777">
      <w:pPr>
        <w:autoSpaceDE w:val="0"/>
        <w:autoSpaceDN w:val="0"/>
        <w:adjustRightInd w:val="0"/>
        <w:ind w:left="360"/>
      </w:pPr>
    </w:p>
    <w:p w:rsidRPr="00650CE1" w:rsidR="00650CE1" w:rsidP="00650CE1" w:rsidRDefault="00650CE1" w14:paraId="272A01C9" w14:textId="0F95104C">
      <w:pPr>
        <w:autoSpaceDE w:val="0"/>
        <w:autoSpaceDN w:val="0"/>
        <w:adjustRightInd w:val="0"/>
      </w:pPr>
      <w:r w:rsidRPr="00650CE1">
        <w:t xml:space="preserve">The observer coverage fee is one of the two annual fees collected by NMFS Alaska Region under this information collection. More information on the observer fee </w:t>
      </w:r>
      <w:proofErr w:type="gramStart"/>
      <w:r w:rsidRPr="00650CE1">
        <w:t xml:space="preserve">is </w:t>
      </w:r>
      <w:r w:rsidR="00C34542">
        <w:t>provided</w:t>
      </w:r>
      <w:proofErr w:type="gramEnd"/>
      <w:r w:rsidRPr="00650CE1">
        <w:t xml:space="preserve"> on the</w:t>
      </w:r>
      <w:r w:rsidR="00266621">
        <w:t xml:space="preserve"> </w:t>
      </w:r>
      <w:hyperlink w:history="1" r:id="rId38">
        <w:r w:rsidR="00C34542">
          <w:rPr>
            <w:rStyle w:val="Hyperlink"/>
          </w:rPr>
          <w:t>o</w:t>
        </w:r>
        <w:r w:rsidRPr="00266621" w:rsidR="00266621">
          <w:rPr>
            <w:rStyle w:val="Hyperlink"/>
          </w:rPr>
          <w:t xml:space="preserve">bserver </w:t>
        </w:r>
        <w:r w:rsidR="00C34542">
          <w:rPr>
            <w:rStyle w:val="Hyperlink"/>
          </w:rPr>
          <w:t>f</w:t>
        </w:r>
        <w:r w:rsidRPr="00266621" w:rsidR="00266621">
          <w:rPr>
            <w:rStyle w:val="Hyperlink"/>
          </w:rPr>
          <w:t xml:space="preserve">ee </w:t>
        </w:r>
        <w:r w:rsidR="00C34542">
          <w:rPr>
            <w:rStyle w:val="Hyperlink"/>
          </w:rPr>
          <w:t>c</w:t>
        </w:r>
        <w:r w:rsidRPr="00266621" w:rsidR="00266621">
          <w:rPr>
            <w:rStyle w:val="Hyperlink"/>
          </w:rPr>
          <w:t xml:space="preserve">ollection and </w:t>
        </w:r>
        <w:r w:rsidR="00C34542">
          <w:rPr>
            <w:rStyle w:val="Hyperlink"/>
          </w:rPr>
          <w:t>p</w:t>
        </w:r>
        <w:r w:rsidRPr="00266621" w:rsidR="00266621">
          <w:rPr>
            <w:rStyle w:val="Hyperlink"/>
          </w:rPr>
          <w:t>ayment web</w:t>
        </w:r>
        <w:r w:rsidR="00C34542">
          <w:rPr>
            <w:rStyle w:val="Hyperlink"/>
          </w:rPr>
          <w:t>site</w:t>
        </w:r>
      </w:hyperlink>
      <w:r w:rsidR="00266621">
        <w:t xml:space="preserve"> </w:t>
      </w:r>
      <w:r w:rsidR="00C34542">
        <w:t>for</w:t>
      </w:r>
      <w:r w:rsidR="00266621">
        <w:t xml:space="preserve"> the </w:t>
      </w:r>
      <w:r w:rsidRPr="00650CE1">
        <w:t>NMFS Alaska Region</w:t>
      </w:r>
      <w:r w:rsidR="00266621">
        <w:t>.</w:t>
      </w:r>
      <w:r w:rsidRPr="00650CE1">
        <w:t xml:space="preserve"> </w:t>
      </w:r>
    </w:p>
    <w:p w:rsidRPr="00650CE1" w:rsidR="00650CE1" w:rsidP="00650CE1" w:rsidRDefault="00650CE1" w14:paraId="119337BE" w14:textId="77777777">
      <w:pPr>
        <w:autoSpaceDE w:val="0"/>
        <w:autoSpaceDN w:val="0"/>
        <w:adjustRightInd w:val="0"/>
      </w:pPr>
    </w:p>
    <w:p w:rsidRPr="00650CE1" w:rsidR="00650CE1" w:rsidP="00650CE1" w:rsidRDefault="00650CE1" w14:paraId="57CE1E95" w14:textId="11136702">
      <w:pPr>
        <w:autoSpaceDE w:val="0"/>
        <w:autoSpaceDN w:val="0"/>
        <w:adjustRightInd w:val="0"/>
      </w:pPr>
      <w:r w:rsidRPr="00650CE1">
        <w:t>NMFS collects observer coverage fees to support the funding and deployment of observers and electronic monitoring (EM) on vessels and in plants in the Observer Program’s partial coverage category</w:t>
      </w:r>
      <w:r w:rsidRPr="00F375B4">
        <w:t xml:space="preserve">. </w:t>
      </w:r>
      <w:r w:rsidRPr="00F375B4" w:rsidR="00F375B4">
        <w:t xml:space="preserve">As of 2019, the funds from this fee </w:t>
      </w:r>
      <w:proofErr w:type="gramStart"/>
      <w:r w:rsidRPr="00F375B4" w:rsidR="00F375B4">
        <w:t>have also been used</w:t>
      </w:r>
      <w:proofErr w:type="gramEnd"/>
      <w:r w:rsidRPr="00F375B4" w:rsidR="00F375B4">
        <w:t xml:space="preserve"> to deploy E</w:t>
      </w:r>
      <w:r w:rsidR="00F375B4">
        <w:t xml:space="preserve">M </w:t>
      </w:r>
      <w:r w:rsidRPr="00F375B4" w:rsidR="00F375B4">
        <w:t xml:space="preserve">in the fixed gear </w:t>
      </w:r>
      <w:r w:rsidRPr="00F375B4" w:rsidR="00F375B4">
        <w:lastRenderedPageBreak/>
        <w:t>fleet</w:t>
      </w:r>
      <w:r w:rsidR="00F375B4">
        <w:t xml:space="preserve">. </w:t>
      </w:r>
      <w:r w:rsidRPr="00650CE1">
        <w:t>This system of fees fairly and equitably distributes the cost of monitoring among all vessels and processors in the partial coverage category.</w:t>
      </w:r>
    </w:p>
    <w:p w:rsidRPr="00650CE1" w:rsidR="00650CE1" w:rsidP="00650CE1" w:rsidRDefault="00650CE1" w14:paraId="19781A90" w14:textId="77777777">
      <w:pPr>
        <w:autoSpaceDE w:val="0"/>
        <w:autoSpaceDN w:val="0"/>
        <w:adjustRightInd w:val="0"/>
      </w:pPr>
    </w:p>
    <w:p w:rsidRPr="00650CE1" w:rsidR="00650CE1" w:rsidP="00650CE1" w:rsidRDefault="00650CE1" w14:paraId="2F9FD763" w14:textId="77777777">
      <w:pPr>
        <w:shd w:val="clear" w:color="auto" w:fill="FFFFFF"/>
        <w:tabs>
          <w:tab w:val="left" w:pos="360"/>
          <w:tab w:val="left" w:pos="720"/>
        </w:tabs>
        <w:autoSpaceDE w:val="0"/>
        <w:autoSpaceDN w:val="0"/>
        <w:adjustRightInd w:val="0"/>
      </w:pPr>
      <w:r w:rsidRPr="00650CE1">
        <w:t xml:space="preserve">The observer coverage fee </w:t>
      </w:r>
      <w:proofErr w:type="gramStart"/>
      <w:r w:rsidRPr="00650CE1">
        <w:t>is assessed</w:t>
      </w:r>
      <w:proofErr w:type="gramEnd"/>
      <w:r w:rsidRPr="00650CE1">
        <w:t xml:space="preserve"> on landings by vessels in the partial coverage category. The total fee amount </w:t>
      </w:r>
      <w:proofErr w:type="gramStart"/>
      <w:r w:rsidRPr="00650CE1">
        <w:t>is determined</w:t>
      </w:r>
      <w:proofErr w:type="gramEnd"/>
      <w:r w:rsidRPr="00650CE1">
        <w:t xml:space="preserve"> by the sum of the fees reported for each landing at that processor or registered buyer in the prior calendar year. NMFS annually publishes in the </w:t>
      </w:r>
      <w:r w:rsidRPr="00650CE1">
        <w:rPr>
          <w:i/>
        </w:rPr>
        <w:t>Federal Register</w:t>
      </w:r>
      <w:r w:rsidRPr="00650CE1">
        <w:t xml:space="preserve"> the standard ex-vessel prices for </w:t>
      </w:r>
      <w:proofErr w:type="spellStart"/>
      <w:r w:rsidRPr="00650CE1">
        <w:t>groundfish</w:t>
      </w:r>
      <w:proofErr w:type="spellEnd"/>
      <w:r w:rsidRPr="00650CE1">
        <w:t xml:space="preserve"> and halibut by port, species, and gear type to provide participants the prices that </w:t>
      </w:r>
      <w:proofErr w:type="gramStart"/>
      <w:r w:rsidRPr="00650CE1">
        <w:t>will be used</w:t>
      </w:r>
      <w:proofErr w:type="gramEnd"/>
      <w:r w:rsidRPr="00650CE1">
        <w:t xml:space="preserve"> to calculate the observer fee.</w:t>
      </w:r>
    </w:p>
    <w:p w:rsidRPr="00650CE1" w:rsidR="00650CE1" w:rsidP="00650CE1" w:rsidRDefault="00650CE1" w14:paraId="2216B8F9" w14:textId="77777777">
      <w:pPr>
        <w:autoSpaceDE w:val="0"/>
        <w:autoSpaceDN w:val="0"/>
        <w:adjustRightInd w:val="0"/>
      </w:pPr>
    </w:p>
    <w:p w:rsidRPr="00650CE1" w:rsidR="00650CE1" w:rsidP="00650CE1" w:rsidRDefault="00650CE1" w14:paraId="5CC2F149" w14:textId="77777777">
      <w:pPr>
        <w:autoSpaceDE w:val="0"/>
        <w:autoSpaceDN w:val="0"/>
        <w:adjustRightInd w:val="0"/>
      </w:pPr>
      <w:r w:rsidRPr="00650CE1">
        <w:t xml:space="preserve">Catcher vessel owners split the fee with the registered buyers or owners of </w:t>
      </w:r>
      <w:proofErr w:type="spellStart"/>
      <w:r w:rsidRPr="00650CE1">
        <w:t>shoreside</w:t>
      </w:r>
      <w:proofErr w:type="spellEnd"/>
      <w:r w:rsidRPr="00650CE1">
        <w:t xml:space="preserve"> or stationary floating processors. While the owners of catcher vessels and processors in the partial coverage category are each responsible for paying their portion of the fee, the owners of </w:t>
      </w:r>
      <w:proofErr w:type="spellStart"/>
      <w:r w:rsidRPr="00650CE1">
        <w:t>shoreside</w:t>
      </w:r>
      <w:proofErr w:type="spellEnd"/>
      <w:r w:rsidRPr="00650CE1">
        <w:t xml:space="preserve"> or stationary floating processors and registered buyers are responsible for collecting the fees from catcher vessels, and remitting the full fee to NMFS. Owners of small catcher/processors in the partial coverage category are responsible for remitting the full fee to NMFS.</w:t>
      </w:r>
    </w:p>
    <w:p w:rsidRPr="00650CE1" w:rsidR="00650CE1" w:rsidP="00650CE1" w:rsidRDefault="00650CE1" w14:paraId="3DAF6CA3" w14:textId="77777777">
      <w:pPr>
        <w:shd w:val="clear" w:color="auto" w:fill="FFFFFF"/>
        <w:tabs>
          <w:tab w:val="left" w:pos="360"/>
          <w:tab w:val="left" w:pos="720"/>
        </w:tabs>
        <w:autoSpaceDE w:val="0"/>
        <w:autoSpaceDN w:val="0"/>
        <w:adjustRightInd w:val="0"/>
      </w:pPr>
    </w:p>
    <w:p w:rsidRPr="00650CE1" w:rsidR="00650CE1" w:rsidP="00650CE1" w:rsidRDefault="00650CE1" w14:paraId="4AD19E9B" w14:textId="4EEBE44A">
      <w:pPr>
        <w:shd w:val="clear" w:color="auto" w:fill="FFFFFF"/>
        <w:tabs>
          <w:tab w:val="left" w:pos="360"/>
          <w:tab w:val="left" w:pos="720"/>
        </w:tabs>
        <w:autoSpaceDE w:val="0"/>
        <w:autoSpaceDN w:val="0"/>
        <w:adjustRightInd w:val="0"/>
      </w:pPr>
      <w:r w:rsidRPr="00650CE1">
        <w:t xml:space="preserve">NMFS sends invoices to processors and registered buyers by January 15 of each calendar year. The invoice includes their fee amount for the landings in the previous year, the date due, and instructions for submitting payment. </w:t>
      </w:r>
      <w:r w:rsidR="006B0C07">
        <w:t xml:space="preserve">Payment is due </w:t>
      </w:r>
      <w:r w:rsidR="00EC43C6">
        <w:t xml:space="preserve">through </w:t>
      </w:r>
      <w:proofErr w:type="spellStart"/>
      <w:r w:rsidR="00EC43C6">
        <w:t>eFISH</w:t>
      </w:r>
      <w:proofErr w:type="spellEnd"/>
      <w:r w:rsidR="00EC43C6">
        <w:t xml:space="preserve"> </w:t>
      </w:r>
      <w:r w:rsidR="001D3A50">
        <w:t xml:space="preserve">by </w:t>
      </w:r>
      <w:r w:rsidR="006B0C07">
        <w:t>February 15.</w:t>
      </w:r>
      <w:r w:rsidRPr="006B0C07" w:rsidR="006B0C07">
        <w:t xml:space="preserve"> </w:t>
      </w:r>
      <w:r w:rsidRPr="00650CE1">
        <w:t>Full payment of the fee is required before NMFS will issue a new or renewed Federal processor permit or registered buyer permit.</w:t>
      </w:r>
    </w:p>
    <w:p w:rsidRPr="00650CE1" w:rsidR="00E76108" w:rsidP="00650CE1" w:rsidRDefault="00E76108" w14:paraId="0E9E4C7E" w14:textId="77777777">
      <w:pPr>
        <w:autoSpaceDE w:val="0"/>
        <w:autoSpaceDN w:val="0"/>
        <w:adjustRightInd w:val="0"/>
      </w:pPr>
    </w:p>
    <w:p w:rsidRPr="00650CE1" w:rsidR="00650CE1" w:rsidP="00650CE1" w:rsidRDefault="00650CE1" w14:paraId="6F2093A5" w14:textId="77777777">
      <w:pPr>
        <w:shd w:val="clear" w:color="auto" w:fill="FFFFFF"/>
        <w:tabs>
          <w:tab w:val="left" w:pos="360"/>
          <w:tab w:val="left" w:pos="720"/>
        </w:tabs>
        <w:autoSpaceDE w:val="0"/>
        <w:autoSpaceDN w:val="0"/>
        <w:adjustRightInd w:val="0"/>
      </w:pPr>
    </w:p>
    <w:p w:rsidRPr="00650CE1" w:rsidR="00650CE1" w:rsidP="00893ECE" w:rsidRDefault="00650CE1" w14:paraId="4FCD0C8A" w14:textId="114F59D3">
      <w:pPr>
        <w:numPr>
          <w:ilvl w:val="0"/>
          <w:numId w:val="12"/>
        </w:numPr>
        <w:autoSpaceDE w:val="0"/>
        <w:autoSpaceDN w:val="0"/>
        <w:adjustRightInd w:val="0"/>
        <w:ind w:left="360"/>
      </w:pPr>
      <w:r w:rsidRPr="00650CE1">
        <w:rPr>
          <w:b/>
        </w:rPr>
        <w:t xml:space="preserve">Cost Recovery Fee </w:t>
      </w:r>
      <w:r w:rsidRPr="009725B2">
        <w:rPr>
          <w:b/>
        </w:rPr>
        <w:t>Payment</w:t>
      </w:r>
      <w:r w:rsidRPr="009725B2" w:rsidR="00336DBF">
        <w:rPr>
          <w:b/>
        </w:rPr>
        <w:t>s</w:t>
      </w:r>
      <w:r w:rsidRPr="009725B2">
        <w:rPr>
          <w:b/>
        </w:rPr>
        <w:t xml:space="preserve"> </w:t>
      </w:r>
      <w:r w:rsidRPr="009725B2" w:rsidR="005D012C">
        <w:rPr>
          <w:b/>
        </w:rPr>
        <w:t xml:space="preserve"> </w:t>
      </w:r>
      <w:r w:rsidRPr="009725B2" w:rsidR="00336DBF">
        <w:rPr>
          <w:b/>
        </w:rPr>
        <w:t>[</w:t>
      </w:r>
      <w:r w:rsidRPr="009725B2" w:rsidR="005D012C">
        <w:rPr>
          <w:b/>
        </w:rPr>
        <w:t>revised heading</w:t>
      </w:r>
      <w:r w:rsidRPr="009725B2" w:rsidR="00336DBF">
        <w:rPr>
          <w:b/>
        </w:rPr>
        <w:t>; previously included fee submission forms</w:t>
      </w:r>
      <w:r w:rsidRPr="009725B2" w:rsidR="005D012C">
        <w:rPr>
          <w:b/>
        </w:rPr>
        <w:t>]</w:t>
      </w:r>
      <w:r w:rsidRPr="00650CE1">
        <w:rPr>
          <w:b/>
        </w:rPr>
        <w:br/>
      </w:r>
    </w:p>
    <w:p w:rsidRPr="00650CE1" w:rsidR="00650CE1" w:rsidP="00DC7956" w:rsidRDefault="00441FB1" w14:paraId="0866DDAE" w14:textId="3D109787">
      <w:pPr>
        <w:autoSpaceDE w:val="0"/>
        <w:autoSpaceDN w:val="0"/>
        <w:adjustRightInd w:val="0"/>
      </w:pPr>
      <w:r>
        <w:t>C</w:t>
      </w:r>
      <w:r w:rsidRPr="00650CE1" w:rsidR="00650CE1">
        <w:t>ost recovery fee</w:t>
      </w:r>
      <w:r>
        <w:t>s are</w:t>
      </w:r>
      <w:r w:rsidRPr="00650CE1">
        <w:t xml:space="preserve"> </w:t>
      </w:r>
      <w:r w:rsidRPr="00650CE1" w:rsidR="00650CE1">
        <w:t xml:space="preserve">the second </w:t>
      </w:r>
      <w:r>
        <w:t xml:space="preserve">type of </w:t>
      </w:r>
      <w:r w:rsidRPr="00650CE1" w:rsidR="00650CE1">
        <w:t xml:space="preserve">fee collected </w:t>
      </w:r>
      <w:r>
        <w:t xml:space="preserve">annually </w:t>
      </w:r>
      <w:r w:rsidRPr="00650CE1" w:rsidR="00650CE1">
        <w:t>by NMFS Alaska Region</w:t>
      </w:r>
      <w:r>
        <w:t xml:space="preserve">, which </w:t>
      </w:r>
      <w:proofErr w:type="gramStart"/>
      <w:r>
        <w:t>is approved</w:t>
      </w:r>
      <w:proofErr w:type="gramEnd"/>
      <w:r>
        <w:t xml:space="preserve"> </w:t>
      </w:r>
      <w:r w:rsidRPr="00650CE1" w:rsidR="00650CE1">
        <w:t xml:space="preserve">under this information collection. </w:t>
      </w:r>
      <w:r w:rsidRPr="00CF23DD" w:rsidR="00DC7956">
        <w:rPr>
          <w:rFonts w:eastAsia="Calibri"/>
        </w:rPr>
        <w:t xml:space="preserve">More information on the </w:t>
      </w:r>
      <w:r w:rsidR="00DC7956">
        <w:rPr>
          <w:rFonts w:eastAsia="Calibri"/>
        </w:rPr>
        <w:t xml:space="preserve">cost recovery fees </w:t>
      </w:r>
      <w:proofErr w:type="gramStart"/>
      <w:r w:rsidR="00DC7956">
        <w:rPr>
          <w:rFonts w:eastAsia="Calibri"/>
        </w:rPr>
        <w:t>i</w:t>
      </w:r>
      <w:r w:rsidRPr="00CF23DD" w:rsidR="00DC7956">
        <w:rPr>
          <w:rFonts w:eastAsia="Calibri"/>
        </w:rPr>
        <w:t>s provided</w:t>
      </w:r>
      <w:proofErr w:type="gramEnd"/>
      <w:r w:rsidRPr="00CF23DD" w:rsidR="00DC7956">
        <w:rPr>
          <w:rFonts w:eastAsia="Calibri"/>
        </w:rPr>
        <w:t xml:space="preserve"> on the </w:t>
      </w:r>
      <w:hyperlink w:history="1" r:id="rId39">
        <w:r w:rsidR="00DC7956">
          <w:rPr>
            <w:rStyle w:val="Hyperlink"/>
            <w:rFonts w:eastAsia="Calibri"/>
          </w:rPr>
          <w:t>c</w:t>
        </w:r>
        <w:r w:rsidRPr="00CF23DD" w:rsidR="00DC7956">
          <w:rPr>
            <w:rStyle w:val="Hyperlink"/>
            <w:rFonts w:eastAsia="Calibri"/>
          </w:rPr>
          <w:t xml:space="preserve">ost </w:t>
        </w:r>
        <w:r w:rsidR="00DC7956">
          <w:rPr>
            <w:rStyle w:val="Hyperlink"/>
            <w:rFonts w:eastAsia="Calibri"/>
          </w:rPr>
          <w:t>r</w:t>
        </w:r>
        <w:r w:rsidRPr="00CF23DD" w:rsidR="00DC7956">
          <w:rPr>
            <w:rStyle w:val="Hyperlink"/>
            <w:rFonts w:eastAsia="Calibri"/>
          </w:rPr>
          <w:t xml:space="preserve">ecovery </w:t>
        </w:r>
        <w:r w:rsidR="00DC7956">
          <w:rPr>
            <w:rStyle w:val="Hyperlink"/>
            <w:rFonts w:eastAsia="Calibri"/>
          </w:rPr>
          <w:t>p</w:t>
        </w:r>
        <w:r w:rsidRPr="00CF23DD" w:rsidR="00DC7956">
          <w:rPr>
            <w:rStyle w:val="Hyperlink"/>
            <w:rFonts w:eastAsia="Calibri"/>
          </w:rPr>
          <w:t xml:space="preserve">rograms, </w:t>
        </w:r>
        <w:r w:rsidR="00DC7956">
          <w:rPr>
            <w:rStyle w:val="Hyperlink"/>
            <w:rFonts w:eastAsia="Calibri"/>
          </w:rPr>
          <w:t>f</w:t>
        </w:r>
        <w:r w:rsidRPr="00CF23DD" w:rsidR="00DC7956">
          <w:rPr>
            <w:rStyle w:val="Hyperlink"/>
            <w:rFonts w:eastAsia="Calibri"/>
          </w:rPr>
          <w:t xml:space="preserve">ee </w:t>
        </w:r>
        <w:r w:rsidR="00DC7956">
          <w:rPr>
            <w:rStyle w:val="Hyperlink"/>
            <w:rFonts w:eastAsia="Calibri"/>
          </w:rPr>
          <w:t>c</w:t>
        </w:r>
        <w:r w:rsidRPr="00CF23DD" w:rsidR="00DC7956">
          <w:rPr>
            <w:rStyle w:val="Hyperlink"/>
            <w:rFonts w:eastAsia="Calibri"/>
          </w:rPr>
          <w:t>ollection</w:t>
        </w:r>
        <w:r w:rsidR="00DC7956">
          <w:rPr>
            <w:rStyle w:val="Hyperlink"/>
            <w:rFonts w:eastAsia="Calibri"/>
          </w:rPr>
          <w:t>, and f</w:t>
        </w:r>
        <w:r w:rsidRPr="00CF23DD" w:rsidR="00DC7956">
          <w:rPr>
            <w:rStyle w:val="Hyperlink"/>
            <w:rFonts w:eastAsia="Calibri"/>
          </w:rPr>
          <w:t xml:space="preserve">ee </w:t>
        </w:r>
        <w:r w:rsidR="00DC7956">
          <w:rPr>
            <w:rStyle w:val="Hyperlink"/>
            <w:rFonts w:eastAsia="Calibri"/>
          </w:rPr>
          <w:t>p</w:t>
        </w:r>
        <w:r w:rsidRPr="00CF23DD" w:rsidR="00DC7956">
          <w:rPr>
            <w:rStyle w:val="Hyperlink"/>
            <w:rFonts w:eastAsia="Calibri"/>
          </w:rPr>
          <w:t>ayment</w:t>
        </w:r>
        <w:r w:rsidR="00DC7956">
          <w:rPr>
            <w:rStyle w:val="Hyperlink"/>
            <w:rFonts w:eastAsia="Calibri"/>
          </w:rPr>
          <w:t xml:space="preserve"> </w:t>
        </w:r>
        <w:r w:rsidRPr="00CF23DD" w:rsidR="00DC7956">
          <w:rPr>
            <w:rStyle w:val="Hyperlink"/>
            <w:rFonts w:eastAsia="Calibri"/>
          </w:rPr>
          <w:t>web</w:t>
        </w:r>
        <w:r w:rsidR="00DC7956">
          <w:rPr>
            <w:rStyle w:val="Hyperlink"/>
            <w:rFonts w:eastAsia="Calibri"/>
          </w:rPr>
          <w:t>site</w:t>
        </w:r>
      </w:hyperlink>
      <w:r w:rsidRPr="00CF23DD" w:rsidR="00DC7956">
        <w:rPr>
          <w:rFonts w:eastAsia="Calibri"/>
        </w:rPr>
        <w:t xml:space="preserve"> for the NMFS Alaska Region.</w:t>
      </w:r>
    </w:p>
    <w:p w:rsidRPr="00650CE1" w:rsidR="00650CE1" w:rsidP="00650CE1" w:rsidRDefault="00650CE1" w14:paraId="6D5323FD" w14:textId="77777777">
      <w:pPr>
        <w:autoSpaceDE w:val="0"/>
        <w:autoSpaceDN w:val="0"/>
        <w:adjustRightInd w:val="0"/>
      </w:pPr>
    </w:p>
    <w:p w:rsidRPr="00650CE1" w:rsidR="00650CE1" w:rsidP="00650CE1" w:rsidRDefault="00650CE1" w14:paraId="2998A190" w14:textId="74D89D4B">
      <w:pPr>
        <w:autoSpaceDE w:val="0"/>
        <w:autoSpaceDN w:val="0"/>
        <w:adjustRightInd w:val="0"/>
      </w:pPr>
      <w:r w:rsidRPr="00650CE1">
        <w:rPr>
          <w:rFonts w:eastAsia="Calibri"/>
        </w:rPr>
        <w:t xml:space="preserve">NMFS collects cost recovery fees to recover costs incurred by the agency for program management, data collection, and enforcement of the CDQ program and LAP programs. A permit holder incurs a cost recovery fee for all the pounds of fish landed on </w:t>
      </w:r>
      <w:r w:rsidR="003A48BB">
        <w:rPr>
          <w:rFonts w:eastAsia="Calibri"/>
        </w:rPr>
        <w:t>their</w:t>
      </w:r>
      <w:r w:rsidRPr="00650CE1">
        <w:rPr>
          <w:rFonts w:eastAsia="Calibri"/>
        </w:rPr>
        <w:t xml:space="preserve"> permit(s) in the particular program, and is responsible for self-collecting the fee for those landings. Except for an RQE, the fee is based on the sum of all payments made to </w:t>
      </w:r>
      <w:proofErr w:type="gramStart"/>
      <w:r w:rsidRPr="00650CE1">
        <w:rPr>
          <w:rFonts w:eastAsia="Calibri"/>
        </w:rPr>
        <w:t>fishermen</w:t>
      </w:r>
      <w:proofErr w:type="gramEnd"/>
      <w:r w:rsidRPr="00650CE1">
        <w:rPr>
          <w:rFonts w:eastAsia="Calibri"/>
        </w:rPr>
        <w:t xml:space="preserve"> for the sale of the fish during the year. This includes any retroactive payments (e.g., bonuses, delayed partial payments, post-season payments) made to the permit holder for previously landed fish. An RQE’s fee </w:t>
      </w:r>
      <w:proofErr w:type="gramStart"/>
      <w:r w:rsidRPr="00650CE1">
        <w:rPr>
          <w:rFonts w:eastAsia="Calibri"/>
        </w:rPr>
        <w:t>is based</w:t>
      </w:r>
      <w:proofErr w:type="gramEnd"/>
      <w:r w:rsidRPr="00650CE1">
        <w:rPr>
          <w:rFonts w:eastAsia="Calibri"/>
        </w:rPr>
        <w:t xml:space="preserve"> on standard ex-vessel halibut prices and the annual recreational fishing quota (RFQ) pounds that are issued to the RQE, rather than RFQ harvest at each location of charter halibut landings. </w:t>
      </w:r>
    </w:p>
    <w:p w:rsidRPr="00650CE1" w:rsidR="00650CE1" w:rsidP="00650CE1" w:rsidRDefault="00650CE1" w14:paraId="5F7AE681" w14:textId="77777777">
      <w:pPr>
        <w:shd w:val="clear" w:color="auto" w:fill="FFFFFF"/>
        <w:tabs>
          <w:tab w:val="left" w:pos="360"/>
          <w:tab w:val="left" w:pos="720"/>
        </w:tabs>
        <w:autoSpaceDE w:val="0"/>
        <w:autoSpaceDN w:val="0"/>
        <w:adjustRightInd w:val="0"/>
      </w:pPr>
    </w:p>
    <w:p w:rsidR="00650CE1" w:rsidP="00650CE1" w:rsidRDefault="00650CE1" w14:paraId="08E9D0DD" w14:textId="3DEBD8D4">
      <w:pPr>
        <w:shd w:val="clear" w:color="auto" w:fill="FFFFFF"/>
        <w:tabs>
          <w:tab w:val="left" w:pos="360"/>
          <w:tab w:val="left" w:pos="720"/>
        </w:tabs>
        <w:autoSpaceDE w:val="0"/>
        <w:autoSpaceDN w:val="0"/>
        <w:adjustRightInd w:val="0"/>
      </w:pPr>
      <w:r w:rsidRPr="00650CE1">
        <w:t xml:space="preserve">For each program, NMFS annually publishes in the </w:t>
      </w:r>
      <w:r w:rsidRPr="00650CE1">
        <w:rPr>
          <w:i/>
        </w:rPr>
        <w:t>Federal Register</w:t>
      </w:r>
      <w:r w:rsidRPr="00650CE1">
        <w:t xml:space="preserve"> the fee percentage and standard ex-vessel prices used to calculate the cost recovery fee. Additionally, NMFS sends persons subject to the fees an invoice that includes their fee amount, the date due, and </w:t>
      </w:r>
      <w:r w:rsidRPr="00650CE1">
        <w:lastRenderedPageBreak/>
        <w:t>instructions for submitting their payment.</w:t>
      </w:r>
    </w:p>
    <w:p w:rsidR="005C1649" w:rsidP="00650CE1" w:rsidRDefault="005C1649" w14:paraId="1BEA1B5A" w14:textId="6409E308">
      <w:pPr>
        <w:shd w:val="clear" w:color="auto" w:fill="FFFFFF"/>
        <w:tabs>
          <w:tab w:val="left" w:pos="360"/>
          <w:tab w:val="left" w:pos="720"/>
        </w:tabs>
        <w:autoSpaceDE w:val="0"/>
        <w:autoSpaceDN w:val="0"/>
        <w:adjustRightInd w:val="0"/>
      </w:pPr>
    </w:p>
    <w:p w:rsidR="004C6D7F" w:rsidP="000361EE" w:rsidRDefault="00795D7C" w14:paraId="0F91572F" w14:textId="37E7A6F8">
      <w:pPr>
        <w:shd w:val="clear" w:color="auto" w:fill="FFFFFF"/>
        <w:tabs>
          <w:tab w:val="left" w:pos="360"/>
          <w:tab w:val="left" w:pos="720"/>
        </w:tabs>
        <w:autoSpaceDE w:val="0"/>
        <w:autoSpaceDN w:val="0"/>
        <w:adjustRightInd w:val="0"/>
      </w:pPr>
      <w:r>
        <w:t xml:space="preserve">Since the last extension of this information collection in 2018, </w:t>
      </w:r>
      <w:r w:rsidR="000361EE">
        <w:t xml:space="preserve">NMFS has finished transitioning the payment of </w:t>
      </w:r>
      <w:r w:rsidR="004C6D7F">
        <w:t xml:space="preserve">all </w:t>
      </w:r>
      <w:r w:rsidR="000361EE">
        <w:t>cost recovery fees to online only</w:t>
      </w:r>
      <w:r w:rsidRPr="00445557" w:rsidR="000361EE">
        <w:t xml:space="preserve">. </w:t>
      </w:r>
      <w:r w:rsidR="00B13855">
        <w:t xml:space="preserve">At the time of </w:t>
      </w:r>
      <w:r w:rsidR="00445557">
        <w:t>the</w:t>
      </w:r>
      <w:r w:rsidR="000361EE">
        <w:t xml:space="preserve"> 2018</w:t>
      </w:r>
      <w:r w:rsidR="00445557">
        <w:t xml:space="preserve"> extension,</w:t>
      </w:r>
      <w:r w:rsidR="000361EE">
        <w:t xml:space="preserve"> </w:t>
      </w:r>
      <w:r w:rsidR="00B41980">
        <w:t>al</w:t>
      </w:r>
      <w:r w:rsidR="000361EE">
        <w:t xml:space="preserve">most </w:t>
      </w:r>
      <w:r w:rsidR="00B41980">
        <w:t xml:space="preserve">all </w:t>
      </w:r>
      <w:r w:rsidR="000361EE">
        <w:t xml:space="preserve">cost recovery fees </w:t>
      </w:r>
      <w:proofErr w:type="gramStart"/>
      <w:r w:rsidR="000361EE">
        <w:t>were required to be submitt</w:t>
      </w:r>
      <w:r w:rsidR="009E453D">
        <w:t>ed</w:t>
      </w:r>
      <w:proofErr w:type="gramEnd"/>
      <w:r w:rsidR="009E453D">
        <w:t xml:space="preserve"> electronically. </w:t>
      </w:r>
      <w:r w:rsidR="00B41980">
        <w:t>P</w:t>
      </w:r>
      <w:r w:rsidR="00445557">
        <w:t xml:space="preserve">articipants in </w:t>
      </w:r>
      <w:r w:rsidR="000361EE">
        <w:t xml:space="preserve">the IFQ and CR Programs </w:t>
      </w:r>
      <w:r w:rsidR="00B41980">
        <w:t xml:space="preserve">still </w:t>
      </w:r>
      <w:r w:rsidR="000361EE">
        <w:t>had the opt</w:t>
      </w:r>
      <w:r w:rsidR="004C6D7F">
        <w:t>ion to submit payments</w:t>
      </w:r>
      <w:r w:rsidR="000361EE">
        <w:t xml:space="preserve"> by mail</w:t>
      </w:r>
      <w:r w:rsidR="009E453D">
        <w:t xml:space="preserve"> using the </w:t>
      </w:r>
      <w:r w:rsidRPr="009E453D" w:rsidR="009E453D">
        <w:t xml:space="preserve">IFQ Permit Holder Fee Submission Form </w:t>
      </w:r>
      <w:r w:rsidR="009E453D">
        <w:t>and</w:t>
      </w:r>
      <w:r w:rsidRPr="009E453D" w:rsidR="009E453D">
        <w:t xml:space="preserve"> the Registered Crab Receiver Fee Submission Form</w:t>
      </w:r>
      <w:r w:rsidR="009E453D">
        <w:t>, respectively</w:t>
      </w:r>
      <w:r w:rsidR="004C6D7F">
        <w:t xml:space="preserve">. </w:t>
      </w:r>
      <w:r w:rsidR="00B81C1A">
        <w:t>N</w:t>
      </w:r>
      <w:r w:rsidR="0046102A">
        <w:t>ow, a</w:t>
      </w:r>
      <w:r w:rsidR="009E453D">
        <w:t xml:space="preserve">ll </w:t>
      </w:r>
      <w:r w:rsidR="00B81C1A">
        <w:t xml:space="preserve">fees </w:t>
      </w:r>
      <w:proofErr w:type="gramStart"/>
      <w:r w:rsidR="004C6D7F">
        <w:t xml:space="preserve">must be </w:t>
      </w:r>
      <w:r w:rsidR="00B13855">
        <w:t>submitted</w:t>
      </w:r>
      <w:proofErr w:type="gramEnd"/>
      <w:r w:rsidR="00B13855">
        <w:t xml:space="preserve"> </w:t>
      </w:r>
      <w:r w:rsidR="00177178">
        <w:t>electronically</w:t>
      </w:r>
      <w:r w:rsidR="004C6D7F">
        <w:t>.</w:t>
      </w:r>
      <w:r w:rsidRPr="00445557" w:rsidR="00445557">
        <w:t xml:space="preserve"> </w:t>
      </w:r>
      <w:r w:rsidR="009E453D">
        <w:t>The fee submission forms have been revised and renamed</w:t>
      </w:r>
      <w:r w:rsidR="00B41980">
        <w:t>,</w:t>
      </w:r>
      <w:r w:rsidR="009E453D">
        <w:t xml:space="preserve"> </w:t>
      </w:r>
      <w:r w:rsidR="00B41980">
        <w:t>and are now reported separate</w:t>
      </w:r>
      <w:r w:rsidR="001A4121">
        <w:t>ly</w:t>
      </w:r>
      <w:r w:rsidR="00B41980">
        <w:t xml:space="preserve"> from the cost recovery fee payments in the tables in questions 12, 13, and 15. Th</w:t>
      </w:r>
      <w:r w:rsidR="001A4121">
        <w:t>es</w:t>
      </w:r>
      <w:r w:rsidR="00B41980">
        <w:t>e forms</w:t>
      </w:r>
      <w:r w:rsidR="009E453D">
        <w:t xml:space="preserve"> </w:t>
      </w:r>
      <w:proofErr w:type="gramStart"/>
      <w:r w:rsidR="009E453D">
        <w:t>are described</w:t>
      </w:r>
      <w:proofErr w:type="gramEnd"/>
      <w:r w:rsidR="009E453D">
        <w:t xml:space="preserve"> below. </w:t>
      </w:r>
    </w:p>
    <w:p w:rsidR="000361EE" w:rsidP="000361EE" w:rsidRDefault="000361EE" w14:paraId="705C982E" w14:textId="77777777">
      <w:pPr>
        <w:shd w:val="clear" w:color="auto" w:fill="FFFFFF"/>
        <w:tabs>
          <w:tab w:val="left" w:pos="360"/>
          <w:tab w:val="left" w:pos="720"/>
        </w:tabs>
        <w:autoSpaceDE w:val="0"/>
        <w:autoSpaceDN w:val="0"/>
        <w:adjustRightInd w:val="0"/>
      </w:pPr>
    </w:p>
    <w:p w:rsidRPr="00650CE1" w:rsidR="007C3331" w:rsidP="00650CE1" w:rsidRDefault="007C3331" w14:paraId="3B38A7AF" w14:textId="77777777">
      <w:pPr>
        <w:shd w:val="clear" w:color="auto" w:fill="FFFFFF"/>
        <w:tabs>
          <w:tab w:val="left" w:pos="360"/>
          <w:tab w:val="left" w:pos="720"/>
        </w:tabs>
        <w:autoSpaceDE w:val="0"/>
        <w:autoSpaceDN w:val="0"/>
        <w:adjustRightInd w:val="0"/>
      </w:pPr>
    </w:p>
    <w:p w:rsidRPr="007C3331" w:rsidR="00650CE1" w:rsidP="00650CE1" w:rsidRDefault="00893ECE" w14:paraId="0CFE5447" w14:textId="76EF1CB4">
      <w:pPr>
        <w:shd w:val="clear" w:color="auto" w:fill="FFFFFF"/>
        <w:tabs>
          <w:tab w:val="left" w:pos="360"/>
          <w:tab w:val="left" w:pos="720"/>
        </w:tabs>
        <w:autoSpaceDE w:val="0"/>
        <w:autoSpaceDN w:val="0"/>
        <w:adjustRightInd w:val="0"/>
        <w:rPr>
          <w:b/>
        </w:rPr>
      </w:pPr>
      <w:proofErr w:type="gramStart"/>
      <w:r>
        <w:rPr>
          <w:b/>
        </w:rPr>
        <w:t>c</w:t>
      </w:r>
      <w:r w:rsidRPr="007C3331" w:rsidR="007C3331">
        <w:rPr>
          <w:b/>
        </w:rPr>
        <w:t>.  Fee</w:t>
      </w:r>
      <w:proofErr w:type="gramEnd"/>
      <w:r w:rsidRPr="007C3331" w:rsidR="007C3331">
        <w:rPr>
          <w:b/>
        </w:rPr>
        <w:t xml:space="preserve"> Calculation </w:t>
      </w:r>
      <w:r w:rsidRPr="009725B2" w:rsidR="007C3331">
        <w:rPr>
          <w:b/>
        </w:rPr>
        <w:t>Forms</w:t>
      </w:r>
      <w:r w:rsidRPr="009725B2" w:rsidR="00226A10">
        <w:rPr>
          <w:b/>
        </w:rPr>
        <w:t xml:space="preserve"> </w:t>
      </w:r>
      <w:r w:rsidRPr="009725B2" w:rsidR="00AF59D3">
        <w:rPr>
          <w:b/>
        </w:rPr>
        <w:t>[</w:t>
      </w:r>
      <w:r w:rsidRPr="009725B2" w:rsidR="00226A10">
        <w:rPr>
          <w:b/>
        </w:rPr>
        <w:t xml:space="preserve">previously included with Cost Recovery Fee </w:t>
      </w:r>
      <w:r w:rsidRPr="009725B2" w:rsidR="00B41980">
        <w:rPr>
          <w:b/>
        </w:rPr>
        <w:t>Payments; renamed and revised to remove fee payment information</w:t>
      </w:r>
      <w:r w:rsidRPr="009725B2" w:rsidR="00226A10">
        <w:rPr>
          <w:b/>
        </w:rPr>
        <w:t>]</w:t>
      </w:r>
    </w:p>
    <w:p w:rsidR="007C3331" w:rsidP="00650CE1" w:rsidRDefault="007C3331" w14:paraId="2266C8F0" w14:textId="1C7771DC">
      <w:pPr>
        <w:shd w:val="clear" w:color="auto" w:fill="FFFFFF"/>
        <w:tabs>
          <w:tab w:val="left" w:pos="360"/>
          <w:tab w:val="left" w:pos="720"/>
        </w:tabs>
        <w:autoSpaceDE w:val="0"/>
        <w:autoSpaceDN w:val="0"/>
        <w:adjustRightInd w:val="0"/>
      </w:pPr>
    </w:p>
    <w:p w:rsidRPr="00BF3A19" w:rsidR="005C1649" w:rsidP="005C1649" w:rsidRDefault="005C1649" w14:paraId="50391E6B" w14:textId="77777777">
      <w:pPr>
        <w:keepNext/>
        <w:widowControl/>
        <w:autoSpaceDE w:val="0"/>
        <w:autoSpaceDN w:val="0"/>
      </w:pPr>
      <w:r w:rsidRPr="00BF3A19">
        <w:rPr>
          <w:noProof/>
        </w:rPr>
        <mc:AlternateContent>
          <mc:Choice Requires="wps">
            <w:drawing>
              <wp:anchor distT="0" distB="0" distL="114300" distR="114300" simplePos="0" relativeHeight="251662336" behindDoc="0" locked="0" layoutInCell="1" allowOverlap="1" wp14:editId="3630F9FA" wp14:anchorId="11599EE2">
                <wp:simplePos x="0" y="0"/>
                <wp:positionH relativeFrom="column">
                  <wp:posOffset>114300</wp:posOffset>
                </wp:positionH>
                <wp:positionV relativeFrom="paragraph">
                  <wp:posOffset>84455</wp:posOffset>
                </wp:positionV>
                <wp:extent cx="57150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571500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pt,6.65pt" to="459pt,6.65pt" w14:anchorId="61F97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"/>
            </w:pict>
          </mc:Fallback>
        </mc:AlternateContent>
      </w:r>
    </w:p>
    <w:p w:rsidRPr="00156F7B" w:rsidR="00156F7B" w:rsidP="005C1649" w:rsidRDefault="005C1649" w14:paraId="7B3405E6" w14:textId="1940F7D6">
      <w:pPr>
        <w:keepNext/>
        <w:widowControl/>
        <w:autoSpaceDE w:val="0"/>
        <w:autoSpaceDN w:val="0"/>
        <w:ind w:left="288" w:right="288"/>
        <w:rPr>
          <w:rFonts w:asciiTheme="minorHAnsi" w:hAnsiTheme="minorHAnsi" w:cstheme="minorHAnsi"/>
          <w:sz w:val="22"/>
          <w:szCs w:val="22"/>
        </w:rPr>
      </w:pPr>
      <w:r w:rsidRPr="00BF3A19">
        <w:rPr>
          <w:rFonts w:asciiTheme="minorHAnsi" w:hAnsiTheme="minorHAnsi" w:cstheme="minorHAnsi"/>
          <w:b/>
          <w:color w:val="C00000"/>
          <w:sz w:val="22"/>
          <w:szCs w:val="22"/>
        </w:rPr>
        <w:t>Revision:</w:t>
      </w:r>
      <w:r w:rsidRPr="00BF3A19">
        <w:rPr>
          <w:rFonts w:asciiTheme="minorHAnsi" w:hAnsiTheme="minorHAnsi" w:cstheme="minorHAnsi"/>
          <w:color w:val="C00000"/>
          <w:sz w:val="22"/>
          <w:szCs w:val="22"/>
        </w:rPr>
        <w:t xml:space="preserve"> </w:t>
      </w:r>
      <w:r w:rsidRPr="00156F7B" w:rsidR="00B274DD">
        <w:rPr>
          <w:rFonts w:asciiTheme="minorHAnsi" w:hAnsiTheme="minorHAnsi" w:cstheme="minorHAnsi"/>
          <w:sz w:val="22"/>
          <w:szCs w:val="22"/>
        </w:rPr>
        <w:t xml:space="preserve">The IFQ Permit Holder Fee Submission Form and the Registered Crab Receiver Fee Submission Form </w:t>
      </w:r>
      <w:proofErr w:type="gramStart"/>
      <w:r w:rsidRPr="00156F7B" w:rsidR="00B274DD">
        <w:rPr>
          <w:rFonts w:asciiTheme="minorHAnsi" w:hAnsiTheme="minorHAnsi" w:cstheme="minorHAnsi"/>
          <w:sz w:val="22"/>
          <w:szCs w:val="22"/>
        </w:rPr>
        <w:t>have been revised</w:t>
      </w:r>
      <w:proofErr w:type="gramEnd"/>
      <w:r w:rsidRPr="00156F7B" w:rsidR="00B274DD">
        <w:rPr>
          <w:rFonts w:asciiTheme="minorHAnsi" w:hAnsiTheme="minorHAnsi" w:cstheme="minorHAnsi"/>
          <w:sz w:val="22"/>
          <w:szCs w:val="22"/>
        </w:rPr>
        <w:t xml:space="preserve"> and renamed the IFQ Permit Holder Fee Calculation Form and the Registered Crab Receiver Fee Calculation Form, respectively</w:t>
      </w:r>
      <w:r w:rsidR="004D5DBE">
        <w:rPr>
          <w:rFonts w:asciiTheme="minorHAnsi" w:hAnsiTheme="minorHAnsi" w:cstheme="minorHAnsi"/>
          <w:sz w:val="22"/>
          <w:szCs w:val="22"/>
        </w:rPr>
        <w:t xml:space="preserve">, and are </w:t>
      </w:r>
      <w:r w:rsidR="00177178">
        <w:rPr>
          <w:rFonts w:asciiTheme="minorHAnsi" w:hAnsiTheme="minorHAnsi" w:cstheme="minorHAnsi"/>
          <w:sz w:val="22"/>
          <w:szCs w:val="22"/>
        </w:rPr>
        <w:t xml:space="preserve">now </w:t>
      </w:r>
      <w:r w:rsidR="004D5DBE">
        <w:rPr>
          <w:rFonts w:asciiTheme="minorHAnsi" w:hAnsiTheme="minorHAnsi" w:cstheme="minorHAnsi"/>
          <w:sz w:val="22"/>
          <w:szCs w:val="22"/>
        </w:rPr>
        <w:t>reported separately from the cost recovery fee payments</w:t>
      </w:r>
      <w:r w:rsidRPr="00156F7B" w:rsidR="00B274DD">
        <w:rPr>
          <w:rFonts w:asciiTheme="minorHAnsi" w:hAnsiTheme="minorHAnsi" w:cstheme="minorHAnsi"/>
          <w:sz w:val="22"/>
          <w:szCs w:val="22"/>
        </w:rPr>
        <w:t xml:space="preserve">. </w:t>
      </w:r>
      <w:r w:rsidR="00B13855">
        <w:rPr>
          <w:rFonts w:asciiTheme="minorHAnsi" w:hAnsiTheme="minorHAnsi" w:cstheme="minorHAnsi"/>
          <w:sz w:val="22"/>
          <w:szCs w:val="22"/>
        </w:rPr>
        <w:t>T</w:t>
      </w:r>
      <w:r w:rsidR="004D5DBE">
        <w:rPr>
          <w:rFonts w:asciiTheme="minorHAnsi" w:hAnsiTheme="minorHAnsi" w:cstheme="minorHAnsi"/>
          <w:sz w:val="22"/>
          <w:szCs w:val="22"/>
        </w:rPr>
        <w:t>he</w:t>
      </w:r>
      <w:r w:rsidR="00B13855">
        <w:rPr>
          <w:rFonts w:asciiTheme="minorHAnsi" w:hAnsiTheme="minorHAnsi" w:cstheme="minorHAnsi"/>
          <w:sz w:val="22"/>
          <w:szCs w:val="22"/>
        </w:rPr>
        <w:t xml:space="preserve"> </w:t>
      </w:r>
      <w:r w:rsidR="009725B2">
        <w:rPr>
          <w:rFonts w:asciiTheme="minorHAnsi" w:hAnsiTheme="minorHAnsi" w:cstheme="minorHAnsi"/>
          <w:sz w:val="22"/>
          <w:szCs w:val="22"/>
        </w:rPr>
        <w:t>revisions</w:t>
      </w:r>
      <w:r w:rsidR="00B13855">
        <w:rPr>
          <w:rFonts w:asciiTheme="minorHAnsi" w:hAnsiTheme="minorHAnsi" w:cstheme="minorHAnsi"/>
          <w:sz w:val="22"/>
          <w:szCs w:val="22"/>
        </w:rPr>
        <w:t xml:space="preserve"> </w:t>
      </w:r>
      <w:r w:rsidR="004D5DBE">
        <w:rPr>
          <w:rFonts w:asciiTheme="minorHAnsi" w:hAnsiTheme="minorHAnsi" w:cstheme="minorHAnsi"/>
          <w:sz w:val="22"/>
          <w:szCs w:val="22"/>
        </w:rPr>
        <w:t>are</w:t>
      </w:r>
      <w:r w:rsidR="00B13855">
        <w:rPr>
          <w:rFonts w:asciiTheme="minorHAnsi" w:hAnsiTheme="minorHAnsi" w:cstheme="minorHAnsi"/>
          <w:sz w:val="22"/>
          <w:szCs w:val="22"/>
        </w:rPr>
        <w:t xml:space="preserve"> necessary due to a final rule implemented in 2016 </w:t>
      </w:r>
      <w:r w:rsidRPr="001F6CF2" w:rsidR="00B13855">
        <w:rPr>
          <w:rFonts w:asciiTheme="minorHAnsi" w:hAnsiTheme="minorHAnsi" w:cstheme="minorHAnsi"/>
          <w:sz w:val="22"/>
          <w:szCs w:val="22"/>
          <w:shd w:val="clear" w:color="auto" w:fill="FFFFFF"/>
        </w:rPr>
        <w:t>that revised the methods for paying fees and started the transition to online payments only</w:t>
      </w:r>
      <w:r w:rsidR="00B13855">
        <w:rPr>
          <w:rFonts w:asciiTheme="minorHAnsi" w:hAnsiTheme="minorHAnsi" w:cstheme="minorHAnsi"/>
          <w:sz w:val="22"/>
          <w:szCs w:val="22"/>
          <w:shd w:val="clear" w:color="auto" w:fill="FFFFFF"/>
        </w:rPr>
        <w:t xml:space="preserve"> </w:t>
      </w:r>
      <w:r w:rsidRPr="00156F7B" w:rsidR="00B13855">
        <w:rPr>
          <w:rFonts w:asciiTheme="minorHAnsi" w:hAnsiTheme="minorHAnsi" w:cstheme="minorHAnsi"/>
          <w:sz w:val="22"/>
          <w:szCs w:val="22"/>
          <w:shd w:val="clear" w:color="auto" w:fill="FFFFFF"/>
        </w:rPr>
        <w:t>(</w:t>
      </w:r>
      <w:hyperlink w:tgtFrame="_blank" w:history="1" r:id="rId40">
        <w:r w:rsidRPr="00156F7B" w:rsidR="00B13855">
          <w:rPr>
            <w:rFonts w:asciiTheme="minorHAnsi" w:hAnsiTheme="minorHAnsi" w:cstheme="minorHAnsi"/>
            <w:color w:val="1155CC"/>
            <w:sz w:val="22"/>
            <w:szCs w:val="22"/>
            <w:u w:val="single"/>
            <w:shd w:val="clear" w:color="auto" w:fill="FFFFFF"/>
          </w:rPr>
          <w:t>81 FR 23645</w:t>
        </w:r>
      </w:hyperlink>
      <w:r w:rsidRPr="00156F7B" w:rsidR="00B13855">
        <w:rPr>
          <w:rFonts w:asciiTheme="minorHAnsi" w:hAnsiTheme="minorHAnsi" w:cstheme="minorHAnsi"/>
          <w:sz w:val="22"/>
          <w:szCs w:val="22"/>
        </w:rPr>
        <w:t>, April 22, 2016</w:t>
      </w:r>
      <w:r w:rsidRPr="00156F7B" w:rsidR="00B13855">
        <w:rPr>
          <w:rFonts w:asciiTheme="minorHAnsi" w:hAnsiTheme="minorHAnsi" w:cstheme="minorHAnsi"/>
          <w:sz w:val="22"/>
          <w:szCs w:val="22"/>
          <w:shd w:val="clear" w:color="auto" w:fill="FFFFFF"/>
        </w:rPr>
        <w:t>)</w:t>
      </w:r>
      <w:r w:rsidRPr="00156F7B" w:rsidR="00B13855">
        <w:rPr>
          <w:rFonts w:asciiTheme="minorHAnsi" w:hAnsiTheme="minorHAnsi" w:cstheme="minorHAnsi"/>
          <w:sz w:val="22"/>
          <w:szCs w:val="22"/>
        </w:rPr>
        <w:t xml:space="preserve">. </w:t>
      </w:r>
      <w:r w:rsidRPr="00156F7B" w:rsidR="00156F7B">
        <w:rPr>
          <w:rFonts w:asciiTheme="minorHAnsi" w:hAnsiTheme="minorHAnsi" w:cstheme="minorHAnsi"/>
          <w:sz w:val="22"/>
          <w:szCs w:val="22"/>
        </w:rPr>
        <w:t xml:space="preserve">Since the last extension of this information collection in 2018, NMFS has </w:t>
      </w:r>
      <w:r w:rsidR="00FA61B8">
        <w:rPr>
          <w:rFonts w:asciiTheme="minorHAnsi" w:hAnsiTheme="minorHAnsi" w:cstheme="minorHAnsi"/>
          <w:sz w:val="22"/>
          <w:szCs w:val="22"/>
        </w:rPr>
        <w:t xml:space="preserve">finished </w:t>
      </w:r>
      <w:r w:rsidR="001F6CF2">
        <w:rPr>
          <w:rFonts w:asciiTheme="minorHAnsi" w:hAnsiTheme="minorHAnsi" w:cstheme="minorHAnsi"/>
          <w:sz w:val="22"/>
          <w:szCs w:val="22"/>
        </w:rPr>
        <w:t>transition</w:t>
      </w:r>
      <w:r w:rsidR="00FA61B8">
        <w:rPr>
          <w:rFonts w:asciiTheme="minorHAnsi" w:hAnsiTheme="minorHAnsi" w:cstheme="minorHAnsi"/>
          <w:sz w:val="22"/>
          <w:szCs w:val="22"/>
        </w:rPr>
        <w:t>ing</w:t>
      </w:r>
      <w:r w:rsidR="001F6CF2">
        <w:rPr>
          <w:rFonts w:asciiTheme="minorHAnsi" w:hAnsiTheme="minorHAnsi" w:cstheme="minorHAnsi"/>
          <w:sz w:val="22"/>
          <w:szCs w:val="22"/>
        </w:rPr>
        <w:t xml:space="preserve"> </w:t>
      </w:r>
      <w:r w:rsidRPr="00156F7B" w:rsidR="00156F7B">
        <w:rPr>
          <w:rFonts w:asciiTheme="minorHAnsi" w:hAnsiTheme="minorHAnsi" w:cstheme="minorHAnsi"/>
          <w:sz w:val="22"/>
          <w:szCs w:val="22"/>
        </w:rPr>
        <w:t>payment of all cost recovery fees to online</w:t>
      </w:r>
      <w:r w:rsidR="00B13855">
        <w:rPr>
          <w:rFonts w:asciiTheme="minorHAnsi" w:hAnsiTheme="minorHAnsi" w:cstheme="minorHAnsi"/>
          <w:sz w:val="22"/>
          <w:szCs w:val="22"/>
        </w:rPr>
        <w:t>.</w:t>
      </w:r>
      <w:r w:rsidRPr="00156F7B" w:rsidR="00156F7B">
        <w:rPr>
          <w:rFonts w:asciiTheme="minorHAnsi" w:hAnsiTheme="minorHAnsi" w:cstheme="minorHAnsi"/>
          <w:sz w:val="22"/>
          <w:szCs w:val="22"/>
        </w:rPr>
        <w:t xml:space="preserve"> </w:t>
      </w:r>
      <w:r w:rsidRPr="00156F7B" w:rsidR="00B274DD">
        <w:rPr>
          <w:rFonts w:asciiTheme="minorHAnsi" w:hAnsiTheme="minorHAnsi" w:cstheme="minorHAnsi"/>
          <w:sz w:val="22"/>
          <w:szCs w:val="22"/>
        </w:rPr>
        <w:t xml:space="preserve">Prior to December 1, 2019, for the IFQ Program and June 1, 2020, for the CR Program, these forms </w:t>
      </w:r>
      <w:proofErr w:type="gramStart"/>
      <w:r w:rsidRPr="00156F7B" w:rsidR="00B274DD">
        <w:rPr>
          <w:rFonts w:asciiTheme="minorHAnsi" w:hAnsiTheme="minorHAnsi" w:cstheme="minorHAnsi"/>
          <w:sz w:val="22"/>
          <w:szCs w:val="22"/>
        </w:rPr>
        <w:t>could be used</w:t>
      </w:r>
      <w:proofErr w:type="gramEnd"/>
      <w:r w:rsidRPr="00156F7B" w:rsidR="00B274DD">
        <w:rPr>
          <w:rFonts w:asciiTheme="minorHAnsi" w:hAnsiTheme="minorHAnsi" w:cstheme="minorHAnsi"/>
          <w:sz w:val="22"/>
          <w:szCs w:val="22"/>
        </w:rPr>
        <w:t xml:space="preserve"> to submit cost recovery </w:t>
      </w:r>
      <w:r w:rsidR="00156F7B">
        <w:rPr>
          <w:rFonts w:asciiTheme="minorHAnsi" w:hAnsiTheme="minorHAnsi" w:cstheme="minorHAnsi"/>
          <w:sz w:val="22"/>
          <w:szCs w:val="22"/>
        </w:rPr>
        <w:t xml:space="preserve">fee </w:t>
      </w:r>
      <w:r w:rsidRPr="00156F7B" w:rsidR="00B274DD">
        <w:rPr>
          <w:rFonts w:asciiTheme="minorHAnsi" w:hAnsiTheme="minorHAnsi" w:cstheme="minorHAnsi"/>
          <w:sz w:val="22"/>
          <w:szCs w:val="22"/>
        </w:rPr>
        <w:t xml:space="preserve">payments </w:t>
      </w:r>
      <w:r w:rsidR="00FA61B8">
        <w:rPr>
          <w:rFonts w:asciiTheme="minorHAnsi" w:hAnsiTheme="minorHAnsi" w:cstheme="minorHAnsi"/>
          <w:sz w:val="22"/>
          <w:szCs w:val="22"/>
        </w:rPr>
        <w:t>by mail</w:t>
      </w:r>
      <w:r w:rsidRPr="00156F7B" w:rsidR="00B274DD">
        <w:rPr>
          <w:rFonts w:asciiTheme="minorHAnsi" w:hAnsiTheme="minorHAnsi" w:cstheme="minorHAnsi"/>
          <w:sz w:val="22"/>
          <w:szCs w:val="22"/>
        </w:rPr>
        <w:t xml:space="preserve">. </w:t>
      </w:r>
      <w:r w:rsidRPr="008E71CC" w:rsidR="008E71CC">
        <w:rPr>
          <w:rFonts w:asciiTheme="minorHAnsi" w:hAnsiTheme="minorHAnsi" w:cstheme="minorHAnsi"/>
          <w:sz w:val="22"/>
          <w:szCs w:val="22"/>
        </w:rPr>
        <w:t xml:space="preserve">Both forms </w:t>
      </w:r>
      <w:proofErr w:type="gramStart"/>
      <w:r w:rsidRPr="008E71CC" w:rsidR="008E71CC">
        <w:rPr>
          <w:rFonts w:asciiTheme="minorHAnsi" w:hAnsiTheme="minorHAnsi" w:cstheme="minorHAnsi"/>
          <w:sz w:val="22"/>
          <w:szCs w:val="22"/>
        </w:rPr>
        <w:t>were revised</w:t>
      </w:r>
      <w:proofErr w:type="gramEnd"/>
      <w:r w:rsidRPr="008E71CC" w:rsidR="008E71CC">
        <w:rPr>
          <w:rFonts w:asciiTheme="minorHAnsi" w:hAnsiTheme="minorHAnsi" w:cstheme="minorHAnsi"/>
          <w:sz w:val="22"/>
          <w:szCs w:val="22"/>
        </w:rPr>
        <w:t xml:space="preserve"> </w:t>
      </w:r>
      <w:r w:rsidR="000C5555">
        <w:rPr>
          <w:rFonts w:asciiTheme="minorHAnsi" w:hAnsiTheme="minorHAnsi" w:cstheme="minorHAnsi"/>
          <w:sz w:val="22"/>
          <w:szCs w:val="22"/>
        </w:rPr>
        <w:t>with</w:t>
      </w:r>
      <w:r w:rsidRPr="008E71CC" w:rsidR="008E71CC">
        <w:rPr>
          <w:rFonts w:asciiTheme="minorHAnsi" w:hAnsiTheme="minorHAnsi" w:cstheme="minorHAnsi"/>
          <w:sz w:val="22"/>
          <w:szCs w:val="22"/>
        </w:rPr>
        <w:t xml:space="preserve"> the final rule </w:t>
      </w:r>
      <w:r w:rsidR="000C5555">
        <w:rPr>
          <w:rFonts w:asciiTheme="minorHAnsi" w:hAnsiTheme="minorHAnsi" w:cstheme="minorHAnsi"/>
          <w:sz w:val="22"/>
          <w:szCs w:val="22"/>
        </w:rPr>
        <w:t>to show that NMFS was transitioning to online only, bu</w:t>
      </w:r>
      <w:r w:rsidRPr="008E71CC" w:rsidR="008E71CC">
        <w:rPr>
          <w:rFonts w:asciiTheme="minorHAnsi" w:hAnsiTheme="minorHAnsi" w:cstheme="minorHAnsi"/>
          <w:sz w:val="22"/>
          <w:szCs w:val="22"/>
        </w:rPr>
        <w:t xml:space="preserve">t </w:t>
      </w:r>
      <w:r w:rsidR="000C5555">
        <w:rPr>
          <w:rFonts w:asciiTheme="minorHAnsi" w:hAnsiTheme="minorHAnsi" w:cstheme="minorHAnsi"/>
          <w:sz w:val="22"/>
          <w:szCs w:val="22"/>
        </w:rPr>
        <w:t xml:space="preserve">they </w:t>
      </w:r>
      <w:r w:rsidRPr="008E71CC" w:rsidR="008E71CC">
        <w:rPr>
          <w:rFonts w:asciiTheme="minorHAnsi" w:hAnsiTheme="minorHAnsi" w:cstheme="minorHAnsi"/>
          <w:sz w:val="22"/>
          <w:szCs w:val="22"/>
        </w:rPr>
        <w:t xml:space="preserve">were never updated </w:t>
      </w:r>
      <w:r w:rsidR="000C5555">
        <w:rPr>
          <w:rFonts w:asciiTheme="minorHAnsi" w:hAnsiTheme="minorHAnsi" w:cstheme="minorHAnsi"/>
          <w:sz w:val="22"/>
          <w:szCs w:val="22"/>
        </w:rPr>
        <w:t>once</w:t>
      </w:r>
      <w:r w:rsidRPr="008E71CC" w:rsidR="008E71CC">
        <w:rPr>
          <w:rFonts w:asciiTheme="minorHAnsi" w:hAnsiTheme="minorHAnsi" w:cstheme="minorHAnsi"/>
          <w:sz w:val="22"/>
          <w:szCs w:val="22"/>
        </w:rPr>
        <w:t xml:space="preserve"> they could no longer be used to submit payments</w:t>
      </w:r>
      <w:r w:rsidR="00177178">
        <w:rPr>
          <w:rFonts w:asciiTheme="minorHAnsi" w:hAnsiTheme="minorHAnsi" w:cstheme="minorHAnsi"/>
          <w:sz w:val="22"/>
          <w:szCs w:val="22"/>
        </w:rPr>
        <w:t xml:space="preserve"> by mail</w:t>
      </w:r>
      <w:r w:rsidRPr="008E71CC" w:rsidR="008E71CC">
        <w:rPr>
          <w:rFonts w:asciiTheme="minorHAnsi" w:hAnsiTheme="minorHAnsi" w:cstheme="minorHAnsi"/>
          <w:sz w:val="22"/>
          <w:szCs w:val="22"/>
        </w:rPr>
        <w:t xml:space="preserve">. </w:t>
      </w:r>
      <w:r w:rsidR="00177178">
        <w:rPr>
          <w:rFonts w:asciiTheme="minorHAnsi" w:hAnsiTheme="minorHAnsi" w:cstheme="minorHAnsi"/>
          <w:sz w:val="22"/>
          <w:szCs w:val="22"/>
        </w:rPr>
        <w:t>The</w:t>
      </w:r>
      <w:r w:rsidRPr="00156F7B" w:rsidR="00177178">
        <w:rPr>
          <w:rFonts w:asciiTheme="minorHAnsi" w:hAnsiTheme="minorHAnsi" w:cstheme="minorHAnsi"/>
          <w:sz w:val="22"/>
          <w:szCs w:val="22"/>
        </w:rPr>
        <w:t xml:space="preserve"> </w:t>
      </w:r>
      <w:r w:rsidRPr="00156F7B" w:rsidR="0011267E">
        <w:rPr>
          <w:rFonts w:asciiTheme="minorHAnsi" w:hAnsiTheme="minorHAnsi" w:cstheme="minorHAnsi"/>
          <w:sz w:val="22"/>
          <w:szCs w:val="22"/>
        </w:rPr>
        <w:t xml:space="preserve">forms </w:t>
      </w:r>
      <w:proofErr w:type="gramStart"/>
      <w:r w:rsidRPr="00156F7B" w:rsidR="0011267E">
        <w:rPr>
          <w:rFonts w:asciiTheme="minorHAnsi" w:hAnsiTheme="minorHAnsi" w:cstheme="minorHAnsi"/>
          <w:sz w:val="22"/>
          <w:szCs w:val="22"/>
        </w:rPr>
        <w:t xml:space="preserve">have been </w:t>
      </w:r>
      <w:r w:rsidR="00177178">
        <w:rPr>
          <w:rFonts w:asciiTheme="minorHAnsi" w:hAnsiTheme="minorHAnsi" w:cstheme="minorHAnsi"/>
          <w:sz w:val="22"/>
          <w:szCs w:val="22"/>
        </w:rPr>
        <w:t>revised</w:t>
      </w:r>
      <w:proofErr w:type="gramEnd"/>
      <w:r w:rsidRPr="00156F7B" w:rsidR="00177178">
        <w:rPr>
          <w:rFonts w:asciiTheme="minorHAnsi" w:hAnsiTheme="minorHAnsi" w:cstheme="minorHAnsi"/>
          <w:sz w:val="22"/>
          <w:szCs w:val="22"/>
        </w:rPr>
        <w:t xml:space="preserve"> </w:t>
      </w:r>
      <w:r w:rsidRPr="002A1C1E" w:rsidR="0011267E">
        <w:rPr>
          <w:rFonts w:asciiTheme="minorHAnsi" w:hAnsiTheme="minorHAnsi" w:cstheme="minorHAnsi"/>
          <w:sz w:val="22"/>
          <w:szCs w:val="22"/>
        </w:rPr>
        <w:t xml:space="preserve">to </w:t>
      </w:r>
      <w:r w:rsidRPr="002A1C1E" w:rsidR="00156F7B">
        <w:rPr>
          <w:rFonts w:asciiTheme="minorHAnsi" w:hAnsiTheme="minorHAnsi" w:cstheme="minorHAnsi"/>
          <w:sz w:val="22"/>
          <w:szCs w:val="22"/>
        </w:rPr>
        <w:t xml:space="preserve">show that payment </w:t>
      </w:r>
      <w:r w:rsidR="00795D7C">
        <w:rPr>
          <w:rFonts w:asciiTheme="minorHAnsi" w:hAnsiTheme="minorHAnsi" w:cstheme="minorHAnsi"/>
          <w:sz w:val="22"/>
          <w:szCs w:val="22"/>
        </w:rPr>
        <w:t xml:space="preserve">must be submitted </w:t>
      </w:r>
      <w:r w:rsidR="00CB7E9E">
        <w:rPr>
          <w:rFonts w:asciiTheme="minorHAnsi" w:hAnsiTheme="minorHAnsi" w:cstheme="minorHAnsi"/>
          <w:sz w:val="22"/>
          <w:szCs w:val="22"/>
        </w:rPr>
        <w:t>electronically</w:t>
      </w:r>
      <w:r w:rsidR="000C5555">
        <w:rPr>
          <w:rFonts w:asciiTheme="minorHAnsi" w:hAnsiTheme="minorHAnsi" w:cstheme="minorHAnsi"/>
          <w:sz w:val="22"/>
          <w:szCs w:val="22"/>
        </w:rPr>
        <w:t xml:space="preserve">. </w:t>
      </w:r>
      <w:proofErr w:type="gramStart"/>
      <w:r w:rsidR="000C5555">
        <w:rPr>
          <w:rFonts w:asciiTheme="minorHAnsi" w:hAnsiTheme="minorHAnsi" w:cstheme="minorHAnsi"/>
          <w:sz w:val="22"/>
          <w:szCs w:val="22"/>
        </w:rPr>
        <w:t xml:space="preserve">These forms are now used only by permit holders who disagree with their fee liability summary </w:t>
      </w:r>
      <w:r w:rsidR="00B251AD">
        <w:rPr>
          <w:rFonts w:asciiTheme="minorHAnsi" w:hAnsiTheme="minorHAnsi" w:cstheme="minorHAnsi"/>
          <w:sz w:val="22"/>
          <w:szCs w:val="22"/>
        </w:rPr>
        <w:t>to</w:t>
      </w:r>
      <w:r w:rsidR="000C5555">
        <w:rPr>
          <w:rFonts w:asciiTheme="minorHAnsi" w:hAnsiTheme="minorHAnsi" w:cstheme="minorHAnsi"/>
          <w:sz w:val="22"/>
          <w:szCs w:val="22"/>
        </w:rPr>
        <w:t xml:space="preserve"> submit </w:t>
      </w:r>
      <w:r w:rsidR="00B251AD">
        <w:rPr>
          <w:rFonts w:asciiTheme="minorHAnsi" w:hAnsiTheme="minorHAnsi" w:cstheme="minorHAnsi"/>
          <w:sz w:val="22"/>
          <w:szCs w:val="22"/>
        </w:rPr>
        <w:t>calculations and documentation supporting a revised fee</w:t>
      </w:r>
      <w:proofErr w:type="gramEnd"/>
      <w:r w:rsidR="00177178">
        <w:rPr>
          <w:rFonts w:asciiTheme="minorHAnsi" w:hAnsiTheme="minorHAnsi" w:cstheme="minorHAnsi"/>
          <w:sz w:val="22"/>
          <w:szCs w:val="22"/>
        </w:rPr>
        <w:t>.</w:t>
      </w:r>
      <w:r w:rsidRPr="00177178" w:rsidR="00177178">
        <w:rPr>
          <w:rFonts w:asciiTheme="minorHAnsi" w:hAnsiTheme="minorHAnsi" w:cstheme="minorHAnsi"/>
          <w:sz w:val="22"/>
          <w:szCs w:val="22"/>
        </w:rPr>
        <w:t xml:space="preserve"> </w:t>
      </w:r>
      <w:r w:rsidRPr="002A1C1E" w:rsidR="002A1C1E">
        <w:rPr>
          <w:rFonts w:asciiTheme="minorHAnsi" w:hAnsiTheme="minorHAnsi" w:cstheme="minorHAnsi"/>
          <w:sz w:val="22"/>
          <w:szCs w:val="22"/>
        </w:rPr>
        <w:t xml:space="preserve">No change </w:t>
      </w:r>
      <w:proofErr w:type="gramStart"/>
      <w:r w:rsidRPr="002A1C1E" w:rsidR="002A1C1E">
        <w:rPr>
          <w:rFonts w:asciiTheme="minorHAnsi" w:hAnsiTheme="minorHAnsi" w:cstheme="minorHAnsi"/>
          <w:sz w:val="22"/>
          <w:szCs w:val="22"/>
        </w:rPr>
        <w:t>is made</w:t>
      </w:r>
      <w:proofErr w:type="gramEnd"/>
      <w:r w:rsidRPr="002A1C1E" w:rsidR="002A1C1E">
        <w:rPr>
          <w:rFonts w:asciiTheme="minorHAnsi" w:hAnsiTheme="minorHAnsi" w:cstheme="minorHAnsi"/>
          <w:sz w:val="22"/>
          <w:szCs w:val="22"/>
        </w:rPr>
        <w:t xml:space="preserve"> to the estimated reporting burden</w:t>
      </w:r>
      <w:r w:rsidR="00BE3D77">
        <w:rPr>
          <w:rFonts w:asciiTheme="minorHAnsi" w:hAnsiTheme="minorHAnsi" w:cstheme="minorHAnsi"/>
          <w:sz w:val="22"/>
          <w:szCs w:val="22"/>
        </w:rPr>
        <w:t>s</w:t>
      </w:r>
      <w:r w:rsidRPr="002A1C1E" w:rsidR="002A1C1E">
        <w:rPr>
          <w:rFonts w:asciiTheme="minorHAnsi" w:hAnsiTheme="minorHAnsi" w:cstheme="minorHAnsi"/>
          <w:sz w:val="22"/>
          <w:szCs w:val="22"/>
        </w:rPr>
        <w:t xml:space="preserve"> for </w:t>
      </w:r>
      <w:r w:rsidR="00BE3D77">
        <w:rPr>
          <w:rFonts w:asciiTheme="minorHAnsi" w:hAnsiTheme="minorHAnsi" w:cstheme="minorHAnsi"/>
          <w:sz w:val="22"/>
          <w:szCs w:val="22"/>
        </w:rPr>
        <w:t xml:space="preserve">these forms </w:t>
      </w:r>
      <w:r w:rsidRPr="002A1C1E" w:rsidR="002A1C1E">
        <w:rPr>
          <w:rFonts w:asciiTheme="minorHAnsi" w:hAnsiTheme="minorHAnsi" w:cstheme="minorHAnsi"/>
          <w:sz w:val="22"/>
          <w:szCs w:val="22"/>
        </w:rPr>
        <w:t>as the estimate</w:t>
      </w:r>
      <w:r w:rsidR="00BE3D77">
        <w:rPr>
          <w:rFonts w:asciiTheme="minorHAnsi" w:hAnsiTheme="minorHAnsi" w:cstheme="minorHAnsi"/>
          <w:sz w:val="22"/>
          <w:szCs w:val="22"/>
        </w:rPr>
        <w:t>s</w:t>
      </w:r>
      <w:r w:rsidRPr="002A1C1E" w:rsidR="002A1C1E">
        <w:rPr>
          <w:rFonts w:asciiTheme="minorHAnsi" w:hAnsiTheme="minorHAnsi" w:cstheme="minorHAnsi"/>
          <w:sz w:val="22"/>
          <w:szCs w:val="22"/>
        </w:rPr>
        <w:t xml:space="preserve"> allow for differences in the time needed to complete and submit the </w:t>
      </w:r>
      <w:r w:rsidR="00BE3D77">
        <w:rPr>
          <w:rFonts w:asciiTheme="minorHAnsi" w:hAnsiTheme="minorHAnsi" w:cstheme="minorHAnsi"/>
          <w:sz w:val="22"/>
          <w:szCs w:val="22"/>
        </w:rPr>
        <w:t>forms</w:t>
      </w:r>
      <w:r w:rsidRPr="002A1C1E" w:rsidR="002A1C1E">
        <w:rPr>
          <w:rFonts w:asciiTheme="minorHAnsi" w:hAnsiTheme="minorHAnsi" w:cstheme="minorHAnsi"/>
          <w:sz w:val="22"/>
          <w:szCs w:val="22"/>
        </w:rPr>
        <w:t>.</w:t>
      </w:r>
    </w:p>
    <w:p w:rsidR="005C1649" w:rsidP="005C1649" w:rsidRDefault="005C1649" w14:paraId="2D57C2E4" w14:textId="79A5AB6F">
      <w:pPr>
        <w:keepNext/>
        <w:widowControl/>
        <w:autoSpaceDE w:val="0"/>
        <w:autoSpaceDN w:val="0"/>
      </w:pPr>
      <w:r w:rsidRPr="00BF3A19">
        <w:rPr>
          <w:noProof/>
        </w:rPr>
        <mc:AlternateContent>
          <mc:Choice Requires="wps">
            <w:drawing>
              <wp:anchor distT="0" distB="0" distL="114300" distR="114300" simplePos="0" relativeHeight="251663360" behindDoc="0" locked="0" layoutInCell="1" allowOverlap="1" wp14:editId="6D487093" wp14:anchorId="0FF2B64D">
                <wp:simplePos x="0" y="0"/>
                <wp:positionH relativeFrom="column">
                  <wp:posOffset>121920</wp:posOffset>
                </wp:positionH>
                <wp:positionV relativeFrom="paragraph">
                  <wp:posOffset>49530</wp:posOffset>
                </wp:positionV>
                <wp:extent cx="5707380" cy="0"/>
                <wp:effectExtent l="0" t="19050" r="26670" b="19050"/>
                <wp:wrapNone/>
                <wp:docPr id="4" name="Straight Connector 4"/>
                <wp:cNvGraphicFramePr/>
                <a:graphic xmlns:a="http://schemas.openxmlformats.org/drawingml/2006/main">
                  <a:graphicData uri="http://schemas.microsoft.com/office/word/2010/wordprocessingShape">
                    <wps:wsp>
                      <wps:cNvCnPr/>
                      <wps:spPr>
                        <a:xfrm>
                          <a:off x="0" y="0"/>
                          <a:ext cx="570738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6pt,3.9pt" to="459pt,3.9pt" w14:anchorId="6593E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"/>
            </w:pict>
          </mc:Fallback>
        </mc:AlternateContent>
      </w:r>
    </w:p>
    <w:p w:rsidRPr="00650CE1" w:rsidR="000361EE" w:rsidP="00650CE1" w:rsidRDefault="000361EE" w14:paraId="48896B25" w14:textId="77777777">
      <w:pPr>
        <w:shd w:val="clear" w:color="auto" w:fill="FFFFFF"/>
        <w:tabs>
          <w:tab w:val="left" w:pos="360"/>
          <w:tab w:val="left" w:pos="720"/>
        </w:tabs>
        <w:autoSpaceDE w:val="0"/>
        <w:autoSpaceDN w:val="0"/>
        <w:adjustRightInd w:val="0"/>
      </w:pPr>
    </w:p>
    <w:p w:rsidRPr="009D31A7" w:rsidR="00650CE1" w:rsidP="00650CE1" w:rsidRDefault="00B251AD" w14:paraId="13F3DECB" w14:textId="40764E67">
      <w:pPr>
        <w:shd w:val="clear" w:color="auto" w:fill="FFFFFF"/>
        <w:tabs>
          <w:tab w:val="left" w:pos="360"/>
          <w:tab w:val="left" w:pos="720"/>
        </w:tabs>
        <w:autoSpaceDE w:val="0"/>
        <w:autoSpaceDN w:val="0"/>
        <w:adjustRightInd w:val="0"/>
      </w:pPr>
      <w:r>
        <w:t xml:space="preserve">The fee calculation forms </w:t>
      </w:r>
      <w:proofErr w:type="gramStart"/>
      <w:r>
        <w:t>are used</w:t>
      </w:r>
      <w:proofErr w:type="gramEnd"/>
      <w:r>
        <w:t xml:space="preserve"> by permit holders who do not agree with their NMFS assessed fee liability and are paying a revised fee. </w:t>
      </w:r>
      <w:r w:rsidRPr="009D31A7" w:rsidR="00BE396D">
        <w:t xml:space="preserve">IFQ permit holders who pay their actuals instead of their assessed </w:t>
      </w:r>
      <w:r w:rsidRPr="009D31A7" w:rsidR="0003220C">
        <w:t>amount</w:t>
      </w:r>
      <w:r w:rsidRPr="009D31A7" w:rsidR="00BE396D">
        <w:t xml:space="preserve"> use the IFQ Permit Holder Fee </w:t>
      </w:r>
      <w:r w:rsidRPr="009D31A7" w:rsidR="00B028A0">
        <w:t>Calculation</w:t>
      </w:r>
      <w:r w:rsidRPr="009D31A7" w:rsidR="00BE396D">
        <w:t xml:space="preserve"> Form to calculate and submit documentation supporting the</w:t>
      </w:r>
      <w:r w:rsidRPr="009D31A7" w:rsidR="0003220C">
        <w:t xml:space="preserve">ir revised fee. </w:t>
      </w:r>
      <w:r w:rsidRPr="009D31A7" w:rsidR="00BE396D">
        <w:t xml:space="preserve">Registered crab receivers </w:t>
      </w:r>
      <w:r w:rsidRPr="009D31A7" w:rsidR="0003220C">
        <w:t xml:space="preserve">who pay their </w:t>
      </w:r>
      <w:r w:rsidR="004A07D1">
        <w:t>actual</w:t>
      </w:r>
      <w:r w:rsidRPr="009D31A7" w:rsidR="004A07D1">
        <w:t xml:space="preserve"> </w:t>
      </w:r>
      <w:r w:rsidRPr="009D31A7" w:rsidR="0003220C">
        <w:t xml:space="preserve">fee instead of their assessed amount </w:t>
      </w:r>
      <w:r w:rsidRPr="009D31A7" w:rsidR="00BE396D">
        <w:t xml:space="preserve">use the Registered Crab Receiver Fee </w:t>
      </w:r>
      <w:r w:rsidRPr="009D31A7" w:rsidR="00B028A0">
        <w:t>Calculation</w:t>
      </w:r>
      <w:r w:rsidRPr="009D31A7" w:rsidR="00BE396D">
        <w:t xml:space="preserve"> Form to calculate and submit document</w:t>
      </w:r>
      <w:r w:rsidRPr="009D31A7" w:rsidR="00265A64">
        <w:t>ation</w:t>
      </w:r>
      <w:r w:rsidRPr="009D31A7" w:rsidR="00BE396D">
        <w:t xml:space="preserve"> supporting </w:t>
      </w:r>
      <w:r w:rsidRPr="009D31A7" w:rsidR="0003220C">
        <w:t>their revised fee</w:t>
      </w:r>
      <w:r w:rsidRPr="009D31A7" w:rsidR="00BE396D">
        <w:t>.</w:t>
      </w:r>
      <w:r w:rsidRPr="009D31A7" w:rsidR="00650CE1">
        <w:t xml:space="preserve"> Examples of documentation </w:t>
      </w:r>
      <w:r w:rsidRPr="009D31A7" w:rsidR="0003220C">
        <w:t>supporting revised fee</w:t>
      </w:r>
      <w:r w:rsidRPr="009D31A7" w:rsidR="00265A64">
        <w:t>s</w:t>
      </w:r>
      <w:r w:rsidRPr="009D31A7" w:rsidR="0003220C">
        <w:t xml:space="preserve"> </w:t>
      </w:r>
      <w:r w:rsidRPr="009D31A7" w:rsidR="00650CE1">
        <w:t>include valid fish tickets; sales receipts; check stubs that clearly identify the IFQ landing amount, species, date, time, and ex-vessel value or price; and check stubs that clearly identify the CR landing amount, species, date, time, and ex-vessel value or price.</w:t>
      </w:r>
      <w:r w:rsidRPr="009D31A7" w:rsidR="004F609E">
        <w:t xml:space="preserve"> The</w:t>
      </w:r>
      <w:r w:rsidRPr="009D31A7" w:rsidR="00A932BC">
        <w:t xml:space="preserve">se forms </w:t>
      </w:r>
      <w:r w:rsidRPr="009D31A7" w:rsidR="004F609E">
        <w:t xml:space="preserve">are available as fillable pdfs on the </w:t>
      </w:r>
      <w:hyperlink w:history="1" w:anchor=":~:text=by%20February%2015.%C2%A0-,How%20to%20Make%20Amendments,-An%C2%A0IFQ%20permit" r:id="rId41">
        <w:r w:rsidRPr="0078298F" w:rsidR="004F609E">
          <w:rPr>
            <w:rStyle w:val="Hyperlink"/>
          </w:rPr>
          <w:t>NMFS Alaska Region website</w:t>
        </w:r>
      </w:hyperlink>
      <w:r w:rsidRPr="009D31A7" w:rsidR="004F609E">
        <w:t>.</w:t>
      </w:r>
    </w:p>
    <w:p w:rsidRPr="00286C37" w:rsidR="00650CE1" w:rsidP="00650CE1" w:rsidRDefault="00650CE1" w14:paraId="65AD6657" w14:textId="77777777">
      <w:pPr>
        <w:autoSpaceDE w:val="0"/>
        <w:autoSpaceDN w:val="0"/>
        <w:adjustRightInd w:val="0"/>
        <w:rPr>
          <w:bCs/>
        </w:rPr>
      </w:pPr>
    </w:p>
    <w:p w:rsidRPr="00286C37" w:rsidR="00650CE1" w:rsidP="00650CE1" w:rsidRDefault="00286C37" w14:paraId="2D9EB905" w14:textId="38E02F33">
      <w:pPr>
        <w:autoSpaceDE w:val="0"/>
        <w:autoSpaceDN w:val="0"/>
        <w:adjustRightInd w:val="0"/>
      </w:pPr>
      <w:r w:rsidRPr="00286C37">
        <w:t xml:space="preserve">The </w:t>
      </w:r>
      <w:r w:rsidRPr="00286C37" w:rsidR="00650CE1">
        <w:t>I</w:t>
      </w:r>
      <w:r w:rsidRPr="00286C37" w:rsidR="004D2966">
        <w:t xml:space="preserve">FQ Permit Holder Fee </w:t>
      </w:r>
      <w:r w:rsidRPr="00286C37" w:rsidR="00B028A0">
        <w:t>Calculation</w:t>
      </w:r>
      <w:r w:rsidRPr="00286C37" w:rsidR="00650CE1">
        <w:t xml:space="preserve"> Form</w:t>
      </w:r>
      <w:r w:rsidRPr="00286C37">
        <w:t xml:space="preserve"> collects the following information: </w:t>
      </w:r>
    </w:p>
    <w:p w:rsidRPr="00286C37" w:rsidR="00650CE1" w:rsidP="00286C37" w:rsidRDefault="00650CE1" w14:paraId="3D2CBED9" w14:textId="0389DEF7">
      <w:pPr>
        <w:autoSpaceDE w:val="0"/>
        <w:autoSpaceDN w:val="0"/>
        <w:adjustRightInd w:val="0"/>
        <w:ind w:left="360"/>
        <w:rPr>
          <w:u w:val="single"/>
        </w:rPr>
      </w:pPr>
      <w:r w:rsidRPr="00286C37">
        <w:rPr>
          <w:u w:val="single"/>
        </w:rPr>
        <w:t>Overpayment</w:t>
      </w:r>
    </w:p>
    <w:p w:rsidRPr="00286C37" w:rsidR="00650CE1" w:rsidP="00286C37" w:rsidRDefault="00650CE1" w14:paraId="78A24FFD" w14:textId="77777777">
      <w:pPr>
        <w:pStyle w:val="ListParagraph"/>
        <w:numPr>
          <w:ilvl w:val="0"/>
          <w:numId w:val="18"/>
        </w:numPr>
        <w:autoSpaceDE w:val="0"/>
        <w:autoSpaceDN w:val="0"/>
        <w:adjustRightInd w:val="0"/>
        <w:spacing w:before="0"/>
      </w:pPr>
      <w:r w:rsidRPr="00286C37">
        <w:t>Check if apply overpayment to future fees or issue refund.</w:t>
      </w:r>
    </w:p>
    <w:p w:rsidRPr="00286C37" w:rsidR="00650CE1" w:rsidP="00286C37" w:rsidRDefault="00650CE1" w14:paraId="05E38FDB" w14:textId="008A3E5F">
      <w:pPr>
        <w:autoSpaceDE w:val="0"/>
        <w:autoSpaceDN w:val="0"/>
        <w:adjustRightInd w:val="0"/>
        <w:ind w:left="360"/>
        <w:rPr>
          <w:u w:val="single"/>
        </w:rPr>
      </w:pPr>
      <w:r w:rsidRPr="00286C37">
        <w:rPr>
          <w:u w:val="single"/>
        </w:rPr>
        <w:lastRenderedPageBreak/>
        <w:t>Identification of IFQ Permit Holder or RQE</w:t>
      </w:r>
    </w:p>
    <w:p w:rsidRPr="00286C37" w:rsidR="00650CE1" w:rsidP="00286C37" w:rsidRDefault="00650CE1" w14:paraId="06126A40" w14:textId="34D6D485">
      <w:pPr>
        <w:pStyle w:val="ListParagraph"/>
        <w:numPr>
          <w:ilvl w:val="0"/>
          <w:numId w:val="18"/>
        </w:numPr>
        <w:autoSpaceDE w:val="0"/>
        <w:autoSpaceDN w:val="0"/>
        <w:adjustRightInd w:val="0"/>
        <w:spacing w:before="0"/>
      </w:pPr>
      <w:r w:rsidRPr="00286C37">
        <w:t>IFQ permit hold</w:t>
      </w:r>
      <w:r w:rsidRPr="00286C37" w:rsidR="00811CC5">
        <w:t>er or RQE name, NMFS Person ID</w:t>
      </w:r>
    </w:p>
    <w:p w:rsidRPr="00286C37" w:rsidR="00650CE1" w:rsidP="00D539DB" w:rsidRDefault="00650CE1" w14:paraId="360E550F" w14:textId="64303114">
      <w:pPr>
        <w:pStyle w:val="ListParagraph"/>
        <w:numPr>
          <w:ilvl w:val="0"/>
          <w:numId w:val="18"/>
        </w:numPr>
        <w:autoSpaceDE w:val="0"/>
        <w:autoSpaceDN w:val="0"/>
        <w:adjustRightInd w:val="0"/>
        <w:spacing w:before="0"/>
      </w:pPr>
      <w:r w:rsidRPr="00286C37">
        <w:t>Permanent business mailing address</w:t>
      </w:r>
      <w:r w:rsidR="00286C37">
        <w:t xml:space="preserve">, </w:t>
      </w:r>
      <w:r w:rsidRPr="00286C37" w:rsidR="00811CC5">
        <w:t>telephone number</w:t>
      </w:r>
      <w:r w:rsidR="00286C37">
        <w:t>,</w:t>
      </w:r>
      <w:r w:rsidRPr="00286C37">
        <w:t xml:space="preserve"> and email address</w:t>
      </w:r>
    </w:p>
    <w:p w:rsidRPr="00286C37" w:rsidR="00650CE1" w:rsidP="00286C37" w:rsidRDefault="00650CE1" w14:paraId="0EBA834C" w14:textId="580112D7">
      <w:pPr>
        <w:autoSpaceDE w:val="0"/>
        <w:autoSpaceDN w:val="0"/>
        <w:adjustRightInd w:val="0"/>
        <w:ind w:left="360"/>
        <w:rPr>
          <w:u w:val="single"/>
        </w:rPr>
      </w:pPr>
      <w:r w:rsidRPr="00286C37">
        <w:rPr>
          <w:u w:val="single"/>
        </w:rPr>
        <w:t>Applicant Signature</w:t>
      </w:r>
    </w:p>
    <w:p w:rsidRPr="00286C37" w:rsidR="00650CE1" w:rsidP="00286C37" w:rsidRDefault="00650CE1" w14:paraId="244BAF49" w14:textId="77777777">
      <w:pPr>
        <w:pStyle w:val="ListParagraph"/>
        <w:numPr>
          <w:ilvl w:val="0"/>
          <w:numId w:val="19"/>
        </w:numPr>
        <w:autoSpaceDE w:val="0"/>
        <w:autoSpaceDN w:val="0"/>
        <w:adjustRightInd w:val="0"/>
        <w:spacing w:before="0"/>
      </w:pPr>
      <w:r w:rsidRPr="00286C37">
        <w:t>Printed name and signature of IFQ permit holder or RQE (if representative, attach authorization)</w:t>
      </w:r>
    </w:p>
    <w:p w:rsidRPr="00286C37" w:rsidR="00650CE1" w:rsidP="00286C37" w:rsidRDefault="00650CE1" w14:paraId="06905199" w14:textId="77777777">
      <w:pPr>
        <w:pStyle w:val="ListParagraph"/>
        <w:numPr>
          <w:ilvl w:val="0"/>
          <w:numId w:val="19"/>
        </w:numPr>
        <w:autoSpaceDE w:val="0"/>
        <w:autoSpaceDN w:val="0"/>
        <w:adjustRightInd w:val="0"/>
        <w:spacing w:before="0"/>
      </w:pPr>
      <w:r w:rsidRPr="00286C37">
        <w:t>Date signed</w:t>
      </w:r>
    </w:p>
    <w:p w:rsidRPr="00286C37" w:rsidR="00650CE1" w:rsidP="00286C37" w:rsidRDefault="00650CE1" w14:paraId="69971865" w14:textId="16A5FC18">
      <w:pPr>
        <w:autoSpaceDE w:val="0"/>
        <w:autoSpaceDN w:val="0"/>
        <w:adjustRightInd w:val="0"/>
        <w:ind w:left="360"/>
        <w:rPr>
          <w:u w:val="single"/>
        </w:rPr>
      </w:pPr>
      <w:r w:rsidRPr="00286C37">
        <w:rPr>
          <w:u w:val="single"/>
        </w:rPr>
        <w:t xml:space="preserve">Fee Calculation </w:t>
      </w:r>
      <w:r w:rsidRPr="00286C37" w:rsidR="00604396">
        <w:rPr>
          <w:u w:val="single"/>
        </w:rPr>
        <w:t>Worksheet</w:t>
      </w:r>
      <w:r w:rsidRPr="00286C37">
        <w:rPr>
          <w:u w:val="single"/>
        </w:rPr>
        <w:t xml:space="preserve"> </w:t>
      </w:r>
      <w:r w:rsidRPr="00286C37" w:rsidR="00604396">
        <w:rPr>
          <w:u w:val="single"/>
        </w:rPr>
        <w:t>(</w:t>
      </w:r>
      <w:r w:rsidRPr="00286C37">
        <w:rPr>
          <w:u w:val="single"/>
        </w:rPr>
        <w:t>Is not applicable to an RQE.)</w:t>
      </w:r>
    </w:p>
    <w:p w:rsidRPr="00286C37" w:rsidR="00650CE1" w:rsidP="00286C37" w:rsidRDefault="00650CE1" w14:paraId="648FD546" w14:textId="77777777">
      <w:pPr>
        <w:pStyle w:val="ListParagraph"/>
        <w:numPr>
          <w:ilvl w:val="0"/>
          <w:numId w:val="20"/>
        </w:numPr>
        <w:autoSpaceDE w:val="0"/>
        <w:autoSpaceDN w:val="0"/>
        <w:adjustRightInd w:val="0"/>
        <w:spacing w:before="0"/>
      </w:pPr>
      <w:r w:rsidRPr="00286C37">
        <w:t>List all permit numbers and associated dates of landing, port locations, IFQ pounds, GAF pounds, standard ex-vessel price, actual ex-vessel price, and total.</w:t>
      </w:r>
    </w:p>
    <w:p w:rsidRPr="00286C37" w:rsidR="00650CE1" w:rsidP="00650CE1" w:rsidRDefault="00650CE1" w14:paraId="7CF5BE8F" w14:textId="77777777">
      <w:pPr>
        <w:autoSpaceDE w:val="0"/>
        <w:autoSpaceDN w:val="0"/>
        <w:adjustRightInd w:val="0"/>
      </w:pPr>
    </w:p>
    <w:p w:rsidRPr="00286C37" w:rsidR="00650CE1" w:rsidP="00650CE1" w:rsidRDefault="00286C37" w14:paraId="7A9C75DF" w14:textId="73B605A3">
      <w:pPr>
        <w:autoSpaceDE w:val="0"/>
        <w:autoSpaceDN w:val="0"/>
        <w:adjustRightInd w:val="0"/>
      </w:pPr>
      <w:r w:rsidRPr="00286C37">
        <w:t xml:space="preserve">The </w:t>
      </w:r>
      <w:r w:rsidRPr="00286C37" w:rsidR="00650CE1">
        <w:t xml:space="preserve">RCR Fee </w:t>
      </w:r>
      <w:r w:rsidRPr="00286C37" w:rsidR="00B028A0">
        <w:t>Calculation</w:t>
      </w:r>
      <w:r w:rsidRPr="00286C37" w:rsidR="00650CE1">
        <w:t xml:space="preserve"> Form</w:t>
      </w:r>
      <w:r w:rsidRPr="00286C37">
        <w:t xml:space="preserve"> collects the following information:</w:t>
      </w:r>
    </w:p>
    <w:p w:rsidRPr="00286C37" w:rsidR="00650CE1" w:rsidP="00286C37" w:rsidRDefault="00650CE1" w14:paraId="5F62EB03" w14:textId="75D3424C">
      <w:pPr>
        <w:autoSpaceDE w:val="0"/>
        <w:autoSpaceDN w:val="0"/>
        <w:adjustRightInd w:val="0"/>
        <w:ind w:left="360"/>
        <w:rPr>
          <w:u w:val="single"/>
        </w:rPr>
      </w:pPr>
      <w:r w:rsidRPr="00286C37">
        <w:rPr>
          <w:u w:val="single"/>
        </w:rPr>
        <w:t>Identification of RCR</w:t>
      </w:r>
    </w:p>
    <w:p w:rsidRPr="00286C37" w:rsidR="00650CE1" w:rsidP="00286C37" w:rsidRDefault="00650CE1" w14:paraId="70DECDCB" w14:textId="0ECF2DA6">
      <w:pPr>
        <w:pStyle w:val="ListParagraph"/>
        <w:numPr>
          <w:ilvl w:val="0"/>
          <w:numId w:val="20"/>
        </w:numPr>
        <w:autoSpaceDE w:val="0"/>
        <w:autoSpaceDN w:val="0"/>
        <w:adjustRightInd w:val="0"/>
        <w:spacing w:before="0"/>
      </w:pPr>
      <w:r w:rsidRPr="00286C37">
        <w:t xml:space="preserve">RCR name, </w:t>
      </w:r>
      <w:r w:rsidRPr="00286C37" w:rsidR="00811CC5">
        <w:t>NMFS P</w:t>
      </w:r>
      <w:r w:rsidRPr="00286C37">
        <w:t>erson ID, taxpayer ID, and date of birth or incorporation</w:t>
      </w:r>
    </w:p>
    <w:p w:rsidRPr="00286C37" w:rsidR="00650CE1" w:rsidP="00286C37" w:rsidRDefault="00650CE1" w14:paraId="2E89E0AE" w14:textId="77777777">
      <w:pPr>
        <w:pStyle w:val="ListParagraph"/>
        <w:numPr>
          <w:ilvl w:val="0"/>
          <w:numId w:val="20"/>
        </w:numPr>
        <w:autoSpaceDE w:val="0"/>
        <w:autoSpaceDN w:val="0"/>
        <w:adjustRightInd w:val="0"/>
        <w:spacing w:before="0"/>
      </w:pPr>
      <w:r w:rsidRPr="00286C37">
        <w:t>All RCR permit numbers held by permit holder</w:t>
      </w:r>
    </w:p>
    <w:p w:rsidRPr="00286C37" w:rsidR="00650CE1" w:rsidP="00D539DB" w:rsidRDefault="00650CE1" w14:paraId="30C5E2A4" w14:textId="3B66F254">
      <w:pPr>
        <w:pStyle w:val="ListParagraph"/>
        <w:numPr>
          <w:ilvl w:val="0"/>
          <w:numId w:val="20"/>
        </w:numPr>
        <w:autoSpaceDE w:val="0"/>
        <w:autoSpaceDN w:val="0"/>
        <w:adjustRightInd w:val="0"/>
        <w:spacing w:before="0"/>
      </w:pPr>
      <w:r w:rsidRPr="00286C37">
        <w:t>Permanent business mailing address</w:t>
      </w:r>
      <w:r w:rsidR="00286C37">
        <w:t xml:space="preserve">, </w:t>
      </w:r>
      <w:r w:rsidRPr="00286C37">
        <w:t>telephone number, fax number, and email address</w:t>
      </w:r>
    </w:p>
    <w:p w:rsidRPr="00286C37" w:rsidR="00650CE1" w:rsidP="00286C37" w:rsidRDefault="00650CE1" w14:paraId="6A54A0C4" w14:textId="37A3A0E2">
      <w:pPr>
        <w:autoSpaceDE w:val="0"/>
        <w:autoSpaceDN w:val="0"/>
        <w:adjustRightInd w:val="0"/>
        <w:ind w:left="360"/>
        <w:rPr>
          <w:u w:val="single"/>
        </w:rPr>
      </w:pPr>
      <w:r w:rsidRPr="00286C37">
        <w:rPr>
          <w:u w:val="single"/>
        </w:rPr>
        <w:t>Applicant Signature</w:t>
      </w:r>
    </w:p>
    <w:p w:rsidRPr="00286C37" w:rsidR="00650CE1" w:rsidP="00286C37" w:rsidRDefault="00650CE1" w14:paraId="4BA87E6E" w14:textId="77777777">
      <w:pPr>
        <w:pStyle w:val="ListParagraph"/>
        <w:numPr>
          <w:ilvl w:val="0"/>
          <w:numId w:val="21"/>
        </w:numPr>
        <w:autoSpaceDE w:val="0"/>
        <w:autoSpaceDN w:val="0"/>
        <w:adjustRightInd w:val="0"/>
        <w:spacing w:before="0"/>
      </w:pPr>
      <w:r w:rsidRPr="00286C37">
        <w:t>Printed name and signature of RCR (if representative, attach authorization)</w:t>
      </w:r>
    </w:p>
    <w:p w:rsidRPr="00286C37" w:rsidR="00650CE1" w:rsidP="00286C37" w:rsidRDefault="00650CE1" w14:paraId="1A072C23" w14:textId="77777777">
      <w:pPr>
        <w:pStyle w:val="ListParagraph"/>
        <w:numPr>
          <w:ilvl w:val="0"/>
          <w:numId w:val="21"/>
        </w:numPr>
        <w:autoSpaceDE w:val="0"/>
        <w:autoSpaceDN w:val="0"/>
        <w:adjustRightInd w:val="0"/>
        <w:spacing w:before="0"/>
      </w:pPr>
      <w:r w:rsidRPr="00286C37">
        <w:t>Date signed</w:t>
      </w:r>
    </w:p>
    <w:p w:rsidRPr="00286C37" w:rsidR="00650CE1" w:rsidP="00286C37" w:rsidRDefault="00650CE1" w14:paraId="2034FCF4" w14:textId="6F1152C3">
      <w:pPr>
        <w:autoSpaceDE w:val="0"/>
        <w:autoSpaceDN w:val="0"/>
        <w:adjustRightInd w:val="0"/>
        <w:ind w:left="360"/>
        <w:rPr>
          <w:u w:val="single"/>
        </w:rPr>
      </w:pPr>
      <w:r w:rsidRPr="00286C37">
        <w:rPr>
          <w:u w:val="single"/>
        </w:rPr>
        <w:t>Crab Fee Calculation Worksheet</w:t>
      </w:r>
    </w:p>
    <w:p w:rsidRPr="00286C37" w:rsidR="00650CE1" w:rsidP="00286C37" w:rsidRDefault="00650CE1" w14:paraId="2BD8E5FF" w14:textId="77777777">
      <w:pPr>
        <w:pStyle w:val="ListParagraph"/>
        <w:numPr>
          <w:ilvl w:val="0"/>
          <w:numId w:val="22"/>
        </w:numPr>
        <w:autoSpaceDE w:val="0"/>
        <w:autoSpaceDN w:val="0"/>
        <w:adjustRightInd w:val="0"/>
        <w:spacing w:before="0"/>
      </w:pPr>
      <w:r w:rsidRPr="00286C37">
        <w:t xml:space="preserve">List all permit numbers and associated month and year of landing, port locations, fishery, species, CR Program, CR pounds, NMFS calculated ex-vessel price, actual ex-vessel price, and total. </w:t>
      </w:r>
    </w:p>
    <w:p w:rsidRPr="00286C37" w:rsidR="00650CE1" w:rsidP="00650CE1" w:rsidRDefault="00650CE1" w14:paraId="3AFC3ACF" w14:textId="69ED07D8">
      <w:pPr>
        <w:autoSpaceDE w:val="0"/>
        <w:autoSpaceDN w:val="0"/>
        <w:adjustRightInd w:val="0"/>
      </w:pPr>
    </w:p>
    <w:p w:rsidR="004E25FE" w:rsidP="004E25FE" w:rsidRDefault="004F609E" w14:paraId="710613E5" w14:textId="1915B920">
      <w:pPr>
        <w:autoSpaceDE w:val="0"/>
        <w:autoSpaceDN w:val="0"/>
        <w:adjustRightInd w:val="0"/>
      </w:pPr>
      <w:r w:rsidRPr="00286C37">
        <w:t>With this revision/renewal request</w:t>
      </w:r>
      <w:r>
        <w:t>, the</w:t>
      </w:r>
      <w:r w:rsidR="003010DE">
        <w:t xml:space="preserve"> forms were </w:t>
      </w:r>
      <w:r w:rsidR="00DD528B">
        <w:t xml:space="preserve">renamed and </w:t>
      </w:r>
      <w:r w:rsidR="00BC5C4F">
        <w:t xml:space="preserve">revised to </w:t>
      </w:r>
      <w:r w:rsidR="00DD528B">
        <w:t>show that</w:t>
      </w:r>
      <w:r w:rsidR="003010DE">
        <w:t xml:space="preserve"> payments </w:t>
      </w:r>
      <w:proofErr w:type="gramStart"/>
      <w:r w:rsidR="00BC5C4F">
        <w:t>are not</w:t>
      </w:r>
      <w:r w:rsidR="004E25FE">
        <w:t xml:space="preserve"> submitted</w:t>
      </w:r>
      <w:proofErr w:type="gramEnd"/>
      <w:r w:rsidR="004E25FE">
        <w:t xml:space="preserve"> with these forms. Editorial changes </w:t>
      </w:r>
      <w:proofErr w:type="gramStart"/>
      <w:r w:rsidR="004E25FE">
        <w:t>were made</w:t>
      </w:r>
      <w:proofErr w:type="gramEnd"/>
      <w:r w:rsidR="004E25FE">
        <w:t xml:space="preserve"> to the forms to clari</w:t>
      </w:r>
      <w:r w:rsidR="00BC5C4F">
        <w:t xml:space="preserve">fy what the forms are used for </w:t>
      </w:r>
      <w:r w:rsidRPr="004E25FE" w:rsidR="004E25FE">
        <w:t xml:space="preserve">and </w:t>
      </w:r>
      <w:r w:rsidR="004E25FE">
        <w:t xml:space="preserve">how payments are </w:t>
      </w:r>
      <w:r w:rsidR="00BC5C4F">
        <w:t xml:space="preserve">now </w:t>
      </w:r>
      <w:r w:rsidR="004E25FE">
        <w:t xml:space="preserve">submitted. Information </w:t>
      </w:r>
      <w:proofErr w:type="gramStart"/>
      <w:r w:rsidR="004E25FE">
        <w:t>was added</w:t>
      </w:r>
      <w:proofErr w:type="gramEnd"/>
      <w:r w:rsidR="004E25FE">
        <w:t xml:space="preserve"> to the forms on how to submit the form by fax. </w:t>
      </w:r>
    </w:p>
    <w:p w:rsidR="004F609E" w:rsidP="00650CE1" w:rsidRDefault="004F609E" w14:paraId="4698989B" w14:textId="487AA765">
      <w:pPr>
        <w:autoSpaceDE w:val="0"/>
        <w:autoSpaceDN w:val="0"/>
        <w:adjustRightInd w:val="0"/>
      </w:pPr>
    </w:p>
    <w:p w:rsidRPr="00650CE1" w:rsidR="004F609E" w:rsidP="00650CE1" w:rsidRDefault="004F609E" w14:paraId="2474BA6A" w14:textId="77777777">
      <w:pPr>
        <w:autoSpaceDE w:val="0"/>
        <w:autoSpaceDN w:val="0"/>
        <w:adjustRightInd w:val="0"/>
      </w:pPr>
    </w:p>
    <w:p w:rsidRPr="00650CE1" w:rsidR="00650CE1" w:rsidP="00650CE1" w:rsidRDefault="00893ECE" w14:paraId="7968E280" w14:textId="30847152">
      <w:pPr>
        <w:autoSpaceDE w:val="0"/>
        <w:autoSpaceDN w:val="0"/>
        <w:adjustRightInd w:val="0"/>
        <w:rPr>
          <w:b/>
        </w:rPr>
      </w:pPr>
      <w:r w:rsidRPr="00BC5C4F">
        <w:rPr>
          <w:b/>
        </w:rPr>
        <w:t>d</w:t>
      </w:r>
      <w:r w:rsidRPr="00BC5C4F" w:rsidR="00650CE1">
        <w:rPr>
          <w:b/>
        </w:rPr>
        <w:t>. Volume and Value Report</w:t>
      </w:r>
      <w:r w:rsidRPr="00BC5C4F" w:rsidR="00916A65">
        <w:rPr>
          <w:b/>
        </w:rPr>
        <w:t>s</w:t>
      </w:r>
      <w:r w:rsidRPr="00BC5C4F" w:rsidR="00650CE1">
        <w:rPr>
          <w:b/>
        </w:rPr>
        <w:t xml:space="preserve"> </w:t>
      </w:r>
      <w:r w:rsidRPr="00BC5C4F" w:rsidR="009313E2">
        <w:rPr>
          <w:b/>
        </w:rPr>
        <w:t>[</w:t>
      </w:r>
      <w:r w:rsidRPr="00BC5C4F" w:rsidR="00BC5C4F">
        <w:rPr>
          <w:b/>
        </w:rPr>
        <w:t>minor editorial changes made to IFQ Registered Buyer Ex-vessel Volume and Value Report form]</w:t>
      </w:r>
    </w:p>
    <w:p w:rsidRPr="00650CE1" w:rsidR="00650CE1" w:rsidP="00650CE1" w:rsidRDefault="00650CE1" w14:paraId="47C63765" w14:textId="77777777">
      <w:pPr>
        <w:autoSpaceDE w:val="0"/>
        <w:autoSpaceDN w:val="0"/>
        <w:adjustRightInd w:val="0"/>
      </w:pPr>
    </w:p>
    <w:p w:rsidRPr="00650CE1" w:rsidR="00650CE1" w:rsidP="00650CE1" w:rsidRDefault="00650CE1" w14:paraId="1A47F0F0" w14:textId="77777777">
      <w:pPr>
        <w:autoSpaceDE w:val="0"/>
        <w:autoSpaceDN w:val="0"/>
        <w:adjustRightInd w:val="0"/>
      </w:pPr>
      <w:r w:rsidRPr="00650CE1">
        <w:t xml:space="preserve">Processors that receive and purchase landings of IFQ halibut or sablefish, rockfish, </w:t>
      </w:r>
      <w:proofErr w:type="spellStart"/>
      <w:r w:rsidRPr="00650CE1">
        <w:t>groundfish</w:t>
      </w:r>
      <w:proofErr w:type="spellEnd"/>
      <w:r w:rsidRPr="00650CE1">
        <w:t>, and crab subject to observer and/or cost recovery fees must annually submit an ex-vessel volume and value report that provides information on the pounds purchased and value paid. NMFS uses this information to establish the total ex-vessel value of the fishery, to calculate standard prices, and to establish annual fee percentages in each fishery.</w:t>
      </w:r>
    </w:p>
    <w:p w:rsidRPr="00650CE1" w:rsidR="00650CE1" w:rsidP="00650CE1" w:rsidRDefault="00650CE1" w14:paraId="54F2F975" w14:textId="77777777">
      <w:pPr>
        <w:shd w:val="clear" w:color="auto" w:fill="FFFFFF"/>
        <w:tabs>
          <w:tab w:val="left" w:pos="360"/>
          <w:tab w:val="left" w:pos="720"/>
        </w:tabs>
        <w:autoSpaceDE w:val="0"/>
        <w:autoSpaceDN w:val="0"/>
        <w:adjustRightInd w:val="0"/>
      </w:pPr>
    </w:p>
    <w:p w:rsidRPr="00650CE1" w:rsidR="00650CE1" w:rsidP="00650CE1" w:rsidRDefault="004D32B6" w14:paraId="37631442" w14:textId="25D3DF9E">
      <w:pPr>
        <w:shd w:val="clear" w:color="auto" w:fill="FFFFFF"/>
        <w:tabs>
          <w:tab w:val="left" w:pos="360"/>
          <w:tab w:val="left" w:pos="720"/>
        </w:tabs>
        <w:autoSpaceDE w:val="0"/>
        <w:autoSpaceDN w:val="0"/>
        <w:adjustRightInd w:val="0"/>
      </w:pPr>
      <w:r>
        <w:t>All but one</w:t>
      </w:r>
      <w:r w:rsidRPr="00650CE1">
        <w:t xml:space="preserve"> </w:t>
      </w:r>
      <w:r w:rsidRPr="00650CE1" w:rsidR="00650CE1">
        <w:t xml:space="preserve">of the reports </w:t>
      </w:r>
      <w:proofErr w:type="gramStart"/>
      <w:r w:rsidRPr="00650CE1" w:rsidR="00650CE1">
        <w:t>must be submitted</w:t>
      </w:r>
      <w:proofErr w:type="gramEnd"/>
      <w:r w:rsidRPr="00650CE1" w:rsidR="00650CE1">
        <w:t xml:space="preserve"> electronically through </w:t>
      </w:r>
      <w:proofErr w:type="spellStart"/>
      <w:r w:rsidRPr="00650CE1" w:rsidR="00650CE1">
        <w:t>eFISH</w:t>
      </w:r>
      <w:proofErr w:type="spellEnd"/>
      <w:r w:rsidRPr="00650CE1" w:rsidR="00650CE1">
        <w:t xml:space="preserve">. Only the IFQ Register Buyer Ex-vessel Volume and Value Report has an option to submit by mail or fax. </w:t>
      </w:r>
      <w:r w:rsidR="00253A66">
        <w:t>To submit this report by mail or fax, a</w:t>
      </w:r>
      <w:hyperlink w:history="1" r:id="rId42">
        <w:r w:rsidRPr="00023BA5" w:rsidR="00650CE1">
          <w:rPr>
            <w:rStyle w:val="Hyperlink"/>
          </w:rPr>
          <w:t xml:space="preserve"> form</w:t>
        </w:r>
      </w:hyperlink>
      <w:r w:rsidRPr="00650CE1" w:rsidR="00650CE1">
        <w:t xml:space="preserve"> is available as a fillable pdf on the NMFS Alaska Region website</w:t>
      </w:r>
      <w:r w:rsidR="00023BA5">
        <w:t>.</w:t>
      </w:r>
    </w:p>
    <w:p w:rsidRPr="00650CE1" w:rsidR="00650CE1" w:rsidP="00650CE1" w:rsidRDefault="00650CE1" w14:paraId="6F0CFE24" w14:textId="77777777">
      <w:pPr>
        <w:autoSpaceDE w:val="0"/>
        <w:autoSpaceDN w:val="0"/>
        <w:adjustRightInd w:val="0"/>
      </w:pPr>
    </w:p>
    <w:p w:rsidRPr="00650CE1" w:rsidR="00650CE1" w:rsidP="00650CE1" w:rsidRDefault="00650CE1" w14:paraId="607EA6EF" w14:textId="77777777">
      <w:pPr>
        <w:autoSpaceDE w:val="0"/>
        <w:autoSpaceDN w:val="0"/>
        <w:adjustRightInd w:val="0"/>
      </w:pPr>
      <w:r w:rsidRPr="00650CE1">
        <w:t xml:space="preserve">The IFQ Register Buyer Ex-vessel Volume and Value Report form collects the following </w:t>
      </w:r>
      <w:r w:rsidRPr="00650CE1">
        <w:lastRenderedPageBreak/>
        <w:t>information:</w:t>
      </w:r>
    </w:p>
    <w:p w:rsidRPr="00604396" w:rsidR="00650CE1" w:rsidP="00286C37" w:rsidRDefault="00650CE1" w14:paraId="75D70267" w14:textId="755A4BFC">
      <w:pPr>
        <w:autoSpaceDE w:val="0"/>
        <w:autoSpaceDN w:val="0"/>
        <w:adjustRightInd w:val="0"/>
        <w:ind w:left="360"/>
        <w:rPr>
          <w:u w:val="single"/>
        </w:rPr>
      </w:pPr>
      <w:r w:rsidRPr="00604396">
        <w:rPr>
          <w:u w:val="single"/>
        </w:rPr>
        <w:t>Identification of Registered Buyer</w:t>
      </w:r>
    </w:p>
    <w:p w:rsidRPr="00604396" w:rsidR="00650CE1" w:rsidP="00286C37" w:rsidRDefault="00650CE1" w14:paraId="69CB1222" w14:textId="061029A3">
      <w:pPr>
        <w:pStyle w:val="ListParagraph"/>
        <w:numPr>
          <w:ilvl w:val="0"/>
          <w:numId w:val="15"/>
        </w:numPr>
        <w:autoSpaceDE w:val="0"/>
        <w:autoSpaceDN w:val="0"/>
        <w:adjustRightInd w:val="0"/>
        <w:spacing w:before="0"/>
        <w:ind w:left="1080"/>
      </w:pPr>
      <w:r w:rsidRPr="00604396">
        <w:t xml:space="preserve">Check yes or no if performed any </w:t>
      </w:r>
      <w:proofErr w:type="spellStart"/>
      <w:r w:rsidRPr="00604396">
        <w:t>shoreside</w:t>
      </w:r>
      <w:proofErr w:type="spellEnd"/>
      <w:r w:rsidRPr="00604396">
        <w:t xml:space="preserve"> activity this IFQ fishing year.</w:t>
      </w:r>
      <w:r w:rsidR="00286C37">
        <w:t xml:space="preserve"> </w:t>
      </w:r>
      <w:r w:rsidRPr="00604396">
        <w:t>If no, you do not need to submit the report.</w:t>
      </w:r>
    </w:p>
    <w:p w:rsidR="00650CE1" w:rsidP="00286C37" w:rsidRDefault="00650CE1" w14:paraId="2E83A148" w14:textId="1B1CBA23">
      <w:pPr>
        <w:pStyle w:val="ListParagraph"/>
        <w:numPr>
          <w:ilvl w:val="0"/>
          <w:numId w:val="15"/>
        </w:numPr>
        <w:autoSpaceDE w:val="0"/>
        <w:autoSpaceDN w:val="0"/>
        <w:adjustRightInd w:val="0"/>
        <w:spacing w:before="0"/>
        <w:ind w:left="1080"/>
      </w:pPr>
      <w:r w:rsidRPr="00604396">
        <w:t>Registered Buyer name, permit number, NMFS person ID number, taxpayer ID number, and date of birth or incorporation</w:t>
      </w:r>
    </w:p>
    <w:p w:rsidRPr="00604396" w:rsidR="00106D70" w:rsidP="00286C37" w:rsidRDefault="00106D70" w14:paraId="381D8A7C" w14:textId="6AC66EC1">
      <w:pPr>
        <w:pStyle w:val="ListParagraph"/>
        <w:numPr>
          <w:ilvl w:val="0"/>
          <w:numId w:val="15"/>
        </w:numPr>
        <w:autoSpaceDE w:val="0"/>
        <w:autoSpaceDN w:val="0"/>
        <w:adjustRightInd w:val="0"/>
        <w:spacing w:before="0"/>
        <w:ind w:left="1080"/>
      </w:pPr>
      <w:r>
        <w:t>Facility or vessel location (port location)</w:t>
      </w:r>
    </w:p>
    <w:p w:rsidRPr="00604396" w:rsidR="00650CE1" w:rsidP="00286C37" w:rsidRDefault="00650CE1" w14:paraId="0ACF1576" w14:textId="77777777">
      <w:pPr>
        <w:pStyle w:val="ListParagraph"/>
        <w:numPr>
          <w:ilvl w:val="0"/>
          <w:numId w:val="15"/>
        </w:numPr>
        <w:autoSpaceDE w:val="0"/>
        <w:autoSpaceDN w:val="0"/>
        <w:adjustRightInd w:val="0"/>
        <w:spacing w:before="0"/>
        <w:ind w:left="1080"/>
      </w:pPr>
      <w:r w:rsidRPr="00604396">
        <w:t>Business mailing address: check if permanent or temporary</w:t>
      </w:r>
    </w:p>
    <w:p w:rsidRPr="00604396" w:rsidR="00650CE1" w:rsidP="00286C37" w:rsidRDefault="00650CE1" w14:paraId="4576FC3A" w14:textId="77777777">
      <w:pPr>
        <w:pStyle w:val="ListParagraph"/>
        <w:numPr>
          <w:ilvl w:val="0"/>
          <w:numId w:val="15"/>
        </w:numPr>
        <w:autoSpaceDE w:val="0"/>
        <w:autoSpaceDN w:val="0"/>
        <w:adjustRightInd w:val="0"/>
        <w:spacing w:before="0"/>
        <w:ind w:left="1080"/>
      </w:pPr>
      <w:r w:rsidRPr="00604396">
        <w:t>Business telephone number, fax number, and email address</w:t>
      </w:r>
    </w:p>
    <w:p w:rsidRPr="00604396" w:rsidR="00650CE1" w:rsidP="00286C37" w:rsidRDefault="00650CE1" w14:paraId="00B704EE" w14:textId="27AC44DD">
      <w:pPr>
        <w:autoSpaceDE w:val="0"/>
        <w:autoSpaceDN w:val="0"/>
        <w:adjustRightInd w:val="0"/>
        <w:ind w:left="360"/>
        <w:rPr>
          <w:u w:val="single"/>
        </w:rPr>
      </w:pPr>
      <w:r w:rsidRPr="00604396">
        <w:rPr>
          <w:u w:val="single"/>
        </w:rPr>
        <w:t>Non-Electronic Certification</w:t>
      </w:r>
    </w:p>
    <w:p w:rsidRPr="00604396" w:rsidR="00650CE1" w:rsidP="00286C37" w:rsidRDefault="00650CE1" w14:paraId="0844D95C" w14:textId="77777777">
      <w:pPr>
        <w:pStyle w:val="ListParagraph"/>
        <w:numPr>
          <w:ilvl w:val="0"/>
          <w:numId w:val="16"/>
        </w:numPr>
        <w:autoSpaceDE w:val="0"/>
        <w:autoSpaceDN w:val="0"/>
        <w:adjustRightInd w:val="0"/>
        <w:spacing w:before="0"/>
        <w:ind w:left="1080"/>
      </w:pPr>
      <w:r w:rsidRPr="00604396">
        <w:t>Printed name and signature of IFQ Registered Buyer Representative (attach authorization)</w:t>
      </w:r>
    </w:p>
    <w:p w:rsidRPr="00286C37" w:rsidR="00650CE1" w:rsidP="00286C37" w:rsidRDefault="00650CE1" w14:paraId="5453490E" w14:textId="77777777">
      <w:pPr>
        <w:pStyle w:val="ListParagraph"/>
        <w:numPr>
          <w:ilvl w:val="0"/>
          <w:numId w:val="16"/>
        </w:numPr>
        <w:autoSpaceDE w:val="0"/>
        <w:autoSpaceDN w:val="0"/>
        <w:adjustRightInd w:val="0"/>
        <w:spacing w:before="0"/>
        <w:ind w:left="1080"/>
      </w:pPr>
      <w:r w:rsidRPr="00286C37">
        <w:t>Date signed</w:t>
      </w:r>
    </w:p>
    <w:p w:rsidRPr="00286C37" w:rsidR="00650CE1" w:rsidP="00286C37" w:rsidRDefault="00650CE1" w14:paraId="1A2690FE" w14:textId="64B113CD">
      <w:pPr>
        <w:autoSpaceDE w:val="0"/>
        <w:autoSpaceDN w:val="0"/>
        <w:adjustRightInd w:val="0"/>
        <w:ind w:left="360"/>
        <w:rPr>
          <w:u w:val="single"/>
        </w:rPr>
      </w:pPr>
      <w:r w:rsidRPr="00286C37">
        <w:rPr>
          <w:u w:val="single"/>
        </w:rPr>
        <w:t>Pounds Purchased and Value Report</w:t>
      </w:r>
    </w:p>
    <w:p w:rsidRPr="00286C37" w:rsidR="00650CE1" w:rsidP="00286C37" w:rsidRDefault="00650CE1" w14:paraId="54951579" w14:textId="77777777">
      <w:pPr>
        <w:pStyle w:val="ListParagraph"/>
        <w:numPr>
          <w:ilvl w:val="0"/>
          <w:numId w:val="17"/>
        </w:numPr>
        <w:autoSpaceDE w:val="0"/>
        <w:autoSpaceDN w:val="0"/>
        <w:adjustRightInd w:val="0"/>
        <w:spacing w:before="0"/>
        <w:ind w:left="1080"/>
      </w:pPr>
      <w:r w:rsidRPr="00286C37">
        <w:t>For each period for IFQ halibut, CDQ halibut, and sablefish, list pounds purchased, and total gross ex-vessel value paid</w:t>
      </w:r>
    </w:p>
    <w:p w:rsidR="00650CE1" w:rsidP="00650CE1" w:rsidRDefault="00650CE1" w14:paraId="76659B72" w14:textId="36368637">
      <w:pPr>
        <w:autoSpaceDE w:val="0"/>
        <w:autoSpaceDN w:val="0"/>
        <w:adjustRightInd w:val="0"/>
      </w:pPr>
    </w:p>
    <w:p w:rsidR="00807BB1" w:rsidP="00650CE1" w:rsidRDefault="00807BB1" w14:paraId="6A4F5153" w14:textId="2039EDAD">
      <w:pPr>
        <w:autoSpaceDE w:val="0"/>
        <w:autoSpaceDN w:val="0"/>
        <w:adjustRightInd w:val="0"/>
        <w:rPr>
          <w:bCs/>
        </w:rPr>
      </w:pPr>
      <w:r w:rsidRPr="00807BB1">
        <w:rPr>
          <w:bCs/>
        </w:rPr>
        <w:t>As part of this extension request, minor editorial changes are made to the</w:t>
      </w:r>
      <w:r w:rsidRPr="00807BB1">
        <w:t xml:space="preserve"> </w:t>
      </w:r>
      <w:r w:rsidRPr="00807BB1">
        <w:rPr>
          <w:bCs/>
        </w:rPr>
        <w:t xml:space="preserve">IFQ Registered Buyer Ex-vessel Volume and Value Report to increase clarity and improve consistency with NMFS </w:t>
      </w:r>
      <w:proofErr w:type="gramStart"/>
      <w:r w:rsidRPr="00807BB1">
        <w:rPr>
          <w:bCs/>
        </w:rPr>
        <w:t>RAM’s</w:t>
      </w:r>
      <w:proofErr w:type="gramEnd"/>
      <w:r w:rsidRPr="00807BB1">
        <w:rPr>
          <w:bCs/>
        </w:rPr>
        <w:t xml:space="preserve"> other applications.</w:t>
      </w:r>
      <w:r>
        <w:rPr>
          <w:bCs/>
        </w:rPr>
        <w:t xml:space="preserve"> This includes adding a statement to the beginning of the form that reminds registered buyers this information </w:t>
      </w:r>
      <w:proofErr w:type="gramStart"/>
      <w:r>
        <w:rPr>
          <w:bCs/>
        </w:rPr>
        <w:t>may be submitted</w:t>
      </w:r>
      <w:proofErr w:type="gramEnd"/>
      <w:r>
        <w:rPr>
          <w:bCs/>
        </w:rPr>
        <w:t xml:space="preserve"> online through </w:t>
      </w:r>
      <w:proofErr w:type="spellStart"/>
      <w:r>
        <w:rPr>
          <w:bCs/>
        </w:rPr>
        <w:t>eFISH</w:t>
      </w:r>
      <w:proofErr w:type="spellEnd"/>
      <w:r>
        <w:rPr>
          <w:bCs/>
        </w:rPr>
        <w:t xml:space="preserve"> and </w:t>
      </w:r>
      <w:r w:rsidR="000D0917">
        <w:rPr>
          <w:bCs/>
        </w:rPr>
        <w:t>provides the website for</w:t>
      </w:r>
      <w:r>
        <w:rPr>
          <w:bCs/>
        </w:rPr>
        <w:t xml:space="preserve"> the </w:t>
      </w:r>
      <w:proofErr w:type="spellStart"/>
      <w:r>
        <w:rPr>
          <w:bCs/>
        </w:rPr>
        <w:t>eFISH</w:t>
      </w:r>
      <w:proofErr w:type="spellEnd"/>
      <w:r>
        <w:rPr>
          <w:bCs/>
        </w:rPr>
        <w:t xml:space="preserve"> login.</w:t>
      </w:r>
    </w:p>
    <w:p w:rsidRPr="00807BB1" w:rsidR="00DD3B75" w:rsidP="00650CE1" w:rsidRDefault="00807BB1" w14:paraId="0BE02FF0" w14:textId="575B72C8">
      <w:pPr>
        <w:autoSpaceDE w:val="0"/>
        <w:autoSpaceDN w:val="0"/>
        <w:adjustRightInd w:val="0"/>
        <w:rPr>
          <w:bCs/>
        </w:rPr>
      </w:pPr>
      <w:r>
        <w:rPr>
          <w:bCs/>
        </w:rPr>
        <w:t xml:space="preserve"> </w:t>
      </w:r>
    </w:p>
    <w:p w:rsidRPr="00650CE1" w:rsidR="00650CE1" w:rsidP="00650CE1" w:rsidRDefault="00893ECE" w14:paraId="7D435F6E" w14:textId="2DA130BA">
      <w:pPr>
        <w:autoSpaceDE w:val="0"/>
        <w:autoSpaceDN w:val="0"/>
        <w:adjustRightInd w:val="0"/>
        <w:rPr>
          <w:b/>
          <w:bCs/>
        </w:rPr>
      </w:pPr>
      <w:r>
        <w:rPr>
          <w:b/>
          <w:bCs/>
        </w:rPr>
        <w:t>e</w:t>
      </w:r>
      <w:r w:rsidRPr="00650CE1" w:rsidR="00650CE1">
        <w:rPr>
          <w:b/>
          <w:bCs/>
        </w:rPr>
        <w:t xml:space="preserve">. Appeals </w:t>
      </w:r>
      <w:r w:rsidRPr="00BC5C4F" w:rsidR="009313E2">
        <w:rPr>
          <w:b/>
          <w:bCs/>
        </w:rPr>
        <w:t>[no change]</w:t>
      </w:r>
    </w:p>
    <w:p w:rsidRPr="00650CE1" w:rsidR="00650CE1" w:rsidP="00650CE1" w:rsidRDefault="00650CE1" w14:paraId="1CB105FC" w14:textId="77777777">
      <w:pPr>
        <w:autoSpaceDE w:val="0"/>
        <w:autoSpaceDN w:val="0"/>
        <w:adjustRightInd w:val="0"/>
        <w:rPr>
          <w:bCs/>
        </w:rPr>
      </w:pPr>
    </w:p>
    <w:p w:rsidRPr="00650CE1" w:rsidR="00650CE1" w:rsidP="00650CE1" w:rsidRDefault="00650CE1" w14:paraId="4E3F544F" w14:textId="7158991D">
      <w:pPr>
        <w:autoSpaceDE w:val="0"/>
        <w:autoSpaceDN w:val="0"/>
        <w:adjustRightInd w:val="0"/>
        <w:rPr>
          <w:bCs/>
        </w:rPr>
      </w:pPr>
      <w:r w:rsidRPr="00650CE1">
        <w:rPr>
          <w:bCs/>
        </w:rPr>
        <w:t xml:space="preserve">Any person who receives an initial administrative determination (IAD) for </w:t>
      </w:r>
      <w:r w:rsidR="00870125">
        <w:rPr>
          <w:bCs/>
        </w:rPr>
        <w:t>non</w:t>
      </w:r>
      <w:r w:rsidR="003113A7">
        <w:rPr>
          <w:bCs/>
        </w:rPr>
        <w:t>-</w:t>
      </w:r>
      <w:r w:rsidR="00870125">
        <w:rPr>
          <w:bCs/>
        </w:rPr>
        <w:t xml:space="preserve">payment of the fee obligation incurred on </w:t>
      </w:r>
      <w:r w:rsidRPr="00650CE1">
        <w:rPr>
          <w:bCs/>
        </w:rPr>
        <w:t>a cost recovery fee or observer coverage fee may appeal under the appeals procedures set out at 15 CFR part 906.</w:t>
      </w:r>
    </w:p>
    <w:p w:rsidRPr="00650CE1" w:rsidR="00650CE1" w:rsidP="00650CE1" w:rsidRDefault="00650CE1" w14:paraId="6E924AA4" w14:textId="77777777">
      <w:pPr>
        <w:autoSpaceDE w:val="0"/>
        <w:autoSpaceDN w:val="0"/>
        <w:adjustRightInd w:val="0"/>
        <w:rPr>
          <w:bCs/>
        </w:rPr>
      </w:pPr>
    </w:p>
    <w:p w:rsidRPr="00650CE1" w:rsidR="00650CE1" w:rsidP="00F61207" w:rsidRDefault="00650CE1" w14:paraId="0F83B50D" w14:textId="44819E90">
      <w:pPr>
        <w:autoSpaceDE w:val="0"/>
        <w:autoSpaceDN w:val="0"/>
        <w:adjustRightInd w:val="0"/>
      </w:pPr>
      <w:r w:rsidRPr="00650CE1">
        <w:t xml:space="preserve">Administrative appeals of adverse decisions made by NMFS Alaska Region </w:t>
      </w:r>
      <w:proofErr w:type="gramStart"/>
      <w:r w:rsidRPr="00650CE1">
        <w:t>must be submitted</w:t>
      </w:r>
      <w:proofErr w:type="gramEnd"/>
      <w:r w:rsidRPr="00650CE1">
        <w:t xml:space="preserve"> to the NMFS National Appeals Office (NAO) in Silver Spring, Maryland. Instructions for submitting an appeal </w:t>
      </w:r>
      <w:proofErr w:type="gramStart"/>
      <w:r w:rsidRPr="00650CE1">
        <w:t>are provided</w:t>
      </w:r>
      <w:proofErr w:type="gramEnd"/>
      <w:r w:rsidRPr="00650CE1">
        <w:t xml:space="preserve"> on the </w:t>
      </w:r>
      <w:hyperlink w:history="1" r:id="rId43">
        <w:r w:rsidRPr="00F61207">
          <w:rPr>
            <w:rStyle w:val="Hyperlink"/>
          </w:rPr>
          <w:t>NAO website</w:t>
        </w:r>
      </w:hyperlink>
      <w:r w:rsidR="00F61207">
        <w:t>.</w:t>
      </w:r>
      <w:r w:rsidRPr="00650CE1">
        <w:t xml:space="preserve"> The appeal </w:t>
      </w:r>
      <w:proofErr w:type="gramStart"/>
      <w:r w:rsidRPr="00650CE1">
        <w:t>may be submitted</w:t>
      </w:r>
      <w:proofErr w:type="gramEnd"/>
      <w:r w:rsidRPr="00650CE1">
        <w:t xml:space="preserve"> by fax (307-713-2384) or by mail or commercial carrier to National Appeals Office, 1315 East-West Highway, Silver Spring, MD 20910.</w:t>
      </w:r>
    </w:p>
    <w:p w:rsidRPr="00650CE1" w:rsidR="00650CE1" w:rsidP="00650CE1" w:rsidRDefault="00650CE1" w14:paraId="4AC55E0F" w14:textId="77777777">
      <w:pPr>
        <w:autoSpaceDE w:val="0"/>
        <w:autoSpaceDN w:val="0"/>
        <w:adjustRightInd w:val="0"/>
      </w:pPr>
    </w:p>
    <w:p w:rsidRPr="00333FBA" w:rsidR="00333FBA" w:rsidRDefault="00333FBA" w14:paraId="31866509" w14:textId="77777777">
      <w:pPr>
        <w:pBdr>
          <w:top w:val="nil"/>
          <w:left w:val="nil"/>
          <w:bottom w:val="nil"/>
          <w:right w:val="nil"/>
          <w:between w:val="nil"/>
        </w:pBdr>
        <w:spacing w:before="7"/>
      </w:pPr>
    </w:p>
    <w:p w:rsidR="00BD2A55" w:rsidP="00DC6F01" w:rsidRDefault="00333FBA" w14:paraId="4F185A97"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26F7A" w:rsidR="00126F7A" w:rsidP="00DC6F01" w:rsidRDefault="00126F7A" w14:paraId="2362B53A" w14:textId="3B41B854"/>
    <w:p w:rsidRPr="0035626C" w:rsidR="0035626C" w:rsidP="00634EEC" w:rsidRDefault="0035626C" w14:paraId="6B5B0A62" w14:textId="2282ADA2">
      <w:pPr>
        <w:autoSpaceDE w:val="0"/>
        <w:autoSpaceDN w:val="0"/>
        <w:adjustRightInd w:val="0"/>
      </w:pPr>
      <w:r w:rsidRPr="0035626C">
        <w:t xml:space="preserve">NMFS collects all fees and the volume and value reports online through </w:t>
      </w:r>
      <w:hyperlink w:history="1" r:id="rId44">
        <w:proofErr w:type="spellStart"/>
        <w:r w:rsidRPr="0035626C">
          <w:rPr>
            <w:color w:val="0000FF"/>
            <w:u w:val="single"/>
          </w:rPr>
          <w:t>eFISH</w:t>
        </w:r>
        <w:proofErr w:type="spellEnd"/>
      </w:hyperlink>
      <w:r w:rsidRPr="0035626C">
        <w:t xml:space="preserve">. </w:t>
      </w:r>
      <w:proofErr w:type="spellStart"/>
      <w:proofErr w:type="gramStart"/>
      <w:r w:rsidRPr="0035626C">
        <w:t>eFISH</w:t>
      </w:r>
      <w:proofErr w:type="spellEnd"/>
      <w:proofErr w:type="gramEnd"/>
      <w:r w:rsidRPr="0035626C">
        <w:t xml:space="preserve"> is </w:t>
      </w:r>
      <w:r w:rsidR="00147D1E">
        <w:t xml:space="preserve">the </w:t>
      </w:r>
      <w:r w:rsidRPr="0035626C">
        <w:t xml:space="preserve">NMFS Alaska Region online Fisheries Information System. In addition to providing a method to pay </w:t>
      </w:r>
      <w:proofErr w:type="gramStart"/>
      <w:r w:rsidRPr="0035626C">
        <w:t>fees and submit volume</w:t>
      </w:r>
      <w:proofErr w:type="gramEnd"/>
      <w:r w:rsidRPr="0035626C">
        <w:t xml:space="preserve"> and value reports, </w:t>
      </w:r>
      <w:proofErr w:type="spellStart"/>
      <w:r w:rsidRPr="0035626C">
        <w:t>eFISH</w:t>
      </w:r>
      <w:proofErr w:type="spellEnd"/>
      <w:r w:rsidRPr="0035626C">
        <w:t xml:space="preserve"> provides </w:t>
      </w:r>
      <w:r w:rsidR="00634EEC">
        <w:t xml:space="preserve">an online method to submit applications and </w:t>
      </w:r>
      <w:r w:rsidRPr="0035626C">
        <w:t xml:space="preserve">access to participants’ NMFS permit accounts. </w:t>
      </w:r>
      <w:proofErr w:type="spellStart"/>
      <w:proofErr w:type="gramStart"/>
      <w:r w:rsidRPr="0035626C">
        <w:t>eFISH</w:t>
      </w:r>
      <w:proofErr w:type="spellEnd"/>
      <w:proofErr w:type="gramEnd"/>
      <w:r w:rsidRPr="0035626C">
        <w:t xml:space="preserve"> allows participants to </w:t>
      </w:r>
      <w:r w:rsidRPr="0035626C">
        <w:lastRenderedPageBreak/>
        <w:t>check account balances, vessel balances, and landing ledger reports; quota share holdings reports, processor quota share holding reports from various fisheries; report landings; conduct quota transfers; renew certain fishery permits; report a GAF landing; and check a GAF permit balance.</w:t>
      </w:r>
      <w:r w:rsidR="00634EEC">
        <w:t xml:space="preserve"> </w:t>
      </w:r>
      <w:proofErr w:type="gramStart"/>
      <w:r w:rsidRPr="0035626C">
        <w:t>Persons</w:t>
      </w:r>
      <w:proofErr w:type="gramEnd"/>
      <w:r w:rsidRPr="0035626C">
        <w:t xml:space="preserve"> </w:t>
      </w:r>
      <w:r w:rsidR="00634EEC">
        <w:t>access</w:t>
      </w:r>
      <w:r w:rsidRPr="0035626C">
        <w:t xml:space="preserve"> </w:t>
      </w:r>
      <w:proofErr w:type="spellStart"/>
      <w:r w:rsidRPr="0035626C">
        <w:t>eFISH</w:t>
      </w:r>
      <w:proofErr w:type="spellEnd"/>
      <w:r w:rsidRPr="0035626C">
        <w:t xml:space="preserve"> through a User ID and </w:t>
      </w:r>
      <w:r w:rsidR="00536E6E">
        <w:t xml:space="preserve">initial </w:t>
      </w:r>
      <w:r w:rsidRPr="0035626C">
        <w:t xml:space="preserve">password issued by NMFS. </w:t>
      </w:r>
      <w:hyperlink w:history="1" r:id="rId45">
        <w:r w:rsidR="008C2D50">
          <w:rPr>
            <w:rStyle w:val="Hyperlink"/>
          </w:rPr>
          <w:t xml:space="preserve">User guides for </w:t>
        </w:r>
        <w:proofErr w:type="spellStart"/>
        <w:r w:rsidR="008C2D50">
          <w:rPr>
            <w:rStyle w:val="Hyperlink"/>
          </w:rPr>
          <w:t>eFISH</w:t>
        </w:r>
        <w:proofErr w:type="spellEnd"/>
      </w:hyperlink>
      <w:r w:rsidRPr="0035626C">
        <w:t xml:space="preserve"> are posted on the NMFS Alaska Region website.</w:t>
      </w:r>
    </w:p>
    <w:p w:rsidR="00147D1E" w:rsidP="00DC6F01" w:rsidRDefault="00147D1E" w14:paraId="272D8052" w14:textId="5D384EA4"/>
    <w:p w:rsidR="00A3787C" w:rsidP="00DC6F01" w:rsidRDefault="007034AB" w14:paraId="203BDBEF" w14:textId="6D574830">
      <w:r>
        <w:t>T</w:t>
      </w:r>
      <w:r w:rsidRPr="007034AB">
        <w:t xml:space="preserve">he </w:t>
      </w:r>
      <w:r>
        <w:t xml:space="preserve">IFQ Permit Holder Fee </w:t>
      </w:r>
      <w:r w:rsidRPr="00BC0F31" w:rsidR="00B028A0">
        <w:t>Calculation</w:t>
      </w:r>
      <w:r w:rsidRPr="00BC0F31">
        <w:t xml:space="preserve"> Form, Registered Crab Receiver Fee </w:t>
      </w:r>
      <w:r w:rsidRPr="00BC0F31" w:rsidR="00B028A0">
        <w:t>Calculation</w:t>
      </w:r>
      <w:r w:rsidRPr="00BC0F31">
        <w:t xml:space="preserve"> For</w:t>
      </w:r>
      <w:r>
        <w:t xml:space="preserve">m, and the </w:t>
      </w:r>
      <w:r w:rsidRPr="007034AB">
        <w:t xml:space="preserve">IFQ Register Buyer Ex-vessel Volume and Value Report form are available as fillable </w:t>
      </w:r>
      <w:r w:rsidR="00661362">
        <w:t xml:space="preserve">pdfs </w:t>
      </w:r>
      <w:r w:rsidRPr="007034AB">
        <w:t xml:space="preserve">on the NMFS Alaska Region website. These forms </w:t>
      </w:r>
      <w:proofErr w:type="gramStart"/>
      <w:r w:rsidRPr="007034AB">
        <w:t xml:space="preserve">may be completed electronically by the participant, downloaded, printed, and </w:t>
      </w:r>
      <w:r w:rsidR="0085303A">
        <w:t xml:space="preserve">submitted to </w:t>
      </w:r>
      <w:r w:rsidRPr="007034AB">
        <w:t>NMFS</w:t>
      </w:r>
      <w:r w:rsidR="0085303A">
        <w:t xml:space="preserve"> </w:t>
      </w:r>
      <w:r w:rsidR="005A4E69">
        <w:t>by mail or fax</w:t>
      </w:r>
      <w:proofErr w:type="gramEnd"/>
      <w:r w:rsidRPr="007034AB">
        <w:t>.</w:t>
      </w:r>
      <w:r w:rsidR="0085303A">
        <w:t xml:space="preserve"> </w:t>
      </w:r>
    </w:p>
    <w:p w:rsidR="00C15781" w:rsidP="00DC6F01" w:rsidRDefault="00C15781" w14:paraId="48794CAD" w14:textId="58C8C1E6"/>
    <w:p w:rsidR="00C15781" w:rsidP="00DC6F01" w:rsidRDefault="00C15781" w14:paraId="28C38C71" w14:textId="3178D320">
      <w:r>
        <w:t xml:space="preserve">NMFS </w:t>
      </w:r>
      <w:r w:rsidRPr="00C15781">
        <w:t>Alaska Region is working toward offering more online services. The current data entry and retrieval system is nearing the end of its life, and a new database is in development.</w:t>
      </w:r>
      <w:r w:rsidRPr="002328D9" w:rsidR="002328D9">
        <w:t xml:space="preserve"> NMFS Alaska Region is working toward offering more online services. </w:t>
      </w:r>
    </w:p>
    <w:p w:rsidR="00A84A01" w:rsidP="00DC6F01" w:rsidRDefault="00A84A01" w14:paraId="073CC718" w14:textId="6EEC9506"/>
    <w:p w:rsidRPr="00BF3A19" w:rsidR="00661362" w:rsidP="00661362" w:rsidRDefault="00661362" w14:paraId="442D9937" w14:textId="77777777">
      <w:pPr>
        <w:widowControl/>
        <w:rPr>
          <w:b/>
        </w:rPr>
      </w:pPr>
      <w:r w:rsidRPr="00BF3A19">
        <w:t xml:space="preserve">Administrative appeals </w:t>
      </w:r>
      <w:proofErr w:type="gramStart"/>
      <w:r w:rsidRPr="00BF3A19">
        <w:t>cannot be submitted</w:t>
      </w:r>
      <w:proofErr w:type="gramEnd"/>
      <w:r w:rsidRPr="00BF3A19">
        <w:t xml:space="preserve"> electronically because the National Appeals Office requires submission of documents by fax, mail, or delivery to provide the appropriate record for legal proceedings.</w:t>
      </w:r>
    </w:p>
    <w:p w:rsidR="00661362" w:rsidP="00DC6F01" w:rsidRDefault="00661362" w14:paraId="051E012B" w14:textId="77777777"/>
    <w:p w:rsidRPr="00126F7A" w:rsidR="00126F7A" w:rsidP="00DC6F01" w:rsidRDefault="00126F7A" w14:paraId="088A91F8" w14:textId="77777777"/>
    <w:p w:rsidR="00BD2A55" w:rsidP="00DC6F01" w:rsidRDefault="00333FBA" w14:paraId="57A18CF5"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Pr="00126F7A" w:rsidR="00126F7A" w:rsidP="00DC6F01" w:rsidRDefault="00126F7A" w14:paraId="505732CE" w14:textId="7EE470FA">
      <w:pPr>
        <w:pBdr>
          <w:top w:val="nil"/>
          <w:left w:val="nil"/>
          <w:bottom w:val="nil"/>
          <w:right w:val="nil"/>
          <w:between w:val="nil"/>
        </w:pBdr>
      </w:pPr>
    </w:p>
    <w:p w:rsidRPr="0035626C" w:rsidR="0035626C" w:rsidP="0035626C" w:rsidRDefault="0035626C" w14:paraId="5176E8D6" w14:textId="789AAB7A">
      <w:pPr>
        <w:autoSpaceDE w:val="0"/>
        <w:autoSpaceDN w:val="0"/>
        <w:adjustRightInd w:val="0"/>
      </w:pPr>
      <w:r w:rsidRPr="0035626C">
        <w:t>No duplication exists with other information collections.</w:t>
      </w:r>
    </w:p>
    <w:p w:rsidRPr="00126F7A" w:rsidR="00126F7A" w:rsidP="00DC6F01" w:rsidRDefault="00126F7A" w14:paraId="1CCF2407" w14:textId="75C99F7A">
      <w:pPr>
        <w:pBdr>
          <w:top w:val="nil"/>
          <w:left w:val="nil"/>
          <w:bottom w:val="nil"/>
          <w:right w:val="nil"/>
          <w:between w:val="nil"/>
        </w:pBdr>
      </w:pPr>
    </w:p>
    <w:p w:rsidRPr="00126F7A" w:rsidR="00126F7A" w:rsidP="00DC6F01" w:rsidRDefault="00126F7A" w14:paraId="52F80A19" w14:textId="77777777">
      <w:pPr>
        <w:pBdr>
          <w:top w:val="nil"/>
          <w:left w:val="nil"/>
          <w:bottom w:val="nil"/>
          <w:right w:val="nil"/>
          <w:between w:val="nil"/>
        </w:pBdr>
      </w:pPr>
    </w:p>
    <w:p w:rsidR="00BD2A55" w:rsidP="00DC6F01" w:rsidRDefault="00333FBA" w14:paraId="5EC9E03E"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Pr="00126F7A" w:rsidR="00126F7A" w:rsidP="00DC6F01" w:rsidRDefault="00126F7A" w14:paraId="22A8DFD2" w14:textId="4E85A7EA">
      <w:pPr>
        <w:pBdr>
          <w:top w:val="nil"/>
          <w:left w:val="nil"/>
          <w:bottom w:val="nil"/>
          <w:right w:val="nil"/>
          <w:between w:val="nil"/>
        </w:pBdr>
      </w:pPr>
    </w:p>
    <w:p w:rsidR="0035626C" w:rsidP="0035626C" w:rsidRDefault="00B93A17" w14:paraId="2B083AD4" w14:textId="39A51F46">
      <w:pPr>
        <w:autoSpaceDE w:val="0"/>
        <w:autoSpaceDN w:val="0"/>
        <w:adjustRightInd w:val="0"/>
      </w:pPr>
      <w:r w:rsidRPr="00B93A17">
        <w:t xml:space="preserve">NMFS attempts to minimize the burden of this information collection on all respondents by collecting only information necessary to manage the </w:t>
      </w:r>
      <w:r>
        <w:t>p</w:t>
      </w:r>
      <w:r w:rsidRPr="00B93A17">
        <w:t>rogram</w:t>
      </w:r>
      <w:r>
        <w:t>s</w:t>
      </w:r>
      <w:r w:rsidRPr="00B93A17">
        <w:t xml:space="preserve">, by providing and supporting the online data collection program </w:t>
      </w:r>
      <w:proofErr w:type="spellStart"/>
      <w:r w:rsidRPr="00B93A17">
        <w:t>eFISH</w:t>
      </w:r>
      <w:proofErr w:type="spellEnd"/>
      <w:r>
        <w:t>,</w:t>
      </w:r>
      <w:r w:rsidRPr="00B93A17">
        <w:t xml:space="preserve"> and by </w:t>
      </w:r>
      <w:proofErr w:type="gramStart"/>
      <w:r w:rsidRPr="00B93A17">
        <w:t>providing assistance to</w:t>
      </w:r>
      <w:proofErr w:type="gramEnd"/>
      <w:r w:rsidRPr="00B93A17">
        <w:t xml:space="preserve"> users </w:t>
      </w:r>
      <w:r>
        <w:t>online</w:t>
      </w:r>
      <w:r w:rsidRPr="00B93A17">
        <w:t xml:space="preserve"> and by phone. </w:t>
      </w:r>
      <w:r w:rsidRPr="0035626C" w:rsidR="0035626C">
        <w:t xml:space="preserve">The burden on all participants </w:t>
      </w:r>
      <w:proofErr w:type="gramStart"/>
      <w:r w:rsidRPr="0035626C" w:rsidR="0035626C">
        <w:t>is minimized</w:t>
      </w:r>
      <w:proofErr w:type="gramEnd"/>
      <w:r w:rsidRPr="0035626C" w:rsidR="0035626C">
        <w:t xml:space="preserve"> by providing for electronic payment of fees and submission of the volume and value reports. </w:t>
      </w:r>
      <w:proofErr w:type="spellStart"/>
      <w:proofErr w:type="gramStart"/>
      <w:r w:rsidRPr="0035626C" w:rsidR="0035626C">
        <w:t>eFISH</w:t>
      </w:r>
      <w:proofErr w:type="spellEnd"/>
      <w:proofErr w:type="gramEnd"/>
      <w:r w:rsidRPr="0035626C" w:rsidR="0035626C">
        <w:t xml:space="preserve">, the electronic technology used to submit payment and </w:t>
      </w:r>
      <w:r w:rsidR="006F6658">
        <w:t xml:space="preserve">some </w:t>
      </w:r>
      <w:r w:rsidRPr="0035626C" w:rsidR="0035626C">
        <w:t>reports, is used by participants for other reporting and recordkeeping requirements in their fisheries. Electronic payment and submission improves data security, reduces the administrative costs of processing payments and reports, and provides an efficient and more accurate method for persons to submit the fees and reports.</w:t>
      </w:r>
    </w:p>
    <w:p w:rsidR="00B93A17" w:rsidP="0035626C" w:rsidRDefault="00B93A17" w14:paraId="3360A6B9" w14:textId="14CEE967">
      <w:pPr>
        <w:autoSpaceDE w:val="0"/>
        <w:autoSpaceDN w:val="0"/>
        <w:adjustRightInd w:val="0"/>
      </w:pPr>
    </w:p>
    <w:p w:rsidRPr="00660137" w:rsidR="00B93A17" w:rsidP="00660137" w:rsidRDefault="00B93A17" w14:paraId="60DCCC50" w14:textId="0132B55D">
      <w:pPr>
        <w:keepNext/>
        <w:widowControl/>
      </w:pPr>
      <w:proofErr w:type="spellStart"/>
      <w:proofErr w:type="gramStart"/>
      <w:r w:rsidRPr="00AA1714">
        <w:rPr>
          <w:rFonts w:eastAsiaTheme="minorHAnsi" w:cstheme="minorBidi"/>
        </w:rPr>
        <w:t>eFish</w:t>
      </w:r>
      <w:proofErr w:type="spellEnd"/>
      <w:proofErr w:type="gramEnd"/>
      <w:r w:rsidRPr="00AA1714">
        <w:rPr>
          <w:rFonts w:eastAsiaTheme="minorHAnsi" w:cstheme="minorBidi"/>
        </w:rPr>
        <w:t xml:space="preserve"> has a “help” link within the application that users can click on to view help options and user guides. </w:t>
      </w:r>
      <w:r w:rsidR="00A11047">
        <w:rPr>
          <w:rFonts w:eastAsiaTheme="minorHAnsi" w:cstheme="minorBidi"/>
        </w:rPr>
        <w:t xml:space="preserve">User guides for </w:t>
      </w:r>
      <w:proofErr w:type="spellStart"/>
      <w:r w:rsidR="00A11047">
        <w:rPr>
          <w:rFonts w:eastAsiaTheme="minorHAnsi" w:cstheme="minorBidi"/>
        </w:rPr>
        <w:t>eFISH</w:t>
      </w:r>
      <w:proofErr w:type="spellEnd"/>
      <w:r w:rsidR="00A11047">
        <w:rPr>
          <w:rFonts w:eastAsiaTheme="minorHAnsi" w:cstheme="minorBidi"/>
        </w:rPr>
        <w:t xml:space="preserve"> are posted at </w:t>
      </w:r>
      <w:hyperlink w:history="1" r:id="rId46">
        <w:r w:rsidRPr="00A11047" w:rsidR="00A11047">
          <w:rPr>
            <w:rStyle w:val="Hyperlink"/>
          </w:rPr>
          <w:t>https://www.fisheries.noaa.gov/resource/document/user-guides-efish-online-services</w:t>
        </w:r>
      </w:hyperlink>
      <w:r w:rsidRPr="00AA1714">
        <w:rPr>
          <w:rFonts w:eastAsiaTheme="minorHAnsi" w:cstheme="minorBidi"/>
        </w:rPr>
        <w:t xml:space="preserve">. NMFS also maintains documentation about </w:t>
      </w:r>
      <w:proofErr w:type="spellStart"/>
      <w:r w:rsidRPr="00AA1714">
        <w:rPr>
          <w:rFonts w:eastAsiaTheme="minorHAnsi" w:cstheme="minorBidi"/>
        </w:rPr>
        <w:t>eFISH</w:t>
      </w:r>
      <w:proofErr w:type="spellEnd"/>
      <w:r w:rsidRPr="00AA1714">
        <w:rPr>
          <w:rFonts w:eastAsiaTheme="minorHAnsi" w:cstheme="minorBidi"/>
        </w:rPr>
        <w:t xml:space="preserve"> in the </w:t>
      </w:r>
      <w:proofErr w:type="spellStart"/>
      <w:r w:rsidRPr="00AA1714">
        <w:rPr>
          <w:rFonts w:eastAsiaTheme="minorHAnsi" w:cstheme="minorBidi"/>
        </w:rPr>
        <w:t>eLandings</w:t>
      </w:r>
      <w:proofErr w:type="spellEnd"/>
      <w:r w:rsidRPr="00AA1714">
        <w:rPr>
          <w:rFonts w:eastAsiaTheme="minorHAnsi" w:cstheme="minorBidi"/>
        </w:rPr>
        <w:t xml:space="preserve"> </w:t>
      </w:r>
      <w:r w:rsidR="00A11047">
        <w:rPr>
          <w:rFonts w:eastAsiaTheme="minorHAnsi" w:cstheme="minorBidi"/>
        </w:rPr>
        <w:t>Wiki (Confluence), located at</w:t>
      </w:r>
      <w:r w:rsidRPr="00AA1714">
        <w:rPr>
          <w:rFonts w:eastAsiaTheme="minorHAnsi" w:cstheme="minorBidi"/>
        </w:rPr>
        <w:t> </w:t>
      </w:r>
      <w:hyperlink w:tgtFrame="_blank" w:history="1" r:id="rId47">
        <w:r w:rsidRPr="00AA1714">
          <w:rPr>
            <w:rFonts w:eastAsiaTheme="minorHAnsi" w:cstheme="minorBidi"/>
            <w:color w:val="0000FF"/>
            <w:u w:val="single"/>
          </w:rPr>
          <w:t>https://elandings.atlassian.net/wiki/spaces/doc/pages/31096857/eFISH+Web+Application</w:t>
        </w:r>
      </w:hyperlink>
      <w:r w:rsidR="00570915">
        <w:rPr>
          <w:rFonts w:eastAsiaTheme="minorHAnsi" w:cstheme="minorBidi"/>
          <w:color w:val="0000FF"/>
          <w:u w:val="single"/>
        </w:rPr>
        <w:t>.</w:t>
      </w:r>
      <w:r w:rsidRPr="00A11047" w:rsidR="00A11047">
        <w:t xml:space="preserve"> </w:t>
      </w:r>
      <w:r w:rsidRPr="00660137" w:rsidR="00A11047">
        <w:rPr>
          <w:rFonts w:eastAsiaTheme="minorHAnsi" w:cstheme="minorBidi"/>
        </w:rPr>
        <w:t xml:space="preserve">In </w:t>
      </w:r>
      <w:r w:rsidRPr="00660137" w:rsidR="00A11047">
        <w:rPr>
          <w:rFonts w:eastAsiaTheme="minorHAnsi" w:cstheme="minorBidi"/>
        </w:rPr>
        <w:lastRenderedPageBreak/>
        <w:t>addition, NMFS maintains a help/support call center with contractors available by phone Monday through Friday.</w:t>
      </w:r>
    </w:p>
    <w:p w:rsidRPr="00660137" w:rsidR="0035626C" w:rsidP="0035626C" w:rsidRDefault="0035626C" w14:paraId="75C5967A" w14:textId="77777777">
      <w:pPr>
        <w:autoSpaceDE w:val="0"/>
        <w:autoSpaceDN w:val="0"/>
        <w:adjustRightInd w:val="0"/>
      </w:pPr>
    </w:p>
    <w:p w:rsidRPr="00660137" w:rsidR="00126F7A" w:rsidP="00DC6F01" w:rsidRDefault="00126F7A" w14:paraId="5E9F6423" w14:textId="77777777">
      <w:pPr>
        <w:pBdr>
          <w:top w:val="nil"/>
          <w:left w:val="nil"/>
          <w:bottom w:val="nil"/>
          <w:right w:val="nil"/>
          <w:between w:val="nil"/>
        </w:pBdr>
      </w:pPr>
    </w:p>
    <w:p w:rsidR="00BD2A55" w:rsidP="00DC6F01" w:rsidRDefault="00333FBA" w14:paraId="52FFAE37"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0035626C" w:rsidP="0035626C" w:rsidRDefault="0035626C" w14:paraId="0E6C8E78" w14:textId="77777777">
      <w:pPr>
        <w:autoSpaceDE w:val="0"/>
        <w:autoSpaceDN w:val="0"/>
        <w:adjustRightInd w:val="0"/>
      </w:pPr>
    </w:p>
    <w:p w:rsidRPr="00126F7A" w:rsidR="00126F7A" w:rsidP="0035626C" w:rsidRDefault="0035626C" w14:paraId="554E7F3C" w14:textId="7AD46BB8">
      <w:pPr>
        <w:autoSpaceDE w:val="0"/>
        <w:autoSpaceDN w:val="0"/>
        <w:adjustRightInd w:val="0"/>
      </w:pPr>
      <w:r w:rsidRPr="0035626C">
        <w:t xml:space="preserve">This information collection is necessary to comply with the Magnuson-Stevens Act, which requires cost recovery fees to </w:t>
      </w:r>
      <w:proofErr w:type="gramStart"/>
      <w:r w:rsidRPr="0035626C">
        <w:t>be collected</w:t>
      </w:r>
      <w:proofErr w:type="gramEnd"/>
      <w:r w:rsidRPr="0035626C">
        <w:t xml:space="preserve"> for all LAP and CDQ programs and authorizes observer deployment fees. It would not be possible to carry out the mandates of the Magnuson-Stevens Act and other laws if approval to continue this previously approved collection were to </w:t>
      </w:r>
      <w:proofErr w:type="gramStart"/>
      <w:r w:rsidRPr="0035626C">
        <w:t>be denied</w:t>
      </w:r>
      <w:proofErr w:type="gramEnd"/>
      <w:r w:rsidRPr="0035626C">
        <w:t>.</w:t>
      </w:r>
    </w:p>
    <w:p w:rsidRPr="00126F7A" w:rsidR="00126F7A" w:rsidP="00DC6F01" w:rsidRDefault="00126F7A" w14:paraId="73660FC6" w14:textId="6185F654">
      <w:pPr>
        <w:pBdr>
          <w:top w:val="nil"/>
          <w:left w:val="nil"/>
          <w:bottom w:val="nil"/>
          <w:right w:val="nil"/>
          <w:between w:val="nil"/>
        </w:pBdr>
      </w:pPr>
    </w:p>
    <w:p w:rsidRPr="00126F7A" w:rsidR="00126F7A" w:rsidP="00DC6F01" w:rsidRDefault="00126F7A" w14:paraId="6B47D4A5" w14:textId="77777777">
      <w:pPr>
        <w:pBdr>
          <w:top w:val="nil"/>
          <w:left w:val="nil"/>
          <w:bottom w:val="nil"/>
          <w:right w:val="nil"/>
          <w:between w:val="nil"/>
        </w:pBdr>
      </w:pPr>
    </w:p>
    <w:p w:rsidR="00BD2A55" w:rsidP="00DC6F01" w:rsidRDefault="00333FBA" w14:paraId="534D1BC6"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Explain any special circumstances that would cause an information collection to </w:t>
      </w:r>
      <w:proofErr w:type="gramStart"/>
      <w:r>
        <w:rPr>
          <w:b/>
          <w:color w:val="000000"/>
        </w:rPr>
        <w:t>be conducted</w:t>
      </w:r>
      <w:proofErr w:type="gramEnd"/>
      <w:r>
        <w:rPr>
          <w:b/>
          <w:color w:val="000000"/>
        </w:rPr>
        <w:t xml:space="preserve"> in a manner inconsistent with OMB guidelines.</w:t>
      </w:r>
    </w:p>
    <w:p w:rsidRPr="00126F7A" w:rsidR="00126F7A" w:rsidP="00DC6F01" w:rsidRDefault="00126F7A" w14:paraId="41A662E3" w14:textId="4B549074">
      <w:pPr>
        <w:pBdr>
          <w:top w:val="nil"/>
          <w:left w:val="nil"/>
          <w:bottom w:val="nil"/>
          <w:right w:val="nil"/>
          <w:between w:val="nil"/>
        </w:pBdr>
      </w:pPr>
    </w:p>
    <w:p w:rsidRPr="00683556" w:rsidR="00020066" w:rsidP="00020066" w:rsidRDefault="004E4138" w14:paraId="7A2EE605" w14:textId="327245C2">
      <w:pPr>
        <w:pBdr>
          <w:top w:val="nil"/>
          <w:left w:val="nil"/>
          <w:bottom w:val="nil"/>
          <w:right w:val="nil"/>
          <w:between w:val="nil"/>
        </w:pBdr>
        <w:spacing w:before="120"/>
      </w:pPr>
      <w:r>
        <w:t xml:space="preserve">This collection </w:t>
      </w:r>
      <w:proofErr w:type="gramStart"/>
      <w:r>
        <w:t>will be conducted</w:t>
      </w:r>
      <w:proofErr w:type="gramEnd"/>
      <w:r>
        <w:t xml:space="preserve"> in a manner consistent to OMB guidelines.</w:t>
      </w:r>
    </w:p>
    <w:p w:rsidRPr="00126F7A" w:rsidR="00126F7A" w:rsidP="00DC6F01" w:rsidRDefault="00126F7A" w14:paraId="556F6BCB" w14:textId="0FF7AB3D">
      <w:pPr>
        <w:pBdr>
          <w:top w:val="nil"/>
          <w:left w:val="nil"/>
          <w:bottom w:val="nil"/>
          <w:right w:val="nil"/>
          <w:between w:val="nil"/>
        </w:pBdr>
      </w:pPr>
    </w:p>
    <w:p w:rsidRPr="00126F7A" w:rsidR="00126F7A" w:rsidP="00DC6F01" w:rsidRDefault="00126F7A" w14:paraId="2B70F776" w14:textId="77777777">
      <w:pPr>
        <w:pBdr>
          <w:top w:val="nil"/>
          <w:left w:val="nil"/>
          <w:bottom w:val="nil"/>
          <w:right w:val="nil"/>
          <w:between w:val="nil"/>
        </w:pBdr>
      </w:pPr>
    </w:p>
    <w:p w:rsidR="00BD2A55" w:rsidP="00DC6F01" w:rsidRDefault="00333FBA" w14:paraId="6B6371CF"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26F7A" w:rsidR="00126F7A" w:rsidP="00DC6F01" w:rsidRDefault="00126F7A" w14:paraId="326435AC" w14:textId="3BA45CEE">
      <w:pPr>
        <w:pBdr>
          <w:top w:val="nil"/>
          <w:left w:val="nil"/>
          <w:bottom w:val="nil"/>
          <w:right w:val="nil"/>
          <w:between w:val="nil"/>
        </w:pBdr>
      </w:pPr>
    </w:p>
    <w:p w:rsidRPr="00044872" w:rsidR="00397258" w:rsidP="00397258" w:rsidRDefault="00397258" w14:paraId="2794E502" w14:textId="509F94A0">
      <w:pPr>
        <w:pBdr>
          <w:top w:val="nil"/>
          <w:left w:val="nil"/>
          <w:bottom w:val="nil"/>
          <w:right w:val="nil"/>
          <w:between w:val="nil"/>
        </w:pBdr>
        <w:spacing w:after="160"/>
      </w:pPr>
      <w:r w:rsidRPr="00044872">
        <w:t xml:space="preserve">A </w:t>
      </w:r>
      <w:r w:rsidRPr="00044872">
        <w:rPr>
          <w:i/>
        </w:rPr>
        <w:t>Federal Register</w:t>
      </w:r>
      <w:r w:rsidRPr="00044872">
        <w:t xml:space="preserve"> Notice </w:t>
      </w:r>
      <w:r w:rsidRPr="009A34EA">
        <w:t xml:space="preserve">published on October </w:t>
      </w:r>
      <w:r w:rsidRPr="009A34EA" w:rsidR="009A34EA">
        <w:t>29</w:t>
      </w:r>
      <w:r w:rsidRPr="009A34EA">
        <w:t>, 2021 (</w:t>
      </w:r>
      <w:hyperlink w:history="1" r:id="rId48">
        <w:r w:rsidRPr="009A34EA">
          <w:rPr>
            <w:rStyle w:val="Hyperlink"/>
          </w:rPr>
          <w:t>86 FR 5</w:t>
        </w:r>
        <w:r w:rsidRPr="009A34EA" w:rsidR="009A34EA">
          <w:rPr>
            <w:rStyle w:val="Hyperlink"/>
          </w:rPr>
          <w:t>9990</w:t>
        </w:r>
      </w:hyperlink>
      <w:r w:rsidRPr="009A34EA">
        <w:t>),</w:t>
      </w:r>
      <w:r w:rsidRPr="00044872">
        <w:t xml:space="preserve"> that solicited public comments. </w:t>
      </w:r>
      <w:r w:rsidRPr="006A01AA">
        <w:t xml:space="preserve">No comments </w:t>
      </w:r>
      <w:proofErr w:type="gramStart"/>
      <w:r w:rsidRPr="006A01AA">
        <w:t>were received</w:t>
      </w:r>
      <w:proofErr w:type="gramEnd"/>
      <w:r w:rsidRPr="006A01AA">
        <w:t xml:space="preserve"> from the </w:t>
      </w:r>
      <w:r w:rsidRPr="006A01AA">
        <w:rPr>
          <w:i/>
        </w:rPr>
        <w:t>Federal Register</w:t>
      </w:r>
      <w:r w:rsidRPr="006A01AA">
        <w:t xml:space="preserve"> notice</w:t>
      </w:r>
      <w:r w:rsidRPr="00E373F3">
        <w:t>.</w:t>
      </w:r>
      <w:r>
        <w:t xml:space="preserve"> </w:t>
      </w:r>
      <w:r w:rsidRPr="00044872">
        <w:t xml:space="preserve">In addition to the </w:t>
      </w:r>
      <w:r w:rsidRPr="00044872">
        <w:rPr>
          <w:i/>
        </w:rPr>
        <w:t>Federal Register</w:t>
      </w:r>
      <w:r w:rsidRPr="00044872">
        <w:t xml:space="preserve"> notice,</w:t>
      </w:r>
      <w:r>
        <w:t xml:space="preserve"> NMFS </w:t>
      </w:r>
      <w:r w:rsidRPr="000F5B74">
        <w:t>contacted</w:t>
      </w:r>
      <w:r>
        <w:t xml:space="preserve"> </w:t>
      </w:r>
      <w:r w:rsidRPr="00BE4DC4">
        <w:t>stakeholders outside the agency to obtain their views</w:t>
      </w:r>
      <w:r w:rsidRPr="00044872">
        <w:t xml:space="preserve"> on the availability of data, frequency of collection, the clarity of instructions and recordkeeping, disclosure, or reporting format, and on the data elements to be </w:t>
      </w:r>
      <w:proofErr w:type="gramStart"/>
      <w:r w:rsidRPr="00044872">
        <w:t>recorded</w:t>
      </w:r>
      <w:proofErr w:type="gramEnd"/>
      <w:r w:rsidRPr="00044872">
        <w:t xml:space="preserve">, disclosed, or reported. </w:t>
      </w:r>
      <w:r w:rsidRPr="00397258">
        <w:t xml:space="preserve">No comments </w:t>
      </w:r>
      <w:proofErr w:type="gramStart"/>
      <w:r w:rsidRPr="00397258">
        <w:t>were received</w:t>
      </w:r>
      <w:proofErr w:type="gramEnd"/>
      <w:r w:rsidRPr="00397258">
        <w:t xml:space="preserve"> from the</w:t>
      </w:r>
      <w:r>
        <w:t xml:space="preserve"> </w:t>
      </w:r>
      <w:r w:rsidR="004B0F67">
        <w:t>stakeholders</w:t>
      </w:r>
      <w:r w:rsidRPr="00397258" w:rsidR="004B0F67">
        <w:t xml:space="preserve"> </w:t>
      </w:r>
      <w:r w:rsidRPr="00397258">
        <w:t xml:space="preserve">or the </w:t>
      </w:r>
      <w:r w:rsidRPr="009A34EA">
        <w:rPr>
          <w:i/>
        </w:rPr>
        <w:t>Federal Register</w:t>
      </w:r>
      <w:r w:rsidRPr="00397258">
        <w:t xml:space="preserve"> notice.</w:t>
      </w:r>
    </w:p>
    <w:p w:rsidRPr="00126F7A" w:rsidR="00126F7A" w:rsidP="00DC6F01" w:rsidRDefault="00126F7A" w14:paraId="4BB17CE9" w14:textId="77777777">
      <w:pPr>
        <w:pBdr>
          <w:top w:val="nil"/>
          <w:left w:val="nil"/>
          <w:bottom w:val="nil"/>
          <w:right w:val="nil"/>
          <w:between w:val="nil"/>
        </w:pBdr>
      </w:pPr>
    </w:p>
    <w:p w:rsidR="00BD2A55" w:rsidP="00DC6F01" w:rsidRDefault="00333FBA" w14:paraId="3CC7E574"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Pr="00264851" w:rsidR="00264851" w:rsidP="00DC6F01" w:rsidRDefault="00264851" w14:paraId="48C4EC21" w14:textId="19908FB9">
      <w:pPr>
        <w:pBdr>
          <w:top w:val="nil"/>
          <w:left w:val="nil"/>
          <w:bottom w:val="nil"/>
          <w:right w:val="nil"/>
          <w:between w:val="nil"/>
        </w:pBdr>
      </w:pPr>
    </w:p>
    <w:p w:rsidRPr="00264851" w:rsidR="00264851" w:rsidP="00DC6F01" w:rsidRDefault="007B7B02" w14:paraId="59E663CD" w14:textId="4D88DAFF">
      <w:pPr>
        <w:pBdr>
          <w:top w:val="nil"/>
          <w:left w:val="nil"/>
          <w:bottom w:val="nil"/>
          <w:right w:val="nil"/>
          <w:between w:val="nil"/>
        </w:pBdr>
      </w:pPr>
      <w:r w:rsidRPr="007B7B02">
        <w:t>No payment or gif</w:t>
      </w:r>
      <w:r w:rsidR="00965325">
        <w:t xml:space="preserve">t </w:t>
      </w:r>
      <w:proofErr w:type="gramStart"/>
      <w:r w:rsidR="00965325">
        <w:t>is provided</w:t>
      </w:r>
      <w:proofErr w:type="gramEnd"/>
      <w:r w:rsidRPr="007B7B02">
        <w:t>.</w:t>
      </w:r>
    </w:p>
    <w:p w:rsidRPr="00264851" w:rsidR="00264851" w:rsidP="00DC6F01" w:rsidRDefault="00264851" w14:paraId="3E7C014B" w14:textId="66EE8934">
      <w:pPr>
        <w:pBdr>
          <w:top w:val="nil"/>
          <w:left w:val="nil"/>
          <w:bottom w:val="nil"/>
          <w:right w:val="nil"/>
          <w:between w:val="nil"/>
        </w:pBdr>
      </w:pPr>
    </w:p>
    <w:p w:rsidRPr="00264851" w:rsidR="00264851" w:rsidP="00DC6F01" w:rsidRDefault="00264851" w14:paraId="08532952" w14:textId="77777777">
      <w:pPr>
        <w:pBdr>
          <w:top w:val="nil"/>
          <w:left w:val="nil"/>
          <w:bottom w:val="nil"/>
          <w:right w:val="nil"/>
          <w:between w:val="nil"/>
        </w:pBdr>
      </w:pPr>
    </w:p>
    <w:p w:rsidR="00BD2A55" w:rsidP="00DC6F01" w:rsidRDefault="007623F5" w14:paraId="3ABEFE1A" w14:textId="01F11D19">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00333FBA">
        <w:rPr>
          <w:b/>
          <w:color w:val="000000"/>
        </w:rPr>
        <w:t>should be cited and described here</w:t>
      </w:r>
      <w:proofErr w:type="gramEnd"/>
      <w:r w:rsidR="00333FBA">
        <w:rPr>
          <w:b/>
          <w:color w:val="000000"/>
        </w:rPr>
        <w:t>.</w:t>
      </w:r>
    </w:p>
    <w:p w:rsidRPr="003C0E80" w:rsidR="003C0E80" w:rsidP="00DC6F01" w:rsidRDefault="003C0E80" w14:paraId="26C5A784" w14:textId="31ED2D1B">
      <w:pPr>
        <w:pBdr>
          <w:top w:val="nil"/>
          <w:left w:val="nil"/>
          <w:bottom w:val="nil"/>
          <w:right w:val="nil"/>
          <w:between w:val="nil"/>
        </w:pBdr>
      </w:pPr>
    </w:p>
    <w:p w:rsidRPr="00965325" w:rsidR="00965325" w:rsidP="00015717" w:rsidRDefault="00015717" w14:paraId="438270BC" w14:textId="79533A28">
      <w:pPr>
        <w:keepNext/>
      </w:pPr>
      <w:r w:rsidRPr="00015717">
        <w:t xml:space="preserve">All information collections by NMFS, Alaska Region, are protected under confidentiality provisions of section 402(b) of the Magnuson-Stevens Act as amended in 2006 (16 U.S.C. 1801, </w:t>
      </w:r>
      <w:r w:rsidRPr="00015717">
        <w:rPr>
          <w:i/>
        </w:rPr>
        <w:t>et seq</w:t>
      </w:r>
      <w:r w:rsidRPr="00015717">
        <w:t xml:space="preserve">.) and </w:t>
      </w:r>
      <w:r w:rsidRPr="00965325" w:rsidR="00965325">
        <w:t>under</w:t>
      </w:r>
      <w:hyperlink w:history="1" r:id="rId49">
        <w:r w:rsidRPr="00965325" w:rsidR="00965325">
          <w:rPr>
            <w:color w:val="0000FF"/>
            <w:u w:val="single"/>
          </w:rPr>
          <w:t xml:space="preserve"> NOAA Administrative Order 216-100</w:t>
        </w:r>
      </w:hyperlink>
      <w:r w:rsidRPr="00965325" w:rsidR="00965325">
        <w:t>, which sets forth procedures to protect confidentiality of fishery statistics.</w:t>
      </w:r>
    </w:p>
    <w:p w:rsidRPr="00965325" w:rsidR="00965325" w:rsidP="00965325" w:rsidRDefault="00965325" w14:paraId="7E2BB9CE" w14:textId="77777777">
      <w:pPr>
        <w:autoSpaceDE w:val="0"/>
        <w:autoSpaceDN w:val="0"/>
        <w:adjustRightInd w:val="0"/>
      </w:pPr>
    </w:p>
    <w:p w:rsidR="00965325" w:rsidP="00965325" w:rsidRDefault="00965325" w14:paraId="6E84080C" w14:textId="78B3F59A">
      <w:pPr>
        <w:autoSpaceDE w:val="0"/>
        <w:autoSpaceDN w:val="0"/>
        <w:adjustRightInd w:val="0"/>
        <w:rPr>
          <w:highlight w:val="lightGray"/>
        </w:rPr>
      </w:pPr>
      <w:r w:rsidRPr="00965325">
        <w:t xml:space="preserve">The System of Records Notice that covers this information collection is </w:t>
      </w:r>
      <w:hyperlink w:history="1" r:id="rId50">
        <w:r w:rsidRPr="00965325">
          <w:rPr>
            <w:color w:val="0000FF"/>
            <w:u w:val="single"/>
          </w:rPr>
          <w:t>COMMERCE/NOAA-19, Permits and Registrations for United States Federally Regulated Fisheries</w:t>
        </w:r>
      </w:hyperlink>
      <w:r w:rsidRPr="00965325">
        <w:t xml:space="preserve">. An amended Privacy Act system of records notice was published in the </w:t>
      </w:r>
      <w:r w:rsidRPr="00965325">
        <w:rPr>
          <w:i/>
        </w:rPr>
        <w:t>Federal Register</w:t>
      </w:r>
      <w:r w:rsidRPr="00965325">
        <w:t xml:space="preserve"> on August 7, 2015 (80 FR 47457), and became effective September 15, 2015 (80 FR 55327).</w:t>
      </w:r>
      <w:r w:rsidRPr="00965325">
        <w:rPr>
          <w:highlight w:val="lightGray"/>
        </w:rPr>
        <w:t xml:space="preserve"> </w:t>
      </w:r>
    </w:p>
    <w:p w:rsidRPr="00755168" w:rsidR="00755168" w:rsidP="00755168" w:rsidRDefault="00755168" w14:paraId="159E05B6" w14:textId="77777777">
      <w:pPr>
        <w:widowControl/>
        <w:autoSpaceDE w:val="0"/>
        <w:autoSpaceDN w:val="0"/>
        <w:rPr>
          <w:rFonts w:eastAsiaTheme="minorHAnsi"/>
          <w:color w:val="2F5496"/>
        </w:rPr>
      </w:pPr>
    </w:p>
    <w:p w:rsidRPr="00755168" w:rsidR="00755168" w:rsidP="00755168" w:rsidRDefault="00755168" w14:paraId="0EB3C8FC" w14:textId="65B6A9E8">
      <w:pPr>
        <w:widowControl/>
        <w:autoSpaceDE w:val="0"/>
        <w:autoSpaceDN w:val="0"/>
        <w:rPr>
          <w:rFonts w:eastAsia="Arial"/>
          <w:lang w:bidi="en-US"/>
        </w:rPr>
      </w:pPr>
      <w:r w:rsidRPr="00755168">
        <w:rPr>
          <w:rFonts w:eastAsia="Arial"/>
          <w:lang w:bidi="en-US"/>
        </w:rPr>
        <w:t xml:space="preserve">The Privacy Impact Assessment that covers this information collection is </w:t>
      </w:r>
      <w:hyperlink w:history="1" r:id="rId51">
        <w:r w:rsidRPr="00755168">
          <w:rPr>
            <w:rFonts w:eastAsia="Arial"/>
            <w:color w:val="0000FF"/>
            <w:u w:val="single"/>
            <w:lang w:bidi="en-US"/>
          </w:rPr>
          <w:t>NOAA NMFS Alaska Region Local Area Network (NOAA4700)</w:t>
        </w:r>
      </w:hyperlink>
      <w:r w:rsidRPr="00755168">
        <w:rPr>
          <w:rFonts w:eastAsia="Arial"/>
          <w:lang w:bidi="en-US"/>
        </w:rPr>
        <w:t>.</w:t>
      </w:r>
    </w:p>
    <w:p w:rsidRPr="00965325" w:rsidR="00965325" w:rsidP="00965325" w:rsidRDefault="00965325" w14:paraId="5A35AA12" w14:textId="77777777">
      <w:pPr>
        <w:autoSpaceDE w:val="0"/>
        <w:autoSpaceDN w:val="0"/>
        <w:adjustRightInd w:val="0"/>
      </w:pPr>
    </w:p>
    <w:p w:rsidRPr="00965325" w:rsidR="00965325" w:rsidP="00965325" w:rsidRDefault="00965325" w14:paraId="57CA5C2A" w14:textId="7269E88E">
      <w:pPr>
        <w:autoSpaceDE w:val="0"/>
        <w:autoSpaceDN w:val="0"/>
        <w:adjustRightInd w:val="0"/>
      </w:pPr>
      <w:r w:rsidRPr="00965325">
        <w:t xml:space="preserve">Additionally, electronic fee payment improves data security. When making a payment in </w:t>
      </w:r>
      <w:proofErr w:type="spellStart"/>
      <w:r w:rsidRPr="00965325">
        <w:t>eFISH</w:t>
      </w:r>
      <w:proofErr w:type="spellEnd"/>
      <w:r w:rsidRPr="00965325">
        <w:t xml:space="preserve">, users </w:t>
      </w:r>
      <w:proofErr w:type="gramStart"/>
      <w:r w:rsidRPr="00965325">
        <w:t>are redirected</w:t>
      </w:r>
      <w:proofErr w:type="gramEnd"/>
      <w:r w:rsidRPr="00965325">
        <w:t xml:space="preserve"> to pay.gov. Pay.gov is a secure payment service offered by the Department of Treasury used to process payments for many government agencies, including NMFS. Pay.gov offers the highest level of security for personal and financial information submitted to pay fees. It uses the latest industry-standard methods and encryption to safely collect, store, and transmit information that </w:t>
      </w:r>
      <w:proofErr w:type="gramStart"/>
      <w:r w:rsidRPr="00965325">
        <w:t>is submitted</w:t>
      </w:r>
      <w:proofErr w:type="gramEnd"/>
      <w:r w:rsidRPr="00965325">
        <w:t>.</w:t>
      </w:r>
    </w:p>
    <w:p w:rsidRPr="00965325" w:rsidR="00965325" w:rsidP="00965325" w:rsidRDefault="00965325" w14:paraId="093E991E" w14:textId="77777777">
      <w:pPr>
        <w:autoSpaceDE w:val="0"/>
        <w:autoSpaceDN w:val="0"/>
        <w:adjustRightInd w:val="0"/>
      </w:pPr>
    </w:p>
    <w:p w:rsidRPr="00965325" w:rsidR="00965325" w:rsidP="00965325" w:rsidRDefault="00965325" w14:paraId="4184CFEB" w14:textId="61814E3C">
      <w:pPr>
        <w:autoSpaceDE w:val="0"/>
        <w:autoSpaceDN w:val="0"/>
        <w:adjustRightInd w:val="0"/>
      </w:pPr>
      <w:r w:rsidRPr="00965325">
        <w:t>By using pay.gov, NMFS does not handle</w:t>
      </w:r>
      <w:r w:rsidR="00663AAF">
        <w:t>, store,</w:t>
      </w:r>
      <w:r w:rsidRPr="00965325">
        <w:t xml:space="preserve"> or </w:t>
      </w:r>
      <w:r w:rsidR="00663AAF">
        <w:t>process</w:t>
      </w:r>
      <w:r w:rsidRPr="00965325">
        <w:t xml:space="preserve"> credit/debit card or bank account information.</w:t>
      </w:r>
    </w:p>
    <w:p w:rsidRPr="003C0E80" w:rsidR="003C0E80" w:rsidP="00DC6F01" w:rsidRDefault="003C0E80" w14:paraId="57B690EE" w14:textId="019586A4">
      <w:pPr>
        <w:pBdr>
          <w:top w:val="nil"/>
          <w:left w:val="nil"/>
          <w:bottom w:val="nil"/>
          <w:right w:val="nil"/>
          <w:between w:val="nil"/>
        </w:pBdr>
      </w:pPr>
    </w:p>
    <w:p w:rsidRPr="003C0E80" w:rsidR="003C0E80" w:rsidP="00DC6F01" w:rsidRDefault="003C0E80" w14:paraId="605AF042" w14:textId="77777777">
      <w:pPr>
        <w:pBdr>
          <w:top w:val="nil"/>
          <w:left w:val="nil"/>
          <w:bottom w:val="nil"/>
          <w:right w:val="nil"/>
          <w:between w:val="nil"/>
        </w:pBdr>
      </w:pPr>
    </w:p>
    <w:p w:rsidR="00BD2A55" w:rsidP="00FB0092" w:rsidRDefault="007623F5" w14:paraId="11AC000E" w14:textId="133F2920">
      <w:pPr>
        <w:keepNext/>
        <w:keepLines/>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Provide additional justification for any questions of a sensitive nature, such as sexual behavior or attitudes, religious beliefs, and other matters that </w:t>
      </w:r>
      <w:proofErr w:type="gramStart"/>
      <w:r w:rsidR="00333FBA">
        <w:rPr>
          <w:b/>
          <w:color w:val="000000"/>
        </w:rPr>
        <w:t>are commonly considered</w:t>
      </w:r>
      <w:proofErr w:type="gramEnd"/>
      <w:r w:rsidR="00333FBA">
        <w:rPr>
          <w:b/>
          <w:color w:val="000000"/>
        </w:rPr>
        <w:t xml:space="preserve"> private. This justification should include the reasons why the agency considers the questions necessary, the specific uses to be made of the information, the explanation to </w:t>
      </w:r>
      <w:proofErr w:type="gramStart"/>
      <w:r w:rsidR="00333FBA">
        <w:rPr>
          <w:b/>
          <w:color w:val="000000"/>
        </w:rPr>
        <w:t>be given</w:t>
      </w:r>
      <w:proofErr w:type="gramEnd"/>
      <w:r w:rsidR="00333FBA">
        <w:rPr>
          <w:b/>
          <w:color w:val="000000"/>
        </w:rPr>
        <w:t xml:space="preserve"> to persons from whom the information is requested, and any steps to be taken to obtain their consent.</w:t>
      </w:r>
    </w:p>
    <w:p w:rsidRPr="00D738AC" w:rsidR="003C0E80" w:rsidP="00DC6F01" w:rsidRDefault="003C0E80" w14:paraId="440C2D38" w14:textId="4BC7D3D4">
      <w:pPr>
        <w:spacing w:line="259" w:lineRule="auto"/>
      </w:pPr>
    </w:p>
    <w:p w:rsidR="002C0B9C" w:rsidP="00644AB0" w:rsidRDefault="002C0B9C" w14:paraId="0B9EC3A2" w14:textId="48A5D221">
      <w:pPr>
        <w:spacing w:line="259" w:lineRule="auto"/>
      </w:pPr>
      <w:r>
        <w:t xml:space="preserve">The </w:t>
      </w:r>
      <w:r w:rsidRPr="00D738AC">
        <w:t>IFQ Registered Buyer Ex-vessel Volume and Value Report</w:t>
      </w:r>
      <w:r w:rsidR="00522A3B">
        <w:t xml:space="preserve"> form</w:t>
      </w:r>
      <w:r w:rsidR="00644AB0">
        <w:t>, CR Registered Crab Receiver Ex-vessel Volume and Value Report,</w:t>
      </w:r>
      <w:r w:rsidRPr="00D738AC">
        <w:t xml:space="preserve"> </w:t>
      </w:r>
      <w:r>
        <w:t xml:space="preserve">and the Registered Crab Receiver (RCR) Fee Calculation Form </w:t>
      </w:r>
      <w:r w:rsidR="00AF2613">
        <w:t>collect</w:t>
      </w:r>
      <w:r w:rsidRPr="00B63930" w:rsidR="00B63930">
        <w:t xml:space="preserve"> </w:t>
      </w:r>
      <w:r w:rsidR="00C9782F">
        <w:t>the</w:t>
      </w:r>
      <w:r w:rsidRPr="00B63930" w:rsidR="00B63930">
        <w:t xml:space="preserve"> applicant’s taxpayer identification number (TIN).</w:t>
      </w:r>
      <w:r w:rsidRPr="00AF2613" w:rsidR="00AF2613">
        <w:t xml:space="preserve"> A TIN may be an applican</w:t>
      </w:r>
      <w:r w:rsidR="00A604C3">
        <w:t>t’s social security number</w:t>
      </w:r>
      <w:r w:rsidRPr="00AF2613" w:rsidR="00AF2613">
        <w:t>, which is sensitive personal identifiable information (PII).</w:t>
      </w:r>
    </w:p>
    <w:p w:rsidR="00AF2613" w:rsidP="00AF2613" w:rsidRDefault="00AF2613" w14:paraId="586DD144" w14:textId="77777777">
      <w:pPr>
        <w:autoSpaceDE w:val="0"/>
        <w:autoSpaceDN w:val="0"/>
        <w:contextualSpacing/>
      </w:pPr>
    </w:p>
    <w:p w:rsidRPr="004E4138" w:rsidR="004E4138" w:rsidP="004E4138" w:rsidRDefault="00AF2613" w14:paraId="12CD377C" w14:textId="766138B4">
      <w:pPr>
        <w:autoSpaceDE w:val="0"/>
        <w:autoSpaceDN w:val="0"/>
        <w:contextualSpacing/>
      </w:pPr>
      <w:r>
        <w:t xml:space="preserve">NMFS must collect and store an entity’s TIN </w:t>
      </w:r>
      <w:proofErr w:type="gramStart"/>
      <w:r>
        <w:t>for the purpose of</w:t>
      </w:r>
      <w:proofErr w:type="gramEnd"/>
      <w:r>
        <w:t xml:space="preserve"> complying with the Debt Collection Act of 1996. All IFQ registered buyers may incur a debt to the government because of fee liabilities charged under the IFQ Program cost recovery fee program authorized under section 304(d)(2)(A) of the Magnuson-Stevens Act and implemented by regulations at </w:t>
      </w:r>
      <w:r w:rsidRPr="00F111C8">
        <w:t xml:space="preserve">50 CFR 679.45. All registered crab receivers may incur a debt to the government because of fee liabilities charged under the </w:t>
      </w:r>
      <w:r w:rsidRPr="00F111C8" w:rsidR="00F111C8">
        <w:t>CR</w:t>
      </w:r>
      <w:r w:rsidRPr="00F111C8">
        <w:t xml:space="preserve"> Program cost recovery fee program authorized under section 304(d)(2)(A) of the Magnuson-Stevens Act and implemented by regulations at 50 CFR 6</w:t>
      </w:r>
      <w:r w:rsidRPr="00F111C8" w:rsidR="00F111C8">
        <w:t>80.44</w:t>
      </w:r>
      <w:r>
        <w:t xml:space="preserve">. Therefore, NMFS must collect and store every IFQ </w:t>
      </w:r>
      <w:r w:rsidR="00F111C8">
        <w:t>registered buyer’s</w:t>
      </w:r>
      <w:r>
        <w:t xml:space="preserve"> TIN</w:t>
      </w:r>
      <w:r w:rsidR="00F111C8">
        <w:t xml:space="preserve"> and every registered crab receiver’s TIN</w:t>
      </w:r>
      <w:r w:rsidR="00644AB0">
        <w:t>.</w:t>
      </w:r>
    </w:p>
    <w:p w:rsidR="00195C9C" w:rsidP="00D738AC" w:rsidRDefault="00195C9C" w14:paraId="2E971F21" w14:textId="149CAA22">
      <w:pPr>
        <w:spacing w:line="259" w:lineRule="auto"/>
        <w:rPr>
          <w:color w:val="2F5496"/>
        </w:rPr>
        <w:sectPr w:rsidR="00195C9C" w:rsidSect="00BA0799">
          <w:pgSz w:w="12240" w:h="15840"/>
          <w:pgMar w:top="1440" w:right="1440" w:bottom="1440" w:left="1440" w:header="0" w:footer="1014" w:gutter="0"/>
          <w:cols w:space="720"/>
          <w:docGrid w:linePitch="326"/>
        </w:sectPr>
      </w:pPr>
    </w:p>
    <w:p w:rsidR="00BD2A55" w:rsidP="00DC6F01" w:rsidRDefault="007623F5" w14:paraId="011A23D2" w14:textId="2D96C258">
      <w:pPr>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 xml:space="preserve"> </w:t>
      </w:r>
      <w:r w:rsidR="00333FBA">
        <w:rPr>
          <w:b/>
          <w:color w:val="000000"/>
        </w:rPr>
        <w:t>Provide estimates of the hour burden of the collection of information.</w:t>
      </w:r>
    </w:p>
    <w:p w:rsidRPr="002D4A12" w:rsidR="00285A65" w:rsidP="00285A65" w:rsidRDefault="00285A65" w14:paraId="0BAA7CD8" w14:textId="3D4B000A">
      <w:pPr>
        <w:pBdr>
          <w:top w:val="nil"/>
          <w:left w:val="nil"/>
          <w:bottom w:val="nil"/>
          <w:right w:val="nil"/>
          <w:between w:val="nil"/>
        </w:pBdr>
        <w:tabs>
          <w:tab w:val="left" w:pos="360"/>
        </w:tabs>
        <w:rPr>
          <w:color w:val="000000"/>
        </w:rPr>
      </w:pPr>
    </w:p>
    <w:p w:rsidRPr="00F75951" w:rsidR="004C13EA" w:rsidP="004C13EA" w:rsidRDefault="004C13EA" w14:paraId="354F75A1" w14:textId="2B85575B">
      <w:pPr>
        <w:pBdr>
          <w:top w:val="nil"/>
          <w:left w:val="nil"/>
          <w:bottom w:val="nil"/>
          <w:right w:val="nil"/>
          <w:between w:val="nil"/>
        </w:pBdr>
        <w:tabs>
          <w:tab w:val="left" w:pos="360"/>
        </w:tabs>
        <w:rPr>
          <w:color w:val="000000"/>
        </w:rPr>
      </w:pPr>
      <w:r>
        <w:t xml:space="preserve">The wage cost estimate of $27.43 is from the Bureau of Labor Statistics mean </w:t>
      </w:r>
      <w:r w:rsidRPr="004C13EA">
        <w:t>hour</w:t>
      </w:r>
      <w:r>
        <w:t>ly</w:t>
      </w:r>
      <w:r w:rsidRPr="004C13EA">
        <w:t xml:space="preserve"> wage for </w:t>
      </w:r>
      <w:r w:rsidRPr="004C13EA">
        <w:rPr>
          <w:rStyle w:val="CommentReference"/>
          <w:sz w:val="24"/>
          <w:szCs w:val="24"/>
        </w:rPr>
        <w:t>Occupation Code 45-0000 (Farming, Fishing, and Forestry Occupations), Sector 11 (Agriculture</w:t>
      </w:r>
      <w:r>
        <w:rPr>
          <w:rStyle w:val="CommentReference"/>
          <w:sz w:val="24"/>
          <w:szCs w:val="24"/>
        </w:rPr>
        <w:t xml:space="preserve">, Forestry, Fishing and Hunting; </w:t>
      </w:r>
      <w:hyperlink w:tgtFrame="_blank" w:history="1" r:id="rId52">
        <w:r w:rsidRPr="00636E60">
          <w:rPr>
            <w:rFonts w:eastAsia="Calibri"/>
            <w:color w:val="1155CC"/>
            <w:u w:val="single"/>
          </w:rPr>
          <w:t>May 2020 Occupational Employment Statistics Research Estimates, Alaska</w:t>
        </w:r>
      </w:hyperlink>
      <w:r w:rsidRPr="004C13EA">
        <w:rPr>
          <w:rFonts w:eastAsia="Calibri"/>
        </w:rPr>
        <w:t>)</w:t>
      </w:r>
      <w:r>
        <w:rPr>
          <w:rStyle w:val="CommentReference"/>
          <w:sz w:val="24"/>
          <w:szCs w:val="24"/>
        </w:rPr>
        <w:t xml:space="preserve"> and has been used for these respondents in other NMFS AKR information collections. T</w:t>
      </w:r>
      <w:r>
        <w:rPr>
          <w:color w:val="000000"/>
        </w:rPr>
        <w:t xml:space="preserve">he other hourly wage rates </w:t>
      </w:r>
      <w:proofErr w:type="gramStart"/>
      <w:r>
        <w:rPr>
          <w:color w:val="000000"/>
        </w:rPr>
        <w:t>are based</w:t>
      </w:r>
      <w:proofErr w:type="gramEnd"/>
      <w:r>
        <w:rPr>
          <w:color w:val="000000"/>
        </w:rPr>
        <w:t xml:space="preserve"> </w:t>
      </w:r>
      <w:r w:rsidR="00F75951">
        <w:rPr>
          <w:color w:val="000000"/>
        </w:rPr>
        <w:t>on other</w:t>
      </w:r>
      <w:r>
        <w:rPr>
          <w:color w:val="000000"/>
        </w:rPr>
        <w:t xml:space="preserve"> </w:t>
      </w:r>
      <w:r w:rsidR="00F75951">
        <w:rPr>
          <w:color w:val="000000"/>
        </w:rPr>
        <w:t xml:space="preserve">BLS </w:t>
      </w:r>
      <w:r>
        <w:rPr>
          <w:color w:val="000000"/>
        </w:rPr>
        <w:t xml:space="preserve">wage rates or comments received </w:t>
      </w:r>
      <w:r w:rsidR="00F75951">
        <w:rPr>
          <w:color w:val="000000"/>
        </w:rPr>
        <w:t xml:space="preserve">and which have been </w:t>
      </w:r>
      <w:r w:rsidRPr="00097158">
        <w:rPr>
          <w:color w:val="000000"/>
        </w:rPr>
        <w:t>reported for th</w:t>
      </w:r>
      <w:r w:rsidR="00F75951">
        <w:rPr>
          <w:color w:val="000000"/>
        </w:rPr>
        <w:t xml:space="preserve">ese </w:t>
      </w:r>
      <w:r w:rsidRPr="00097158">
        <w:rPr>
          <w:color w:val="000000"/>
        </w:rPr>
        <w:t xml:space="preserve">respondents </w:t>
      </w:r>
      <w:r w:rsidR="00F75951">
        <w:rPr>
          <w:color w:val="000000"/>
        </w:rPr>
        <w:t>in</w:t>
      </w:r>
      <w:r>
        <w:rPr>
          <w:color w:val="000000"/>
        </w:rPr>
        <w:t xml:space="preserve"> </w:t>
      </w:r>
      <w:r w:rsidR="00F75951">
        <w:rPr>
          <w:color w:val="000000"/>
        </w:rPr>
        <w:t xml:space="preserve">NMFS AKR </w:t>
      </w:r>
      <w:r>
        <w:rPr>
          <w:color w:val="000000"/>
        </w:rPr>
        <w:t xml:space="preserve">information collections approved under other OMB control numbers. </w:t>
      </w:r>
      <w:r w:rsidR="00F75951">
        <w:rPr>
          <w:color w:val="000000"/>
        </w:rPr>
        <w:t xml:space="preserve">These collections </w:t>
      </w:r>
      <w:proofErr w:type="gramStart"/>
      <w:r w:rsidR="00F75951">
        <w:rPr>
          <w:color w:val="000000"/>
        </w:rPr>
        <w:t>are noted</w:t>
      </w:r>
      <w:proofErr w:type="gramEnd"/>
      <w:r w:rsidR="00F75951">
        <w:rPr>
          <w:color w:val="000000"/>
        </w:rPr>
        <w:t xml:space="preserve"> in the table’s footnotes. The</w:t>
      </w:r>
      <w:r w:rsidRPr="00097158">
        <w:rPr>
          <w:color w:val="000000"/>
        </w:rPr>
        <w:t xml:space="preserve"> wage rate estimates for </w:t>
      </w:r>
      <w:r w:rsidR="00F75951">
        <w:rPr>
          <w:color w:val="000000"/>
        </w:rPr>
        <w:t xml:space="preserve">these respondents </w:t>
      </w:r>
      <w:proofErr w:type="gramStart"/>
      <w:r w:rsidR="00F75951">
        <w:rPr>
          <w:color w:val="000000"/>
        </w:rPr>
        <w:t>are</w:t>
      </w:r>
      <w:r w:rsidRPr="00097158">
        <w:rPr>
          <w:color w:val="000000"/>
        </w:rPr>
        <w:t xml:space="preserve"> update</w:t>
      </w:r>
      <w:r w:rsidR="00F75951">
        <w:rPr>
          <w:color w:val="000000"/>
        </w:rPr>
        <w:t>d</w:t>
      </w:r>
      <w:r w:rsidRPr="00097158">
        <w:rPr>
          <w:color w:val="000000"/>
        </w:rPr>
        <w:t xml:space="preserve"> and revise</w:t>
      </w:r>
      <w:r w:rsidR="00F75951">
        <w:rPr>
          <w:color w:val="000000"/>
        </w:rPr>
        <w:t>d</w:t>
      </w:r>
      <w:r w:rsidRPr="00097158">
        <w:rPr>
          <w:color w:val="000000"/>
        </w:rPr>
        <w:t xml:space="preserve"> when public comment supports doing so</w:t>
      </w:r>
      <w:proofErr w:type="gramEnd"/>
      <w:r>
        <w:rPr>
          <w:color w:val="000000"/>
        </w:rPr>
        <w:t>.</w:t>
      </w:r>
      <w:r w:rsidRPr="00F75951" w:rsidR="00F75951">
        <w:rPr>
          <w:rFonts w:asciiTheme="minorHAnsi" w:hAnsiTheme="minorHAnsi" w:cstheme="minorHAnsi"/>
          <w:sz w:val="20"/>
          <w:szCs w:val="20"/>
        </w:rPr>
        <w:t xml:space="preserve"> </w:t>
      </w:r>
      <w:r w:rsidRPr="00F75951" w:rsidR="00F75951">
        <w:t>Differences in the estimated time per response, the total annual burden hours, and total labor cost may occur due to rounding.</w:t>
      </w:r>
    </w:p>
    <w:p w:rsidR="004C13EA" w:rsidP="004C13EA" w:rsidRDefault="004C13EA" w14:paraId="49CEA985" w14:textId="2EC27DFE">
      <w:pPr>
        <w:pBdr>
          <w:top w:val="nil"/>
          <w:left w:val="nil"/>
          <w:bottom w:val="nil"/>
          <w:right w:val="nil"/>
          <w:between w:val="nil"/>
        </w:pBdr>
        <w:tabs>
          <w:tab w:val="left" w:pos="360"/>
        </w:tabs>
      </w:pPr>
    </w:p>
    <w:tbl>
      <w:tblPr>
        <w:tblStyle w:val="a0"/>
        <w:tblW w:w="13155" w:type="dxa"/>
        <w:tblInd w:w="-25" w:type="dxa"/>
        <w:tblLayout w:type="fixed"/>
        <w:tblLook w:val="0400" w:firstRow="0" w:lastRow="0" w:firstColumn="0" w:lastColumn="0" w:noHBand="0" w:noVBand="1"/>
      </w:tblPr>
      <w:tblGrid>
        <w:gridCol w:w="3075"/>
        <w:gridCol w:w="2070"/>
        <w:gridCol w:w="1170"/>
        <w:gridCol w:w="1080"/>
        <w:gridCol w:w="1123"/>
        <w:gridCol w:w="1307"/>
        <w:gridCol w:w="1170"/>
        <w:gridCol w:w="1080"/>
        <w:gridCol w:w="1080"/>
      </w:tblGrid>
      <w:tr w:rsidR="00BD2A55" w:rsidTr="00062DB2" w14:paraId="64ED7F07" w14:textId="77777777">
        <w:trPr>
          <w:trHeight w:val="1348"/>
        </w:trPr>
        <w:tc>
          <w:tcPr>
            <w:tcW w:w="3075"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BD2A55" w:rsidRDefault="00333FBA" w14:paraId="69BEB55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070" w:type="dxa"/>
            <w:tcBorders>
              <w:top w:val="single" w:color="000000" w:sz="8" w:space="0"/>
              <w:left w:val="nil"/>
              <w:bottom w:val="single" w:color="000000" w:sz="8" w:space="0"/>
              <w:right w:val="single" w:color="000000" w:sz="8" w:space="0"/>
            </w:tcBorders>
            <w:shd w:val="clear" w:color="auto" w:fill="BDD7EE"/>
            <w:vAlign w:val="center"/>
          </w:tcPr>
          <w:p w:rsidR="00BD2A55" w:rsidRDefault="00333FBA" w14:paraId="543FF36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BD2A55" w:rsidRDefault="00333FBA" w14:paraId="346A32C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BD2A55" w:rsidRDefault="00333FBA" w14:paraId="692ACD2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23" w:type="dxa"/>
            <w:tcBorders>
              <w:top w:val="single" w:color="000000" w:sz="8" w:space="0"/>
              <w:left w:val="nil"/>
              <w:bottom w:val="single" w:color="000000" w:sz="8" w:space="0"/>
              <w:right w:val="single" w:color="000000" w:sz="8" w:space="0"/>
            </w:tcBorders>
            <w:shd w:val="clear" w:color="auto" w:fill="BDD7EE"/>
            <w:vAlign w:val="center"/>
          </w:tcPr>
          <w:p w:rsidR="00BD2A55" w:rsidRDefault="00333FBA" w14:paraId="2A0CB78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307" w:type="dxa"/>
            <w:tcBorders>
              <w:top w:val="single" w:color="000000" w:sz="8" w:space="0"/>
              <w:left w:val="nil"/>
              <w:bottom w:val="single" w:color="000000" w:sz="8" w:space="0"/>
              <w:right w:val="single" w:color="000000" w:sz="8" w:space="0"/>
            </w:tcBorders>
            <w:shd w:val="clear" w:color="auto" w:fill="BDD7EE"/>
            <w:vAlign w:val="center"/>
          </w:tcPr>
          <w:p w:rsidR="00BD2A55" w:rsidRDefault="00333FBA" w14:paraId="44EA24B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BD2A55" w:rsidRDefault="00333FBA" w14:paraId="658E61E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BD2A55" w:rsidRDefault="00333FBA" w14:paraId="224FDA2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BD2A55" w:rsidRDefault="00333FBA" w14:paraId="6C71CDB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Pr="00062DB2" w:rsidR="00BD2A55" w:rsidTr="00062DB2" w14:paraId="78019C7C" w14:textId="77777777">
        <w:trPr>
          <w:trHeight w:val="296"/>
        </w:trPr>
        <w:tc>
          <w:tcPr>
            <w:tcW w:w="3075" w:type="dxa"/>
            <w:tcBorders>
              <w:top w:val="single" w:color="000000" w:sz="8" w:space="0"/>
              <w:left w:val="single" w:color="000000" w:sz="8" w:space="0"/>
              <w:bottom w:val="single" w:color="000000" w:sz="18" w:space="0"/>
              <w:right w:val="single" w:color="000000" w:sz="4" w:space="0"/>
            </w:tcBorders>
            <w:shd w:val="clear" w:color="auto" w:fill="auto"/>
            <w:vAlign w:val="center"/>
          </w:tcPr>
          <w:p w:rsidRPr="00062DB2" w:rsidR="00BD2A55" w:rsidRDefault="00E22991" w14:paraId="062F2D80" w14:textId="5A579D0C">
            <w:pPr>
              <w:widowControl/>
              <w:rPr>
                <w:rFonts w:ascii="Calibri" w:hAnsi="Calibri" w:eastAsia="Calibri" w:cs="Calibri"/>
                <w:color w:val="000000"/>
                <w:sz w:val="20"/>
                <w:szCs w:val="20"/>
              </w:rPr>
            </w:pPr>
            <w:r w:rsidRPr="00062DB2">
              <w:rPr>
                <w:rFonts w:ascii="Calibri" w:hAnsi="Calibri" w:eastAsia="Calibri"/>
                <w:sz w:val="20"/>
                <w:szCs w:val="20"/>
              </w:rPr>
              <w:t>Observer Coverage Fee Payment</w:t>
            </w:r>
          </w:p>
        </w:tc>
        <w:tc>
          <w:tcPr>
            <w:tcW w:w="2070" w:type="dxa"/>
            <w:tcBorders>
              <w:top w:val="single" w:color="000000" w:sz="8" w:space="0"/>
              <w:left w:val="nil"/>
              <w:bottom w:val="single" w:color="000000" w:sz="18" w:space="0"/>
              <w:right w:val="single" w:color="000000" w:sz="4" w:space="0"/>
            </w:tcBorders>
            <w:shd w:val="clear" w:color="auto" w:fill="auto"/>
            <w:vAlign w:val="center"/>
          </w:tcPr>
          <w:p w:rsidRPr="00062DB2" w:rsidR="00BD2A55" w:rsidP="00F7490A" w:rsidRDefault="00F7490A" w14:paraId="5AF147F0" w14:textId="2AA80277">
            <w:pPr>
              <w:widowControl/>
              <w:jc w:val="center"/>
              <w:rPr>
                <w:rFonts w:ascii="Calibri" w:hAnsi="Calibri" w:eastAsia="Calibri" w:cs="Calibri"/>
                <w:color w:val="000000"/>
                <w:sz w:val="20"/>
                <w:szCs w:val="20"/>
              </w:rPr>
            </w:pPr>
            <w:r w:rsidRPr="00062DB2">
              <w:rPr>
                <w:rFonts w:ascii="Calibri" w:hAnsi="Calibri" w:eastAsia="Calibri" w:cs="Calibri"/>
                <w:color w:val="000000"/>
                <w:sz w:val="20"/>
                <w:szCs w:val="20"/>
              </w:rPr>
              <w:t xml:space="preserve">Registered buyers, owners of </w:t>
            </w:r>
            <w:proofErr w:type="spellStart"/>
            <w:r w:rsidRPr="00062DB2">
              <w:rPr>
                <w:rFonts w:ascii="Calibri" w:hAnsi="Calibri" w:eastAsia="Calibri" w:cs="Calibri"/>
                <w:color w:val="000000"/>
                <w:sz w:val="20"/>
                <w:szCs w:val="20"/>
              </w:rPr>
              <w:t>shoreside</w:t>
            </w:r>
            <w:proofErr w:type="spellEnd"/>
            <w:r w:rsidRPr="00062DB2">
              <w:rPr>
                <w:rFonts w:ascii="Calibri" w:hAnsi="Calibri" w:eastAsia="Calibri" w:cs="Calibri"/>
                <w:color w:val="000000"/>
                <w:sz w:val="20"/>
                <w:szCs w:val="20"/>
              </w:rPr>
              <w:t xml:space="preserve"> or stationary floating processors, and vessel owners</w:t>
            </w:r>
            <w:r w:rsidRPr="00062DB2" w:rsidR="00333FBA">
              <w:rPr>
                <w:rFonts w:ascii="Calibri" w:hAnsi="Calibri" w:eastAsia="Calibri" w:cs="Calibri"/>
                <w:color w:val="000000"/>
                <w:sz w:val="20"/>
                <w:szCs w:val="20"/>
              </w:rPr>
              <w:t> </w:t>
            </w:r>
          </w:p>
        </w:tc>
        <w:tc>
          <w:tcPr>
            <w:tcW w:w="1170" w:type="dxa"/>
            <w:tcBorders>
              <w:top w:val="single" w:color="000000" w:sz="8" w:space="0"/>
              <w:left w:val="nil"/>
              <w:bottom w:val="single" w:color="000000" w:sz="18" w:space="0"/>
              <w:right w:val="single" w:color="000000" w:sz="4" w:space="0"/>
            </w:tcBorders>
            <w:shd w:val="clear" w:color="auto" w:fill="auto"/>
            <w:vAlign w:val="center"/>
          </w:tcPr>
          <w:p w:rsidRPr="00062DB2" w:rsidR="00BD2A55" w:rsidP="006C4729" w:rsidRDefault="00320CC7" w14:paraId="7561A41E" w14:textId="65CFBB1F">
            <w:pPr>
              <w:widowControl/>
              <w:jc w:val="center"/>
              <w:rPr>
                <w:rFonts w:ascii="Calibri" w:hAnsi="Calibri" w:eastAsia="Calibri" w:cs="Calibri"/>
                <w:color w:val="000000"/>
                <w:sz w:val="20"/>
                <w:szCs w:val="20"/>
              </w:rPr>
            </w:pPr>
            <w:r w:rsidRPr="00062DB2">
              <w:rPr>
                <w:rFonts w:ascii="Calibri" w:hAnsi="Calibri" w:eastAsia="Calibri" w:cs="Calibri"/>
                <w:color w:val="000000"/>
                <w:sz w:val="20"/>
                <w:szCs w:val="20"/>
              </w:rPr>
              <w:t>102</w:t>
            </w:r>
          </w:p>
        </w:tc>
        <w:tc>
          <w:tcPr>
            <w:tcW w:w="1080" w:type="dxa"/>
            <w:tcBorders>
              <w:top w:val="single" w:color="000000" w:sz="8" w:space="0"/>
              <w:left w:val="nil"/>
              <w:bottom w:val="single" w:color="000000" w:sz="18" w:space="0"/>
              <w:right w:val="single" w:color="000000" w:sz="4" w:space="0"/>
            </w:tcBorders>
            <w:shd w:val="clear" w:color="auto" w:fill="auto"/>
            <w:vAlign w:val="center"/>
          </w:tcPr>
          <w:p w:rsidRPr="00062DB2" w:rsidR="00BD2A55" w:rsidP="006C4729" w:rsidRDefault="00E22991" w14:paraId="3DE1FC40" w14:textId="63A56E28">
            <w:pPr>
              <w:widowControl/>
              <w:jc w:val="center"/>
              <w:rPr>
                <w:rFonts w:ascii="Calibri" w:hAnsi="Calibri" w:eastAsia="Calibri" w:cs="Calibri"/>
                <w:color w:val="000000"/>
                <w:sz w:val="20"/>
                <w:szCs w:val="20"/>
              </w:rPr>
            </w:pPr>
            <w:r w:rsidRPr="00062DB2">
              <w:rPr>
                <w:rFonts w:ascii="Calibri" w:hAnsi="Calibri" w:eastAsia="Calibri" w:cs="Calibri"/>
                <w:color w:val="000000"/>
                <w:sz w:val="20"/>
                <w:szCs w:val="20"/>
              </w:rPr>
              <w:t>1</w:t>
            </w:r>
          </w:p>
        </w:tc>
        <w:tc>
          <w:tcPr>
            <w:tcW w:w="1123" w:type="dxa"/>
            <w:tcBorders>
              <w:top w:val="single" w:color="000000" w:sz="8" w:space="0"/>
              <w:left w:val="nil"/>
              <w:bottom w:val="single" w:color="000000" w:sz="18" w:space="0"/>
              <w:right w:val="single" w:color="000000" w:sz="4" w:space="0"/>
            </w:tcBorders>
            <w:shd w:val="clear" w:color="auto" w:fill="auto"/>
            <w:vAlign w:val="center"/>
          </w:tcPr>
          <w:p w:rsidRPr="00062DB2" w:rsidR="00BD2A55" w:rsidP="006C4729" w:rsidRDefault="00F87A3B" w14:paraId="2196E5B7" w14:textId="01677157">
            <w:pPr>
              <w:widowControl/>
              <w:jc w:val="center"/>
              <w:rPr>
                <w:rFonts w:ascii="Calibri" w:hAnsi="Calibri" w:eastAsia="Calibri" w:cs="Calibri"/>
                <w:color w:val="000000"/>
                <w:sz w:val="20"/>
                <w:szCs w:val="20"/>
              </w:rPr>
            </w:pPr>
            <w:r w:rsidRPr="00062DB2">
              <w:rPr>
                <w:rFonts w:ascii="Calibri" w:hAnsi="Calibri" w:eastAsia="Calibri" w:cs="Calibri"/>
                <w:color w:val="000000"/>
                <w:sz w:val="20"/>
                <w:szCs w:val="20"/>
              </w:rPr>
              <w:t>102</w:t>
            </w:r>
          </w:p>
        </w:tc>
        <w:tc>
          <w:tcPr>
            <w:tcW w:w="1307" w:type="dxa"/>
            <w:tcBorders>
              <w:top w:val="single" w:color="000000" w:sz="8" w:space="0"/>
              <w:left w:val="nil"/>
              <w:bottom w:val="single" w:color="000000" w:sz="18" w:space="0"/>
              <w:right w:val="single" w:color="000000" w:sz="4" w:space="0"/>
            </w:tcBorders>
            <w:shd w:val="clear" w:color="auto" w:fill="auto"/>
            <w:vAlign w:val="center"/>
          </w:tcPr>
          <w:p w:rsidRPr="00062DB2" w:rsidR="00BD2A55" w:rsidP="00F17AF4" w:rsidRDefault="00E22991" w14:paraId="34F75561" w14:textId="70678C68">
            <w:pPr>
              <w:widowControl/>
              <w:jc w:val="center"/>
              <w:rPr>
                <w:rFonts w:ascii="Calibri" w:hAnsi="Calibri" w:eastAsia="Calibri" w:cs="Calibri"/>
                <w:color w:val="000000"/>
                <w:sz w:val="20"/>
                <w:szCs w:val="20"/>
              </w:rPr>
            </w:pPr>
            <w:r w:rsidRPr="00062DB2">
              <w:rPr>
                <w:rFonts w:ascii="Calibri" w:hAnsi="Calibri" w:eastAsia="Calibri" w:cs="Calibri"/>
                <w:color w:val="000000"/>
                <w:sz w:val="20"/>
                <w:szCs w:val="20"/>
              </w:rPr>
              <w:t>1 min</w:t>
            </w:r>
            <w:r w:rsidRPr="00062DB2" w:rsidR="00F17AF4">
              <w:rPr>
                <w:rFonts w:ascii="Calibri" w:hAnsi="Calibri" w:eastAsia="Calibri" w:cs="Calibri"/>
                <w:color w:val="000000"/>
                <w:sz w:val="20"/>
                <w:szCs w:val="20"/>
              </w:rPr>
              <w:t>.</w:t>
            </w:r>
          </w:p>
        </w:tc>
        <w:tc>
          <w:tcPr>
            <w:tcW w:w="1170" w:type="dxa"/>
            <w:tcBorders>
              <w:top w:val="single" w:color="000000" w:sz="8" w:space="0"/>
              <w:left w:val="nil"/>
              <w:bottom w:val="single" w:color="000000" w:sz="18" w:space="0"/>
              <w:right w:val="single" w:color="000000" w:sz="4" w:space="0"/>
            </w:tcBorders>
            <w:shd w:val="clear" w:color="auto" w:fill="auto"/>
            <w:vAlign w:val="center"/>
          </w:tcPr>
          <w:p w:rsidRPr="00062DB2" w:rsidR="00BD2A55" w:rsidP="006C4729" w:rsidRDefault="0020640B" w14:paraId="0F93310C" w14:textId="4FB77B46">
            <w:pPr>
              <w:widowControl/>
              <w:jc w:val="center"/>
              <w:rPr>
                <w:rFonts w:ascii="Calibri" w:hAnsi="Calibri" w:eastAsia="Calibri" w:cs="Calibri"/>
                <w:color w:val="000000"/>
                <w:sz w:val="20"/>
                <w:szCs w:val="20"/>
              </w:rPr>
            </w:pPr>
            <w:r w:rsidRPr="00062DB2">
              <w:rPr>
                <w:rFonts w:ascii="Calibri" w:hAnsi="Calibri" w:eastAsia="Calibri" w:cs="Calibri"/>
                <w:color w:val="000000"/>
                <w:sz w:val="20"/>
                <w:szCs w:val="20"/>
              </w:rPr>
              <w:t xml:space="preserve">2 </w:t>
            </w:r>
            <w:proofErr w:type="spellStart"/>
            <w:r w:rsidRPr="00062DB2">
              <w:rPr>
                <w:rFonts w:ascii="Calibri" w:hAnsi="Calibri" w:eastAsia="Calibri" w:cs="Calibri"/>
                <w:color w:val="000000"/>
                <w:sz w:val="20"/>
                <w:szCs w:val="20"/>
              </w:rPr>
              <w:t>hrs</w:t>
            </w:r>
            <w:proofErr w:type="spellEnd"/>
          </w:p>
        </w:tc>
        <w:tc>
          <w:tcPr>
            <w:tcW w:w="1080" w:type="dxa"/>
            <w:tcBorders>
              <w:top w:val="single" w:color="000000" w:sz="8" w:space="0"/>
              <w:left w:val="nil"/>
              <w:bottom w:val="single" w:color="000000" w:sz="18" w:space="0"/>
              <w:right w:val="single" w:color="000000" w:sz="4" w:space="0"/>
            </w:tcBorders>
            <w:shd w:val="clear" w:color="auto" w:fill="auto"/>
            <w:vAlign w:val="center"/>
          </w:tcPr>
          <w:p w:rsidRPr="00062DB2" w:rsidR="00BD2A55" w:rsidP="006C4729" w:rsidRDefault="008C33E1" w14:paraId="1CCD65CA" w14:textId="396EFA59">
            <w:pPr>
              <w:widowControl/>
              <w:jc w:val="center"/>
              <w:rPr>
                <w:rFonts w:ascii="Calibri" w:hAnsi="Calibri" w:eastAsia="Calibri" w:cs="Calibri"/>
                <w:color w:val="000000"/>
                <w:sz w:val="20"/>
                <w:szCs w:val="20"/>
              </w:rPr>
            </w:pPr>
            <w:r w:rsidRPr="00062DB2">
              <w:rPr>
                <w:rFonts w:ascii="Calibri" w:hAnsi="Calibri" w:eastAsia="Calibri" w:cs="Calibri"/>
                <w:color w:val="000000"/>
                <w:sz w:val="20"/>
                <w:szCs w:val="20"/>
              </w:rPr>
              <w:t>27.43</w:t>
            </w:r>
          </w:p>
        </w:tc>
        <w:tc>
          <w:tcPr>
            <w:tcW w:w="1080" w:type="dxa"/>
            <w:tcBorders>
              <w:top w:val="single" w:color="000000" w:sz="8" w:space="0"/>
              <w:left w:val="nil"/>
              <w:bottom w:val="single" w:color="000000" w:sz="18" w:space="0"/>
              <w:right w:val="single" w:color="000000" w:sz="8" w:space="0"/>
            </w:tcBorders>
            <w:shd w:val="clear" w:color="auto" w:fill="auto"/>
            <w:vAlign w:val="center"/>
          </w:tcPr>
          <w:p w:rsidRPr="00062DB2" w:rsidR="00BD2A55" w:rsidP="006C4729" w:rsidRDefault="00B835D1" w14:paraId="0EC6B45A" w14:textId="5E616552">
            <w:pPr>
              <w:widowControl/>
              <w:jc w:val="center"/>
              <w:rPr>
                <w:rFonts w:ascii="Calibri" w:hAnsi="Calibri" w:eastAsia="Calibri" w:cs="Calibri"/>
                <w:color w:val="000000"/>
                <w:sz w:val="20"/>
                <w:szCs w:val="20"/>
              </w:rPr>
            </w:pPr>
            <w:r>
              <w:rPr>
                <w:rFonts w:ascii="Calibri" w:hAnsi="Calibri" w:eastAsia="Calibri" w:cs="Calibri"/>
                <w:color w:val="000000"/>
                <w:sz w:val="20"/>
                <w:szCs w:val="20"/>
              </w:rPr>
              <w:t>$</w:t>
            </w:r>
            <w:r w:rsidR="00F56885">
              <w:rPr>
                <w:rFonts w:ascii="Calibri" w:hAnsi="Calibri" w:eastAsia="Calibri" w:cs="Calibri"/>
                <w:color w:val="000000"/>
                <w:sz w:val="20"/>
                <w:szCs w:val="20"/>
              </w:rPr>
              <w:t>55</w:t>
            </w:r>
          </w:p>
        </w:tc>
      </w:tr>
      <w:tr w:rsidRPr="00C0319B" w:rsidR="00C0319B" w:rsidTr="00062DB2" w14:paraId="215901C4" w14:textId="77777777">
        <w:trPr>
          <w:trHeight w:val="504"/>
        </w:trPr>
        <w:tc>
          <w:tcPr>
            <w:tcW w:w="3075" w:type="dxa"/>
            <w:tcBorders>
              <w:top w:val="single" w:color="000000" w:sz="18" w:space="0"/>
              <w:left w:val="single" w:color="000000" w:sz="8" w:space="0"/>
              <w:bottom w:val="dotted" w:color="000000" w:sz="4" w:space="0"/>
            </w:tcBorders>
            <w:shd w:val="clear" w:color="auto" w:fill="auto"/>
            <w:vAlign w:val="center"/>
          </w:tcPr>
          <w:p w:rsidRPr="00062DB2" w:rsidR="00857811" w:rsidRDefault="00C12D05" w14:paraId="7D3FED2D" w14:textId="5D44E73C">
            <w:pPr>
              <w:widowControl/>
              <w:rPr>
                <w:rFonts w:ascii="Calibri" w:hAnsi="Calibri" w:eastAsia="Calibri" w:cs="Calibri"/>
                <w:color w:val="000000"/>
                <w:sz w:val="20"/>
                <w:szCs w:val="20"/>
              </w:rPr>
            </w:pPr>
            <w:r w:rsidRPr="00062DB2">
              <w:rPr>
                <w:rFonts w:ascii="Calibri" w:hAnsi="Calibri" w:eastAsia="Calibri" w:cs="Calibri"/>
                <w:color w:val="000000"/>
                <w:sz w:val="20"/>
                <w:szCs w:val="20"/>
              </w:rPr>
              <w:t>Cost Recovery Fee Payments</w:t>
            </w:r>
          </w:p>
        </w:tc>
        <w:tc>
          <w:tcPr>
            <w:tcW w:w="2070" w:type="dxa"/>
            <w:tcBorders>
              <w:top w:val="single" w:color="000000" w:sz="18" w:space="0"/>
              <w:bottom w:val="dotted" w:color="000000" w:sz="4" w:space="0"/>
            </w:tcBorders>
            <w:shd w:val="clear" w:color="auto" w:fill="auto"/>
            <w:vAlign w:val="center"/>
          </w:tcPr>
          <w:p w:rsidRPr="00D53C14" w:rsidR="00857811" w:rsidRDefault="00857811" w14:paraId="187AC62B" w14:textId="77777777">
            <w:pPr>
              <w:widowControl/>
              <w:jc w:val="center"/>
              <w:rPr>
                <w:rFonts w:ascii="Calibri" w:hAnsi="Calibri" w:eastAsia="Calibri" w:cs="Calibri"/>
                <w:b/>
                <w:color w:val="000000"/>
                <w:sz w:val="18"/>
                <w:szCs w:val="18"/>
              </w:rPr>
            </w:pPr>
          </w:p>
        </w:tc>
        <w:tc>
          <w:tcPr>
            <w:tcW w:w="1170" w:type="dxa"/>
            <w:tcBorders>
              <w:top w:val="single" w:color="000000" w:sz="18" w:space="0"/>
              <w:bottom w:val="dotted" w:color="000000" w:sz="4" w:space="0"/>
            </w:tcBorders>
            <w:shd w:val="clear" w:color="auto" w:fill="auto"/>
            <w:vAlign w:val="center"/>
          </w:tcPr>
          <w:p w:rsidRPr="00D53C14" w:rsidR="00857811" w:rsidP="006C4729" w:rsidRDefault="00857811" w14:paraId="39112BF9" w14:textId="77777777">
            <w:pPr>
              <w:widowControl/>
              <w:jc w:val="center"/>
              <w:rPr>
                <w:rFonts w:ascii="Calibri" w:hAnsi="Calibri" w:eastAsia="Calibri" w:cs="Calibri"/>
                <w:b/>
                <w:color w:val="000000"/>
                <w:sz w:val="18"/>
                <w:szCs w:val="18"/>
              </w:rPr>
            </w:pPr>
          </w:p>
        </w:tc>
        <w:tc>
          <w:tcPr>
            <w:tcW w:w="1080" w:type="dxa"/>
            <w:tcBorders>
              <w:top w:val="single" w:color="000000" w:sz="18" w:space="0"/>
              <w:bottom w:val="dotted" w:color="000000" w:sz="4" w:space="0"/>
            </w:tcBorders>
            <w:shd w:val="clear" w:color="auto" w:fill="auto"/>
            <w:vAlign w:val="center"/>
          </w:tcPr>
          <w:p w:rsidRPr="00C0319B" w:rsidR="00857811" w:rsidP="006C4729" w:rsidRDefault="00857811" w14:paraId="62D0CCD1" w14:textId="77777777">
            <w:pPr>
              <w:widowControl/>
              <w:jc w:val="center"/>
              <w:rPr>
                <w:rFonts w:ascii="Calibri" w:hAnsi="Calibri" w:eastAsia="Calibri" w:cs="Calibri"/>
                <w:b/>
                <w:color w:val="000000"/>
                <w:sz w:val="18"/>
                <w:szCs w:val="18"/>
              </w:rPr>
            </w:pPr>
          </w:p>
        </w:tc>
        <w:tc>
          <w:tcPr>
            <w:tcW w:w="1123" w:type="dxa"/>
            <w:tcBorders>
              <w:top w:val="single" w:color="000000" w:sz="18" w:space="0"/>
              <w:bottom w:val="dotted" w:color="000000" w:sz="4" w:space="0"/>
            </w:tcBorders>
            <w:shd w:val="clear" w:color="auto" w:fill="auto"/>
            <w:vAlign w:val="center"/>
          </w:tcPr>
          <w:p w:rsidRPr="00C0319B" w:rsidR="00857811" w:rsidP="006C4729" w:rsidRDefault="00857811" w14:paraId="7F4E5433" w14:textId="77777777">
            <w:pPr>
              <w:widowControl/>
              <w:jc w:val="center"/>
              <w:rPr>
                <w:rFonts w:ascii="Calibri" w:hAnsi="Calibri" w:eastAsia="Calibri" w:cs="Calibri"/>
                <w:b/>
                <w:color w:val="000000"/>
                <w:sz w:val="18"/>
                <w:szCs w:val="18"/>
              </w:rPr>
            </w:pPr>
          </w:p>
        </w:tc>
        <w:tc>
          <w:tcPr>
            <w:tcW w:w="1307" w:type="dxa"/>
            <w:tcBorders>
              <w:top w:val="single" w:color="000000" w:sz="18" w:space="0"/>
              <w:bottom w:val="dotted" w:color="000000" w:sz="4" w:space="0"/>
            </w:tcBorders>
            <w:shd w:val="clear" w:color="auto" w:fill="auto"/>
            <w:vAlign w:val="center"/>
          </w:tcPr>
          <w:p w:rsidRPr="00C0319B" w:rsidR="00857811" w:rsidP="00F17AF4" w:rsidRDefault="00857811" w14:paraId="7B012667" w14:textId="77777777">
            <w:pPr>
              <w:widowControl/>
              <w:jc w:val="center"/>
              <w:rPr>
                <w:rFonts w:ascii="Calibri" w:hAnsi="Calibri" w:eastAsia="Calibri" w:cs="Calibri"/>
                <w:b/>
                <w:color w:val="000000"/>
                <w:sz w:val="18"/>
                <w:szCs w:val="18"/>
              </w:rPr>
            </w:pPr>
          </w:p>
        </w:tc>
        <w:tc>
          <w:tcPr>
            <w:tcW w:w="1170" w:type="dxa"/>
            <w:tcBorders>
              <w:top w:val="single" w:color="000000" w:sz="18" w:space="0"/>
              <w:bottom w:val="dotted" w:color="000000" w:sz="4" w:space="0"/>
            </w:tcBorders>
            <w:shd w:val="clear" w:color="auto" w:fill="auto"/>
            <w:vAlign w:val="center"/>
          </w:tcPr>
          <w:p w:rsidRPr="00C0319B" w:rsidR="00857811" w:rsidP="006C4729" w:rsidRDefault="00857811" w14:paraId="762B439D" w14:textId="77777777">
            <w:pPr>
              <w:widowControl/>
              <w:jc w:val="center"/>
              <w:rPr>
                <w:rFonts w:ascii="Calibri" w:hAnsi="Calibri" w:eastAsia="Calibri" w:cs="Calibri"/>
                <w:b/>
                <w:color w:val="000000"/>
                <w:sz w:val="18"/>
                <w:szCs w:val="18"/>
              </w:rPr>
            </w:pPr>
          </w:p>
        </w:tc>
        <w:tc>
          <w:tcPr>
            <w:tcW w:w="1080" w:type="dxa"/>
            <w:tcBorders>
              <w:top w:val="single" w:color="000000" w:sz="18" w:space="0"/>
              <w:bottom w:val="dotted" w:color="000000" w:sz="4" w:space="0"/>
            </w:tcBorders>
            <w:shd w:val="clear" w:color="auto" w:fill="auto"/>
            <w:vAlign w:val="center"/>
          </w:tcPr>
          <w:p w:rsidRPr="00C0319B" w:rsidR="00857811" w:rsidP="006C4729" w:rsidRDefault="00857811" w14:paraId="74CDC429" w14:textId="77777777">
            <w:pPr>
              <w:widowControl/>
              <w:jc w:val="center"/>
              <w:rPr>
                <w:rFonts w:ascii="Calibri" w:hAnsi="Calibri" w:eastAsia="Calibri" w:cs="Calibri"/>
                <w:b/>
                <w:color w:val="000000"/>
                <w:sz w:val="18"/>
                <w:szCs w:val="18"/>
              </w:rPr>
            </w:pPr>
          </w:p>
        </w:tc>
        <w:tc>
          <w:tcPr>
            <w:tcW w:w="1080" w:type="dxa"/>
            <w:tcBorders>
              <w:top w:val="single" w:color="000000" w:sz="18" w:space="0"/>
              <w:bottom w:val="dotted" w:color="000000" w:sz="4" w:space="0"/>
              <w:right w:val="single" w:color="000000" w:sz="8" w:space="0"/>
            </w:tcBorders>
            <w:shd w:val="clear" w:color="auto" w:fill="auto"/>
            <w:vAlign w:val="center"/>
          </w:tcPr>
          <w:p w:rsidRPr="00C0319B" w:rsidR="00857811" w:rsidP="006C4729" w:rsidRDefault="00857811" w14:paraId="14EB48EA" w14:textId="77777777">
            <w:pPr>
              <w:widowControl/>
              <w:jc w:val="center"/>
              <w:rPr>
                <w:rFonts w:ascii="Calibri" w:hAnsi="Calibri" w:eastAsia="Calibri" w:cs="Calibri"/>
                <w:b/>
                <w:color w:val="000000"/>
                <w:sz w:val="18"/>
                <w:szCs w:val="18"/>
              </w:rPr>
            </w:pPr>
          </w:p>
        </w:tc>
      </w:tr>
      <w:tr w:rsidR="00F87A3B" w:rsidTr="00062DB2" w14:paraId="06B044BF" w14:textId="77777777">
        <w:trPr>
          <w:trHeight w:val="296"/>
        </w:trPr>
        <w:tc>
          <w:tcPr>
            <w:tcW w:w="3075" w:type="dxa"/>
            <w:tcBorders>
              <w:top w:val="dotted" w:color="000000" w:sz="4" w:space="0"/>
              <w:left w:val="single" w:color="000000" w:sz="8" w:space="0"/>
              <w:bottom w:val="dotted" w:color="000000" w:sz="4" w:space="0"/>
              <w:right w:val="single" w:color="000000" w:sz="4" w:space="0"/>
            </w:tcBorders>
            <w:shd w:val="clear" w:color="auto" w:fill="auto"/>
            <w:vAlign w:val="center"/>
          </w:tcPr>
          <w:p w:rsidRPr="00FE3B3B" w:rsidR="00F87A3B" w:rsidP="00F87A3B" w:rsidRDefault="00F87A3B" w14:paraId="6EA57DFD" w14:textId="1ABA079E">
            <w:pPr>
              <w:widowControl/>
              <w:jc w:val="right"/>
              <w:rPr>
                <w:rFonts w:eastAsia="Calibri" w:asciiTheme="minorHAnsi" w:hAnsiTheme="minorHAnsi" w:cstheme="minorHAnsi"/>
                <w:i/>
                <w:color w:val="000000"/>
                <w:sz w:val="18"/>
                <w:szCs w:val="18"/>
              </w:rPr>
            </w:pPr>
            <w:r w:rsidRPr="00FE3B3B">
              <w:rPr>
                <w:rFonts w:asciiTheme="minorHAnsi" w:hAnsiTheme="minorHAnsi" w:cstheme="minorHAnsi"/>
                <w:i/>
                <w:sz w:val="18"/>
                <w:szCs w:val="18"/>
              </w:rPr>
              <w:t>IFQ Program</w:t>
            </w:r>
          </w:p>
        </w:tc>
        <w:tc>
          <w:tcPr>
            <w:tcW w:w="2070" w:type="dxa"/>
            <w:tcBorders>
              <w:top w:val="dotted" w:color="000000" w:sz="4" w:space="0"/>
              <w:left w:val="nil"/>
              <w:bottom w:val="dotted" w:color="000000" w:sz="4" w:space="0"/>
              <w:right w:val="single" w:color="000000" w:sz="4" w:space="0"/>
            </w:tcBorders>
            <w:shd w:val="clear" w:color="auto" w:fill="auto"/>
            <w:vAlign w:val="center"/>
          </w:tcPr>
          <w:p w:rsidRPr="00D53C14" w:rsidR="00F87A3B" w:rsidP="00F87A3B" w:rsidRDefault="00F87A3B" w14:paraId="5DDF3F2E" w14:textId="248126BF">
            <w:pPr>
              <w:widowControl/>
              <w:rPr>
                <w:rFonts w:eastAsia="Calibri" w:asciiTheme="minorHAnsi" w:hAnsiTheme="minorHAnsi" w:cstheme="minorHAnsi"/>
                <w:i/>
                <w:color w:val="000000"/>
                <w:sz w:val="18"/>
                <w:szCs w:val="18"/>
              </w:rPr>
            </w:pPr>
            <w:r w:rsidRPr="00D53C14">
              <w:rPr>
                <w:rFonts w:eastAsia="Calibri" w:asciiTheme="minorHAnsi" w:hAnsiTheme="minorHAnsi" w:cstheme="minorHAnsi"/>
                <w:i/>
                <w:color w:val="000000"/>
                <w:sz w:val="18"/>
                <w:szCs w:val="18"/>
              </w:rPr>
              <w:t>IFQ permit holders, RQE representative, CDQ group representatives</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D53C14" w:rsidR="00F87A3B" w:rsidP="00F87A3B" w:rsidRDefault="00F87A3B" w14:paraId="5887B3AE" w14:textId="1D95AAB3">
            <w:pPr>
              <w:widowControl/>
              <w:jc w:val="center"/>
              <w:rPr>
                <w:rFonts w:eastAsia="Calibri" w:asciiTheme="minorHAnsi" w:hAnsiTheme="minorHAnsi" w:cstheme="minorHAnsi"/>
                <w:i/>
                <w:color w:val="000000"/>
                <w:sz w:val="18"/>
                <w:szCs w:val="18"/>
              </w:rPr>
            </w:pPr>
            <w:r w:rsidRPr="00D53C14">
              <w:rPr>
                <w:rFonts w:asciiTheme="minorHAnsi" w:hAnsiTheme="minorHAnsi" w:cstheme="minorHAnsi"/>
                <w:i/>
                <w:sz w:val="18"/>
                <w:szCs w:val="18"/>
              </w:rPr>
              <w:t>1</w:t>
            </w:r>
            <w:r w:rsidRPr="00D53C14" w:rsidR="002D32BD">
              <w:rPr>
                <w:rFonts w:asciiTheme="minorHAnsi" w:hAnsiTheme="minorHAnsi" w:cstheme="minorHAnsi"/>
                <w:i/>
                <w:sz w:val="18"/>
                <w:szCs w:val="18"/>
              </w:rPr>
              <w:t>,</w:t>
            </w:r>
            <w:r w:rsidRPr="00D53C14">
              <w:rPr>
                <w:rFonts w:asciiTheme="minorHAnsi" w:hAnsiTheme="minorHAnsi" w:cstheme="minorHAnsi"/>
                <w:i/>
                <w:sz w:val="18"/>
                <w:szCs w:val="18"/>
              </w:rPr>
              <w:t>579</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F87A3B" w14:paraId="69051098" w14:textId="4A84104B">
            <w:pPr>
              <w:widowControl/>
              <w:jc w:val="center"/>
              <w:rPr>
                <w:rFonts w:eastAsia="Calibri" w:asciiTheme="minorHAnsi" w:hAnsiTheme="minorHAnsi" w:cstheme="minorHAnsi"/>
                <w:i/>
                <w:color w:val="000000"/>
                <w:sz w:val="18"/>
                <w:szCs w:val="18"/>
              </w:rPr>
            </w:pPr>
            <w:r w:rsidRPr="00FE3B3B">
              <w:rPr>
                <w:rFonts w:eastAsia="Calibri" w:asciiTheme="minorHAnsi" w:hAnsiTheme="minorHAnsi" w:cstheme="minorHAnsi"/>
                <w:i/>
                <w:color w:val="000000"/>
                <w:sz w:val="18"/>
                <w:szCs w:val="18"/>
              </w:rPr>
              <w:t>1</w:t>
            </w:r>
          </w:p>
        </w:tc>
        <w:tc>
          <w:tcPr>
            <w:tcW w:w="1123" w:type="dxa"/>
            <w:tcBorders>
              <w:top w:val="dotted" w:color="000000" w:sz="4" w:space="0"/>
              <w:left w:val="nil"/>
              <w:bottom w:val="dotted" w:color="000000" w:sz="4" w:space="0"/>
              <w:right w:val="single" w:color="000000" w:sz="4" w:space="0"/>
            </w:tcBorders>
            <w:shd w:val="clear" w:color="auto" w:fill="auto"/>
            <w:vAlign w:val="center"/>
          </w:tcPr>
          <w:p w:rsidRPr="00F87A3B" w:rsidR="00F87A3B" w:rsidP="00F87A3B" w:rsidRDefault="00F87A3B" w14:paraId="025A9720" w14:textId="75F587BB">
            <w:pPr>
              <w:widowControl/>
              <w:jc w:val="center"/>
              <w:rPr>
                <w:rFonts w:eastAsia="Calibri" w:asciiTheme="minorHAnsi" w:hAnsiTheme="minorHAnsi" w:cstheme="minorHAnsi"/>
                <w:i/>
                <w:color w:val="000000"/>
                <w:sz w:val="18"/>
                <w:szCs w:val="18"/>
              </w:rPr>
            </w:pPr>
            <w:r w:rsidRPr="00F87A3B">
              <w:rPr>
                <w:rFonts w:asciiTheme="minorHAnsi" w:hAnsiTheme="minorHAnsi" w:cstheme="minorHAnsi"/>
                <w:i/>
                <w:sz w:val="18"/>
                <w:szCs w:val="18"/>
              </w:rPr>
              <w:t>1</w:t>
            </w:r>
            <w:r w:rsidR="002D32BD">
              <w:rPr>
                <w:rFonts w:asciiTheme="minorHAnsi" w:hAnsiTheme="minorHAnsi" w:cstheme="minorHAnsi"/>
                <w:i/>
                <w:sz w:val="18"/>
                <w:szCs w:val="18"/>
              </w:rPr>
              <w:t>,</w:t>
            </w:r>
            <w:r w:rsidRPr="00F87A3B">
              <w:rPr>
                <w:rFonts w:asciiTheme="minorHAnsi" w:hAnsiTheme="minorHAnsi" w:cstheme="minorHAnsi"/>
                <w:i/>
                <w:sz w:val="18"/>
                <w:szCs w:val="18"/>
              </w:rPr>
              <w:t>579</w:t>
            </w:r>
          </w:p>
        </w:tc>
        <w:tc>
          <w:tcPr>
            <w:tcW w:w="1307"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F87A3B" w14:paraId="68645C6C" w14:textId="4F825F53">
            <w:pPr>
              <w:widowControl/>
              <w:jc w:val="center"/>
              <w:rPr>
                <w:rFonts w:eastAsia="Calibri" w:asciiTheme="minorHAnsi" w:hAnsiTheme="minorHAnsi" w:cstheme="minorHAnsi"/>
                <w:i/>
                <w:color w:val="000000"/>
                <w:sz w:val="18"/>
                <w:szCs w:val="18"/>
              </w:rPr>
            </w:pPr>
            <w:r w:rsidRPr="00FE3B3B">
              <w:rPr>
                <w:rFonts w:eastAsia="Calibri" w:asciiTheme="minorHAnsi" w:hAnsiTheme="minorHAnsi" w:cstheme="minorHAnsi"/>
                <w:i/>
                <w:color w:val="000000"/>
                <w:sz w:val="18"/>
                <w:szCs w:val="18"/>
              </w:rPr>
              <w:t>1 min.</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20640B" w14:paraId="6D3A851C" w14:textId="18DBE453">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 xml:space="preserve">26 </w:t>
            </w:r>
            <w:proofErr w:type="spellStart"/>
            <w:r>
              <w:rPr>
                <w:rFonts w:eastAsia="Calibri" w:asciiTheme="minorHAnsi" w:hAnsiTheme="minorHAnsi" w:cstheme="minorHAnsi"/>
                <w:i/>
                <w:color w:val="000000"/>
                <w:sz w:val="18"/>
                <w:szCs w:val="18"/>
              </w:rPr>
              <w:t>hrs</w:t>
            </w:r>
            <w:proofErr w:type="spellEnd"/>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B1471A" w:rsidRDefault="00B1471A" w14:paraId="791166E6" w14:textId="42B0CBCA">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40.20</w:t>
            </w:r>
            <w:r w:rsidRPr="009E015E" w:rsidR="009E015E">
              <w:rPr>
                <w:rFonts w:eastAsia="Calibri" w:asciiTheme="minorHAnsi" w:hAnsiTheme="minorHAnsi" w:cstheme="minorHAnsi"/>
                <w:i/>
                <w:color w:val="000000"/>
                <w:sz w:val="18"/>
                <w:szCs w:val="18"/>
                <w:vertAlign w:val="superscript"/>
              </w:rPr>
              <w:t>1</w:t>
            </w:r>
          </w:p>
        </w:tc>
        <w:tc>
          <w:tcPr>
            <w:tcW w:w="1080" w:type="dxa"/>
            <w:tcBorders>
              <w:top w:val="dotted" w:color="000000" w:sz="4" w:space="0"/>
              <w:left w:val="nil"/>
              <w:bottom w:val="dotted" w:color="000000" w:sz="4" w:space="0"/>
              <w:right w:val="single" w:color="000000" w:sz="8" w:space="0"/>
            </w:tcBorders>
            <w:shd w:val="clear" w:color="auto" w:fill="auto"/>
            <w:vAlign w:val="center"/>
          </w:tcPr>
          <w:p w:rsidRPr="00FE3B3B" w:rsidR="00F87A3B" w:rsidP="00F87A3B" w:rsidRDefault="00F56885" w14:paraId="2BA57CC4" w14:textId="3826DEA4">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1,045</w:t>
            </w:r>
          </w:p>
        </w:tc>
      </w:tr>
      <w:tr w:rsidR="00F87A3B" w:rsidTr="00062DB2" w14:paraId="2B33A953" w14:textId="77777777">
        <w:trPr>
          <w:trHeight w:val="296"/>
        </w:trPr>
        <w:tc>
          <w:tcPr>
            <w:tcW w:w="3075" w:type="dxa"/>
            <w:tcBorders>
              <w:top w:val="dotted" w:color="000000" w:sz="4" w:space="0"/>
              <w:left w:val="single" w:color="000000" w:sz="8" w:space="0"/>
              <w:bottom w:val="dotted" w:color="000000" w:sz="4" w:space="0"/>
              <w:right w:val="single" w:color="000000" w:sz="4" w:space="0"/>
            </w:tcBorders>
            <w:shd w:val="clear" w:color="auto" w:fill="auto"/>
            <w:vAlign w:val="center"/>
          </w:tcPr>
          <w:p w:rsidRPr="00FE3B3B" w:rsidR="00F87A3B" w:rsidP="00F87A3B" w:rsidRDefault="00F87A3B" w14:paraId="334A0930" w14:textId="6DC2F935">
            <w:pPr>
              <w:widowControl/>
              <w:jc w:val="right"/>
              <w:rPr>
                <w:rFonts w:eastAsia="Calibri" w:asciiTheme="minorHAnsi" w:hAnsiTheme="minorHAnsi" w:cstheme="minorHAnsi"/>
                <w:i/>
                <w:color w:val="000000"/>
                <w:sz w:val="18"/>
                <w:szCs w:val="18"/>
              </w:rPr>
            </w:pPr>
            <w:r w:rsidRPr="00FE3B3B">
              <w:rPr>
                <w:rFonts w:asciiTheme="minorHAnsi" w:hAnsiTheme="minorHAnsi" w:cstheme="minorHAnsi"/>
                <w:i/>
                <w:sz w:val="18"/>
                <w:szCs w:val="18"/>
              </w:rPr>
              <w:t>CR Program</w:t>
            </w:r>
          </w:p>
        </w:tc>
        <w:tc>
          <w:tcPr>
            <w:tcW w:w="2070" w:type="dxa"/>
            <w:tcBorders>
              <w:top w:val="dotted" w:color="000000" w:sz="4" w:space="0"/>
              <w:left w:val="nil"/>
              <w:bottom w:val="dotted" w:color="000000" w:sz="4" w:space="0"/>
              <w:right w:val="single" w:color="000000" w:sz="4" w:space="0"/>
            </w:tcBorders>
            <w:shd w:val="clear" w:color="auto" w:fill="auto"/>
            <w:vAlign w:val="center"/>
          </w:tcPr>
          <w:p w:rsidRPr="00D53C14" w:rsidR="00F87A3B" w:rsidP="00F87A3B" w:rsidRDefault="00F87A3B" w14:paraId="3A4F39F3" w14:textId="04727CC2">
            <w:pPr>
              <w:widowControl/>
              <w:jc w:val="center"/>
              <w:rPr>
                <w:rFonts w:eastAsia="Calibri" w:asciiTheme="minorHAnsi" w:hAnsiTheme="minorHAnsi" w:cstheme="minorHAnsi"/>
                <w:i/>
                <w:color w:val="000000"/>
                <w:sz w:val="18"/>
                <w:szCs w:val="18"/>
              </w:rPr>
            </w:pPr>
            <w:r w:rsidRPr="00D53C14">
              <w:rPr>
                <w:rFonts w:eastAsia="Calibri" w:asciiTheme="minorHAnsi" w:hAnsiTheme="minorHAnsi" w:cstheme="minorHAnsi"/>
                <w:i/>
                <w:color w:val="000000"/>
                <w:sz w:val="18"/>
                <w:szCs w:val="18"/>
              </w:rPr>
              <w:t>Registered crab receivers</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D53C14" w:rsidR="00F87A3B" w:rsidP="00F87A3B" w:rsidRDefault="00F87A3B" w14:paraId="0C6EEC02" w14:textId="1CD13BC9">
            <w:pPr>
              <w:widowControl/>
              <w:jc w:val="center"/>
              <w:rPr>
                <w:rFonts w:eastAsia="Calibri" w:asciiTheme="minorHAnsi" w:hAnsiTheme="minorHAnsi" w:cstheme="minorHAnsi"/>
                <w:i/>
                <w:color w:val="000000"/>
                <w:sz w:val="18"/>
                <w:szCs w:val="18"/>
              </w:rPr>
            </w:pPr>
            <w:r w:rsidRPr="00D53C14">
              <w:rPr>
                <w:rFonts w:asciiTheme="minorHAnsi" w:hAnsiTheme="minorHAnsi" w:cstheme="minorHAnsi"/>
                <w:i/>
                <w:sz w:val="18"/>
                <w:szCs w:val="18"/>
              </w:rPr>
              <w:t>18</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F87A3B" w14:paraId="1660BC35" w14:textId="05F3DE1B">
            <w:pPr>
              <w:widowControl/>
              <w:jc w:val="center"/>
              <w:rPr>
                <w:rFonts w:eastAsia="Calibri" w:asciiTheme="minorHAnsi" w:hAnsiTheme="minorHAnsi" w:cstheme="minorHAnsi"/>
                <w:i/>
                <w:color w:val="000000"/>
                <w:sz w:val="18"/>
                <w:szCs w:val="18"/>
              </w:rPr>
            </w:pPr>
            <w:r w:rsidRPr="00FE3B3B">
              <w:rPr>
                <w:rFonts w:eastAsia="Calibri" w:asciiTheme="minorHAnsi" w:hAnsiTheme="minorHAnsi" w:cstheme="minorHAnsi"/>
                <w:i/>
                <w:color w:val="000000"/>
                <w:sz w:val="18"/>
                <w:szCs w:val="18"/>
              </w:rPr>
              <w:t>1</w:t>
            </w:r>
          </w:p>
        </w:tc>
        <w:tc>
          <w:tcPr>
            <w:tcW w:w="1123" w:type="dxa"/>
            <w:tcBorders>
              <w:top w:val="dotted" w:color="000000" w:sz="4" w:space="0"/>
              <w:left w:val="nil"/>
              <w:bottom w:val="dotted" w:color="000000" w:sz="4" w:space="0"/>
              <w:right w:val="single" w:color="000000" w:sz="4" w:space="0"/>
            </w:tcBorders>
            <w:shd w:val="clear" w:color="auto" w:fill="auto"/>
            <w:vAlign w:val="center"/>
          </w:tcPr>
          <w:p w:rsidRPr="00F87A3B" w:rsidR="00F87A3B" w:rsidP="00F87A3B" w:rsidRDefault="00F87A3B" w14:paraId="1820E891" w14:textId="4AB5C619">
            <w:pPr>
              <w:widowControl/>
              <w:jc w:val="center"/>
              <w:rPr>
                <w:rFonts w:eastAsia="Calibri" w:asciiTheme="minorHAnsi" w:hAnsiTheme="minorHAnsi" w:cstheme="minorHAnsi"/>
                <w:i/>
                <w:color w:val="000000"/>
                <w:sz w:val="18"/>
                <w:szCs w:val="18"/>
              </w:rPr>
            </w:pPr>
            <w:r w:rsidRPr="00F87A3B">
              <w:rPr>
                <w:rFonts w:asciiTheme="minorHAnsi" w:hAnsiTheme="minorHAnsi" w:cstheme="minorHAnsi"/>
                <w:i/>
                <w:sz w:val="18"/>
                <w:szCs w:val="18"/>
              </w:rPr>
              <w:t>18</w:t>
            </w:r>
          </w:p>
        </w:tc>
        <w:tc>
          <w:tcPr>
            <w:tcW w:w="1307"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F87A3B" w14:paraId="4186B5B4" w14:textId="578FE292">
            <w:pPr>
              <w:widowControl/>
              <w:jc w:val="center"/>
              <w:rPr>
                <w:rFonts w:eastAsia="Calibri" w:asciiTheme="minorHAnsi" w:hAnsiTheme="minorHAnsi" w:cstheme="minorHAnsi"/>
                <w:i/>
                <w:color w:val="000000"/>
                <w:sz w:val="18"/>
                <w:szCs w:val="18"/>
              </w:rPr>
            </w:pPr>
            <w:r w:rsidRPr="00FE3B3B">
              <w:rPr>
                <w:rFonts w:eastAsia="Calibri" w:asciiTheme="minorHAnsi" w:hAnsiTheme="minorHAnsi" w:cstheme="minorHAnsi"/>
                <w:i/>
                <w:color w:val="000000"/>
                <w:sz w:val="18"/>
                <w:szCs w:val="18"/>
              </w:rPr>
              <w:t>1 min.</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20640B" w:rsidRDefault="0020640B" w14:paraId="67F5889D" w14:textId="550366D1">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18 min</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9E015E" w14:paraId="5186E126" w14:textId="38A8567E">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27.43</w:t>
            </w:r>
          </w:p>
        </w:tc>
        <w:tc>
          <w:tcPr>
            <w:tcW w:w="1080" w:type="dxa"/>
            <w:tcBorders>
              <w:top w:val="dotted" w:color="000000" w:sz="4" w:space="0"/>
              <w:left w:val="nil"/>
              <w:bottom w:val="dotted" w:color="000000" w:sz="4" w:space="0"/>
              <w:right w:val="single" w:color="000000" w:sz="8" w:space="0"/>
            </w:tcBorders>
            <w:shd w:val="clear" w:color="auto" w:fill="auto"/>
            <w:vAlign w:val="center"/>
          </w:tcPr>
          <w:p w:rsidRPr="00FE3B3B" w:rsidR="00F87A3B" w:rsidP="00F87A3B" w:rsidRDefault="00F56885" w14:paraId="3E786125" w14:textId="6CFB6953">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8</w:t>
            </w:r>
          </w:p>
        </w:tc>
      </w:tr>
      <w:tr w:rsidR="00F87A3B" w:rsidTr="00062DB2" w14:paraId="1A858DDF" w14:textId="77777777">
        <w:trPr>
          <w:trHeight w:val="296"/>
        </w:trPr>
        <w:tc>
          <w:tcPr>
            <w:tcW w:w="3075" w:type="dxa"/>
            <w:tcBorders>
              <w:top w:val="dotted" w:color="000000" w:sz="4" w:space="0"/>
              <w:left w:val="single" w:color="000000" w:sz="8" w:space="0"/>
              <w:bottom w:val="dotted" w:color="000000" w:sz="4" w:space="0"/>
              <w:right w:val="single" w:color="000000" w:sz="4" w:space="0"/>
            </w:tcBorders>
            <w:shd w:val="clear" w:color="auto" w:fill="auto"/>
            <w:vAlign w:val="center"/>
          </w:tcPr>
          <w:p w:rsidRPr="00FE3B3B" w:rsidR="00F87A3B" w:rsidP="00F87A3B" w:rsidRDefault="00F87A3B" w14:paraId="77F3A9AB" w14:textId="6BDF6B06">
            <w:pPr>
              <w:widowControl/>
              <w:jc w:val="right"/>
              <w:rPr>
                <w:rFonts w:eastAsia="Calibri" w:asciiTheme="minorHAnsi" w:hAnsiTheme="minorHAnsi" w:cstheme="minorHAnsi"/>
                <w:i/>
                <w:color w:val="000000"/>
                <w:sz w:val="18"/>
                <w:szCs w:val="18"/>
              </w:rPr>
            </w:pPr>
            <w:r w:rsidRPr="00FE3B3B">
              <w:rPr>
                <w:rFonts w:asciiTheme="minorHAnsi" w:hAnsiTheme="minorHAnsi" w:cstheme="minorHAnsi"/>
                <w:i/>
                <w:sz w:val="18"/>
                <w:szCs w:val="18"/>
              </w:rPr>
              <w:t>Rockfish Program</w:t>
            </w:r>
          </w:p>
        </w:tc>
        <w:tc>
          <w:tcPr>
            <w:tcW w:w="2070" w:type="dxa"/>
            <w:tcBorders>
              <w:top w:val="dotted" w:color="000000" w:sz="4" w:space="0"/>
              <w:left w:val="nil"/>
              <w:bottom w:val="dotted" w:color="000000" w:sz="4" w:space="0"/>
              <w:right w:val="single" w:color="000000" w:sz="4" w:space="0"/>
            </w:tcBorders>
            <w:shd w:val="clear" w:color="auto" w:fill="auto"/>
            <w:vAlign w:val="center"/>
          </w:tcPr>
          <w:p w:rsidRPr="00D53C14" w:rsidR="00F87A3B" w:rsidP="00F87A3B" w:rsidRDefault="00F87A3B" w14:paraId="59C10120" w14:textId="379756F1">
            <w:pPr>
              <w:widowControl/>
              <w:jc w:val="center"/>
              <w:rPr>
                <w:rFonts w:eastAsia="Calibri" w:asciiTheme="minorHAnsi" w:hAnsiTheme="minorHAnsi" w:cstheme="minorHAnsi"/>
                <w:i/>
                <w:color w:val="000000"/>
                <w:sz w:val="18"/>
                <w:szCs w:val="18"/>
              </w:rPr>
            </w:pPr>
            <w:r w:rsidRPr="00D53C14">
              <w:rPr>
                <w:rFonts w:asciiTheme="minorHAnsi" w:hAnsiTheme="minorHAnsi" w:cstheme="minorHAnsi"/>
                <w:i/>
                <w:sz w:val="18"/>
                <w:szCs w:val="18"/>
              </w:rPr>
              <w:t xml:space="preserve">Rockfish cooperative quota permit holders </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D53C14" w:rsidR="00F87A3B" w:rsidP="00F87A3B" w:rsidRDefault="00F87A3B" w14:paraId="5C551A24" w14:textId="21EF51D5">
            <w:pPr>
              <w:widowControl/>
              <w:jc w:val="center"/>
              <w:rPr>
                <w:rFonts w:eastAsia="Calibri" w:asciiTheme="minorHAnsi" w:hAnsiTheme="minorHAnsi" w:cstheme="minorHAnsi"/>
                <w:i/>
                <w:color w:val="000000"/>
                <w:sz w:val="18"/>
                <w:szCs w:val="18"/>
              </w:rPr>
            </w:pPr>
            <w:r w:rsidRPr="00D53C14">
              <w:rPr>
                <w:rFonts w:asciiTheme="minorHAnsi" w:hAnsiTheme="minorHAnsi" w:cstheme="minorHAnsi"/>
                <w:i/>
                <w:sz w:val="18"/>
                <w:szCs w:val="18"/>
              </w:rPr>
              <w:t>7</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F87A3B" w14:paraId="47D8B809" w14:textId="7FD3972D">
            <w:pPr>
              <w:widowControl/>
              <w:jc w:val="center"/>
              <w:rPr>
                <w:rFonts w:eastAsia="Calibri" w:asciiTheme="minorHAnsi" w:hAnsiTheme="minorHAnsi" w:cstheme="minorHAnsi"/>
                <w:i/>
                <w:color w:val="000000"/>
                <w:sz w:val="18"/>
                <w:szCs w:val="18"/>
              </w:rPr>
            </w:pPr>
            <w:r w:rsidRPr="00FE3B3B">
              <w:rPr>
                <w:rFonts w:eastAsia="Calibri" w:asciiTheme="minorHAnsi" w:hAnsiTheme="minorHAnsi" w:cstheme="minorHAnsi"/>
                <w:i/>
                <w:color w:val="000000"/>
                <w:sz w:val="18"/>
                <w:szCs w:val="18"/>
              </w:rPr>
              <w:t>1</w:t>
            </w:r>
          </w:p>
        </w:tc>
        <w:tc>
          <w:tcPr>
            <w:tcW w:w="1123" w:type="dxa"/>
            <w:tcBorders>
              <w:top w:val="dotted" w:color="000000" w:sz="4" w:space="0"/>
              <w:left w:val="nil"/>
              <w:bottom w:val="dotted" w:color="000000" w:sz="4" w:space="0"/>
              <w:right w:val="single" w:color="000000" w:sz="4" w:space="0"/>
            </w:tcBorders>
            <w:shd w:val="clear" w:color="auto" w:fill="auto"/>
            <w:vAlign w:val="center"/>
          </w:tcPr>
          <w:p w:rsidRPr="00F87A3B" w:rsidR="00F87A3B" w:rsidP="00F87A3B" w:rsidRDefault="00F87A3B" w14:paraId="60190CC1" w14:textId="3A7D7C22">
            <w:pPr>
              <w:widowControl/>
              <w:jc w:val="center"/>
              <w:rPr>
                <w:rFonts w:eastAsia="Calibri" w:asciiTheme="minorHAnsi" w:hAnsiTheme="minorHAnsi" w:cstheme="minorHAnsi"/>
                <w:i/>
                <w:color w:val="000000"/>
                <w:sz w:val="18"/>
                <w:szCs w:val="18"/>
              </w:rPr>
            </w:pPr>
            <w:r w:rsidRPr="00F87A3B">
              <w:rPr>
                <w:rFonts w:asciiTheme="minorHAnsi" w:hAnsiTheme="minorHAnsi" w:cstheme="minorHAnsi"/>
                <w:i/>
                <w:sz w:val="18"/>
                <w:szCs w:val="18"/>
              </w:rPr>
              <w:t>7</w:t>
            </w:r>
          </w:p>
        </w:tc>
        <w:tc>
          <w:tcPr>
            <w:tcW w:w="1307"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F87A3B" w14:paraId="3C0B4000" w14:textId="45F3D8B3">
            <w:pPr>
              <w:widowControl/>
              <w:jc w:val="center"/>
              <w:rPr>
                <w:rFonts w:eastAsia="Calibri" w:asciiTheme="minorHAnsi" w:hAnsiTheme="minorHAnsi" w:cstheme="minorHAnsi"/>
                <w:i/>
                <w:color w:val="000000"/>
                <w:sz w:val="18"/>
                <w:szCs w:val="18"/>
              </w:rPr>
            </w:pPr>
            <w:r w:rsidRPr="00FE3B3B">
              <w:rPr>
                <w:rFonts w:eastAsia="Calibri" w:asciiTheme="minorHAnsi" w:hAnsiTheme="minorHAnsi" w:cstheme="minorHAnsi"/>
                <w:i/>
                <w:color w:val="000000"/>
                <w:sz w:val="18"/>
                <w:szCs w:val="18"/>
              </w:rPr>
              <w:t>1 min.</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20640B" w14:paraId="16A30B75" w14:textId="2269AA5C">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7 min</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097158" w14:paraId="07FB379D" w14:textId="49C5E986">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34</w:t>
            </w:r>
            <w:r w:rsidRPr="009E015E" w:rsidR="009E015E">
              <w:rPr>
                <w:rFonts w:eastAsia="Calibri" w:asciiTheme="minorHAnsi" w:hAnsiTheme="minorHAnsi" w:cstheme="minorHAnsi"/>
                <w:i/>
                <w:color w:val="000000"/>
                <w:sz w:val="18"/>
                <w:szCs w:val="18"/>
                <w:vertAlign w:val="superscript"/>
              </w:rPr>
              <w:t>2</w:t>
            </w:r>
          </w:p>
        </w:tc>
        <w:tc>
          <w:tcPr>
            <w:tcW w:w="1080" w:type="dxa"/>
            <w:tcBorders>
              <w:top w:val="dotted" w:color="000000" w:sz="4" w:space="0"/>
              <w:left w:val="nil"/>
              <w:bottom w:val="dotted" w:color="000000" w:sz="4" w:space="0"/>
              <w:right w:val="single" w:color="000000" w:sz="8" w:space="0"/>
            </w:tcBorders>
            <w:shd w:val="clear" w:color="auto" w:fill="auto"/>
            <w:vAlign w:val="center"/>
          </w:tcPr>
          <w:p w:rsidRPr="00FE3B3B" w:rsidR="00F87A3B" w:rsidP="00F87A3B" w:rsidRDefault="003A1ECA" w14:paraId="4B9126AD" w14:textId="47E40729">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4</w:t>
            </w:r>
          </w:p>
        </w:tc>
      </w:tr>
      <w:tr w:rsidR="00F87A3B" w:rsidTr="00062DB2" w14:paraId="0A714768" w14:textId="77777777">
        <w:trPr>
          <w:trHeight w:val="296"/>
        </w:trPr>
        <w:tc>
          <w:tcPr>
            <w:tcW w:w="3075" w:type="dxa"/>
            <w:tcBorders>
              <w:top w:val="dotted" w:color="000000" w:sz="4" w:space="0"/>
              <w:left w:val="single" w:color="000000" w:sz="8" w:space="0"/>
              <w:bottom w:val="dotted" w:color="000000" w:sz="4" w:space="0"/>
              <w:right w:val="single" w:color="000000" w:sz="4" w:space="0"/>
            </w:tcBorders>
            <w:shd w:val="clear" w:color="auto" w:fill="auto"/>
            <w:vAlign w:val="center"/>
          </w:tcPr>
          <w:p w:rsidRPr="00FE3B3B" w:rsidR="00F87A3B" w:rsidP="00F87A3B" w:rsidRDefault="00F87A3B" w14:paraId="10A06162" w14:textId="7519C049">
            <w:pPr>
              <w:widowControl/>
              <w:jc w:val="right"/>
              <w:rPr>
                <w:rFonts w:eastAsia="Calibri" w:asciiTheme="minorHAnsi" w:hAnsiTheme="minorHAnsi" w:cstheme="minorHAnsi"/>
                <w:i/>
                <w:color w:val="000000"/>
                <w:sz w:val="18"/>
                <w:szCs w:val="18"/>
              </w:rPr>
            </w:pPr>
            <w:r w:rsidRPr="00FE3B3B">
              <w:rPr>
                <w:rFonts w:asciiTheme="minorHAnsi" w:hAnsiTheme="minorHAnsi" w:cstheme="minorHAnsi"/>
                <w:i/>
                <w:sz w:val="18"/>
                <w:szCs w:val="18"/>
              </w:rPr>
              <w:t>CDQ Program</w:t>
            </w:r>
          </w:p>
        </w:tc>
        <w:tc>
          <w:tcPr>
            <w:tcW w:w="2070" w:type="dxa"/>
            <w:tcBorders>
              <w:top w:val="dotted" w:color="000000" w:sz="4" w:space="0"/>
              <w:left w:val="nil"/>
              <w:bottom w:val="dotted" w:color="000000" w:sz="4" w:space="0"/>
              <w:right w:val="single" w:color="000000" w:sz="4" w:space="0"/>
            </w:tcBorders>
            <w:shd w:val="clear" w:color="auto" w:fill="auto"/>
            <w:vAlign w:val="center"/>
          </w:tcPr>
          <w:p w:rsidRPr="00D53C14" w:rsidR="00F87A3B" w:rsidP="00F87A3B" w:rsidRDefault="00F87A3B" w14:paraId="73C49702" w14:textId="591EA236">
            <w:pPr>
              <w:widowControl/>
              <w:jc w:val="center"/>
              <w:rPr>
                <w:rFonts w:eastAsia="Calibri" w:asciiTheme="minorHAnsi" w:hAnsiTheme="minorHAnsi" w:cstheme="minorHAnsi"/>
                <w:i/>
                <w:color w:val="000000"/>
                <w:sz w:val="18"/>
                <w:szCs w:val="18"/>
              </w:rPr>
            </w:pPr>
            <w:r w:rsidRPr="00D53C14">
              <w:rPr>
                <w:rFonts w:asciiTheme="minorHAnsi" w:hAnsiTheme="minorHAnsi" w:cstheme="minorHAnsi"/>
                <w:i/>
                <w:sz w:val="18"/>
                <w:szCs w:val="18"/>
              </w:rPr>
              <w:t>CDQ group representatives</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D53C14" w:rsidR="00F87A3B" w:rsidP="00F87A3B" w:rsidRDefault="00F87A3B" w14:paraId="57E22096" w14:textId="75231A9D">
            <w:pPr>
              <w:widowControl/>
              <w:jc w:val="center"/>
              <w:rPr>
                <w:rFonts w:eastAsia="Calibri" w:asciiTheme="minorHAnsi" w:hAnsiTheme="minorHAnsi" w:cstheme="minorHAnsi"/>
                <w:i/>
                <w:color w:val="000000"/>
                <w:sz w:val="18"/>
                <w:szCs w:val="18"/>
              </w:rPr>
            </w:pPr>
            <w:r w:rsidRPr="00D53C14">
              <w:rPr>
                <w:rFonts w:asciiTheme="minorHAnsi" w:hAnsiTheme="minorHAnsi" w:cstheme="minorHAnsi"/>
                <w:i/>
                <w:sz w:val="18"/>
                <w:szCs w:val="18"/>
              </w:rPr>
              <w:t>6</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F87A3B" w14:paraId="1908F3E2" w14:textId="76CB339C">
            <w:pPr>
              <w:widowControl/>
              <w:jc w:val="center"/>
              <w:rPr>
                <w:rFonts w:eastAsia="Calibri" w:asciiTheme="minorHAnsi" w:hAnsiTheme="minorHAnsi" w:cstheme="minorHAnsi"/>
                <w:i/>
                <w:color w:val="000000"/>
                <w:sz w:val="18"/>
                <w:szCs w:val="18"/>
              </w:rPr>
            </w:pPr>
            <w:r w:rsidRPr="00FE3B3B">
              <w:rPr>
                <w:rFonts w:eastAsia="Calibri" w:asciiTheme="minorHAnsi" w:hAnsiTheme="minorHAnsi" w:cstheme="minorHAnsi"/>
                <w:i/>
                <w:color w:val="000000"/>
                <w:sz w:val="18"/>
                <w:szCs w:val="18"/>
              </w:rPr>
              <w:t>1</w:t>
            </w:r>
          </w:p>
        </w:tc>
        <w:tc>
          <w:tcPr>
            <w:tcW w:w="1123" w:type="dxa"/>
            <w:tcBorders>
              <w:top w:val="dotted" w:color="000000" w:sz="4" w:space="0"/>
              <w:left w:val="nil"/>
              <w:bottom w:val="dotted" w:color="000000" w:sz="4" w:space="0"/>
              <w:right w:val="single" w:color="000000" w:sz="4" w:space="0"/>
            </w:tcBorders>
            <w:shd w:val="clear" w:color="auto" w:fill="auto"/>
            <w:vAlign w:val="center"/>
          </w:tcPr>
          <w:p w:rsidRPr="00F87A3B" w:rsidR="00F87A3B" w:rsidP="00F87A3B" w:rsidRDefault="00F87A3B" w14:paraId="0780F355" w14:textId="7B0FF007">
            <w:pPr>
              <w:widowControl/>
              <w:jc w:val="center"/>
              <w:rPr>
                <w:rFonts w:eastAsia="Calibri" w:asciiTheme="minorHAnsi" w:hAnsiTheme="minorHAnsi" w:cstheme="minorHAnsi"/>
                <w:i/>
                <w:color w:val="000000"/>
                <w:sz w:val="18"/>
                <w:szCs w:val="18"/>
              </w:rPr>
            </w:pPr>
            <w:r w:rsidRPr="00F87A3B">
              <w:rPr>
                <w:rFonts w:asciiTheme="minorHAnsi" w:hAnsiTheme="minorHAnsi" w:cstheme="minorHAnsi"/>
                <w:i/>
                <w:sz w:val="18"/>
                <w:szCs w:val="18"/>
              </w:rPr>
              <w:t>6</w:t>
            </w:r>
          </w:p>
        </w:tc>
        <w:tc>
          <w:tcPr>
            <w:tcW w:w="1307"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F87A3B" w14:paraId="7903A944" w14:textId="36CD26D1">
            <w:pPr>
              <w:widowControl/>
              <w:jc w:val="center"/>
              <w:rPr>
                <w:rFonts w:eastAsia="Calibri" w:asciiTheme="minorHAnsi" w:hAnsiTheme="minorHAnsi" w:cstheme="minorHAnsi"/>
                <w:i/>
                <w:color w:val="000000"/>
                <w:sz w:val="18"/>
                <w:szCs w:val="18"/>
              </w:rPr>
            </w:pPr>
            <w:r w:rsidRPr="00FE3B3B">
              <w:rPr>
                <w:rFonts w:eastAsia="Calibri" w:asciiTheme="minorHAnsi" w:hAnsiTheme="minorHAnsi" w:cstheme="minorHAnsi"/>
                <w:i/>
                <w:color w:val="000000"/>
                <w:sz w:val="18"/>
                <w:szCs w:val="18"/>
              </w:rPr>
              <w:t>1 min.</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20640B" w14:paraId="1C81880C" w14:textId="4A8E9B52">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6 min</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9E015E" w:rsidRDefault="00E163F4" w14:paraId="304CEF08" w14:textId="014E4935">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52.97</w:t>
            </w:r>
            <w:r w:rsidR="009E015E">
              <w:rPr>
                <w:rFonts w:eastAsia="Calibri" w:asciiTheme="minorHAnsi" w:hAnsiTheme="minorHAnsi" w:cstheme="minorHAnsi"/>
                <w:i/>
                <w:color w:val="000000"/>
                <w:sz w:val="18"/>
                <w:szCs w:val="18"/>
                <w:vertAlign w:val="superscript"/>
              </w:rPr>
              <w:t>3</w:t>
            </w:r>
          </w:p>
        </w:tc>
        <w:tc>
          <w:tcPr>
            <w:tcW w:w="1080" w:type="dxa"/>
            <w:tcBorders>
              <w:top w:val="dotted" w:color="000000" w:sz="4" w:space="0"/>
              <w:left w:val="nil"/>
              <w:bottom w:val="dotted" w:color="000000" w:sz="4" w:space="0"/>
              <w:right w:val="single" w:color="000000" w:sz="8" w:space="0"/>
            </w:tcBorders>
            <w:shd w:val="clear" w:color="auto" w:fill="auto"/>
            <w:vAlign w:val="center"/>
          </w:tcPr>
          <w:p w:rsidRPr="00FE3B3B" w:rsidR="00F87A3B" w:rsidP="00F87A3B" w:rsidRDefault="003A1ECA" w14:paraId="127AC200" w14:textId="2D878A25">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5</w:t>
            </w:r>
          </w:p>
        </w:tc>
      </w:tr>
      <w:tr w:rsidR="00F87A3B" w:rsidTr="00062DB2" w14:paraId="60D3BF70" w14:textId="77777777">
        <w:trPr>
          <w:trHeight w:val="296"/>
        </w:trPr>
        <w:tc>
          <w:tcPr>
            <w:tcW w:w="3075" w:type="dxa"/>
            <w:tcBorders>
              <w:top w:val="dotted" w:color="000000" w:sz="4" w:space="0"/>
              <w:left w:val="single" w:color="000000" w:sz="8" w:space="0"/>
              <w:bottom w:val="dotted" w:color="000000" w:sz="4" w:space="0"/>
              <w:right w:val="single" w:color="000000" w:sz="4" w:space="0"/>
            </w:tcBorders>
            <w:shd w:val="clear" w:color="auto" w:fill="auto"/>
            <w:vAlign w:val="center"/>
          </w:tcPr>
          <w:p w:rsidRPr="00FE3B3B" w:rsidR="00F87A3B" w:rsidP="00F87A3B" w:rsidRDefault="00F87A3B" w14:paraId="70DD3F4C" w14:textId="3136A033">
            <w:pPr>
              <w:widowControl/>
              <w:jc w:val="right"/>
              <w:rPr>
                <w:rFonts w:eastAsia="Calibri" w:asciiTheme="minorHAnsi" w:hAnsiTheme="minorHAnsi" w:cstheme="minorHAnsi"/>
                <w:i/>
                <w:color w:val="000000"/>
                <w:sz w:val="18"/>
                <w:szCs w:val="18"/>
              </w:rPr>
            </w:pPr>
            <w:r w:rsidRPr="00FE3B3B">
              <w:rPr>
                <w:rFonts w:asciiTheme="minorHAnsi" w:hAnsiTheme="minorHAnsi" w:cstheme="minorHAnsi"/>
                <w:i/>
                <w:sz w:val="18"/>
                <w:szCs w:val="18"/>
              </w:rPr>
              <w:t>AFA Program</w:t>
            </w:r>
          </w:p>
        </w:tc>
        <w:tc>
          <w:tcPr>
            <w:tcW w:w="207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F87A3B" w14:paraId="72D2495B" w14:textId="678BA4C3">
            <w:pPr>
              <w:widowControl/>
              <w:jc w:val="center"/>
              <w:rPr>
                <w:rFonts w:eastAsia="Calibri" w:asciiTheme="minorHAnsi" w:hAnsiTheme="minorHAnsi" w:cstheme="minorHAnsi"/>
                <w:i/>
                <w:color w:val="000000"/>
                <w:sz w:val="18"/>
                <w:szCs w:val="18"/>
              </w:rPr>
            </w:pPr>
            <w:r w:rsidRPr="00FE3B3B">
              <w:rPr>
                <w:rFonts w:eastAsia="Calibri" w:asciiTheme="minorHAnsi" w:hAnsiTheme="minorHAnsi" w:cstheme="minorHAnsi"/>
                <w:i/>
                <w:color w:val="000000"/>
                <w:sz w:val="18"/>
                <w:szCs w:val="18"/>
              </w:rPr>
              <w:t> </w:t>
            </w:r>
            <w:r>
              <w:rPr>
                <w:rFonts w:eastAsia="Calibri" w:asciiTheme="minorHAnsi" w:hAnsiTheme="minorHAnsi" w:cstheme="minorHAnsi"/>
                <w:i/>
                <w:color w:val="000000"/>
                <w:sz w:val="18"/>
                <w:szCs w:val="18"/>
              </w:rPr>
              <w:t>AFA inshore cooperative representative</w:t>
            </w:r>
            <w:r w:rsidR="00AC1794">
              <w:rPr>
                <w:rFonts w:eastAsia="Calibri" w:asciiTheme="minorHAnsi" w:hAnsiTheme="minorHAnsi" w:cstheme="minorHAnsi"/>
                <w:i/>
                <w:color w:val="000000"/>
                <w:sz w:val="18"/>
                <w:szCs w:val="18"/>
              </w:rPr>
              <w:t>s</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D53C14" w:rsidR="00F87A3B" w:rsidP="00F87A3B" w:rsidRDefault="00F87A3B" w14:paraId="085526EA" w14:textId="5EC0E8C0">
            <w:pPr>
              <w:widowControl/>
              <w:jc w:val="center"/>
              <w:rPr>
                <w:rFonts w:eastAsia="Calibri" w:asciiTheme="minorHAnsi" w:hAnsiTheme="minorHAnsi" w:cstheme="minorHAnsi"/>
                <w:i/>
                <w:color w:val="000000"/>
                <w:sz w:val="18"/>
                <w:szCs w:val="18"/>
              </w:rPr>
            </w:pPr>
            <w:r w:rsidRPr="00D53C14">
              <w:rPr>
                <w:rFonts w:asciiTheme="minorHAnsi" w:hAnsiTheme="minorHAnsi" w:cstheme="minorHAnsi"/>
                <w:i/>
                <w:sz w:val="18"/>
                <w:szCs w:val="18"/>
              </w:rPr>
              <w:t>8</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F87A3B" w14:paraId="45C2A66A" w14:textId="544901B5">
            <w:pPr>
              <w:widowControl/>
              <w:jc w:val="center"/>
              <w:rPr>
                <w:rFonts w:eastAsia="Calibri" w:asciiTheme="minorHAnsi" w:hAnsiTheme="minorHAnsi" w:cstheme="minorHAnsi"/>
                <w:i/>
                <w:color w:val="000000"/>
                <w:sz w:val="18"/>
                <w:szCs w:val="18"/>
              </w:rPr>
            </w:pPr>
            <w:r w:rsidRPr="00FE3B3B">
              <w:rPr>
                <w:rFonts w:eastAsia="Calibri" w:asciiTheme="minorHAnsi" w:hAnsiTheme="minorHAnsi" w:cstheme="minorHAnsi"/>
                <w:i/>
                <w:color w:val="000000"/>
                <w:sz w:val="18"/>
                <w:szCs w:val="18"/>
              </w:rPr>
              <w:t>1</w:t>
            </w:r>
          </w:p>
        </w:tc>
        <w:tc>
          <w:tcPr>
            <w:tcW w:w="1123" w:type="dxa"/>
            <w:tcBorders>
              <w:top w:val="dotted" w:color="000000" w:sz="4" w:space="0"/>
              <w:left w:val="nil"/>
              <w:bottom w:val="dotted" w:color="000000" w:sz="4" w:space="0"/>
              <w:right w:val="single" w:color="000000" w:sz="4" w:space="0"/>
            </w:tcBorders>
            <w:shd w:val="clear" w:color="auto" w:fill="auto"/>
            <w:vAlign w:val="center"/>
          </w:tcPr>
          <w:p w:rsidRPr="00F87A3B" w:rsidR="00F87A3B" w:rsidP="00F87A3B" w:rsidRDefault="00F87A3B" w14:paraId="57770E51" w14:textId="2D7827EB">
            <w:pPr>
              <w:widowControl/>
              <w:jc w:val="center"/>
              <w:rPr>
                <w:rFonts w:eastAsia="Calibri" w:asciiTheme="minorHAnsi" w:hAnsiTheme="minorHAnsi" w:cstheme="minorHAnsi"/>
                <w:i/>
                <w:color w:val="000000"/>
                <w:sz w:val="18"/>
                <w:szCs w:val="18"/>
              </w:rPr>
            </w:pPr>
            <w:r w:rsidRPr="00F87A3B">
              <w:rPr>
                <w:rFonts w:asciiTheme="minorHAnsi" w:hAnsiTheme="minorHAnsi" w:cstheme="minorHAnsi"/>
                <w:i/>
                <w:sz w:val="18"/>
                <w:szCs w:val="18"/>
              </w:rPr>
              <w:t>8</w:t>
            </w:r>
          </w:p>
        </w:tc>
        <w:tc>
          <w:tcPr>
            <w:tcW w:w="1307"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F87A3B" w14:paraId="0D6D2327" w14:textId="7756E6F4">
            <w:pPr>
              <w:widowControl/>
              <w:jc w:val="center"/>
              <w:rPr>
                <w:rFonts w:eastAsia="Calibri" w:asciiTheme="minorHAnsi" w:hAnsiTheme="minorHAnsi" w:cstheme="minorHAnsi"/>
                <w:i/>
                <w:color w:val="000000"/>
                <w:sz w:val="18"/>
                <w:szCs w:val="18"/>
              </w:rPr>
            </w:pPr>
            <w:r w:rsidRPr="00FE3B3B">
              <w:rPr>
                <w:rFonts w:eastAsia="Calibri" w:asciiTheme="minorHAnsi" w:hAnsiTheme="minorHAnsi" w:cstheme="minorHAnsi"/>
                <w:i/>
                <w:color w:val="000000"/>
                <w:sz w:val="18"/>
                <w:szCs w:val="18"/>
              </w:rPr>
              <w:t>1 min.</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20640B" w14:paraId="2EEA4DF6" w14:textId="4D4F6FF0">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8 min</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2D4A12" w14:paraId="6DBD9215" w14:textId="45D485D7">
            <w:pPr>
              <w:widowControl/>
              <w:jc w:val="center"/>
              <w:rPr>
                <w:rFonts w:eastAsia="Calibri" w:asciiTheme="minorHAnsi" w:hAnsiTheme="minorHAnsi" w:cstheme="minorHAnsi"/>
                <w:i/>
                <w:color w:val="000000"/>
                <w:sz w:val="18"/>
                <w:szCs w:val="18"/>
              </w:rPr>
            </w:pPr>
            <w:r w:rsidRPr="002D4A12">
              <w:rPr>
                <w:rFonts w:eastAsia="Calibri" w:asciiTheme="minorHAnsi" w:hAnsiTheme="minorHAnsi" w:cstheme="minorHAnsi"/>
                <w:i/>
                <w:color w:val="000000"/>
                <w:sz w:val="18"/>
                <w:szCs w:val="18"/>
              </w:rPr>
              <w:t>$75</w:t>
            </w:r>
            <w:r w:rsidRPr="009C1110" w:rsidR="009C1110">
              <w:rPr>
                <w:rFonts w:eastAsia="Calibri" w:asciiTheme="minorHAnsi" w:hAnsiTheme="minorHAnsi" w:cstheme="minorHAnsi"/>
                <w:i/>
                <w:color w:val="000000"/>
                <w:sz w:val="18"/>
                <w:szCs w:val="18"/>
                <w:vertAlign w:val="superscript"/>
              </w:rPr>
              <w:t>4</w:t>
            </w:r>
          </w:p>
        </w:tc>
        <w:tc>
          <w:tcPr>
            <w:tcW w:w="1080" w:type="dxa"/>
            <w:tcBorders>
              <w:top w:val="dotted" w:color="000000" w:sz="4" w:space="0"/>
              <w:left w:val="nil"/>
              <w:bottom w:val="dotted" w:color="000000" w:sz="4" w:space="0"/>
              <w:right w:val="single" w:color="000000" w:sz="8" w:space="0"/>
            </w:tcBorders>
            <w:shd w:val="clear" w:color="auto" w:fill="auto"/>
            <w:vAlign w:val="center"/>
          </w:tcPr>
          <w:p w:rsidRPr="00FE3B3B" w:rsidR="00F87A3B" w:rsidP="00F87A3B" w:rsidRDefault="003A1ECA" w14:paraId="1C9A26EB" w14:textId="44A09D7B">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10</w:t>
            </w:r>
          </w:p>
        </w:tc>
      </w:tr>
      <w:tr w:rsidR="00F87A3B" w:rsidTr="00062DB2" w14:paraId="656EAF61" w14:textId="77777777">
        <w:trPr>
          <w:trHeight w:val="296"/>
        </w:trPr>
        <w:tc>
          <w:tcPr>
            <w:tcW w:w="3075" w:type="dxa"/>
            <w:tcBorders>
              <w:top w:val="dotted" w:color="000000" w:sz="4" w:space="0"/>
              <w:left w:val="single" w:color="000000" w:sz="8" w:space="0"/>
              <w:bottom w:val="dotted" w:color="000000" w:sz="4" w:space="0"/>
              <w:right w:val="single" w:color="000000" w:sz="4" w:space="0"/>
            </w:tcBorders>
            <w:shd w:val="clear" w:color="auto" w:fill="auto"/>
            <w:vAlign w:val="center"/>
          </w:tcPr>
          <w:p w:rsidRPr="00FE3B3B" w:rsidR="00F87A3B" w:rsidP="00F87A3B" w:rsidRDefault="00F87A3B" w14:paraId="36642320" w14:textId="54E54694">
            <w:pPr>
              <w:widowControl/>
              <w:jc w:val="right"/>
              <w:rPr>
                <w:rFonts w:eastAsia="Calibri" w:asciiTheme="minorHAnsi" w:hAnsiTheme="minorHAnsi" w:cstheme="minorHAnsi"/>
                <w:i/>
                <w:color w:val="000000"/>
                <w:sz w:val="18"/>
                <w:szCs w:val="18"/>
              </w:rPr>
            </w:pPr>
            <w:r w:rsidRPr="00FE3B3B">
              <w:rPr>
                <w:rFonts w:asciiTheme="minorHAnsi" w:hAnsiTheme="minorHAnsi" w:cstheme="minorHAnsi"/>
                <w:i/>
                <w:sz w:val="18"/>
                <w:szCs w:val="18"/>
              </w:rPr>
              <w:t>Aleutian Islands Pollock</w:t>
            </w:r>
          </w:p>
        </w:tc>
        <w:tc>
          <w:tcPr>
            <w:tcW w:w="2070" w:type="dxa"/>
            <w:tcBorders>
              <w:top w:val="dotted" w:color="000000" w:sz="4" w:space="0"/>
              <w:left w:val="nil"/>
              <w:bottom w:val="dotted" w:color="000000" w:sz="4" w:space="0"/>
              <w:right w:val="single" w:color="000000" w:sz="4" w:space="0"/>
            </w:tcBorders>
            <w:shd w:val="clear" w:color="auto" w:fill="auto"/>
            <w:vAlign w:val="center"/>
          </w:tcPr>
          <w:p w:rsidRPr="00B56D02" w:rsidR="00F87A3B" w:rsidP="00F87A3B" w:rsidRDefault="00F87A3B" w14:paraId="3AA44AA2" w14:textId="6F828332">
            <w:pPr>
              <w:widowControl/>
              <w:jc w:val="center"/>
              <w:rPr>
                <w:rFonts w:eastAsia="Calibri" w:asciiTheme="minorHAnsi" w:hAnsiTheme="minorHAnsi" w:cstheme="minorHAnsi"/>
                <w:i/>
                <w:color w:val="000000"/>
                <w:sz w:val="18"/>
                <w:szCs w:val="18"/>
              </w:rPr>
            </w:pPr>
            <w:r w:rsidRPr="00B56D02">
              <w:rPr>
                <w:rFonts w:asciiTheme="minorHAnsi" w:hAnsiTheme="minorHAnsi" w:cstheme="minorHAnsi"/>
                <w:i/>
                <w:sz w:val="18"/>
                <w:szCs w:val="18"/>
              </w:rPr>
              <w:t xml:space="preserve">Aleut Corporation authorized representative </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D53C14" w:rsidR="00F87A3B" w:rsidP="00F87A3B" w:rsidRDefault="00F87A3B" w14:paraId="4BCFF1AE" w14:textId="29AE075C">
            <w:pPr>
              <w:widowControl/>
              <w:jc w:val="center"/>
              <w:rPr>
                <w:rFonts w:eastAsia="Calibri" w:asciiTheme="minorHAnsi" w:hAnsiTheme="minorHAnsi" w:cstheme="minorHAnsi"/>
                <w:i/>
                <w:color w:val="000000"/>
                <w:sz w:val="18"/>
                <w:szCs w:val="18"/>
              </w:rPr>
            </w:pPr>
            <w:r w:rsidRPr="00D53C14">
              <w:rPr>
                <w:rFonts w:asciiTheme="minorHAnsi" w:hAnsiTheme="minorHAnsi" w:cstheme="minorHAnsi"/>
                <w:i/>
                <w:sz w:val="18"/>
                <w:szCs w:val="18"/>
              </w:rPr>
              <w:t>1</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F87A3B" w14:paraId="03778F55" w14:textId="4458F26B">
            <w:pPr>
              <w:widowControl/>
              <w:jc w:val="center"/>
              <w:rPr>
                <w:rFonts w:eastAsia="Calibri" w:asciiTheme="minorHAnsi" w:hAnsiTheme="minorHAnsi" w:cstheme="minorHAnsi"/>
                <w:i/>
                <w:color w:val="000000"/>
                <w:sz w:val="18"/>
                <w:szCs w:val="18"/>
              </w:rPr>
            </w:pPr>
            <w:r w:rsidRPr="00FE3B3B">
              <w:rPr>
                <w:rFonts w:eastAsia="Calibri" w:asciiTheme="minorHAnsi" w:hAnsiTheme="minorHAnsi" w:cstheme="minorHAnsi"/>
                <w:i/>
                <w:color w:val="000000"/>
                <w:sz w:val="18"/>
                <w:szCs w:val="18"/>
              </w:rPr>
              <w:t>1</w:t>
            </w:r>
          </w:p>
        </w:tc>
        <w:tc>
          <w:tcPr>
            <w:tcW w:w="1123" w:type="dxa"/>
            <w:tcBorders>
              <w:top w:val="dotted" w:color="000000" w:sz="4" w:space="0"/>
              <w:left w:val="nil"/>
              <w:bottom w:val="dotted" w:color="000000" w:sz="4" w:space="0"/>
              <w:right w:val="single" w:color="000000" w:sz="4" w:space="0"/>
            </w:tcBorders>
            <w:shd w:val="clear" w:color="auto" w:fill="auto"/>
            <w:vAlign w:val="center"/>
          </w:tcPr>
          <w:p w:rsidRPr="00F87A3B" w:rsidR="00F87A3B" w:rsidP="00F87A3B" w:rsidRDefault="00F87A3B" w14:paraId="1CC271AB" w14:textId="75A02115">
            <w:pPr>
              <w:widowControl/>
              <w:jc w:val="center"/>
              <w:rPr>
                <w:rFonts w:eastAsia="Calibri" w:asciiTheme="minorHAnsi" w:hAnsiTheme="minorHAnsi" w:cstheme="minorHAnsi"/>
                <w:i/>
                <w:color w:val="000000"/>
                <w:sz w:val="18"/>
                <w:szCs w:val="18"/>
              </w:rPr>
            </w:pPr>
            <w:r w:rsidRPr="00F87A3B">
              <w:rPr>
                <w:rFonts w:asciiTheme="minorHAnsi" w:hAnsiTheme="minorHAnsi" w:cstheme="minorHAnsi"/>
                <w:i/>
                <w:sz w:val="18"/>
                <w:szCs w:val="18"/>
              </w:rPr>
              <w:t>1</w:t>
            </w:r>
          </w:p>
        </w:tc>
        <w:tc>
          <w:tcPr>
            <w:tcW w:w="1307"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F87A3B" w14:paraId="6A8F7307" w14:textId="5BE72656">
            <w:pPr>
              <w:widowControl/>
              <w:jc w:val="center"/>
              <w:rPr>
                <w:rFonts w:eastAsia="Calibri" w:asciiTheme="minorHAnsi" w:hAnsiTheme="minorHAnsi" w:cstheme="minorHAnsi"/>
                <w:i/>
                <w:color w:val="000000"/>
                <w:sz w:val="18"/>
                <w:szCs w:val="18"/>
              </w:rPr>
            </w:pPr>
            <w:r w:rsidRPr="00FE3B3B">
              <w:rPr>
                <w:rFonts w:eastAsia="Calibri" w:asciiTheme="minorHAnsi" w:hAnsiTheme="minorHAnsi" w:cstheme="minorHAnsi"/>
                <w:i/>
                <w:color w:val="000000"/>
                <w:sz w:val="18"/>
                <w:szCs w:val="18"/>
              </w:rPr>
              <w:t>1 min.</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F87A3B" w:rsidRDefault="0020640B" w14:paraId="1C3CBF71" w14:textId="4F71D8D3">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1 min</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FE3B3B" w:rsidR="00F87A3B" w:rsidP="009C1110" w:rsidRDefault="00141D2A" w14:paraId="61891B1B" w14:textId="2B5FC5CD">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37</w:t>
            </w:r>
            <w:r w:rsidR="009C1110">
              <w:rPr>
                <w:rFonts w:eastAsia="Calibri" w:asciiTheme="minorHAnsi" w:hAnsiTheme="minorHAnsi" w:cstheme="minorHAnsi"/>
                <w:i/>
                <w:color w:val="000000"/>
                <w:sz w:val="18"/>
                <w:szCs w:val="18"/>
                <w:vertAlign w:val="superscript"/>
              </w:rPr>
              <w:t>5</w:t>
            </w:r>
          </w:p>
        </w:tc>
        <w:tc>
          <w:tcPr>
            <w:tcW w:w="1080" w:type="dxa"/>
            <w:tcBorders>
              <w:top w:val="dotted" w:color="000000" w:sz="4" w:space="0"/>
              <w:left w:val="nil"/>
              <w:bottom w:val="dotted" w:color="000000" w:sz="4" w:space="0"/>
              <w:right w:val="single" w:color="000000" w:sz="8" w:space="0"/>
            </w:tcBorders>
            <w:shd w:val="clear" w:color="auto" w:fill="auto"/>
            <w:vAlign w:val="center"/>
          </w:tcPr>
          <w:p w:rsidRPr="00FE3B3B" w:rsidR="00F87A3B" w:rsidP="00F87A3B" w:rsidRDefault="003A1ECA" w14:paraId="63E1B878" w14:textId="3B7665E4">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1</w:t>
            </w:r>
          </w:p>
        </w:tc>
      </w:tr>
      <w:tr w:rsidR="00F87A3B" w:rsidTr="00062DB2" w14:paraId="48C89D89" w14:textId="77777777">
        <w:trPr>
          <w:trHeight w:val="296"/>
        </w:trPr>
        <w:tc>
          <w:tcPr>
            <w:tcW w:w="3075" w:type="dxa"/>
            <w:tcBorders>
              <w:top w:val="dotted" w:color="000000" w:sz="4" w:space="0"/>
              <w:left w:val="single" w:color="000000" w:sz="8" w:space="0"/>
              <w:bottom w:val="double" w:color="000000" w:sz="4" w:space="0"/>
              <w:right w:val="single" w:color="000000" w:sz="4" w:space="0"/>
            </w:tcBorders>
            <w:shd w:val="clear" w:color="auto" w:fill="auto"/>
            <w:vAlign w:val="center"/>
          </w:tcPr>
          <w:p w:rsidRPr="00FE3B3B" w:rsidR="00F87A3B" w:rsidP="00F87A3B" w:rsidRDefault="00F87A3B" w14:paraId="624B09A2" w14:textId="50714ECA">
            <w:pPr>
              <w:widowControl/>
              <w:jc w:val="right"/>
              <w:rPr>
                <w:rFonts w:eastAsia="Calibri" w:asciiTheme="minorHAnsi" w:hAnsiTheme="minorHAnsi" w:cstheme="minorHAnsi"/>
                <w:i/>
                <w:color w:val="000000"/>
                <w:sz w:val="18"/>
                <w:szCs w:val="18"/>
              </w:rPr>
            </w:pPr>
            <w:r w:rsidRPr="00FE3B3B">
              <w:rPr>
                <w:rFonts w:asciiTheme="minorHAnsi" w:hAnsiTheme="minorHAnsi" w:cstheme="minorHAnsi"/>
                <w:i/>
                <w:sz w:val="18"/>
                <w:szCs w:val="18"/>
              </w:rPr>
              <w:lastRenderedPageBreak/>
              <w:t>Amendment 80 Program</w:t>
            </w:r>
          </w:p>
        </w:tc>
        <w:tc>
          <w:tcPr>
            <w:tcW w:w="2070" w:type="dxa"/>
            <w:tcBorders>
              <w:top w:val="dotted" w:color="000000" w:sz="4" w:space="0"/>
              <w:left w:val="nil"/>
              <w:bottom w:val="double" w:color="000000" w:sz="4" w:space="0"/>
              <w:right w:val="single" w:color="000000" w:sz="4" w:space="0"/>
            </w:tcBorders>
            <w:shd w:val="clear" w:color="auto" w:fill="auto"/>
            <w:vAlign w:val="center"/>
          </w:tcPr>
          <w:p w:rsidRPr="00B56D02" w:rsidR="00F87A3B" w:rsidP="00AC1794" w:rsidRDefault="00F87A3B" w14:paraId="73BD6D2E" w14:textId="0D396672">
            <w:pPr>
              <w:widowControl/>
              <w:jc w:val="center"/>
              <w:rPr>
                <w:rFonts w:eastAsia="Calibri" w:asciiTheme="minorHAnsi" w:hAnsiTheme="minorHAnsi" w:cstheme="minorHAnsi"/>
                <w:i/>
                <w:color w:val="000000"/>
                <w:sz w:val="18"/>
                <w:szCs w:val="18"/>
              </w:rPr>
            </w:pPr>
            <w:r>
              <w:rPr>
                <w:rFonts w:asciiTheme="minorHAnsi" w:hAnsiTheme="minorHAnsi" w:cstheme="minorHAnsi"/>
                <w:i/>
                <w:sz w:val="18"/>
                <w:szCs w:val="18"/>
              </w:rPr>
              <w:t xml:space="preserve">Amendment 80 cooperative </w:t>
            </w:r>
            <w:r w:rsidRPr="00B56D02">
              <w:rPr>
                <w:rFonts w:asciiTheme="minorHAnsi" w:hAnsiTheme="minorHAnsi" w:cstheme="minorHAnsi"/>
                <w:i/>
                <w:sz w:val="18"/>
                <w:szCs w:val="18"/>
              </w:rPr>
              <w:t>representative</w:t>
            </w:r>
          </w:p>
        </w:tc>
        <w:tc>
          <w:tcPr>
            <w:tcW w:w="1170" w:type="dxa"/>
            <w:tcBorders>
              <w:top w:val="dotted" w:color="000000" w:sz="4" w:space="0"/>
              <w:left w:val="nil"/>
              <w:bottom w:val="double" w:color="000000" w:sz="4" w:space="0"/>
              <w:right w:val="single" w:color="000000" w:sz="4" w:space="0"/>
            </w:tcBorders>
            <w:shd w:val="clear" w:color="auto" w:fill="auto"/>
            <w:vAlign w:val="center"/>
          </w:tcPr>
          <w:p w:rsidRPr="00D53C14" w:rsidR="00F87A3B" w:rsidP="00F87A3B" w:rsidRDefault="00F87A3B" w14:paraId="45127C0A" w14:textId="145D26B2">
            <w:pPr>
              <w:widowControl/>
              <w:jc w:val="center"/>
              <w:rPr>
                <w:rFonts w:eastAsia="Calibri" w:asciiTheme="minorHAnsi" w:hAnsiTheme="minorHAnsi" w:cstheme="minorHAnsi"/>
                <w:i/>
                <w:color w:val="000000"/>
                <w:sz w:val="18"/>
                <w:szCs w:val="18"/>
              </w:rPr>
            </w:pPr>
            <w:r w:rsidRPr="00D53C14">
              <w:rPr>
                <w:rFonts w:asciiTheme="minorHAnsi" w:hAnsiTheme="minorHAnsi" w:cstheme="minorHAnsi"/>
                <w:i/>
                <w:sz w:val="18"/>
                <w:szCs w:val="18"/>
              </w:rPr>
              <w:t>1</w:t>
            </w:r>
          </w:p>
        </w:tc>
        <w:tc>
          <w:tcPr>
            <w:tcW w:w="1080" w:type="dxa"/>
            <w:tcBorders>
              <w:top w:val="dotted" w:color="000000" w:sz="4" w:space="0"/>
              <w:left w:val="nil"/>
              <w:bottom w:val="double" w:color="000000" w:sz="4" w:space="0"/>
              <w:right w:val="single" w:color="000000" w:sz="4" w:space="0"/>
            </w:tcBorders>
            <w:shd w:val="clear" w:color="auto" w:fill="auto"/>
            <w:vAlign w:val="center"/>
          </w:tcPr>
          <w:p w:rsidRPr="00FE3B3B" w:rsidR="00F87A3B" w:rsidP="00F87A3B" w:rsidRDefault="00F87A3B" w14:paraId="712D6F0F" w14:textId="5D2FCCAD">
            <w:pPr>
              <w:widowControl/>
              <w:jc w:val="center"/>
              <w:rPr>
                <w:rFonts w:eastAsia="Calibri" w:asciiTheme="minorHAnsi" w:hAnsiTheme="minorHAnsi" w:cstheme="minorHAnsi"/>
                <w:i/>
                <w:color w:val="000000"/>
                <w:sz w:val="18"/>
                <w:szCs w:val="18"/>
              </w:rPr>
            </w:pPr>
            <w:r w:rsidRPr="00FE3B3B">
              <w:rPr>
                <w:rFonts w:eastAsia="Calibri" w:asciiTheme="minorHAnsi" w:hAnsiTheme="minorHAnsi" w:cstheme="minorHAnsi"/>
                <w:i/>
                <w:color w:val="000000"/>
                <w:sz w:val="18"/>
                <w:szCs w:val="18"/>
              </w:rPr>
              <w:t>1</w:t>
            </w:r>
          </w:p>
        </w:tc>
        <w:tc>
          <w:tcPr>
            <w:tcW w:w="1123" w:type="dxa"/>
            <w:tcBorders>
              <w:top w:val="dotted" w:color="000000" w:sz="4" w:space="0"/>
              <w:left w:val="nil"/>
              <w:bottom w:val="double" w:color="000000" w:sz="4" w:space="0"/>
              <w:right w:val="single" w:color="000000" w:sz="4" w:space="0"/>
            </w:tcBorders>
            <w:shd w:val="clear" w:color="auto" w:fill="auto"/>
            <w:vAlign w:val="center"/>
          </w:tcPr>
          <w:p w:rsidRPr="00F87A3B" w:rsidR="00F87A3B" w:rsidP="00F87A3B" w:rsidRDefault="00F87A3B" w14:paraId="770A9412" w14:textId="1B22241C">
            <w:pPr>
              <w:widowControl/>
              <w:jc w:val="center"/>
              <w:rPr>
                <w:rFonts w:eastAsia="Calibri" w:asciiTheme="minorHAnsi" w:hAnsiTheme="minorHAnsi" w:cstheme="minorHAnsi"/>
                <w:i/>
                <w:color w:val="000000"/>
                <w:sz w:val="18"/>
                <w:szCs w:val="18"/>
              </w:rPr>
            </w:pPr>
            <w:r w:rsidRPr="00F87A3B">
              <w:rPr>
                <w:rFonts w:asciiTheme="minorHAnsi" w:hAnsiTheme="minorHAnsi" w:cstheme="minorHAnsi"/>
                <w:i/>
                <w:sz w:val="18"/>
                <w:szCs w:val="18"/>
              </w:rPr>
              <w:t>1</w:t>
            </w:r>
          </w:p>
        </w:tc>
        <w:tc>
          <w:tcPr>
            <w:tcW w:w="1307" w:type="dxa"/>
            <w:tcBorders>
              <w:top w:val="dotted" w:color="000000" w:sz="4" w:space="0"/>
              <w:left w:val="nil"/>
              <w:bottom w:val="double" w:color="000000" w:sz="4" w:space="0"/>
              <w:right w:val="single" w:color="000000" w:sz="4" w:space="0"/>
            </w:tcBorders>
            <w:shd w:val="clear" w:color="auto" w:fill="auto"/>
            <w:vAlign w:val="center"/>
          </w:tcPr>
          <w:p w:rsidRPr="00FE3B3B" w:rsidR="00F87A3B" w:rsidP="00F87A3B" w:rsidRDefault="00F87A3B" w14:paraId="6BDF8008" w14:textId="4DB68948">
            <w:pPr>
              <w:widowControl/>
              <w:jc w:val="center"/>
              <w:rPr>
                <w:rFonts w:eastAsia="Calibri" w:asciiTheme="minorHAnsi" w:hAnsiTheme="minorHAnsi" w:cstheme="minorHAnsi"/>
                <w:i/>
                <w:color w:val="000000"/>
                <w:sz w:val="18"/>
                <w:szCs w:val="18"/>
              </w:rPr>
            </w:pPr>
            <w:r w:rsidRPr="00FE3B3B">
              <w:rPr>
                <w:rFonts w:eastAsia="Calibri" w:asciiTheme="minorHAnsi" w:hAnsiTheme="minorHAnsi" w:cstheme="minorHAnsi"/>
                <w:i/>
                <w:color w:val="000000"/>
                <w:sz w:val="18"/>
                <w:szCs w:val="18"/>
              </w:rPr>
              <w:t>1 min.</w:t>
            </w:r>
          </w:p>
        </w:tc>
        <w:tc>
          <w:tcPr>
            <w:tcW w:w="1170" w:type="dxa"/>
            <w:tcBorders>
              <w:top w:val="dotted" w:color="000000" w:sz="4" w:space="0"/>
              <w:left w:val="nil"/>
              <w:bottom w:val="double" w:color="000000" w:sz="4" w:space="0"/>
              <w:right w:val="single" w:color="000000" w:sz="4" w:space="0"/>
            </w:tcBorders>
            <w:shd w:val="clear" w:color="auto" w:fill="auto"/>
            <w:vAlign w:val="center"/>
          </w:tcPr>
          <w:p w:rsidRPr="00FE3B3B" w:rsidR="00F87A3B" w:rsidP="00F87A3B" w:rsidRDefault="0020640B" w14:paraId="783F98BB" w14:textId="7D969D69">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1 min</w:t>
            </w:r>
          </w:p>
        </w:tc>
        <w:tc>
          <w:tcPr>
            <w:tcW w:w="1080" w:type="dxa"/>
            <w:tcBorders>
              <w:top w:val="dotted" w:color="000000" w:sz="4" w:space="0"/>
              <w:left w:val="nil"/>
              <w:bottom w:val="double" w:color="000000" w:sz="4" w:space="0"/>
              <w:right w:val="single" w:color="000000" w:sz="4" w:space="0"/>
            </w:tcBorders>
            <w:shd w:val="clear" w:color="auto" w:fill="auto"/>
            <w:vAlign w:val="center"/>
          </w:tcPr>
          <w:p w:rsidRPr="00FE3B3B" w:rsidR="00F87A3B" w:rsidP="00F87A3B" w:rsidRDefault="007F2F57" w14:paraId="3AD33871" w14:textId="0BEE1C06">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37</w:t>
            </w:r>
            <w:r w:rsidRPr="003E374E" w:rsidR="003E374E">
              <w:rPr>
                <w:rFonts w:eastAsia="Calibri" w:asciiTheme="minorHAnsi" w:hAnsiTheme="minorHAnsi" w:cstheme="minorHAnsi"/>
                <w:i/>
                <w:color w:val="000000"/>
                <w:sz w:val="18"/>
                <w:szCs w:val="18"/>
                <w:vertAlign w:val="superscript"/>
              </w:rPr>
              <w:t>6</w:t>
            </w:r>
          </w:p>
        </w:tc>
        <w:tc>
          <w:tcPr>
            <w:tcW w:w="1080" w:type="dxa"/>
            <w:tcBorders>
              <w:top w:val="dotted" w:color="000000" w:sz="4" w:space="0"/>
              <w:left w:val="nil"/>
              <w:bottom w:val="double" w:color="000000" w:sz="4" w:space="0"/>
              <w:right w:val="single" w:color="000000" w:sz="8" w:space="0"/>
            </w:tcBorders>
            <w:shd w:val="clear" w:color="auto" w:fill="auto"/>
            <w:vAlign w:val="center"/>
          </w:tcPr>
          <w:p w:rsidRPr="00FE3B3B" w:rsidR="00F87A3B" w:rsidP="00F87A3B" w:rsidRDefault="003A1ECA" w14:paraId="5429204A" w14:textId="5ABDB8FA">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1</w:t>
            </w:r>
          </w:p>
        </w:tc>
      </w:tr>
      <w:tr w:rsidR="00FE3B3B" w:rsidTr="00062DB2" w14:paraId="19E0249B" w14:textId="77777777">
        <w:trPr>
          <w:trHeight w:val="492"/>
        </w:trPr>
        <w:tc>
          <w:tcPr>
            <w:tcW w:w="3075" w:type="dxa"/>
            <w:tcBorders>
              <w:top w:val="double" w:color="000000" w:sz="4" w:space="0"/>
              <w:left w:val="single" w:color="000000" w:sz="8" w:space="0"/>
              <w:bottom w:val="single" w:color="000000" w:sz="18" w:space="0"/>
              <w:right w:val="single" w:color="000000" w:sz="4" w:space="0"/>
            </w:tcBorders>
            <w:shd w:val="clear" w:color="auto" w:fill="auto"/>
            <w:vAlign w:val="center"/>
          </w:tcPr>
          <w:p w:rsidRPr="00062DB2" w:rsidR="00FE3B3B" w:rsidP="00062DB2" w:rsidRDefault="00FE3B3B" w14:paraId="4DCAFB18" w14:textId="7DB8095F">
            <w:pPr>
              <w:widowControl/>
              <w:rPr>
                <w:rFonts w:asciiTheme="minorHAnsi" w:hAnsiTheme="minorHAnsi" w:cstheme="minorHAnsi"/>
                <w:i/>
                <w:sz w:val="20"/>
                <w:szCs w:val="20"/>
              </w:rPr>
            </w:pPr>
            <w:r w:rsidRPr="00062DB2">
              <w:rPr>
                <w:rFonts w:asciiTheme="minorHAnsi" w:hAnsiTheme="minorHAnsi" w:cstheme="minorHAnsi"/>
                <w:sz w:val="20"/>
                <w:szCs w:val="20"/>
              </w:rPr>
              <w:t xml:space="preserve">Cost Recovery Fee Payments Total </w:t>
            </w:r>
          </w:p>
        </w:tc>
        <w:tc>
          <w:tcPr>
            <w:tcW w:w="2070" w:type="dxa"/>
            <w:tcBorders>
              <w:top w:val="double" w:color="000000" w:sz="4" w:space="0"/>
              <w:left w:val="nil"/>
              <w:bottom w:val="single" w:color="000000" w:sz="18" w:space="0"/>
              <w:right w:val="single" w:color="000000" w:sz="4" w:space="0"/>
            </w:tcBorders>
            <w:shd w:val="clear" w:color="auto" w:fill="auto"/>
            <w:vAlign w:val="center"/>
          </w:tcPr>
          <w:p w:rsidRPr="00062DB2" w:rsidR="00FE3B3B" w:rsidP="00FE3B3B" w:rsidRDefault="00FE3B3B" w14:paraId="7F0FAC45" w14:textId="184C78F3">
            <w:pPr>
              <w:widowControl/>
              <w:jc w:val="center"/>
              <w:rPr>
                <w:rFonts w:eastAsia="Calibri" w:asciiTheme="minorHAnsi" w:hAnsiTheme="minorHAnsi" w:cstheme="minorHAnsi"/>
                <w:i/>
                <w:color w:val="000000"/>
                <w:sz w:val="20"/>
                <w:szCs w:val="20"/>
              </w:rPr>
            </w:pPr>
            <w:r w:rsidRPr="00062DB2">
              <w:rPr>
                <w:rFonts w:asciiTheme="minorHAnsi" w:hAnsiTheme="minorHAnsi" w:cstheme="minorHAnsi"/>
                <w:sz w:val="20"/>
                <w:szCs w:val="20"/>
              </w:rPr>
              <w:t>—</w:t>
            </w:r>
          </w:p>
        </w:tc>
        <w:tc>
          <w:tcPr>
            <w:tcW w:w="1170" w:type="dxa"/>
            <w:tcBorders>
              <w:top w:val="double" w:color="000000" w:sz="4" w:space="0"/>
              <w:left w:val="nil"/>
              <w:bottom w:val="single" w:color="000000" w:sz="18" w:space="0"/>
              <w:right w:val="single" w:color="000000" w:sz="4" w:space="0"/>
            </w:tcBorders>
            <w:shd w:val="clear" w:color="auto" w:fill="auto"/>
            <w:vAlign w:val="center"/>
          </w:tcPr>
          <w:p w:rsidRPr="00062DB2" w:rsidR="00FE3B3B" w:rsidP="00FE3B3B" w:rsidRDefault="002D32BD" w14:paraId="1750CA21" w14:textId="7303D889">
            <w:pPr>
              <w:widowControl/>
              <w:jc w:val="center"/>
              <w:rPr>
                <w:rFonts w:eastAsia="Calibri" w:asciiTheme="minorHAnsi" w:hAnsiTheme="minorHAnsi" w:cstheme="minorHAnsi"/>
                <w:color w:val="000000"/>
                <w:sz w:val="20"/>
                <w:szCs w:val="20"/>
              </w:rPr>
            </w:pPr>
            <w:r w:rsidRPr="00062DB2">
              <w:rPr>
                <w:rFonts w:eastAsia="Calibri" w:asciiTheme="minorHAnsi" w:hAnsiTheme="minorHAnsi" w:cstheme="minorHAnsi"/>
                <w:color w:val="000000"/>
                <w:sz w:val="20"/>
                <w:szCs w:val="20"/>
              </w:rPr>
              <w:t>1,620</w:t>
            </w:r>
          </w:p>
        </w:tc>
        <w:tc>
          <w:tcPr>
            <w:tcW w:w="1080" w:type="dxa"/>
            <w:tcBorders>
              <w:top w:val="double" w:color="000000" w:sz="4" w:space="0"/>
              <w:left w:val="nil"/>
              <w:bottom w:val="single" w:color="000000" w:sz="18" w:space="0"/>
              <w:right w:val="single" w:color="000000" w:sz="4" w:space="0"/>
            </w:tcBorders>
            <w:shd w:val="clear" w:color="auto" w:fill="auto"/>
            <w:vAlign w:val="center"/>
          </w:tcPr>
          <w:p w:rsidRPr="00062DB2" w:rsidR="00FE3B3B" w:rsidP="00FE3B3B" w:rsidRDefault="00FE3B3B" w14:paraId="11671F98" w14:textId="48C8CA6F">
            <w:pPr>
              <w:widowControl/>
              <w:jc w:val="center"/>
              <w:rPr>
                <w:rFonts w:eastAsia="Calibri" w:asciiTheme="minorHAnsi" w:hAnsiTheme="minorHAnsi" w:cstheme="minorHAnsi"/>
                <w:color w:val="000000"/>
                <w:sz w:val="20"/>
                <w:szCs w:val="20"/>
              </w:rPr>
            </w:pPr>
            <w:r w:rsidRPr="00062DB2">
              <w:rPr>
                <w:rFonts w:asciiTheme="minorHAnsi" w:hAnsiTheme="minorHAnsi" w:cstheme="minorHAnsi"/>
                <w:sz w:val="20"/>
                <w:szCs w:val="20"/>
              </w:rPr>
              <w:t>—</w:t>
            </w:r>
          </w:p>
        </w:tc>
        <w:tc>
          <w:tcPr>
            <w:tcW w:w="1123" w:type="dxa"/>
            <w:tcBorders>
              <w:top w:val="double" w:color="000000" w:sz="4" w:space="0"/>
              <w:left w:val="nil"/>
              <w:bottom w:val="single" w:color="000000" w:sz="18" w:space="0"/>
              <w:right w:val="single" w:color="000000" w:sz="4" w:space="0"/>
            </w:tcBorders>
            <w:shd w:val="clear" w:color="auto" w:fill="auto"/>
            <w:vAlign w:val="center"/>
          </w:tcPr>
          <w:p w:rsidRPr="00062DB2" w:rsidR="00FE3B3B" w:rsidP="00FE3B3B" w:rsidRDefault="002D32BD" w14:paraId="3C33C843" w14:textId="59F448B7">
            <w:pPr>
              <w:widowControl/>
              <w:jc w:val="center"/>
              <w:rPr>
                <w:rFonts w:eastAsia="Calibri" w:asciiTheme="minorHAnsi" w:hAnsiTheme="minorHAnsi" w:cstheme="minorHAnsi"/>
                <w:color w:val="000000"/>
                <w:sz w:val="20"/>
                <w:szCs w:val="20"/>
              </w:rPr>
            </w:pPr>
            <w:r w:rsidRPr="00062DB2">
              <w:rPr>
                <w:rFonts w:eastAsia="Calibri" w:asciiTheme="minorHAnsi" w:hAnsiTheme="minorHAnsi" w:cstheme="minorHAnsi"/>
                <w:color w:val="000000"/>
                <w:sz w:val="20"/>
                <w:szCs w:val="20"/>
              </w:rPr>
              <w:t>1,620</w:t>
            </w:r>
          </w:p>
        </w:tc>
        <w:tc>
          <w:tcPr>
            <w:tcW w:w="1307" w:type="dxa"/>
            <w:tcBorders>
              <w:top w:val="double" w:color="000000" w:sz="4" w:space="0"/>
              <w:left w:val="nil"/>
              <w:bottom w:val="single" w:color="000000" w:sz="18" w:space="0"/>
              <w:right w:val="single" w:color="000000" w:sz="4" w:space="0"/>
            </w:tcBorders>
            <w:shd w:val="clear" w:color="auto" w:fill="auto"/>
            <w:vAlign w:val="center"/>
          </w:tcPr>
          <w:p w:rsidRPr="00062DB2" w:rsidR="00FE3B3B" w:rsidP="00FE3B3B" w:rsidRDefault="00FE3B3B" w14:paraId="2996751A" w14:textId="5A0ADB17">
            <w:pPr>
              <w:widowControl/>
              <w:jc w:val="center"/>
              <w:rPr>
                <w:rFonts w:eastAsia="Calibri" w:asciiTheme="minorHAnsi" w:hAnsiTheme="minorHAnsi" w:cstheme="minorHAnsi"/>
                <w:color w:val="000000"/>
                <w:sz w:val="20"/>
                <w:szCs w:val="20"/>
              </w:rPr>
            </w:pPr>
            <w:r w:rsidRPr="00062DB2">
              <w:rPr>
                <w:rFonts w:asciiTheme="minorHAnsi" w:hAnsiTheme="minorHAnsi" w:cstheme="minorHAnsi"/>
                <w:sz w:val="20"/>
                <w:szCs w:val="20"/>
              </w:rPr>
              <w:t>—</w:t>
            </w:r>
          </w:p>
        </w:tc>
        <w:tc>
          <w:tcPr>
            <w:tcW w:w="1170" w:type="dxa"/>
            <w:tcBorders>
              <w:top w:val="double" w:color="000000" w:sz="4" w:space="0"/>
              <w:left w:val="nil"/>
              <w:bottom w:val="single" w:color="000000" w:sz="18" w:space="0"/>
              <w:right w:val="single" w:color="000000" w:sz="4" w:space="0"/>
            </w:tcBorders>
            <w:shd w:val="clear" w:color="auto" w:fill="auto"/>
            <w:vAlign w:val="center"/>
          </w:tcPr>
          <w:p w:rsidRPr="00062DB2" w:rsidR="00FE3B3B" w:rsidP="00FE3B3B" w:rsidRDefault="002C29E3" w14:paraId="0C173A38" w14:textId="0F300A92">
            <w:pPr>
              <w:widowControl/>
              <w:jc w:val="center"/>
              <w:rPr>
                <w:rFonts w:eastAsia="Calibri" w:asciiTheme="minorHAnsi" w:hAnsiTheme="minorHAnsi" w:cstheme="minorHAnsi"/>
                <w:color w:val="000000"/>
                <w:sz w:val="20"/>
                <w:szCs w:val="20"/>
              </w:rPr>
            </w:pPr>
            <w:r w:rsidRPr="00062DB2">
              <w:rPr>
                <w:rFonts w:eastAsia="Calibri" w:asciiTheme="minorHAnsi" w:hAnsiTheme="minorHAnsi" w:cstheme="minorHAnsi"/>
                <w:color w:val="000000"/>
                <w:sz w:val="20"/>
                <w:szCs w:val="20"/>
              </w:rPr>
              <w:t xml:space="preserve">27 </w:t>
            </w:r>
            <w:proofErr w:type="spellStart"/>
            <w:r w:rsidRPr="00062DB2">
              <w:rPr>
                <w:rFonts w:eastAsia="Calibri" w:asciiTheme="minorHAnsi" w:hAnsiTheme="minorHAnsi" w:cstheme="minorHAnsi"/>
                <w:color w:val="000000"/>
                <w:sz w:val="20"/>
                <w:szCs w:val="20"/>
              </w:rPr>
              <w:t>hrs</w:t>
            </w:r>
            <w:proofErr w:type="spellEnd"/>
          </w:p>
        </w:tc>
        <w:tc>
          <w:tcPr>
            <w:tcW w:w="1080" w:type="dxa"/>
            <w:tcBorders>
              <w:top w:val="double" w:color="000000" w:sz="4" w:space="0"/>
              <w:left w:val="nil"/>
              <w:bottom w:val="single" w:color="000000" w:sz="18" w:space="0"/>
              <w:right w:val="single" w:color="000000" w:sz="4" w:space="0"/>
            </w:tcBorders>
            <w:shd w:val="clear" w:color="auto" w:fill="auto"/>
            <w:vAlign w:val="center"/>
          </w:tcPr>
          <w:p w:rsidRPr="00062DB2" w:rsidR="00FE3B3B" w:rsidP="00FE3B3B" w:rsidRDefault="00FE3B3B" w14:paraId="72212CAA" w14:textId="6D83E83B">
            <w:pPr>
              <w:widowControl/>
              <w:jc w:val="center"/>
              <w:rPr>
                <w:rFonts w:eastAsia="Calibri" w:asciiTheme="minorHAnsi" w:hAnsiTheme="minorHAnsi" w:cstheme="minorHAnsi"/>
                <w:color w:val="000000"/>
                <w:sz w:val="20"/>
                <w:szCs w:val="20"/>
              </w:rPr>
            </w:pPr>
            <w:r w:rsidRPr="00062DB2">
              <w:rPr>
                <w:rFonts w:asciiTheme="minorHAnsi" w:hAnsiTheme="minorHAnsi" w:cstheme="minorHAnsi"/>
                <w:sz w:val="20"/>
                <w:szCs w:val="20"/>
              </w:rPr>
              <w:t>—</w:t>
            </w:r>
          </w:p>
        </w:tc>
        <w:tc>
          <w:tcPr>
            <w:tcW w:w="1080" w:type="dxa"/>
            <w:tcBorders>
              <w:top w:val="double" w:color="000000" w:sz="4" w:space="0"/>
              <w:left w:val="nil"/>
              <w:bottom w:val="single" w:color="000000" w:sz="18" w:space="0"/>
              <w:right w:val="single" w:color="000000" w:sz="8" w:space="0"/>
            </w:tcBorders>
            <w:shd w:val="clear" w:color="auto" w:fill="auto"/>
            <w:vAlign w:val="center"/>
          </w:tcPr>
          <w:p w:rsidRPr="00062DB2" w:rsidR="00FE3B3B" w:rsidP="00FE3B3B" w:rsidRDefault="00B835D1" w14:paraId="7DBB6A0B" w14:textId="1ABD8FE2">
            <w:pPr>
              <w:widowControl/>
              <w:jc w:val="center"/>
              <w:rPr>
                <w:rFonts w:eastAsia="Calibri" w:asciiTheme="minorHAnsi" w:hAnsiTheme="minorHAnsi" w:cstheme="minorHAnsi"/>
                <w:color w:val="000000"/>
                <w:sz w:val="20"/>
                <w:szCs w:val="20"/>
              </w:rPr>
            </w:pPr>
            <w:r>
              <w:rPr>
                <w:rFonts w:eastAsia="Calibri" w:asciiTheme="minorHAnsi" w:hAnsiTheme="minorHAnsi" w:cstheme="minorHAnsi"/>
                <w:color w:val="000000"/>
                <w:sz w:val="20"/>
                <w:szCs w:val="20"/>
              </w:rPr>
              <w:t>$1,074</w:t>
            </w:r>
          </w:p>
        </w:tc>
      </w:tr>
      <w:tr w:rsidR="009B3139" w:rsidTr="00062DB2" w14:paraId="178C93FE" w14:textId="77777777">
        <w:trPr>
          <w:trHeight w:val="540"/>
        </w:trPr>
        <w:tc>
          <w:tcPr>
            <w:tcW w:w="3075" w:type="dxa"/>
            <w:tcBorders>
              <w:top w:val="single" w:color="000000" w:sz="18" w:space="0"/>
              <w:left w:val="single" w:color="000000" w:sz="8" w:space="0"/>
              <w:bottom w:val="single" w:color="000000" w:sz="2" w:space="0"/>
              <w:right w:val="single" w:color="000000" w:sz="4" w:space="0"/>
            </w:tcBorders>
            <w:shd w:val="clear" w:color="auto" w:fill="auto"/>
            <w:vAlign w:val="center"/>
          </w:tcPr>
          <w:p w:rsidRPr="00062DB2" w:rsidR="009B3139" w:rsidP="00FE3B3B" w:rsidRDefault="009B3139" w14:paraId="44F7D690" w14:textId="52068476">
            <w:pPr>
              <w:widowControl/>
              <w:rPr>
                <w:rFonts w:asciiTheme="minorHAnsi" w:hAnsiTheme="minorHAnsi" w:cstheme="minorHAnsi"/>
                <w:sz w:val="20"/>
                <w:szCs w:val="20"/>
              </w:rPr>
            </w:pPr>
            <w:r w:rsidRPr="00062DB2">
              <w:rPr>
                <w:rFonts w:asciiTheme="minorHAnsi" w:hAnsiTheme="minorHAnsi" w:cstheme="minorHAnsi"/>
                <w:sz w:val="20"/>
                <w:szCs w:val="20"/>
              </w:rPr>
              <w:t xml:space="preserve">IFQ Permit Holder Fee </w:t>
            </w:r>
            <w:r w:rsidRPr="00062DB2" w:rsidR="00B028A0">
              <w:rPr>
                <w:rFonts w:asciiTheme="minorHAnsi" w:hAnsiTheme="minorHAnsi" w:cstheme="minorHAnsi"/>
                <w:sz w:val="20"/>
                <w:szCs w:val="20"/>
              </w:rPr>
              <w:t>Calculation</w:t>
            </w:r>
            <w:r w:rsidRPr="00062DB2">
              <w:rPr>
                <w:rFonts w:asciiTheme="minorHAnsi" w:hAnsiTheme="minorHAnsi" w:cstheme="minorHAnsi"/>
                <w:sz w:val="20"/>
                <w:szCs w:val="20"/>
              </w:rPr>
              <w:t xml:space="preserve"> Form</w:t>
            </w:r>
          </w:p>
        </w:tc>
        <w:tc>
          <w:tcPr>
            <w:tcW w:w="2070" w:type="dxa"/>
            <w:tcBorders>
              <w:top w:val="single" w:color="000000" w:sz="18" w:space="0"/>
              <w:left w:val="nil"/>
              <w:bottom w:val="single" w:color="000000" w:sz="2" w:space="0"/>
              <w:right w:val="single" w:color="000000" w:sz="4" w:space="0"/>
            </w:tcBorders>
            <w:shd w:val="clear" w:color="auto" w:fill="auto"/>
            <w:vAlign w:val="center"/>
          </w:tcPr>
          <w:p w:rsidRPr="00062DB2" w:rsidR="009B3139" w:rsidP="00B56D02" w:rsidRDefault="00B56D02" w14:paraId="72EF2BC6" w14:textId="5D307168">
            <w:pPr>
              <w:widowControl/>
              <w:jc w:val="center"/>
              <w:rPr>
                <w:rFonts w:eastAsia="Calibri" w:asciiTheme="minorHAnsi" w:hAnsiTheme="minorHAnsi" w:cstheme="minorHAnsi"/>
                <w:color w:val="000000"/>
                <w:sz w:val="20"/>
                <w:szCs w:val="20"/>
              </w:rPr>
            </w:pPr>
            <w:r w:rsidRPr="00062DB2">
              <w:rPr>
                <w:rFonts w:eastAsia="Calibri" w:asciiTheme="minorHAnsi" w:hAnsiTheme="minorHAnsi" w:cstheme="minorHAnsi"/>
                <w:color w:val="000000"/>
                <w:sz w:val="20"/>
                <w:szCs w:val="20"/>
              </w:rPr>
              <w:t>IFQ permit holders</w:t>
            </w:r>
          </w:p>
        </w:tc>
        <w:tc>
          <w:tcPr>
            <w:tcW w:w="1170" w:type="dxa"/>
            <w:tcBorders>
              <w:top w:val="single" w:color="000000" w:sz="18" w:space="0"/>
              <w:left w:val="nil"/>
              <w:bottom w:val="single" w:color="000000" w:sz="2" w:space="0"/>
              <w:right w:val="single" w:color="000000" w:sz="4" w:space="0"/>
            </w:tcBorders>
            <w:shd w:val="clear" w:color="auto" w:fill="auto"/>
            <w:vAlign w:val="center"/>
          </w:tcPr>
          <w:p w:rsidRPr="00062DB2" w:rsidR="009B3139" w:rsidP="006C4729" w:rsidRDefault="0004345B" w14:paraId="5C6F467C" w14:textId="0655DB94">
            <w:pPr>
              <w:widowControl/>
              <w:jc w:val="center"/>
              <w:rPr>
                <w:rFonts w:eastAsia="Calibri" w:asciiTheme="minorHAnsi" w:hAnsiTheme="minorHAnsi" w:cstheme="minorHAnsi"/>
                <w:color w:val="000000"/>
                <w:sz w:val="20"/>
                <w:szCs w:val="20"/>
              </w:rPr>
            </w:pPr>
            <w:r w:rsidRPr="00EC5880">
              <w:rPr>
                <w:rFonts w:eastAsia="Calibri" w:asciiTheme="minorHAnsi" w:hAnsiTheme="minorHAnsi" w:cstheme="minorHAnsi"/>
                <w:color w:val="000000"/>
                <w:sz w:val="20"/>
                <w:szCs w:val="20"/>
              </w:rPr>
              <w:t>66</w:t>
            </w:r>
          </w:p>
        </w:tc>
        <w:tc>
          <w:tcPr>
            <w:tcW w:w="1080" w:type="dxa"/>
            <w:tcBorders>
              <w:top w:val="single" w:color="000000" w:sz="18" w:space="0"/>
              <w:left w:val="nil"/>
              <w:bottom w:val="single" w:color="000000" w:sz="2" w:space="0"/>
              <w:right w:val="single" w:color="000000" w:sz="4" w:space="0"/>
            </w:tcBorders>
            <w:shd w:val="clear" w:color="auto" w:fill="auto"/>
            <w:vAlign w:val="center"/>
          </w:tcPr>
          <w:p w:rsidRPr="00062DB2" w:rsidR="009B3139" w:rsidP="006C4729" w:rsidRDefault="009B3139" w14:paraId="33EFF11E" w14:textId="25741118">
            <w:pPr>
              <w:widowControl/>
              <w:jc w:val="center"/>
              <w:rPr>
                <w:rFonts w:eastAsia="Calibri" w:asciiTheme="minorHAnsi" w:hAnsiTheme="minorHAnsi" w:cstheme="minorHAnsi"/>
                <w:color w:val="000000"/>
                <w:sz w:val="20"/>
                <w:szCs w:val="20"/>
              </w:rPr>
            </w:pPr>
            <w:r w:rsidRPr="00062DB2">
              <w:rPr>
                <w:rFonts w:eastAsia="Calibri" w:asciiTheme="minorHAnsi" w:hAnsiTheme="minorHAnsi" w:cstheme="minorHAnsi"/>
                <w:color w:val="000000"/>
                <w:sz w:val="20"/>
                <w:szCs w:val="20"/>
              </w:rPr>
              <w:t>1</w:t>
            </w:r>
          </w:p>
        </w:tc>
        <w:tc>
          <w:tcPr>
            <w:tcW w:w="1123" w:type="dxa"/>
            <w:tcBorders>
              <w:top w:val="single" w:color="000000" w:sz="18" w:space="0"/>
              <w:left w:val="nil"/>
              <w:bottom w:val="single" w:color="000000" w:sz="2" w:space="0"/>
              <w:right w:val="single" w:color="000000" w:sz="4" w:space="0"/>
            </w:tcBorders>
            <w:shd w:val="clear" w:color="auto" w:fill="auto"/>
            <w:vAlign w:val="center"/>
          </w:tcPr>
          <w:p w:rsidRPr="00062DB2" w:rsidR="009B3139" w:rsidP="006C4729" w:rsidRDefault="0004345B" w14:paraId="1701DF39" w14:textId="15841691">
            <w:pPr>
              <w:widowControl/>
              <w:jc w:val="center"/>
              <w:rPr>
                <w:rFonts w:eastAsia="Calibri" w:asciiTheme="minorHAnsi" w:hAnsiTheme="minorHAnsi" w:cstheme="minorHAnsi"/>
                <w:color w:val="000000"/>
                <w:sz w:val="20"/>
                <w:szCs w:val="20"/>
              </w:rPr>
            </w:pPr>
            <w:r w:rsidRPr="00062DB2">
              <w:rPr>
                <w:rFonts w:eastAsia="Calibri" w:asciiTheme="minorHAnsi" w:hAnsiTheme="minorHAnsi" w:cstheme="minorHAnsi"/>
                <w:color w:val="000000"/>
                <w:sz w:val="20"/>
                <w:szCs w:val="20"/>
              </w:rPr>
              <w:t>66</w:t>
            </w:r>
          </w:p>
        </w:tc>
        <w:tc>
          <w:tcPr>
            <w:tcW w:w="1307" w:type="dxa"/>
            <w:tcBorders>
              <w:top w:val="single" w:color="000000" w:sz="18" w:space="0"/>
              <w:left w:val="nil"/>
              <w:bottom w:val="single" w:color="000000" w:sz="2" w:space="0"/>
              <w:right w:val="single" w:color="000000" w:sz="4" w:space="0"/>
            </w:tcBorders>
            <w:shd w:val="clear" w:color="auto" w:fill="auto"/>
            <w:vAlign w:val="center"/>
          </w:tcPr>
          <w:p w:rsidRPr="00062DB2" w:rsidR="009B3139" w:rsidP="00F17AF4" w:rsidRDefault="00F17AF4" w14:paraId="3DDD4095" w14:textId="67F0BAAC">
            <w:pPr>
              <w:widowControl/>
              <w:jc w:val="center"/>
              <w:rPr>
                <w:rFonts w:eastAsia="Calibri" w:asciiTheme="minorHAnsi" w:hAnsiTheme="minorHAnsi" w:cstheme="minorHAnsi"/>
                <w:color w:val="000000"/>
                <w:sz w:val="20"/>
                <w:szCs w:val="20"/>
              </w:rPr>
            </w:pPr>
            <w:r w:rsidRPr="00062DB2">
              <w:rPr>
                <w:rFonts w:eastAsia="Calibri" w:asciiTheme="minorHAnsi" w:hAnsiTheme="minorHAnsi" w:cstheme="minorHAnsi"/>
                <w:color w:val="000000"/>
                <w:sz w:val="20"/>
                <w:szCs w:val="20"/>
              </w:rPr>
              <w:t>30 min.</w:t>
            </w:r>
          </w:p>
        </w:tc>
        <w:tc>
          <w:tcPr>
            <w:tcW w:w="1170" w:type="dxa"/>
            <w:tcBorders>
              <w:top w:val="single" w:color="000000" w:sz="18" w:space="0"/>
              <w:left w:val="nil"/>
              <w:bottom w:val="single" w:color="000000" w:sz="2" w:space="0"/>
              <w:right w:val="single" w:color="000000" w:sz="4" w:space="0"/>
            </w:tcBorders>
            <w:shd w:val="clear" w:color="auto" w:fill="auto"/>
            <w:vAlign w:val="center"/>
          </w:tcPr>
          <w:p w:rsidRPr="00062DB2" w:rsidR="009B3139" w:rsidP="006C4729" w:rsidRDefault="00D55CBF" w14:paraId="6C037AC7" w14:textId="3F5C991B">
            <w:pPr>
              <w:widowControl/>
              <w:jc w:val="center"/>
              <w:rPr>
                <w:rFonts w:eastAsia="Calibri" w:asciiTheme="minorHAnsi" w:hAnsiTheme="minorHAnsi" w:cstheme="minorHAnsi"/>
                <w:color w:val="000000"/>
                <w:sz w:val="20"/>
                <w:szCs w:val="20"/>
              </w:rPr>
            </w:pPr>
            <w:r w:rsidRPr="00062DB2">
              <w:rPr>
                <w:rFonts w:eastAsia="Calibri" w:asciiTheme="minorHAnsi" w:hAnsiTheme="minorHAnsi" w:cstheme="minorHAnsi"/>
                <w:color w:val="000000"/>
                <w:sz w:val="20"/>
                <w:szCs w:val="20"/>
              </w:rPr>
              <w:t xml:space="preserve">33 </w:t>
            </w:r>
            <w:proofErr w:type="spellStart"/>
            <w:r w:rsidRPr="00062DB2">
              <w:rPr>
                <w:rFonts w:eastAsia="Calibri" w:asciiTheme="minorHAnsi" w:hAnsiTheme="minorHAnsi" w:cstheme="minorHAnsi"/>
                <w:color w:val="000000"/>
                <w:sz w:val="20"/>
                <w:szCs w:val="20"/>
              </w:rPr>
              <w:t>hrs</w:t>
            </w:r>
            <w:proofErr w:type="spellEnd"/>
          </w:p>
        </w:tc>
        <w:tc>
          <w:tcPr>
            <w:tcW w:w="1080" w:type="dxa"/>
            <w:tcBorders>
              <w:top w:val="single" w:color="000000" w:sz="18" w:space="0"/>
              <w:left w:val="nil"/>
              <w:bottom w:val="single" w:color="000000" w:sz="2" w:space="0"/>
              <w:right w:val="single" w:color="000000" w:sz="4" w:space="0"/>
            </w:tcBorders>
            <w:shd w:val="clear" w:color="auto" w:fill="auto"/>
            <w:vAlign w:val="center"/>
          </w:tcPr>
          <w:p w:rsidRPr="00EC5880" w:rsidR="009B3139" w:rsidP="00AC1794" w:rsidRDefault="009E015E" w14:paraId="5C8A1EA6" w14:textId="5E8605DB">
            <w:pPr>
              <w:widowControl/>
              <w:jc w:val="center"/>
              <w:rPr>
                <w:rFonts w:eastAsia="Calibri" w:asciiTheme="minorHAnsi" w:hAnsiTheme="minorHAnsi" w:cstheme="minorHAnsi"/>
                <w:color w:val="000000"/>
                <w:sz w:val="20"/>
                <w:szCs w:val="20"/>
              </w:rPr>
            </w:pPr>
            <w:r w:rsidRPr="00EC5880">
              <w:rPr>
                <w:rFonts w:eastAsia="Calibri" w:asciiTheme="minorHAnsi" w:hAnsiTheme="minorHAnsi" w:cstheme="minorHAnsi"/>
                <w:color w:val="000000"/>
                <w:sz w:val="20"/>
                <w:szCs w:val="20"/>
              </w:rPr>
              <w:t>27.43</w:t>
            </w:r>
          </w:p>
        </w:tc>
        <w:tc>
          <w:tcPr>
            <w:tcW w:w="1080" w:type="dxa"/>
            <w:tcBorders>
              <w:top w:val="single" w:color="000000" w:sz="18" w:space="0"/>
              <w:left w:val="nil"/>
              <w:bottom w:val="single" w:color="000000" w:sz="2" w:space="0"/>
              <w:right w:val="single" w:color="000000" w:sz="8" w:space="0"/>
            </w:tcBorders>
            <w:shd w:val="clear" w:color="auto" w:fill="auto"/>
            <w:vAlign w:val="center"/>
          </w:tcPr>
          <w:p w:rsidRPr="00062DB2" w:rsidR="009B3139" w:rsidP="006C4729" w:rsidRDefault="00B835D1" w14:paraId="39C6B7F9" w14:textId="7BD1B18C">
            <w:pPr>
              <w:widowControl/>
              <w:jc w:val="center"/>
              <w:rPr>
                <w:rFonts w:eastAsia="Calibri" w:asciiTheme="minorHAnsi" w:hAnsiTheme="minorHAnsi" w:cstheme="minorHAnsi"/>
                <w:color w:val="000000"/>
                <w:sz w:val="20"/>
                <w:szCs w:val="20"/>
              </w:rPr>
            </w:pPr>
            <w:r>
              <w:rPr>
                <w:rFonts w:eastAsia="Calibri" w:asciiTheme="minorHAnsi" w:hAnsiTheme="minorHAnsi" w:cstheme="minorHAnsi"/>
                <w:color w:val="000000"/>
                <w:sz w:val="20"/>
                <w:szCs w:val="20"/>
              </w:rPr>
              <w:t>$905</w:t>
            </w:r>
          </w:p>
        </w:tc>
      </w:tr>
      <w:tr w:rsidR="009B3139" w:rsidTr="00062DB2" w14:paraId="113A6234" w14:textId="77777777">
        <w:trPr>
          <w:trHeight w:val="544"/>
        </w:trPr>
        <w:tc>
          <w:tcPr>
            <w:tcW w:w="3075" w:type="dxa"/>
            <w:tcBorders>
              <w:top w:val="single" w:color="000000" w:sz="2" w:space="0"/>
              <w:left w:val="single" w:color="000000" w:sz="8" w:space="0"/>
              <w:bottom w:val="double" w:color="000000" w:sz="4" w:space="0"/>
              <w:right w:val="single" w:color="000000" w:sz="4" w:space="0"/>
            </w:tcBorders>
            <w:shd w:val="clear" w:color="auto" w:fill="auto"/>
            <w:vAlign w:val="center"/>
          </w:tcPr>
          <w:p w:rsidRPr="00062DB2" w:rsidR="009B3139" w:rsidP="00FE3B3B" w:rsidRDefault="000C57B1" w14:paraId="07162429" w14:textId="377D977C">
            <w:pPr>
              <w:widowControl/>
              <w:rPr>
                <w:rFonts w:asciiTheme="minorHAnsi" w:hAnsiTheme="minorHAnsi" w:cstheme="minorHAnsi"/>
                <w:sz w:val="20"/>
                <w:szCs w:val="20"/>
              </w:rPr>
            </w:pPr>
            <w:r w:rsidRPr="00062DB2">
              <w:rPr>
                <w:rFonts w:asciiTheme="minorHAnsi" w:hAnsiTheme="minorHAnsi" w:cstheme="minorHAnsi"/>
                <w:sz w:val="20"/>
                <w:szCs w:val="20"/>
              </w:rPr>
              <w:t xml:space="preserve">Registered Crab Receiver Fee </w:t>
            </w:r>
            <w:r w:rsidRPr="00062DB2" w:rsidR="00B028A0">
              <w:rPr>
                <w:rFonts w:asciiTheme="minorHAnsi" w:hAnsiTheme="minorHAnsi" w:cstheme="minorHAnsi"/>
                <w:sz w:val="20"/>
                <w:szCs w:val="20"/>
              </w:rPr>
              <w:t>Calculation</w:t>
            </w:r>
            <w:r w:rsidRPr="00062DB2">
              <w:rPr>
                <w:rFonts w:asciiTheme="minorHAnsi" w:hAnsiTheme="minorHAnsi" w:cstheme="minorHAnsi"/>
                <w:sz w:val="20"/>
                <w:szCs w:val="20"/>
              </w:rPr>
              <w:t xml:space="preserve"> F</w:t>
            </w:r>
            <w:r w:rsidRPr="00062DB2" w:rsidR="009B3139">
              <w:rPr>
                <w:rFonts w:asciiTheme="minorHAnsi" w:hAnsiTheme="minorHAnsi" w:cstheme="minorHAnsi"/>
                <w:sz w:val="20"/>
                <w:szCs w:val="20"/>
              </w:rPr>
              <w:t>orm</w:t>
            </w:r>
          </w:p>
        </w:tc>
        <w:tc>
          <w:tcPr>
            <w:tcW w:w="2070" w:type="dxa"/>
            <w:tcBorders>
              <w:top w:val="single" w:color="000000" w:sz="2" w:space="0"/>
              <w:left w:val="nil"/>
              <w:bottom w:val="double" w:color="000000" w:sz="4" w:space="0"/>
              <w:right w:val="single" w:color="000000" w:sz="4" w:space="0"/>
            </w:tcBorders>
            <w:shd w:val="clear" w:color="auto" w:fill="auto"/>
            <w:vAlign w:val="center"/>
          </w:tcPr>
          <w:p w:rsidRPr="00062DB2" w:rsidR="009B3139" w:rsidP="009B3139" w:rsidRDefault="00B56D02" w14:paraId="7775E4CD" w14:textId="0FAFB8E8">
            <w:pPr>
              <w:widowControl/>
              <w:jc w:val="center"/>
              <w:rPr>
                <w:rFonts w:eastAsia="Calibri" w:asciiTheme="minorHAnsi" w:hAnsiTheme="minorHAnsi" w:cstheme="minorHAnsi"/>
                <w:color w:val="000000"/>
                <w:sz w:val="20"/>
                <w:szCs w:val="20"/>
              </w:rPr>
            </w:pPr>
            <w:r w:rsidRPr="00062DB2">
              <w:rPr>
                <w:rFonts w:eastAsia="Calibri" w:asciiTheme="minorHAnsi" w:hAnsiTheme="minorHAnsi" w:cstheme="minorHAnsi"/>
                <w:color w:val="000000"/>
                <w:sz w:val="20"/>
                <w:szCs w:val="20"/>
              </w:rPr>
              <w:t>Registered crab receivers</w:t>
            </w:r>
          </w:p>
        </w:tc>
        <w:tc>
          <w:tcPr>
            <w:tcW w:w="1170" w:type="dxa"/>
            <w:tcBorders>
              <w:top w:val="single" w:color="000000" w:sz="2" w:space="0"/>
              <w:left w:val="nil"/>
              <w:bottom w:val="double" w:color="000000" w:sz="4" w:space="0"/>
              <w:right w:val="single" w:color="000000" w:sz="4" w:space="0"/>
            </w:tcBorders>
            <w:shd w:val="clear" w:color="auto" w:fill="auto"/>
            <w:vAlign w:val="center"/>
          </w:tcPr>
          <w:p w:rsidRPr="00062DB2" w:rsidR="009B3139" w:rsidP="006C4729" w:rsidRDefault="0004345B" w14:paraId="00D77740" w14:textId="1EED00CE">
            <w:pPr>
              <w:widowControl/>
              <w:jc w:val="center"/>
              <w:rPr>
                <w:rFonts w:eastAsia="Calibri" w:asciiTheme="minorHAnsi" w:hAnsiTheme="minorHAnsi" w:cstheme="minorHAnsi"/>
                <w:color w:val="000000"/>
                <w:sz w:val="20"/>
                <w:szCs w:val="20"/>
              </w:rPr>
            </w:pPr>
            <w:r w:rsidRPr="00062DB2">
              <w:rPr>
                <w:rFonts w:eastAsia="Calibri" w:asciiTheme="minorHAnsi" w:hAnsiTheme="minorHAnsi" w:cstheme="minorHAnsi"/>
                <w:color w:val="000000"/>
                <w:sz w:val="20"/>
                <w:szCs w:val="20"/>
              </w:rPr>
              <w:t>7</w:t>
            </w:r>
          </w:p>
        </w:tc>
        <w:tc>
          <w:tcPr>
            <w:tcW w:w="1080" w:type="dxa"/>
            <w:tcBorders>
              <w:top w:val="single" w:color="000000" w:sz="2" w:space="0"/>
              <w:left w:val="nil"/>
              <w:bottom w:val="double" w:color="000000" w:sz="4" w:space="0"/>
              <w:right w:val="single" w:color="000000" w:sz="4" w:space="0"/>
            </w:tcBorders>
            <w:shd w:val="clear" w:color="auto" w:fill="auto"/>
            <w:vAlign w:val="center"/>
          </w:tcPr>
          <w:p w:rsidRPr="00062DB2" w:rsidR="009B3139" w:rsidP="006C4729" w:rsidRDefault="009B3139" w14:paraId="65067F94" w14:textId="3712C61E">
            <w:pPr>
              <w:widowControl/>
              <w:jc w:val="center"/>
              <w:rPr>
                <w:rFonts w:eastAsia="Calibri" w:asciiTheme="minorHAnsi" w:hAnsiTheme="minorHAnsi" w:cstheme="minorHAnsi"/>
                <w:color w:val="000000"/>
                <w:sz w:val="20"/>
                <w:szCs w:val="20"/>
              </w:rPr>
            </w:pPr>
            <w:r w:rsidRPr="00062DB2">
              <w:rPr>
                <w:rFonts w:eastAsia="Calibri" w:asciiTheme="minorHAnsi" w:hAnsiTheme="minorHAnsi" w:cstheme="minorHAnsi"/>
                <w:color w:val="000000"/>
                <w:sz w:val="20"/>
                <w:szCs w:val="20"/>
              </w:rPr>
              <w:t>1</w:t>
            </w:r>
          </w:p>
        </w:tc>
        <w:tc>
          <w:tcPr>
            <w:tcW w:w="1123" w:type="dxa"/>
            <w:tcBorders>
              <w:top w:val="single" w:color="000000" w:sz="2" w:space="0"/>
              <w:left w:val="nil"/>
              <w:bottom w:val="double" w:color="000000" w:sz="4" w:space="0"/>
              <w:right w:val="single" w:color="000000" w:sz="4" w:space="0"/>
            </w:tcBorders>
            <w:shd w:val="clear" w:color="auto" w:fill="auto"/>
            <w:vAlign w:val="center"/>
          </w:tcPr>
          <w:p w:rsidRPr="00062DB2" w:rsidR="009B3139" w:rsidP="006C4729" w:rsidRDefault="0004345B" w14:paraId="45594CD9" w14:textId="42E6A99E">
            <w:pPr>
              <w:widowControl/>
              <w:jc w:val="center"/>
              <w:rPr>
                <w:rFonts w:eastAsia="Calibri" w:asciiTheme="minorHAnsi" w:hAnsiTheme="minorHAnsi" w:cstheme="minorHAnsi"/>
                <w:color w:val="000000"/>
                <w:sz w:val="20"/>
                <w:szCs w:val="20"/>
              </w:rPr>
            </w:pPr>
            <w:r w:rsidRPr="00062DB2">
              <w:rPr>
                <w:rFonts w:eastAsia="Calibri" w:asciiTheme="minorHAnsi" w:hAnsiTheme="minorHAnsi" w:cstheme="minorHAnsi"/>
                <w:color w:val="000000"/>
                <w:sz w:val="20"/>
                <w:szCs w:val="20"/>
              </w:rPr>
              <w:t>7</w:t>
            </w:r>
          </w:p>
        </w:tc>
        <w:tc>
          <w:tcPr>
            <w:tcW w:w="1307" w:type="dxa"/>
            <w:tcBorders>
              <w:top w:val="single" w:color="000000" w:sz="2" w:space="0"/>
              <w:left w:val="nil"/>
              <w:bottom w:val="double" w:color="000000" w:sz="4" w:space="0"/>
              <w:right w:val="single" w:color="000000" w:sz="4" w:space="0"/>
            </w:tcBorders>
            <w:shd w:val="clear" w:color="auto" w:fill="auto"/>
            <w:vAlign w:val="center"/>
          </w:tcPr>
          <w:p w:rsidRPr="00062DB2" w:rsidR="009B3139" w:rsidP="00F17AF4" w:rsidRDefault="00F17AF4" w14:paraId="0DE5FE59" w14:textId="155C929B">
            <w:pPr>
              <w:widowControl/>
              <w:jc w:val="center"/>
              <w:rPr>
                <w:rFonts w:eastAsia="Calibri" w:asciiTheme="minorHAnsi" w:hAnsiTheme="minorHAnsi" w:cstheme="minorHAnsi"/>
                <w:color w:val="000000"/>
                <w:sz w:val="20"/>
                <w:szCs w:val="20"/>
              </w:rPr>
            </w:pPr>
            <w:r w:rsidRPr="00062DB2">
              <w:rPr>
                <w:rFonts w:eastAsia="Calibri" w:asciiTheme="minorHAnsi" w:hAnsiTheme="minorHAnsi" w:cstheme="minorHAnsi"/>
                <w:color w:val="000000"/>
                <w:sz w:val="20"/>
                <w:szCs w:val="20"/>
              </w:rPr>
              <w:t>30 min.</w:t>
            </w:r>
          </w:p>
        </w:tc>
        <w:tc>
          <w:tcPr>
            <w:tcW w:w="1170" w:type="dxa"/>
            <w:tcBorders>
              <w:top w:val="single" w:color="000000" w:sz="2" w:space="0"/>
              <w:left w:val="nil"/>
              <w:bottom w:val="double" w:color="000000" w:sz="4" w:space="0"/>
              <w:right w:val="single" w:color="000000" w:sz="4" w:space="0"/>
            </w:tcBorders>
            <w:shd w:val="clear" w:color="auto" w:fill="auto"/>
            <w:vAlign w:val="center"/>
          </w:tcPr>
          <w:p w:rsidRPr="00062DB2" w:rsidR="009B3139" w:rsidP="006C4729" w:rsidRDefault="00D55CBF" w14:paraId="4B5B43D2" w14:textId="7F9CA379">
            <w:pPr>
              <w:widowControl/>
              <w:jc w:val="center"/>
              <w:rPr>
                <w:rFonts w:eastAsia="Calibri" w:asciiTheme="minorHAnsi" w:hAnsiTheme="minorHAnsi" w:cstheme="minorHAnsi"/>
                <w:color w:val="000000"/>
                <w:sz w:val="20"/>
                <w:szCs w:val="20"/>
              </w:rPr>
            </w:pPr>
            <w:r w:rsidRPr="00062DB2">
              <w:rPr>
                <w:rFonts w:eastAsia="Calibri" w:asciiTheme="minorHAnsi" w:hAnsiTheme="minorHAnsi" w:cstheme="minorHAnsi"/>
                <w:color w:val="000000"/>
                <w:sz w:val="20"/>
                <w:szCs w:val="20"/>
              </w:rPr>
              <w:t xml:space="preserve">4 </w:t>
            </w:r>
            <w:proofErr w:type="spellStart"/>
            <w:r w:rsidRPr="00062DB2">
              <w:rPr>
                <w:rFonts w:eastAsia="Calibri" w:asciiTheme="minorHAnsi" w:hAnsiTheme="minorHAnsi" w:cstheme="minorHAnsi"/>
                <w:color w:val="000000"/>
                <w:sz w:val="20"/>
                <w:szCs w:val="20"/>
              </w:rPr>
              <w:t>hrs</w:t>
            </w:r>
            <w:proofErr w:type="spellEnd"/>
          </w:p>
        </w:tc>
        <w:tc>
          <w:tcPr>
            <w:tcW w:w="1080" w:type="dxa"/>
            <w:tcBorders>
              <w:top w:val="single" w:color="000000" w:sz="2" w:space="0"/>
              <w:left w:val="nil"/>
              <w:bottom w:val="double" w:color="000000" w:sz="4" w:space="0"/>
              <w:right w:val="single" w:color="000000" w:sz="4" w:space="0"/>
            </w:tcBorders>
            <w:shd w:val="clear" w:color="auto" w:fill="auto"/>
            <w:vAlign w:val="center"/>
          </w:tcPr>
          <w:p w:rsidRPr="00EC5880" w:rsidR="009B3139" w:rsidP="006C4729" w:rsidRDefault="009E015E" w14:paraId="07459E91" w14:textId="1F680729">
            <w:pPr>
              <w:widowControl/>
              <w:jc w:val="center"/>
              <w:rPr>
                <w:rFonts w:eastAsia="Calibri" w:asciiTheme="minorHAnsi" w:hAnsiTheme="minorHAnsi" w:cstheme="minorHAnsi"/>
                <w:color w:val="000000"/>
                <w:sz w:val="20"/>
                <w:szCs w:val="20"/>
              </w:rPr>
            </w:pPr>
            <w:r w:rsidRPr="00EC5880">
              <w:rPr>
                <w:rFonts w:eastAsia="Calibri" w:asciiTheme="minorHAnsi" w:hAnsiTheme="minorHAnsi" w:cstheme="minorHAnsi"/>
                <w:color w:val="000000"/>
                <w:sz w:val="20"/>
                <w:szCs w:val="20"/>
              </w:rPr>
              <w:t>27.43</w:t>
            </w:r>
          </w:p>
        </w:tc>
        <w:tc>
          <w:tcPr>
            <w:tcW w:w="1080" w:type="dxa"/>
            <w:tcBorders>
              <w:top w:val="single" w:color="000000" w:sz="2" w:space="0"/>
              <w:left w:val="nil"/>
              <w:bottom w:val="double" w:color="000000" w:sz="4" w:space="0"/>
              <w:right w:val="single" w:color="000000" w:sz="8" w:space="0"/>
            </w:tcBorders>
            <w:shd w:val="clear" w:color="auto" w:fill="auto"/>
            <w:vAlign w:val="center"/>
          </w:tcPr>
          <w:p w:rsidRPr="00062DB2" w:rsidR="009B3139" w:rsidP="006C4729" w:rsidRDefault="00B835D1" w14:paraId="14E0DAE6" w14:textId="277DA725">
            <w:pPr>
              <w:widowControl/>
              <w:jc w:val="center"/>
              <w:rPr>
                <w:rFonts w:eastAsia="Calibri" w:asciiTheme="minorHAnsi" w:hAnsiTheme="minorHAnsi" w:cstheme="minorHAnsi"/>
                <w:color w:val="000000"/>
                <w:sz w:val="20"/>
                <w:szCs w:val="20"/>
              </w:rPr>
            </w:pPr>
            <w:r>
              <w:rPr>
                <w:rFonts w:eastAsia="Calibri" w:asciiTheme="minorHAnsi" w:hAnsiTheme="minorHAnsi" w:cstheme="minorHAnsi"/>
                <w:color w:val="000000"/>
                <w:sz w:val="20"/>
                <w:szCs w:val="20"/>
              </w:rPr>
              <w:t>$110</w:t>
            </w:r>
          </w:p>
        </w:tc>
      </w:tr>
      <w:tr w:rsidRPr="00C0319B" w:rsidR="00C0319B" w:rsidTr="00062DB2" w14:paraId="7B0B8D22" w14:textId="77777777">
        <w:trPr>
          <w:trHeight w:val="504"/>
        </w:trPr>
        <w:tc>
          <w:tcPr>
            <w:tcW w:w="3075" w:type="dxa"/>
            <w:tcBorders>
              <w:top w:val="single" w:color="000000" w:sz="18" w:space="0"/>
              <w:left w:val="single" w:color="000000" w:sz="8" w:space="0"/>
              <w:bottom w:val="dotted" w:color="000000" w:sz="4" w:space="0"/>
            </w:tcBorders>
            <w:shd w:val="clear" w:color="auto" w:fill="auto"/>
            <w:vAlign w:val="center"/>
          </w:tcPr>
          <w:p w:rsidRPr="00062DB2" w:rsidR="00BD2A55" w:rsidRDefault="00333FBA" w14:paraId="535064C3" w14:textId="345EF629">
            <w:pPr>
              <w:widowControl/>
              <w:rPr>
                <w:rFonts w:ascii="Calibri" w:hAnsi="Calibri" w:eastAsia="Calibri" w:cs="Calibri"/>
                <w:color w:val="000000"/>
                <w:sz w:val="20"/>
                <w:szCs w:val="20"/>
              </w:rPr>
            </w:pPr>
            <w:r w:rsidRPr="00062DB2">
              <w:rPr>
                <w:rFonts w:ascii="Calibri" w:hAnsi="Calibri" w:eastAsia="Calibri" w:cs="Calibri"/>
                <w:b/>
                <w:color w:val="000000"/>
                <w:sz w:val="20"/>
                <w:szCs w:val="20"/>
              </w:rPr>
              <w:t> </w:t>
            </w:r>
            <w:r w:rsidRPr="00062DB2" w:rsidR="00BB7C0F">
              <w:rPr>
                <w:rFonts w:ascii="Calibri" w:hAnsi="Calibri" w:eastAsia="Calibri" w:cs="Calibri"/>
                <w:color w:val="000000"/>
                <w:sz w:val="20"/>
                <w:szCs w:val="20"/>
              </w:rPr>
              <w:t>Volume and Value Reports</w:t>
            </w:r>
          </w:p>
        </w:tc>
        <w:tc>
          <w:tcPr>
            <w:tcW w:w="2070" w:type="dxa"/>
            <w:tcBorders>
              <w:top w:val="single" w:color="000000" w:sz="18" w:space="0"/>
              <w:bottom w:val="dotted" w:color="000000" w:sz="4" w:space="0"/>
            </w:tcBorders>
            <w:shd w:val="clear" w:color="auto" w:fill="auto"/>
            <w:vAlign w:val="center"/>
          </w:tcPr>
          <w:p w:rsidRPr="0025543B" w:rsidR="00BD2A55" w:rsidRDefault="00333FBA" w14:paraId="4E367E6E" w14:textId="77777777">
            <w:pPr>
              <w:widowControl/>
              <w:jc w:val="center"/>
              <w:rPr>
                <w:rFonts w:ascii="Calibri" w:hAnsi="Calibri" w:eastAsia="Calibri" w:cs="Calibri"/>
                <w:color w:val="000000"/>
                <w:sz w:val="18"/>
                <w:szCs w:val="18"/>
              </w:rPr>
            </w:pPr>
            <w:r w:rsidRPr="0025543B">
              <w:rPr>
                <w:rFonts w:ascii="Calibri" w:hAnsi="Calibri" w:eastAsia="Calibri" w:cs="Calibri"/>
                <w:color w:val="000000"/>
                <w:sz w:val="18"/>
                <w:szCs w:val="18"/>
              </w:rPr>
              <w:t> </w:t>
            </w:r>
          </w:p>
        </w:tc>
        <w:tc>
          <w:tcPr>
            <w:tcW w:w="1170" w:type="dxa"/>
            <w:tcBorders>
              <w:top w:val="single" w:color="000000" w:sz="18" w:space="0"/>
              <w:bottom w:val="dotted" w:color="000000" w:sz="4" w:space="0"/>
            </w:tcBorders>
            <w:shd w:val="clear" w:color="auto" w:fill="auto"/>
            <w:vAlign w:val="center"/>
          </w:tcPr>
          <w:p w:rsidRPr="00D53C14" w:rsidR="00BD2A55" w:rsidP="006C4729" w:rsidRDefault="00BD2A55" w14:paraId="1B9D29E4" w14:textId="11122956">
            <w:pPr>
              <w:widowControl/>
              <w:jc w:val="center"/>
              <w:rPr>
                <w:rFonts w:ascii="Calibri" w:hAnsi="Calibri" w:eastAsia="Calibri" w:cs="Calibri"/>
                <w:color w:val="000000"/>
                <w:sz w:val="18"/>
                <w:szCs w:val="18"/>
              </w:rPr>
            </w:pPr>
          </w:p>
        </w:tc>
        <w:tc>
          <w:tcPr>
            <w:tcW w:w="1080" w:type="dxa"/>
            <w:tcBorders>
              <w:top w:val="single" w:color="000000" w:sz="18" w:space="0"/>
              <w:bottom w:val="dotted" w:color="000000" w:sz="4" w:space="0"/>
            </w:tcBorders>
            <w:shd w:val="clear" w:color="auto" w:fill="auto"/>
            <w:vAlign w:val="center"/>
          </w:tcPr>
          <w:p w:rsidRPr="0025543B" w:rsidR="00BD2A55" w:rsidP="006C4729" w:rsidRDefault="00BD2A55" w14:paraId="775CC0D4" w14:textId="00C88444">
            <w:pPr>
              <w:widowControl/>
              <w:jc w:val="center"/>
              <w:rPr>
                <w:rFonts w:ascii="Calibri" w:hAnsi="Calibri" w:eastAsia="Calibri" w:cs="Calibri"/>
                <w:color w:val="000000"/>
                <w:sz w:val="18"/>
                <w:szCs w:val="18"/>
              </w:rPr>
            </w:pPr>
          </w:p>
        </w:tc>
        <w:tc>
          <w:tcPr>
            <w:tcW w:w="1123" w:type="dxa"/>
            <w:tcBorders>
              <w:top w:val="single" w:color="000000" w:sz="18" w:space="0"/>
              <w:bottom w:val="dotted" w:color="000000" w:sz="4" w:space="0"/>
            </w:tcBorders>
            <w:shd w:val="clear" w:color="auto" w:fill="auto"/>
            <w:vAlign w:val="center"/>
          </w:tcPr>
          <w:p w:rsidRPr="0025543B" w:rsidR="00BD2A55" w:rsidP="006C4729" w:rsidRDefault="00BD2A55" w14:paraId="3C5E7D47" w14:textId="2786C4C6">
            <w:pPr>
              <w:widowControl/>
              <w:jc w:val="center"/>
              <w:rPr>
                <w:rFonts w:ascii="Calibri" w:hAnsi="Calibri" w:eastAsia="Calibri" w:cs="Calibri"/>
                <w:color w:val="000000"/>
                <w:sz w:val="18"/>
                <w:szCs w:val="18"/>
              </w:rPr>
            </w:pPr>
          </w:p>
        </w:tc>
        <w:tc>
          <w:tcPr>
            <w:tcW w:w="1307" w:type="dxa"/>
            <w:tcBorders>
              <w:top w:val="single" w:color="000000" w:sz="18" w:space="0"/>
              <w:bottom w:val="dotted" w:color="000000" w:sz="4" w:space="0"/>
            </w:tcBorders>
            <w:shd w:val="clear" w:color="auto" w:fill="auto"/>
            <w:vAlign w:val="center"/>
          </w:tcPr>
          <w:p w:rsidRPr="0025543B" w:rsidR="00BD2A55" w:rsidP="00F17AF4" w:rsidRDefault="00BD2A55" w14:paraId="0FF8D4CD" w14:textId="6ACCBE8F">
            <w:pPr>
              <w:widowControl/>
              <w:jc w:val="center"/>
              <w:rPr>
                <w:rFonts w:ascii="Calibri" w:hAnsi="Calibri" w:eastAsia="Calibri" w:cs="Calibri"/>
                <w:color w:val="000000"/>
                <w:sz w:val="18"/>
                <w:szCs w:val="18"/>
              </w:rPr>
            </w:pPr>
          </w:p>
        </w:tc>
        <w:tc>
          <w:tcPr>
            <w:tcW w:w="1170" w:type="dxa"/>
            <w:tcBorders>
              <w:top w:val="single" w:color="000000" w:sz="18" w:space="0"/>
              <w:bottom w:val="dotted" w:color="000000" w:sz="4" w:space="0"/>
            </w:tcBorders>
            <w:shd w:val="clear" w:color="auto" w:fill="auto"/>
            <w:vAlign w:val="center"/>
          </w:tcPr>
          <w:p w:rsidRPr="0025543B" w:rsidR="00BD2A55" w:rsidP="006C4729" w:rsidRDefault="00BD2A55" w14:paraId="5808854D" w14:textId="2012AFC7">
            <w:pPr>
              <w:widowControl/>
              <w:jc w:val="center"/>
              <w:rPr>
                <w:rFonts w:ascii="Calibri" w:hAnsi="Calibri" w:eastAsia="Calibri" w:cs="Calibri"/>
                <w:color w:val="000000"/>
                <w:sz w:val="18"/>
                <w:szCs w:val="18"/>
              </w:rPr>
            </w:pPr>
          </w:p>
        </w:tc>
        <w:tc>
          <w:tcPr>
            <w:tcW w:w="1080" w:type="dxa"/>
            <w:tcBorders>
              <w:top w:val="single" w:color="000000" w:sz="18" w:space="0"/>
              <w:bottom w:val="dotted" w:color="000000" w:sz="4" w:space="0"/>
            </w:tcBorders>
            <w:shd w:val="clear" w:color="auto" w:fill="auto"/>
            <w:vAlign w:val="center"/>
          </w:tcPr>
          <w:p w:rsidRPr="0025543B" w:rsidR="00BD2A55" w:rsidP="006C4729" w:rsidRDefault="00BD2A55" w14:paraId="59EECA17" w14:textId="3AD13D55">
            <w:pPr>
              <w:widowControl/>
              <w:jc w:val="center"/>
              <w:rPr>
                <w:rFonts w:ascii="Calibri" w:hAnsi="Calibri" w:eastAsia="Calibri" w:cs="Calibri"/>
                <w:color w:val="000000"/>
                <w:sz w:val="18"/>
                <w:szCs w:val="18"/>
              </w:rPr>
            </w:pPr>
          </w:p>
        </w:tc>
        <w:tc>
          <w:tcPr>
            <w:tcW w:w="1080" w:type="dxa"/>
            <w:tcBorders>
              <w:top w:val="single" w:color="000000" w:sz="18" w:space="0"/>
              <w:bottom w:val="dotted" w:color="000000" w:sz="4" w:space="0"/>
              <w:right w:val="single" w:color="000000" w:sz="8" w:space="0"/>
            </w:tcBorders>
            <w:shd w:val="clear" w:color="auto" w:fill="auto"/>
            <w:vAlign w:val="center"/>
          </w:tcPr>
          <w:p w:rsidRPr="0025543B" w:rsidR="00BD2A55" w:rsidP="006C4729" w:rsidRDefault="00BD2A55" w14:paraId="38CBBC82" w14:textId="082AC03F">
            <w:pPr>
              <w:widowControl/>
              <w:jc w:val="center"/>
              <w:rPr>
                <w:rFonts w:ascii="Calibri" w:hAnsi="Calibri" w:eastAsia="Calibri" w:cs="Calibri"/>
                <w:color w:val="000000"/>
                <w:sz w:val="18"/>
                <w:szCs w:val="18"/>
              </w:rPr>
            </w:pPr>
          </w:p>
        </w:tc>
      </w:tr>
      <w:tr w:rsidR="00860AE8" w:rsidTr="00062DB2" w14:paraId="2A98C578" w14:textId="77777777">
        <w:trPr>
          <w:trHeight w:val="311"/>
        </w:trPr>
        <w:tc>
          <w:tcPr>
            <w:tcW w:w="3075" w:type="dxa"/>
            <w:tcBorders>
              <w:top w:val="dotted" w:color="000000" w:sz="4" w:space="0"/>
              <w:left w:val="single" w:color="000000" w:sz="8" w:space="0"/>
              <w:bottom w:val="dotted" w:color="000000" w:sz="4" w:space="0"/>
              <w:right w:val="single" w:color="000000" w:sz="4" w:space="0"/>
            </w:tcBorders>
            <w:shd w:val="clear" w:color="auto" w:fill="auto"/>
            <w:vAlign w:val="center"/>
          </w:tcPr>
          <w:p w:rsidRPr="0025543B" w:rsidR="00860AE8" w:rsidP="00120FEB" w:rsidRDefault="00860AE8" w14:paraId="05323D41" w14:textId="4C548899">
            <w:pPr>
              <w:widowControl/>
              <w:jc w:val="right"/>
              <w:rPr>
                <w:rFonts w:eastAsia="Calibri" w:asciiTheme="minorHAnsi" w:hAnsiTheme="minorHAnsi" w:cstheme="minorHAnsi"/>
                <w:i/>
                <w:color w:val="000000"/>
                <w:sz w:val="18"/>
                <w:szCs w:val="18"/>
              </w:rPr>
            </w:pPr>
            <w:r w:rsidRPr="0025543B">
              <w:rPr>
                <w:rFonts w:asciiTheme="minorHAnsi" w:hAnsiTheme="minorHAnsi" w:cstheme="minorHAnsi"/>
                <w:i/>
                <w:sz w:val="18"/>
                <w:szCs w:val="18"/>
              </w:rPr>
              <w:t>IFQ Registered Buyer</w:t>
            </w:r>
          </w:p>
        </w:tc>
        <w:tc>
          <w:tcPr>
            <w:tcW w:w="2070" w:type="dxa"/>
            <w:tcBorders>
              <w:top w:val="dotted" w:color="000000" w:sz="4" w:space="0"/>
              <w:left w:val="nil"/>
              <w:bottom w:val="dotted" w:color="000000" w:sz="4" w:space="0"/>
              <w:right w:val="single" w:color="000000" w:sz="4" w:space="0"/>
            </w:tcBorders>
            <w:shd w:val="clear" w:color="auto" w:fill="auto"/>
            <w:vAlign w:val="center"/>
          </w:tcPr>
          <w:p w:rsidRPr="0025543B" w:rsidR="00860AE8" w:rsidP="00860AE8" w:rsidRDefault="00AC1794" w14:paraId="7364894D" w14:textId="52824889">
            <w:pPr>
              <w:widowControl/>
              <w:jc w:val="center"/>
              <w:rPr>
                <w:rFonts w:ascii="Calibri" w:hAnsi="Calibri" w:eastAsia="Calibri" w:cs="Calibri"/>
                <w:i/>
                <w:color w:val="000000"/>
                <w:sz w:val="18"/>
                <w:szCs w:val="18"/>
              </w:rPr>
            </w:pPr>
            <w:r>
              <w:rPr>
                <w:rFonts w:ascii="Calibri" w:hAnsi="Calibri" w:eastAsia="Calibri" w:cs="Calibri"/>
                <w:i/>
                <w:color w:val="000000"/>
                <w:sz w:val="18"/>
                <w:szCs w:val="18"/>
              </w:rPr>
              <w:t>Registered Buyers</w:t>
            </w:r>
            <w:r w:rsidRPr="0025543B" w:rsidR="00860AE8">
              <w:rPr>
                <w:rFonts w:ascii="Calibri" w:hAnsi="Calibri" w:eastAsia="Calibri" w:cs="Calibri"/>
                <w:i/>
                <w:color w:val="000000"/>
                <w:sz w:val="18"/>
                <w:szCs w:val="18"/>
              </w:rPr>
              <w:t> </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D53C14" w:rsidR="00860AE8" w:rsidP="00125BFA" w:rsidRDefault="004760CF" w14:paraId="72F452FE" w14:textId="18191A5B">
            <w:pPr>
              <w:widowControl/>
              <w:jc w:val="center"/>
              <w:rPr>
                <w:rFonts w:ascii="Calibri" w:hAnsi="Calibri" w:eastAsia="Calibri" w:cs="Calibri"/>
                <w:i/>
                <w:color w:val="000000"/>
                <w:sz w:val="18"/>
                <w:szCs w:val="18"/>
              </w:rPr>
            </w:pPr>
            <w:r w:rsidRPr="00D53C14">
              <w:rPr>
                <w:rFonts w:ascii="Calibri" w:hAnsi="Calibri" w:eastAsia="Calibri" w:cs="Calibri"/>
                <w:i/>
                <w:color w:val="000000"/>
                <w:sz w:val="18"/>
                <w:szCs w:val="18"/>
              </w:rPr>
              <w:t>69</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25543B" w:rsidR="00860AE8" w:rsidP="006C4729" w:rsidRDefault="00860AE8" w14:paraId="2220DC93" w14:textId="1EE8271F">
            <w:pPr>
              <w:widowControl/>
              <w:jc w:val="center"/>
              <w:rPr>
                <w:rFonts w:ascii="Calibri" w:hAnsi="Calibri" w:eastAsia="Calibri" w:cs="Calibri"/>
                <w:i/>
                <w:color w:val="000000"/>
                <w:sz w:val="18"/>
                <w:szCs w:val="18"/>
              </w:rPr>
            </w:pPr>
            <w:r w:rsidRPr="0025543B">
              <w:rPr>
                <w:rFonts w:ascii="Calibri" w:hAnsi="Calibri" w:eastAsia="Calibri" w:cs="Calibri"/>
                <w:i/>
                <w:color w:val="000000"/>
                <w:sz w:val="18"/>
                <w:szCs w:val="18"/>
              </w:rPr>
              <w:t>1</w:t>
            </w:r>
          </w:p>
        </w:tc>
        <w:tc>
          <w:tcPr>
            <w:tcW w:w="1123" w:type="dxa"/>
            <w:tcBorders>
              <w:top w:val="dotted" w:color="000000" w:sz="4" w:space="0"/>
              <w:left w:val="nil"/>
              <w:bottom w:val="dotted" w:color="000000" w:sz="4" w:space="0"/>
              <w:right w:val="single" w:color="000000" w:sz="4" w:space="0"/>
            </w:tcBorders>
            <w:shd w:val="clear" w:color="auto" w:fill="auto"/>
            <w:vAlign w:val="center"/>
          </w:tcPr>
          <w:p w:rsidR="00D55CBF" w:rsidP="006C4729" w:rsidRDefault="004760CF" w14:paraId="745F7549" w14:textId="77777777">
            <w:pPr>
              <w:widowControl/>
              <w:jc w:val="center"/>
              <w:rPr>
                <w:rFonts w:ascii="Calibri" w:hAnsi="Calibri" w:eastAsia="Calibri" w:cs="Calibri"/>
                <w:i/>
                <w:color w:val="000000"/>
                <w:sz w:val="18"/>
                <w:szCs w:val="18"/>
              </w:rPr>
            </w:pPr>
            <w:r w:rsidRPr="0025543B">
              <w:rPr>
                <w:rFonts w:ascii="Calibri" w:hAnsi="Calibri" w:eastAsia="Calibri" w:cs="Calibri"/>
                <w:i/>
                <w:color w:val="000000"/>
                <w:sz w:val="18"/>
                <w:szCs w:val="18"/>
              </w:rPr>
              <w:t>69</w:t>
            </w:r>
            <w:r w:rsidR="00D55CBF">
              <w:rPr>
                <w:rFonts w:ascii="Calibri" w:hAnsi="Calibri" w:eastAsia="Calibri" w:cs="Calibri"/>
                <w:i/>
                <w:color w:val="000000"/>
                <w:sz w:val="18"/>
                <w:szCs w:val="18"/>
              </w:rPr>
              <w:t xml:space="preserve"> </w:t>
            </w:r>
          </w:p>
          <w:p w:rsidRPr="0025543B" w:rsidR="00860AE8" w:rsidP="006C4729" w:rsidRDefault="00D55CBF" w14:paraId="61BAC872" w14:textId="356B671C">
            <w:pPr>
              <w:widowControl/>
              <w:jc w:val="center"/>
              <w:rPr>
                <w:rFonts w:ascii="Calibri" w:hAnsi="Calibri" w:eastAsia="Calibri" w:cs="Calibri"/>
                <w:i/>
                <w:color w:val="000000"/>
                <w:sz w:val="18"/>
                <w:szCs w:val="18"/>
              </w:rPr>
            </w:pPr>
            <w:r>
              <w:rPr>
                <w:rFonts w:ascii="Calibri" w:hAnsi="Calibri" w:eastAsia="Calibri" w:cs="Calibri"/>
                <w:i/>
                <w:color w:val="000000"/>
                <w:sz w:val="18"/>
                <w:szCs w:val="18"/>
              </w:rPr>
              <w:t>(eFISH-64; non-elec. 5)</w:t>
            </w:r>
          </w:p>
        </w:tc>
        <w:tc>
          <w:tcPr>
            <w:tcW w:w="1307" w:type="dxa"/>
            <w:tcBorders>
              <w:top w:val="dotted" w:color="000000" w:sz="4" w:space="0"/>
              <w:left w:val="nil"/>
              <w:bottom w:val="dotted" w:color="000000" w:sz="4" w:space="0"/>
              <w:right w:val="single" w:color="000000" w:sz="4" w:space="0"/>
            </w:tcBorders>
            <w:shd w:val="clear" w:color="auto" w:fill="auto"/>
            <w:vAlign w:val="center"/>
          </w:tcPr>
          <w:p w:rsidRPr="0025543B" w:rsidR="00860AE8" w:rsidP="00F17AF4" w:rsidRDefault="00D55CBF" w14:paraId="36872D8F" w14:textId="2F051556">
            <w:pPr>
              <w:widowControl/>
              <w:jc w:val="center"/>
              <w:rPr>
                <w:rFonts w:eastAsia="Calibri" w:asciiTheme="minorHAnsi" w:hAnsiTheme="minorHAnsi" w:cstheme="minorHAnsi"/>
                <w:i/>
                <w:color w:val="000000"/>
                <w:sz w:val="18"/>
                <w:szCs w:val="18"/>
              </w:rPr>
            </w:pPr>
            <w:proofErr w:type="spellStart"/>
            <w:r w:rsidRPr="0025543B">
              <w:rPr>
                <w:rFonts w:eastAsia="Calibri" w:asciiTheme="minorHAnsi" w:hAnsiTheme="minorHAnsi" w:cstheme="minorHAnsi"/>
                <w:i/>
                <w:color w:val="000000"/>
                <w:sz w:val="18"/>
                <w:szCs w:val="18"/>
              </w:rPr>
              <w:t>eFISH</w:t>
            </w:r>
            <w:proofErr w:type="spellEnd"/>
            <w:r>
              <w:rPr>
                <w:rFonts w:eastAsia="Calibri" w:asciiTheme="minorHAnsi" w:hAnsiTheme="minorHAnsi" w:cstheme="minorHAnsi"/>
                <w:i/>
                <w:color w:val="000000"/>
                <w:sz w:val="18"/>
                <w:szCs w:val="18"/>
              </w:rPr>
              <w:t xml:space="preserve"> -</w:t>
            </w:r>
            <w:r w:rsidRPr="0025543B">
              <w:rPr>
                <w:rFonts w:eastAsia="Calibri" w:asciiTheme="minorHAnsi" w:hAnsiTheme="minorHAnsi" w:cstheme="minorHAnsi"/>
                <w:i/>
                <w:color w:val="000000"/>
                <w:sz w:val="18"/>
                <w:szCs w:val="18"/>
              </w:rPr>
              <w:t xml:space="preserve"> </w:t>
            </w:r>
            <w:r w:rsidRPr="0025543B" w:rsidR="00F17AF4">
              <w:rPr>
                <w:rFonts w:eastAsia="Calibri" w:asciiTheme="minorHAnsi" w:hAnsiTheme="minorHAnsi" w:cstheme="minorHAnsi"/>
                <w:i/>
                <w:color w:val="000000"/>
                <w:sz w:val="18"/>
                <w:szCs w:val="18"/>
              </w:rPr>
              <w:t>1 min.;</w:t>
            </w:r>
          </w:p>
          <w:p w:rsidRPr="0025543B" w:rsidR="00F17AF4" w:rsidP="00D55CBF" w:rsidRDefault="00C4069E" w14:paraId="55A89D79" w14:textId="1E927063">
            <w:pPr>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non-elec.</w:t>
            </w:r>
            <w:r w:rsidR="00D55CBF">
              <w:rPr>
                <w:rFonts w:eastAsia="Calibri" w:asciiTheme="minorHAnsi" w:hAnsiTheme="minorHAnsi" w:cstheme="minorHAnsi"/>
                <w:i/>
                <w:color w:val="000000"/>
                <w:sz w:val="18"/>
                <w:szCs w:val="18"/>
              </w:rPr>
              <w:t xml:space="preserve"> -</w:t>
            </w:r>
            <w:r w:rsidRPr="0025543B" w:rsidR="00D55CBF">
              <w:rPr>
                <w:rFonts w:eastAsia="Calibri" w:asciiTheme="minorHAnsi" w:hAnsiTheme="minorHAnsi" w:cstheme="minorHAnsi"/>
                <w:i/>
                <w:color w:val="000000"/>
                <w:sz w:val="18"/>
                <w:szCs w:val="18"/>
              </w:rPr>
              <w:t xml:space="preserve"> </w:t>
            </w:r>
            <w:r>
              <w:rPr>
                <w:rFonts w:eastAsia="Calibri" w:asciiTheme="minorHAnsi" w:hAnsiTheme="minorHAnsi" w:cstheme="minorHAnsi"/>
                <w:i/>
                <w:color w:val="000000"/>
                <w:sz w:val="18"/>
                <w:szCs w:val="18"/>
              </w:rPr>
              <w:t xml:space="preserve">2 </w:t>
            </w:r>
            <w:proofErr w:type="spellStart"/>
            <w:r>
              <w:rPr>
                <w:rFonts w:eastAsia="Calibri" w:asciiTheme="minorHAnsi" w:hAnsiTheme="minorHAnsi" w:cstheme="minorHAnsi"/>
                <w:i/>
                <w:color w:val="000000"/>
                <w:sz w:val="18"/>
                <w:szCs w:val="18"/>
              </w:rPr>
              <w:t>h</w:t>
            </w:r>
            <w:r w:rsidRPr="0025543B" w:rsidR="00F17AF4">
              <w:rPr>
                <w:rFonts w:eastAsia="Calibri" w:asciiTheme="minorHAnsi" w:hAnsiTheme="minorHAnsi" w:cstheme="minorHAnsi"/>
                <w:i/>
                <w:color w:val="000000"/>
                <w:sz w:val="18"/>
                <w:szCs w:val="18"/>
              </w:rPr>
              <w:t>rs</w:t>
            </w:r>
            <w:proofErr w:type="spellEnd"/>
            <w:r w:rsidRPr="0025543B" w:rsidR="00F17AF4">
              <w:rPr>
                <w:rFonts w:eastAsia="Calibri" w:asciiTheme="minorHAnsi" w:hAnsiTheme="minorHAnsi" w:cstheme="minorHAnsi"/>
                <w:i/>
                <w:color w:val="000000"/>
                <w:sz w:val="18"/>
                <w:szCs w:val="18"/>
              </w:rPr>
              <w:t xml:space="preserve"> </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00C4069E" w:rsidP="006C4729" w:rsidRDefault="00C4069E" w14:paraId="1B28466D" w14:textId="6415479B">
            <w:pPr>
              <w:widowControl/>
              <w:jc w:val="center"/>
              <w:rPr>
                <w:rFonts w:ascii="Calibri" w:hAnsi="Calibri" w:eastAsia="Calibri" w:cs="Calibri"/>
                <w:i/>
                <w:color w:val="000000"/>
                <w:sz w:val="18"/>
                <w:szCs w:val="18"/>
              </w:rPr>
            </w:pPr>
            <w:r>
              <w:rPr>
                <w:rFonts w:ascii="Calibri" w:hAnsi="Calibri" w:eastAsia="Calibri" w:cs="Calibri"/>
                <w:i/>
                <w:color w:val="000000"/>
                <w:sz w:val="18"/>
                <w:szCs w:val="18"/>
              </w:rPr>
              <w:t xml:space="preserve">11 </w:t>
            </w:r>
            <w:proofErr w:type="spellStart"/>
            <w:r>
              <w:rPr>
                <w:rFonts w:ascii="Calibri" w:hAnsi="Calibri" w:eastAsia="Calibri" w:cs="Calibri"/>
                <w:i/>
                <w:color w:val="000000"/>
                <w:sz w:val="18"/>
                <w:szCs w:val="18"/>
              </w:rPr>
              <w:t>hrs</w:t>
            </w:r>
            <w:proofErr w:type="spellEnd"/>
          </w:p>
          <w:p w:rsidRPr="0025543B" w:rsidR="004760CF" w:rsidP="00C4069E" w:rsidRDefault="00C4069E" w14:paraId="40ADFF8D" w14:textId="09B028BE">
            <w:pPr>
              <w:widowControl/>
              <w:jc w:val="center"/>
              <w:rPr>
                <w:rFonts w:ascii="Calibri" w:hAnsi="Calibri" w:eastAsia="Calibri" w:cs="Calibri"/>
                <w:i/>
                <w:color w:val="000000"/>
                <w:sz w:val="18"/>
                <w:szCs w:val="18"/>
              </w:rPr>
            </w:pPr>
            <w:r>
              <w:rPr>
                <w:rFonts w:ascii="Calibri" w:hAnsi="Calibri" w:eastAsia="Calibri" w:cs="Calibri"/>
                <w:i/>
                <w:color w:val="000000"/>
                <w:sz w:val="18"/>
                <w:szCs w:val="18"/>
              </w:rPr>
              <w:t>(</w:t>
            </w:r>
            <w:proofErr w:type="spellStart"/>
            <w:r>
              <w:rPr>
                <w:rFonts w:ascii="Calibri" w:hAnsi="Calibri" w:eastAsia="Calibri" w:cs="Calibri"/>
                <w:i/>
                <w:color w:val="000000"/>
                <w:sz w:val="18"/>
                <w:szCs w:val="18"/>
              </w:rPr>
              <w:t>eFISH</w:t>
            </w:r>
            <w:proofErr w:type="spellEnd"/>
            <w:r>
              <w:rPr>
                <w:rFonts w:ascii="Calibri" w:hAnsi="Calibri" w:eastAsia="Calibri" w:cs="Calibri"/>
                <w:i/>
                <w:color w:val="000000"/>
                <w:sz w:val="18"/>
                <w:szCs w:val="18"/>
              </w:rPr>
              <w:t xml:space="preserve"> -</w:t>
            </w:r>
            <w:r w:rsidR="00D55CBF">
              <w:rPr>
                <w:rFonts w:ascii="Calibri" w:hAnsi="Calibri" w:eastAsia="Calibri" w:cs="Calibri"/>
                <w:i/>
                <w:color w:val="000000"/>
                <w:sz w:val="18"/>
                <w:szCs w:val="18"/>
              </w:rPr>
              <w:t xml:space="preserve">1 </w:t>
            </w:r>
            <w:proofErr w:type="spellStart"/>
            <w:r w:rsidR="00D55CBF">
              <w:rPr>
                <w:rFonts w:ascii="Calibri" w:hAnsi="Calibri" w:eastAsia="Calibri" w:cs="Calibri"/>
                <w:i/>
                <w:color w:val="000000"/>
                <w:sz w:val="18"/>
                <w:szCs w:val="18"/>
              </w:rPr>
              <w:t>hr</w:t>
            </w:r>
            <w:proofErr w:type="spellEnd"/>
            <w:r>
              <w:rPr>
                <w:rFonts w:ascii="Calibri" w:hAnsi="Calibri" w:eastAsia="Calibri" w:cs="Calibri"/>
                <w:i/>
                <w:color w:val="000000"/>
                <w:sz w:val="18"/>
                <w:szCs w:val="18"/>
              </w:rPr>
              <w:t>; non-elec. - 1</w:t>
            </w:r>
            <w:r w:rsidRPr="0025543B" w:rsidR="004760CF">
              <w:rPr>
                <w:rFonts w:ascii="Calibri" w:hAnsi="Calibri" w:eastAsia="Calibri" w:cs="Calibri"/>
                <w:i/>
                <w:color w:val="000000"/>
                <w:sz w:val="18"/>
                <w:szCs w:val="18"/>
              </w:rPr>
              <w:t xml:space="preserve">0 </w:t>
            </w:r>
            <w:proofErr w:type="spellStart"/>
            <w:r w:rsidRPr="0025543B" w:rsidR="004760CF">
              <w:rPr>
                <w:rFonts w:ascii="Calibri" w:hAnsi="Calibri" w:eastAsia="Calibri" w:cs="Calibri"/>
                <w:i/>
                <w:color w:val="000000"/>
                <w:sz w:val="18"/>
                <w:szCs w:val="18"/>
              </w:rPr>
              <w:t>hrs</w:t>
            </w:r>
            <w:proofErr w:type="spellEnd"/>
            <w:r w:rsidRPr="0025543B" w:rsidR="004760CF">
              <w:rPr>
                <w:rFonts w:ascii="Calibri" w:hAnsi="Calibri" w:eastAsia="Calibri" w:cs="Calibri"/>
                <w:i/>
                <w:color w:val="000000"/>
                <w:sz w:val="18"/>
                <w:szCs w:val="18"/>
              </w:rPr>
              <w:t xml:space="preserve"> </w:t>
            </w:r>
            <w:r>
              <w:rPr>
                <w:rFonts w:ascii="Calibri" w:hAnsi="Calibri" w:eastAsia="Calibri" w:cs="Calibri"/>
                <w:i/>
                <w:color w:val="000000"/>
                <w:sz w:val="18"/>
                <w:szCs w:val="18"/>
              </w:rPr>
              <w:t>)</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25543B" w:rsidR="00860AE8" w:rsidP="006C4729" w:rsidRDefault="009E015E" w14:paraId="6E31A0D5" w14:textId="588A29FE">
            <w:pPr>
              <w:widowControl/>
              <w:jc w:val="center"/>
              <w:rPr>
                <w:rFonts w:ascii="Calibri" w:hAnsi="Calibri" w:eastAsia="Calibri" w:cs="Calibri"/>
                <w:i/>
                <w:color w:val="000000"/>
                <w:sz w:val="18"/>
                <w:szCs w:val="18"/>
              </w:rPr>
            </w:pPr>
            <w:r>
              <w:rPr>
                <w:rFonts w:ascii="Calibri" w:hAnsi="Calibri" w:eastAsia="Calibri" w:cs="Calibri"/>
                <w:i/>
                <w:color w:val="000000"/>
                <w:sz w:val="18"/>
                <w:szCs w:val="18"/>
              </w:rPr>
              <w:t>27.43</w:t>
            </w:r>
          </w:p>
        </w:tc>
        <w:tc>
          <w:tcPr>
            <w:tcW w:w="1080" w:type="dxa"/>
            <w:tcBorders>
              <w:top w:val="dotted" w:color="000000" w:sz="4" w:space="0"/>
              <w:left w:val="nil"/>
              <w:bottom w:val="dotted" w:color="000000" w:sz="4" w:space="0"/>
              <w:right w:val="single" w:color="000000" w:sz="8" w:space="0"/>
            </w:tcBorders>
            <w:shd w:val="clear" w:color="auto" w:fill="auto"/>
            <w:vAlign w:val="center"/>
          </w:tcPr>
          <w:p w:rsidRPr="0025543B" w:rsidR="00860AE8" w:rsidP="006C4729" w:rsidRDefault="007D09CB" w14:paraId="00F3F8B4" w14:textId="13D55945">
            <w:pPr>
              <w:widowControl/>
              <w:jc w:val="center"/>
              <w:rPr>
                <w:rFonts w:ascii="Calibri" w:hAnsi="Calibri" w:eastAsia="Calibri" w:cs="Calibri"/>
                <w:i/>
                <w:color w:val="000000"/>
                <w:sz w:val="18"/>
                <w:szCs w:val="18"/>
              </w:rPr>
            </w:pPr>
            <w:r>
              <w:rPr>
                <w:rFonts w:ascii="Calibri" w:hAnsi="Calibri" w:eastAsia="Calibri" w:cs="Calibri"/>
                <w:i/>
                <w:color w:val="000000"/>
                <w:sz w:val="18"/>
                <w:szCs w:val="18"/>
              </w:rPr>
              <w:t>302</w:t>
            </w:r>
          </w:p>
        </w:tc>
      </w:tr>
      <w:tr w:rsidR="006B0DEF" w:rsidTr="00062DB2" w14:paraId="6B32A41B" w14:textId="77777777">
        <w:trPr>
          <w:trHeight w:val="311"/>
        </w:trPr>
        <w:tc>
          <w:tcPr>
            <w:tcW w:w="3075" w:type="dxa"/>
            <w:tcBorders>
              <w:top w:val="dotted" w:color="000000" w:sz="4" w:space="0"/>
              <w:left w:val="single" w:color="000000" w:sz="8" w:space="0"/>
              <w:bottom w:val="dotted" w:color="000000" w:sz="4" w:space="0"/>
              <w:right w:val="single" w:color="000000" w:sz="4" w:space="0"/>
            </w:tcBorders>
            <w:shd w:val="clear" w:color="auto" w:fill="auto"/>
            <w:vAlign w:val="center"/>
          </w:tcPr>
          <w:p w:rsidRPr="0025543B" w:rsidR="006B0DEF" w:rsidP="006B0DEF" w:rsidRDefault="006B0DEF" w14:paraId="6CFC62E3" w14:textId="62092B73">
            <w:pPr>
              <w:widowControl/>
              <w:jc w:val="right"/>
              <w:rPr>
                <w:rFonts w:eastAsia="Calibri" w:asciiTheme="minorHAnsi" w:hAnsiTheme="minorHAnsi" w:cstheme="minorHAnsi"/>
                <w:i/>
                <w:color w:val="000000"/>
                <w:sz w:val="18"/>
                <w:szCs w:val="18"/>
              </w:rPr>
            </w:pPr>
            <w:r w:rsidRPr="0025543B">
              <w:rPr>
                <w:rFonts w:asciiTheme="minorHAnsi" w:hAnsiTheme="minorHAnsi" w:cstheme="minorHAnsi"/>
                <w:i/>
                <w:sz w:val="18"/>
                <w:szCs w:val="18"/>
              </w:rPr>
              <w:t>CR RCR</w:t>
            </w:r>
          </w:p>
        </w:tc>
        <w:tc>
          <w:tcPr>
            <w:tcW w:w="2070" w:type="dxa"/>
            <w:tcBorders>
              <w:top w:val="dotted" w:color="000000" w:sz="4" w:space="0"/>
              <w:left w:val="nil"/>
              <w:bottom w:val="dotted" w:color="000000" w:sz="4" w:space="0"/>
              <w:right w:val="single" w:color="000000" w:sz="4" w:space="0"/>
            </w:tcBorders>
            <w:shd w:val="clear" w:color="auto" w:fill="auto"/>
            <w:vAlign w:val="center"/>
          </w:tcPr>
          <w:p w:rsidRPr="0025543B" w:rsidR="006B0DEF" w:rsidP="00AC1794" w:rsidRDefault="0047165B" w14:paraId="296A7F20" w14:textId="5ADDEC01">
            <w:pPr>
              <w:widowControl/>
              <w:jc w:val="center"/>
              <w:rPr>
                <w:rFonts w:ascii="Calibri" w:hAnsi="Calibri" w:eastAsia="Calibri" w:cs="Calibri"/>
                <w:i/>
                <w:color w:val="000000"/>
                <w:sz w:val="18"/>
                <w:szCs w:val="18"/>
              </w:rPr>
            </w:pPr>
            <w:r>
              <w:rPr>
                <w:rFonts w:ascii="Calibri" w:hAnsi="Calibri" w:eastAsia="Calibri" w:cs="Calibri"/>
                <w:i/>
                <w:color w:val="000000"/>
                <w:sz w:val="18"/>
                <w:szCs w:val="18"/>
              </w:rPr>
              <w:t>Registered crab receiver</w:t>
            </w:r>
            <w:r w:rsidR="00AC1794">
              <w:rPr>
                <w:rFonts w:ascii="Calibri" w:hAnsi="Calibri" w:eastAsia="Calibri" w:cs="Calibri"/>
                <w:i/>
                <w:color w:val="000000"/>
                <w:sz w:val="18"/>
                <w:szCs w:val="18"/>
              </w:rPr>
              <w:t>s</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D53C14" w:rsidR="006B0DEF" w:rsidP="006B0DEF" w:rsidRDefault="006B0DEF" w14:paraId="759BAE63" w14:textId="7AEAF07E">
            <w:pPr>
              <w:widowControl/>
              <w:jc w:val="center"/>
              <w:rPr>
                <w:rFonts w:ascii="Calibri" w:hAnsi="Calibri" w:eastAsia="Calibri" w:cs="Calibri"/>
                <w:i/>
                <w:color w:val="000000"/>
                <w:sz w:val="18"/>
                <w:szCs w:val="18"/>
              </w:rPr>
            </w:pPr>
            <w:r w:rsidRPr="00D53C14">
              <w:rPr>
                <w:rFonts w:ascii="Calibri" w:hAnsi="Calibri" w:eastAsia="Calibri" w:cs="Calibri"/>
                <w:i/>
                <w:color w:val="000000"/>
                <w:sz w:val="18"/>
                <w:szCs w:val="18"/>
              </w:rPr>
              <w:t>29</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25543B" w:rsidR="006B0DEF" w:rsidP="006B0DEF" w:rsidRDefault="006B0DEF" w14:paraId="707DFBE8" w14:textId="2B7842C1">
            <w:pPr>
              <w:widowControl/>
              <w:jc w:val="center"/>
              <w:rPr>
                <w:rFonts w:ascii="Calibri" w:hAnsi="Calibri" w:eastAsia="Calibri" w:cs="Calibri"/>
                <w:i/>
                <w:color w:val="000000"/>
                <w:sz w:val="18"/>
                <w:szCs w:val="18"/>
              </w:rPr>
            </w:pPr>
            <w:r w:rsidRPr="0025543B">
              <w:rPr>
                <w:rFonts w:ascii="Calibri" w:hAnsi="Calibri" w:eastAsia="Calibri" w:cs="Calibri"/>
                <w:i/>
                <w:color w:val="000000"/>
                <w:sz w:val="18"/>
                <w:szCs w:val="18"/>
              </w:rPr>
              <w:t>1</w:t>
            </w:r>
          </w:p>
        </w:tc>
        <w:tc>
          <w:tcPr>
            <w:tcW w:w="1123" w:type="dxa"/>
            <w:tcBorders>
              <w:top w:val="dotted" w:color="000000" w:sz="4" w:space="0"/>
              <w:left w:val="nil"/>
              <w:bottom w:val="dotted" w:color="000000" w:sz="4" w:space="0"/>
              <w:right w:val="single" w:color="000000" w:sz="4" w:space="0"/>
            </w:tcBorders>
            <w:shd w:val="clear" w:color="auto" w:fill="auto"/>
            <w:vAlign w:val="center"/>
          </w:tcPr>
          <w:p w:rsidRPr="0025543B" w:rsidR="006B0DEF" w:rsidP="006B0DEF" w:rsidRDefault="006B0DEF" w14:paraId="2C35DB82" w14:textId="7DBA2C17">
            <w:pPr>
              <w:widowControl/>
              <w:jc w:val="center"/>
              <w:rPr>
                <w:rFonts w:ascii="Calibri" w:hAnsi="Calibri" w:eastAsia="Calibri" w:cs="Calibri"/>
                <w:i/>
                <w:color w:val="000000"/>
                <w:sz w:val="18"/>
                <w:szCs w:val="18"/>
              </w:rPr>
            </w:pPr>
            <w:r w:rsidRPr="0025543B">
              <w:rPr>
                <w:rFonts w:ascii="Calibri" w:hAnsi="Calibri" w:eastAsia="Calibri" w:cs="Calibri"/>
                <w:i/>
                <w:color w:val="000000"/>
                <w:sz w:val="18"/>
                <w:szCs w:val="18"/>
              </w:rPr>
              <w:t>29</w:t>
            </w:r>
          </w:p>
        </w:tc>
        <w:tc>
          <w:tcPr>
            <w:tcW w:w="1307" w:type="dxa"/>
            <w:tcBorders>
              <w:top w:val="dotted" w:color="000000" w:sz="4" w:space="0"/>
              <w:left w:val="nil"/>
              <w:bottom w:val="dotted" w:color="000000" w:sz="4" w:space="0"/>
              <w:right w:val="single" w:color="000000" w:sz="4" w:space="0"/>
            </w:tcBorders>
            <w:shd w:val="clear" w:color="auto" w:fill="auto"/>
            <w:vAlign w:val="center"/>
          </w:tcPr>
          <w:p w:rsidRPr="0025543B" w:rsidR="006B0DEF" w:rsidP="006B0DEF" w:rsidRDefault="006B0DEF" w14:paraId="2932D72E" w14:textId="6EBD7967">
            <w:pPr>
              <w:widowControl/>
              <w:jc w:val="center"/>
              <w:rPr>
                <w:rFonts w:eastAsia="Calibri" w:asciiTheme="minorHAnsi" w:hAnsiTheme="minorHAnsi" w:cstheme="minorHAnsi"/>
                <w:i/>
                <w:color w:val="000000"/>
                <w:sz w:val="18"/>
                <w:szCs w:val="18"/>
              </w:rPr>
            </w:pPr>
            <w:r w:rsidRPr="0025543B">
              <w:rPr>
                <w:rFonts w:ascii="Calibri" w:hAnsi="Calibri" w:eastAsia="Calibri" w:cs="Calibri"/>
                <w:i/>
                <w:color w:val="000000"/>
                <w:sz w:val="18"/>
                <w:szCs w:val="18"/>
              </w:rPr>
              <w:t>1 min.</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25543B" w:rsidR="006B0DEF" w:rsidP="006B0DEF" w:rsidRDefault="006B0DEF" w14:paraId="1E75C818" w14:textId="68B0A07E">
            <w:pPr>
              <w:widowControl/>
              <w:jc w:val="center"/>
              <w:rPr>
                <w:rFonts w:ascii="Calibri" w:hAnsi="Calibri" w:eastAsia="Calibri" w:cs="Calibri"/>
                <w:i/>
                <w:color w:val="000000"/>
                <w:sz w:val="18"/>
                <w:szCs w:val="18"/>
              </w:rPr>
            </w:pPr>
            <w:r w:rsidRPr="0025543B">
              <w:rPr>
                <w:rFonts w:ascii="Calibri" w:hAnsi="Calibri" w:eastAsia="Calibri" w:cs="Calibri"/>
                <w:i/>
                <w:color w:val="000000"/>
                <w:sz w:val="18"/>
                <w:szCs w:val="18"/>
              </w:rPr>
              <w:t>29 min.</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25543B" w:rsidR="006B0DEF" w:rsidP="006B0DEF" w:rsidRDefault="009E015E" w14:paraId="278A0607" w14:textId="4C5555DE">
            <w:pPr>
              <w:widowControl/>
              <w:jc w:val="center"/>
              <w:rPr>
                <w:rFonts w:ascii="Calibri" w:hAnsi="Calibri" w:eastAsia="Calibri" w:cs="Calibri"/>
                <w:i/>
                <w:color w:val="000000"/>
                <w:sz w:val="18"/>
                <w:szCs w:val="18"/>
              </w:rPr>
            </w:pPr>
            <w:r>
              <w:rPr>
                <w:rFonts w:ascii="Calibri" w:hAnsi="Calibri" w:eastAsia="Calibri" w:cs="Calibri"/>
                <w:i/>
                <w:color w:val="000000"/>
                <w:sz w:val="18"/>
                <w:szCs w:val="18"/>
              </w:rPr>
              <w:t>27.43</w:t>
            </w:r>
          </w:p>
        </w:tc>
        <w:tc>
          <w:tcPr>
            <w:tcW w:w="1080" w:type="dxa"/>
            <w:tcBorders>
              <w:top w:val="dotted" w:color="000000" w:sz="4" w:space="0"/>
              <w:left w:val="nil"/>
              <w:bottom w:val="dotted" w:color="000000" w:sz="4" w:space="0"/>
              <w:right w:val="single" w:color="000000" w:sz="8" w:space="0"/>
            </w:tcBorders>
            <w:shd w:val="clear" w:color="auto" w:fill="auto"/>
            <w:vAlign w:val="center"/>
          </w:tcPr>
          <w:p w:rsidRPr="0025543B" w:rsidR="006B0DEF" w:rsidP="006B0DEF" w:rsidRDefault="007D09CB" w14:paraId="7516150E" w14:textId="5CA31A04">
            <w:pPr>
              <w:widowControl/>
              <w:jc w:val="center"/>
              <w:rPr>
                <w:rFonts w:ascii="Calibri" w:hAnsi="Calibri" w:eastAsia="Calibri" w:cs="Calibri"/>
                <w:i/>
                <w:color w:val="000000"/>
                <w:sz w:val="18"/>
                <w:szCs w:val="18"/>
              </w:rPr>
            </w:pPr>
            <w:r>
              <w:rPr>
                <w:rFonts w:ascii="Calibri" w:hAnsi="Calibri" w:eastAsia="Calibri" w:cs="Calibri"/>
                <w:i/>
                <w:color w:val="000000"/>
                <w:sz w:val="18"/>
                <w:szCs w:val="18"/>
              </w:rPr>
              <w:t>13</w:t>
            </w:r>
          </w:p>
        </w:tc>
      </w:tr>
      <w:tr w:rsidR="006B0DEF" w:rsidTr="00062DB2" w14:paraId="660FB9A4" w14:textId="77777777">
        <w:trPr>
          <w:trHeight w:val="311"/>
        </w:trPr>
        <w:tc>
          <w:tcPr>
            <w:tcW w:w="3075" w:type="dxa"/>
            <w:tcBorders>
              <w:top w:val="dotted" w:color="000000" w:sz="4" w:space="0"/>
              <w:left w:val="single" w:color="000000" w:sz="8" w:space="0"/>
              <w:bottom w:val="dotted" w:color="000000" w:sz="4" w:space="0"/>
              <w:right w:val="single" w:color="000000" w:sz="4" w:space="0"/>
            </w:tcBorders>
            <w:shd w:val="clear" w:color="auto" w:fill="auto"/>
            <w:vAlign w:val="center"/>
          </w:tcPr>
          <w:p w:rsidRPr="0025543B" w:rsidR="006B0DEF" w:rsidP="006B0DEF" w:rsidRDefault="006B0DEF" w14:paraId="10CEA0EA" w14:textId="14D4BAC3">
            <w:pPr>
              <w:widowControl/>
              <w:jc w:val="right"/>
              <w:rPr>
                <w:rFonts w:eastAsia="Calibri" w:asciiTheme="minorHAnsi" w:hAnsiTheme="minorHAnsi" w:cstheme="minorHAnsi"/>
                <w:i/>
                <w:color w:val="000000"/>
                <w:sz w:val="18"/>
                <w:szCs w:val="18"/>
              </w:rPr>
            </w:pPr>
            <w:r w:rsidRPr="0025543B">
              <w:rPr>
                <w:rFonts w:asciiTheme="minorHAnsi" w:hAnsiTheme="minorHAnsi" w:cstheme="minorHAnsi"/>
                <w:i/>
                <w:sz w:val="18"/>
                <w:szCs w:val="18"/>
              </w:rPr>
              <w:t>Rockfish</w:t>
            </w:r>
          </w:p>
        </w:tc>
        <w:tc>
          <w:tcPr>
            <w:tcW w:w="2070" w:type="dxa"/>
            <w:tcBorders>
              <w:top w:val="dotted" w:color="000000" w:sz="4" w:space="0"/>
              <w:left w:val="nil"/>
              <w:bottom w:val="dotted" w:color="000000" w:sz="4" w:space="0"/>
              <w:right w:val="single" w:color="000000" w:sz="4" w:space="0"/>
            </w:tcBorders>
            <w:shd w:val="clear" w:color="auto" w:fill="auto"/>
            <w:vAlign w:val="center"/>
          </w:tcPr>
          <w:p w:rsidRPr="0025543B" w:rsidR="006B0DEF" w:rsidP="006B0DEF" w:rsidRDefault="007D197A" w14:paraId="61FFE348" w14:textId="7761C827">
            <w:pPr>
              <w:widowControl/>
              <w:jc w:val="center"/>
              <w:rPr>
                <w:rFonts w:ascii="Calibri" w:hAnsi="Calibri" w:eastAsia="Calibri" w:cs="Calibri"/>
                <w:i/>
                <w:color w:val="000000"/>
                <w:sz w:val="18"/>
                <w:szCs w:val="18"/>
              </w:rPr>
            </w:pPr>
            <w:r>
              <w:rPr>
                <w:rFonts w:ascii="Calibri" w:hAnsi="Calibri" w:eastAsia="Calibri" w:cs="Calibri"/>
                <w:i/>
                <w:color w:val="000000"/>
                <w:sz w:val="18"/>
                <w:szCs w:val="18"/>
              </w:rPr>
              <w:t>Rockfish processor</w:t>
            </w:r>
            <w:r w:rsidR="00AC1794">
              <w:rPr>
                <w:rFonts w:ascii="Calibri" w:hAnsi="Calibri" w:eastAsia="Calibri" w:cs="Calibri"/>
                <w:i/>
                <w:color w:val="000000"/>
                <w:sz w:val="18"/>
                <w:szCs w:val="18"/>
              </w:rPr>
              <w:t>s</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D53C14" w:rsidR="006B0DEF" w:rsidP="006B0DEF" w:rsidRDefault="006B0DEF" w14:paraId="30BF3CCA" w14:textId="65B0F57C">
            <w:pPr>
              <w:widowControl/>
              <w:jc w:val="center"/>
              <w:rPr>
                <w:rFonts w:ascii="Calibri" w:hAnsi="Calibri" w:eastAsia="Calibri" w:cs="Calibri"/>
                <w:i/>
                <w:color w:val="000000"/>
                <w:sz w:val="18"/>
                <w:szCs w:val="18"/>
              </w:rPr>
            </w:pPr>
            <w:r w:rsidRPr="00D53C14">
              <w:rPr>
                <w:rFonts w:ascii="Calibri" w:hAnsi="Calibri" w:eastAsia="Calibri" w:cs="Calibri"/>
                <w:i/>
                <w:color w:val="000000"/>
                <w:sz w:val="18"/>
                <w:szCs w:val="18"/>
              </w:rPr>
              <w:t>7</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25543B" w:rsidR="006B0DEF" w:rsidP="006B0DEF" w:rsidRDefault="006B0DEF" w14:paraId="338BDFFC" w14:textId="44E43AA9">
            <w:pPr>
              <w:widowControl/>
              <w:jc w:val="center"/>
              <w:rPr>
                <w:rFonts w:ascii="Calibri" w:hAnsi="Calibri" w:eastAsia="Calibri" w:cs="Calibri"/>
                <w:i/>
                <w:color w:val="000000"/>
                <w:sz w:val="18"/>
                <w:szCs w:val="18"/>
              </w:rPr>
            </w:pPr>
            <w:r w:rsidRPr="0025543B">
              <w:rPr>
                <w:rFonts w:ascii="Calibri" w:hAnsi="Calibri" w:eastAsia="Calibri" w:cs="Calibri"/>
                <w:i/>
                <w:color w:val="000000"/>
                <w:sz w:val="18"/>
                <w:szCs w:val="18"/>
              </w:rPr>
              <w:t>1</w:t>
            </w:r>
          </w:p>
        </w:tc>
        <w:tc>
          <w:tcPr>
            <w:tcW w:w="1123" w:type="dxa"/>
            <w:tcBorders>
              <w:top w:val="dotted" w:color="000000" w:sz="4" w:space="0"/>
              <w:left w:val="nil"/>
              <w:bottom w:val="dotted" w:color="000000" w:sz="4" w:space="0"/>
              <w:right w:val="single" w:color="000000" w:sz="4" w:space="0"/>
            </w:tcBorders>
            <w:shd w:val="clear" w:color="auto" w:fill="auto"/>
            <w:vAlign w:val="center"/>
          </w:tcPr>
          <w:p w:rsidRPr="0025543B" w:rsidR="006B0DEF" w:rsidP="006B0DEF" w:rsidRDefault="006B0DEF" w14:paraId="181C8EC8" w14:textId="7D136FED">
            <w:pPr>
              <w:widowControl/>
              <w:jc w:val="center"/>
              <w:rPr>
                <w:rFonts w:ascii="Calibri" w:hAnsi="Calibri" w:eastAsia="Calibri" w:cs="Calibri"/>
                <w:i/>
                <w:color w:val="000000"/>
                <w:sz w:val="18"/>
                <w:szCs w:val="18"/>
              </w:rPr>
            </w:pPr>
            <w:r w:rsidRPr="0025543B">
              <w:rPr>
                <w:rFonts w:ascii="Calibri" w:hAnsi="Calibri" w:eastAsia="Calibri" w:cs="Calibri"/>
                <w:i/>
                <w:color w:val="000000"/>
                <w:sz w:val="18"/>
                <w:szCs w:val="18"/>
              </w:rPr>
              <w:t>7</w:t>
            </w:r>
          </w:p>
        </w:tc>
        <w:tc>
          <w:tcPr>
            <w:tcW w:w="1307" w:type="dxa"/>
            <w:tcBorders>
              <w:top w:val="dotted" w:color="000000" w:sz="4" w:space="0"/>
              <w:left w:val="nil"/>
              <w:bottom w:val="dotted" w:color="000000" w:sz="4" w:space="0"/>
              <w:right w:val="single" w:color="000000" w:sz="4" w:space="0"/>
            </w:tcBorders>
            <w:shd w:val="clear" w:color="auto" w:fill="auto"/>
            <w:vAlign w:val="center"/>
          </w:tcPr>
          <w:p w:rsidRPr="0025543B" w:rsidR="006B0DEF" w:rsidP="006B0DEF" w:rsidRDefault="006B0DEF" w14:paraId="1A9E4608" w14:textId="75E753FC">
            <w:pPr>
              <w:widowControl/>
              <w:jc w:val="center"/>
              <w:rPr>
                <w:rFonts w:eastAsia="Calibri" w:asciiTheme="minorHAnsi" w:hAnsiTheme="minorHAnsi" w:cstheme="minorHAnsi"/>
                <w:i/>
                <w:color w:val="000000"/>
                <w:sz w:val="18"/>
                <w:szCs w:val="18"/>
              </w:rPr>
            </w:pPr>
            <w:r w:rsidRPr="0025543B">
              <w:rPr>
                <w:rFonts w:ascii="Calibri" w:hAnsi="Calibri" w:eastAsia="Calibri" w:cs="Calibri"/>
                <w:i/>
                <w:color w:val="000000"/>
                <w:sz w:val="18"/>
                <w:szCs w:val="18"/>
              </w:rPr>
              <w:t>1 min.</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25543B" w:rsidR="006B0DEF" w:rsidP="006B0DEF" w:rsidRDefault="006B0DEF" w14:paraId="44F15D4C" w14:textId="245BD96D">
            <w:pPr>
              <w:widowControl/>
              <w:jc w:val="center"/>
              <w:rPr>
                <w:rFonts w:ascii="Calibri" w:hAnsi="Calibri" w:eastAsia="Calibri" w:cs="Calibri"/>
                <w:i/>
                <w:color w:val="000000"/>
                <w:sz w:val="18"/>
                <w:szCs w:val="18"/>
              </w:rPr>
            </w:pPr>
            <w:r w:rsidRPr="0025543B">
              <w:rPr>
                <w:rFonts w:ascii="Calibri" w:hAnsi="Calibri" w:eastAsia="Calibri" w:cs="Calibri"/>
                <w:i/>
                <w:color w:val="000000"/>
                <w:sz w:val="18"/>
                <w:szCs w:val="18"/>
              </w:rPr>
              <w:t>7 min.</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25543B" w:rsidR="006B0DEF" w:rsidP="006B0DEF" w:rsidRDefault="009E015E" w14:paraId="7A9515E1" w14:textId="062F68E1">
            <w:pPr>
              <w:widowControl/>
              <w:jc w:val="center"/>
              <w:rPr>
                <w:rFonts w:ascii="Calibri" w:hAnsi="Calibri" w:eastAsia="Calibri" w:cs="Calibri"/>
                <w:i/>
                <w:color w:val="000000"/>
                <w:sz w:val="18"/>
                <w:szCs w:val="18"/>
              </w:rPr>
            </w:pPr>
            <w:r>
              <w:rPr>
                <w:rFonts w:ascii="Calibri" w:hAnsi="Calibri" w:eastAsia="Calibri" w:cs="Calibri"/>
                <w:i/>
                <w:color w:val="000000"/>
                <w:sz w:val="18"/>
                <w:szCs w:val="18"/>
              </w:rPr>
              <w:t>27.43</w:t>
            </w:r>
          </w:p>
        </w:tc>
        <w:tc>
          <w:tcPr>
            <w:tcW w:w="1080" w:type="dxa"/>
            <w:tcBorders>
              <w:top w:val="dotted" w:color="000000" w:sz="4" w:space="0"/>
              <w:left w:val="nil"/>
              <w:bottom w:val="dotted" w:color="000000" w:sz="4" w:space="0"/>
              <w:right w:val="single" w:color="000000" w:sz="8" w:space="0"/>
            </w:tcBorders>
            <w:shd w:val="clear" w:color="auto" w:fill="auto"/>
            <w:vAlign w:val="center"/>
          </w:tcPr>
          <w:p w:rsidRPr="0025543B" w:rsidR="006B0DEF" w:rsidP="006B0DEF" w:rsidRDefault="007D09CB" w14:paraId="447560CF" w14:textId="5AEEB876">
            <w:pPr>
              <w:widowControl/>
              <w:jc w:val="center"/>
              <w:rPr>
                <w:rFonts w:ascii="Calibri" w:hAnsi="Calibri" w:eastAsia="Calibri" w:cs="Calibri"/>
                <w:i/>
                <w:color w:val="000000"/>
                <w:sz w:val="18"/>
                <w:szCs w:val="18"/>
              </w:rPr>
            </w:pPr>
            <w:r>
              <w:rPr>
                <w:rFonts w:ascii="Calibri" w:hAnsi="Calibri" w:eastAsia="Calibri" w:cs="Calibri"/>
                <w:i/>
                <w:color w:val="000000"/>
                <w:sz w:val="18"/>
                <w:szCs w:val="18"/>
              </w:rPr>
              <w:t>3</w:t>
            </w:r>
          </w:p>
        </w:tc>
      </w:tr>
      <w:tr w:rsidR="006B0DEF" w:rsidTr="00062DB2" w14:paraId="3C3A6BB3" w14:textId="77777777">
        <w:trPr>
          <w:trHeight w:val="311"/>
        </w:trPr>
        <w:tc>
          <w:tcPr>
            <w:tcW w:w="3075" w:type="dxa"/>
            <w:tcBorders>
              <w:top w:val="dotted" w:color="000000" w:sz="4" w:space="0"/>
              <w:left w:val="single" w:color="000000" w:sz="8" w:space="0"/>
              <w:bottom w:val="dotted" w:color="000000" w:sz="4" w:space="0"/>
              <w:right w:val="single" w:color="000000" w:sz="4" w:space="0"/>
            </w:tcBorders>
            <w:shd w:val="clear" w:color="auto" w:fill="auto"/>
            <w:vAlign w:val="center"/>
          </w:tcPr>
          <w:p w:rsidRPr="0025543B" w:rsidR="006B0DEF" w:rsidP="006B0DEF" w:rsidRDefault="006B0DEF" w14:paraId="0451BD9F" w14:textId="400D9877">
            <w:pPr>
              <w:widowControl/>
              <w:jc w:val="right"/>
              <w:rPr>
                <w:rFonts w:eastAsia="Calibri" w:asciiTheme="minorHAnsi" w:hAnsiTheme="minorHAnsi" w:cstheme="minorHAnsi"/>
                <w:i/>
                <w:color w:val="000000"/>
                <w:sz w:val="18"/>
                <w:szCs w:val="18"/>
              </w:rPr>
            </w:pPr>
            <w:r w:rsidRPr="0025543B">
              <w:rPr>
                <w:rFonts w:asciiTheme="minorHAnsi" w:hAnsiTheme="minorHAnsi" w:cstheme="minorHAnsi"/>
                <w:i/>
                <w:sz w:val="18"/>
                <w:szCs w:val="18"/>
              </w:rPr>
              <w:t>Pacific Cod</w:t>
            </w:r>
          </w:p>
        </w:tc>
        <w:tc>
          <w:tcPr>
            <w:tcW w:w="2070" w:type="dxa"/>
            <w:tcBorders>
              <w:top w:val="dotted" w:color="000000" w:sz="4" w:space="0"/>
              <w:left w:val="nil"/>
              <w:bottom w:val="dotted" w:color="000000" w:sz="4" w:space="0"/>
              <w:right w:val="single" w:color="000000" w:sz="4" w:space="0"/>
            </w:tcBorders>
            <w:shd w:val="clear" w:color="auto" w:fill="auto"/>
            <w:vAlign w:val="center"/>
          </w:tcPr>
          <w:p w:rsidRPr="0025543B" w:rsidR="006B0DEF" w:rsidP="006B0DEF" w:rsidRDefault="007D197A" w14:paraId="4EE42599" w14:textId="3A3F5ACA">
            <w:pPr>
              <w:widowControl/>
              <w:jc w:val="center"/>
              <w:rPr>
                <w:rFonts w:ascii="Calibri" w:hAnsi="Calibri" w:eastAsia="Calibri" w:cs="Calibri"/>
                <w:i/>
                <w:color w:val="000000"/>
                <w:sz w:val="18"/>
                <w:szCs w:val="18"/>
              </w:rPr>
            </w:pPr>
            <w:proofErr w:type="spellStart"/>
            <w:r>
              <w:rPr>
                <w:rFonts w:ascii="Calibri" w:hAnsi="Calibri" w:eastAsia="Calibri" w:cs="Calibri"/>
                <w:i/>
                <w:color w:val="000000"/>
                <w:sz w:val="18"/>
                <w:szCs w:val="18"/>
              </w:rPr>
              <w:t>Shoreside</w:t>
            </w:r>
            <w:proofErr w:type="spellEnd"/>
            <w:r>
              <w:rPr>
                <w:rFonts w:ascii="Calibri" w:hAnsi="Calibri" w:eastAsia="Calibri" w:cs="Calibri"/>
                <w:i/>
                <w:color w:val="000000"/>
                <w:sz w:val="18"/>
                <w:szCs w:val="18"/>
              </w:rPr>
              <w:t xml:space="preserve"> processor</w:t>
            </w:r>
            <w:r w:rsidR="00AC1794">
              <w:rPr>
                <w:rFonts w:ascii="Calibri" w:hAnsi="Calibri" w:eastAsia="Calibri" w:cs="Calibri"/>
                <w:i/>
                <w:color w:val="000000"/>
                <w:sz w:val="18"/>
                <w:szCs w:val="18"/>
              </w:rPr>
              <w:t>s</w:t>
            </w:r>
            <w:r>
              <w:rPr>
                <w:rFonts w:ascii="Calibri" w:hAnsi="Calibri" w:eastAsia="Calibri" w:cs="Calibri"/>
                <w:i/>
                <w:color w:val="000000"/>
                <w:sz w:val="18"/>
                <w:szCs w:val="18"/>
              </w:rPr>
              <w:t xml:space="preserve"> or mothership</w:t>
            </w:r>
            <w:r w:rsidR="00AC1794">
              <w:rPr>
                <w:rFonts w:ascii="Calibri" w:hAnsi="Calibri" w:eastAsia="Calibri" w:cs="Calibri"/>
                <w:i/>
                <w:color w:val="000000"/>
                <w:sz w:val="18"/>
                <w:szCs w:val="18"/>
              </w:rPr>
              <w:t>s</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D53C14" w:rsidR="006B0DEF" w:rsidP="006B0DEF" w:rsidRDefault="006B0DEF" w14:paraId="21833833" w14:textId="40F8C500">
            <w:pPr>
              <w:widowControl/>
              <w:jc w:val="center"/>
              <w:rPr>
                <w:rFonts w:ascii="Calibri" w:hAnsi="Calibri" w:eastAsia="Calibri" w:cs="Calibri"/>
                <w:i/>
                <w:color w:val="000000"/>
                <w:sz w:val="18"/>
                <w:szCs w:val="18"/>
              </w:rPr>
            </w:pPr>
            <w:r w:rsidRPr="00D53C14">
              <w:rPr>
                <w:rFonts w:ascii="Calibri" w:hAnsi="Calibri" w:eastAsia="Calibri" w:cs="Calibri"/>
                <w:i/>
                <w:color w:val="000000"/>
                <w:sz w:val="18"/>
                <w:szCs w:val="18"/>
              </w:rPr>
              <w:t>6</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25543B" w:rsidR="006B0DEF" w:rsidP="006B0DEF" w:rsidRDefault="006B0DEF" w14:paraId="420FB94B" w14:textId="1DB2C66F">
            <w:pPr>
              <w:widowControl/>
              <w:jc w:val="center"/>
              <w:rPr>
                <w:rFonts w:ascii="Calibri" w:hAnsi="Calibri" w:eastAsia="Calibri" w:cs="Calibri"/>
                <w:i/>
                <w:color w:val="000000"/>
                <w:sz w:val="18"/>
                <w:szCs w:val="18"/>
              </w:rPr>
            </w:pPr>
            <w:r w:rsidRPr="0025543B">
              <w:rPr>
                <w:rFonts w:ascii="Calibri" w:hAnsi="Calibri" w:eastAsia="Calibri" w:cs="Calibri"/>
                <w:i/>
                <w:color w:val="000000"/>
                <w:sz w:val="18"/>
                <w:szCs w:val="18"/>
              </w:rPr>
              <w:t>1</w:t>
            </w:r>
          </w:p>
        </w:tc>
        <w:tc>
          <w:tcPr>
            <w:tcW w:w="1123" w:type="dxa"/>
            <w:tcBorders>
              <w:top w:val="dotted" w:color="000000" w:sz="4" w:space="0"/>
              <w:left w:val="nil"/>
              <w:bottom w:val="dotted" w:color="000000" w:sz="4" w:space="0"/>
              <w:right w:val="single" w:color="000000" w:sz="4" w:space="0"/>
            </w:tcBorders>
            <w:shd w:val="clear" w:color="auto" w:fill="auto"/>
            <w:vAlign w:val="center"/>
          </w:tcPr>
          <w:p w:rsidRPr="0025543B" w:rsidR="006B0DEF" w:rsidP="006B0DEF" w:rsidRDefault="006B0DEF" w14:paraId="704457FF" w14:textId="39E5EEA4">
            <w:pPr>
              <w:widowControl/>
              <w:jc w:val="center"/>
              <w:rPr>
                <w:rFonts w:ascii="Calibri" w:hAnsi="Calibri" w:eastAsia="Calibri" w:cs="Calibri"/>
                <w:i/>
                <w:color w:val="000000"/>
                <w:sz w:val="18"/>
                <w:szCs w:val="18"/>
              </w:rPr>
            </w:pPr>
            <w:r w:rsidRPr="0025543B">
              <w:rPr>
                <w:rFonts w:ascii="Calibri" w:hAnsi="Calibri" w:eastAsia="Calibri" w:cs="Calibri"/>
                <w:i/>
                <w:color w:val="000000"/>
                <w:sz w:val="18"/>
                <w:szCs w:val="18"/>
              </w:rPr>
              <w:t>6</w:t>
            </w:r>
          </w:p>
        </w:tc>
        <w:tc>
          <w:tcPr>
            <w:tcW w:w="1307" w:type="dxa"/>
            <w:tcBorders>
              <w:top w:val="dotted" w:color="000000" w:sz="4" w:space="0"/>
              <w:left w:val="nil"/>
              <w:bottom w:val="dotted" w:color="000000" w:sz="4" w:space="0"/>
              <w:right w:val="single" w:color="000000" w:sz="4" w:space="0"/>
            </w:tcBorders>
            <w:shd w:val="clear" w:color="auto" w:fill="auto"/>
            <w:vAlign w:val="center"/>
          </w:tcPr>
          <w:p w:rsidRPr="0025543B" w:rsidR="006B0DEF" w:rsidP="006B0DEF" w:rsidRDefault="006B0DEF" w14:paraId="08F0C51B" w14:textId="468DD638">
            <w:pPr>
              <w:widowControl/>
              <w:jc w:val="center"/>
              <w:rPr>
                <w:rFonts w:eastAsia="Calibri" w:asciiTheme="minorHAnsi" w:hAnsiTheme="minorHAnsi" w:cstheme="minorHAnsi"/>
                <w:i/>
                <w:color w:val="000000"/>
                <w:sz w:val="18"/>
                <w:szCs w:val="18"/>
              </w:rPr>
            </w:pPr>
            <w:r w:rsidRPr="0025543B">
              <w:rPr>
                <w:rFonts w:ascii="Calibri" w:hAnsi="Calibri" w:eastAsia="Calibri" w:cs="Calibri"/>
                <w:i/>
                <w:color w:val="000000"/>
                <w:sz w:val="18"/>
                <w:szCs w:val="18"/>
              </w:rPr>
              <w:t>1 min.</w:t>
            </w:r>
          </w:p>
        </w:tc>
        <w:tc>
          <w:tcPr>
            <w:tcW w:w="1170" w:type="dxa"/>
            <w:tcBorders>
              <w:top w:val="dotted" w:color="000000" w:sz="4" w:space="0"/>
              <w:left w:val="nil"/>
              <w:bottom w:val="dotted" w:color="000000" w:sz="4" w:space="0"/>
              <w:right w:val="single" w:color="000000" w:sz="4" w:space="0"/>
            </w:tcBorders>
            <w:shd w:val="clear" w:color="auto" w:fill="auto"/>
            <w:vAlign w:val="center"/>
          </w:tcPr>
          <w:p w:rsidRPr="0025543B" w:rsidR="006B0DEF" w:rsidP="006B0DEF" w:rsidRDefault="006B0DEF" w14:paraId="17C64CD7" w14:textId="0D79F744">
            <w:pPr>
              <w:widowControl/>
              <w:jc w:val="center"/>
              <w:rPr>
                <w:rFonts w:ascii="Calibri" w:hAnsi="Calibri" w:eastAsia="Calibri" w:cs="Calibri"/>
                <w:i/>
                <w:color w:val="000000"/>
                <w:sz w:val="18"/>
                <w:szCs w:val="18"/>
              </w:rPr>
            </w:pPr>
            <w:r w:rsidRPr="0025543B">
              <w:rPr>
                <w:rFonts w:ascii="Calibri" w:hAnsi="Calibri" w:eastAsia="Calibri" w:cs="Calibri"/>
                <w:i/>
                <w:color w:val="000000"/>
                <w:sz w:val="18"/>
                <w:szCs w:val="18"/>
              </w:rPr>
              <w:t>6 min.</w:t>
            </w:r>
          </w:p>
        </w:tc>
        <w:tc>
          <w:tcPr>
            <w:tcW w:w="1080" w:type="dxa"/>
            <w:tcBorders>
              <w:top w:val="dotted" w:color="000000" w:sz="4" w:space="0"/>
              <w:left w:val="nil"/>
              <w:bottom w:val="dotted" w:color="000000" w:sz="4" w:space="0"/>
              <w:right w:val="single" w:color="000000" w:sz="4" w:space="0"/>
            </w:tcBorders>
            <w:shd w:val="clear" w:color="auto" w:fill="auto"/>
            <w:vAlign w:val="center"/>
          </w:tcPr>
          <w:p w:rsidRPr="0025543B" w:rsidR="006B0DEF" w:rsidP="006B0DEF" w:rsidRDefault="009E015E" w14:paraId="2D7E9824" w14:textId="66D07D81">
            <w:pPr>
              <w:widowControl/>
              <w:jc w:val="center"/>
              <w:rPr>
                <w:rFonts w:ascii="Calibri" w:hAnsi="Calibri" w:eastAsia="Calibri" w:cs="Calibri"/>
                <w:i/>
                <w:color w:val="000000"/>
                <w:sz w:val="18"/>
                <w:szCs w:val="18"/>
              </w:rPr>
            </w:pPr>
            <w:r>
              <w:rPr>
                <w:rFonts w:ascii="Calibri" w:hAnsi="Calibri" w:eastAsia="Calibri" w:cs="Calibri"/>
                <w:i/>
                <w:color w:val="000000"/>
                <w:sz w:val="18"/>
                <w:szCs w:val="18"/>
              </w:rPr>
              <w:t>27.43</w:t>
            </w:r>
          </w:p>
        </w:tc>
        <w:tc>
          <w:tcPr>
            <w:tcW w:w="1080" w:type="dxa"/>
            <w:tcBorders>
              <w:top w:val="dotted" w:color="000000" w:sz="4" w:space="0"/>
              <w:left w:val="nil"/>
              <w:bottom w:val="dotted" w:color="000000" w:sz="4" w:space="0"/>
              <w:right w:val="single" w:color="000000" w:sz="8" w:space="0"/>
            </w:tcBorders>
            <w:shd w:val="clear" w:color="auto" w:fill="auto"/>
            <w:vAlign w:val="center"/>
          </w:tcPr>
          <w:p w:rsidRPr="0025543B" w:rsidR="006B0DEF" w:rsidP="006B0DEF" w:rsidRDefault="007D09CB" w14:paraId="6C9F7438" w14:textId="12029660">
            <w:pPr>
              <w:widowControl/>
              <w:jc w:val="center"/>
              <w:rPr>
                <w:rFonts w:ascii="Calibri" w:hAnsi="Calibri" w:eastAsia="Calibri" w:cs="Calibri"/>
                <w:i/>
                <w:color w:val="000000"/>
                <w:sz w:val="18"/>
                <w:szCs w:val="18"/>
              </w:rPr>
            </w:pPr>
            <w:r>
              <w:rPr>
                <w:rFonts w:ascii="Calibri" w:hAnsi="Calibri" w:eastAsia="Calibri" w:cs="Calibri"/>
                <w:i/>
                <w:color w:val="000000"/>
                <w:sz w:val="18"/>
                <w:szCs w:val="18"/>
              </w:rPr>
              <w:t>3</w:t>
            </w:r>
          </w:p>
        </w:tc>
      </w:tr>
      <w:tr w:rsidR="006B0DEF" w:rsidTr="00062DB2" w14:paraId="1AE0EDD9" w14:textId="77777777">
        <w:trPr>
          <w:trHeight w:val="311"/>
        </w:trPr>
        <w:tc>
          <w:tcPr>
            <w:tcW w:w="3075" w:type="dxa"/>
            <w:tcBorders>
              <w:top w:val="dotted" w:color="000000" w:sz="4" w:space="0"/>
              <w:left w:val="single" w:color="000000" w:sz="8" w:space="0"/>
              <w:bottom w:val="double" w:color="000000" w:sz="4" w:space="0"/>
              <w:right w:val="single" w:color="000000" w:sz="4" w:space="0"/>
            </w:tcBorders>
            <w:shd w:val="clear" w:color="auto" w:fill="auto"/>
            <w:vAlign w:val="center"/>
          </w:tcPr>
          <w:p w:rsidRPr="0025543B" w:rsidR="006B0DEF" w:rsidP="006B0DEF" w:rsidRDefault="006B0DEF" w14:paraId="28428679" w14:textId="649EEDF6">
            <w:pPr>
              <w:widowControl/>
              <w:jc w:val="right"/>
              <w:rPr>
                <w:rFonts w:eastAsia="Calibri" w:asciiTheme="minorHAnsi" w:hAnsiTheme="minorHAnsi" w:cstheme="minorHAnsi"/>
                <w:i/>
                <w:color w:val="000000"/>
                <w:sz w:val="18"/>
                <w:szCs w:val="18"/>
              </w:rPr>
            </w:pPr>
            <w:r w:rsidRPr="0025543B">
              <w:rPr>
                <w:rFonts w:asciiTheme="minorHAnsi" w:hAnsiTheme="minorHAnsi" w:cstheme="minorHAnsi"/>
                <w:i/>
                <w:sz w:val="18"/>
                <w:szCs w:val="18"/>
              </w:rPr>
              <w:t>First Wholesale</w:t>
            </w:r>
          </w:p>
        </w:tc>
        <w:tc>
          <w:tcPr>
            <w:tcW w:w="2070" w:type="dxa"/>
            <w:tcBorders>
              <w:top w:val="dotted" w:color="000000" w:sz="4" w:space="0"/>
              <w:left w:val="nil"/>
              <w:bottom w:val="double" w:color="000000" w:sz="4" w:space="0"/>
              <w:right w:val="single" w:color="000000" w:sz="4" w:space="0"/>
            </w:tcBorders>
            <w:shd w:val="clear" w:color="auto" w:fill="auto"/>
            <w:vAlign w:val="center"/>
          </w:tcPr>
          <w:p w:rsidRPr="0025543B" w:rsidR="006B0DEF" w:rsidP="006B0DEF" w:rsidRDefault="00821795" w14:paraId="1B2D9EA2" w14:textId="732C05A4">
            <w:pPr>
              <w:widowControl/>
              <w:jc w:val="center"/>
              <w:rPr>
                <w:rFonts w:ascii="Calibri" w:hAnsi="Calibri" w:eastAsia="Calibri" w:cs="Calibri"/>
                <w:i/>
                <w:color w:val="000000"/>
                <w:sz w:val="18"/>
                <w:szCs w:val="18"/>
              </w:rPr>
            </w:pPr>
            <w:r>
              <w:rPr>
                <w:rFonts w:ascii="Calibri" w:hAnsi="Calibri" w:eastAsia="Calibri" w:cs="Calibri"/>
                <w:i/>
                <w:color w:val="000000"/>
                <w:sz w:val="18"/>
                <w:szCs w:val="18"/>
              </w:rPr>
              <w:t>Vessel owner</w:t>
            </w:r>
            <w:r w:rsidR="00AC1794">
              <w:rPr>
                <w:rFonts w:ascii="Calibri" w:hAnsi="Calibri" w:eastAsia="Calibri" w:cs="Calibri"/>
                <w:i/>
                <w:color w:val="000000"/>
                <w:sz w:val="18"/>
                <w:szCs w:val="18"/>
              </w:rPr>
              <w:t>s</w:t>
            </w:r>
          </w:p>
        </w:tc>
        <w:tc>
          <w:tcPr>
            <w:tcW w:w="1170" w:type="dxa"/>
            <w:tcBorders>
              <w:top w:val="dotted" w:color="000000" w:sz="4" w:space="0"/>
              <w:left w:val="nil"/>
              <w:bottom w:val="double" w:color="000000" w:sz="4" w:space="0"/>
              <w:right w:val="single" w:color="000000" w:sz="4" w:space="0"/>
            </w:tcBorders>
            <w:shd w:val="clear" w:color="auto" w:fill="auto"/>
            <w:vAlign w:val="center"/>
          </w:tcPr>
          <w:p w:rsidRPr="00D53C14" w:rsidR="006B0DEF" w:rsidP="006B0DEF" w:rsidRDefault="006B0DEF" w14:paraId="402B7C0D" w14:textId="2D2D5AD7">
            <w:pPr>
              <w:widowControl/>
              <w:jc w:val="center"/>
              <w:rPr>
                <w:rFonts w:ascii="Calibri" w:hAnsi="Calibri" w:eastAsia="Calibri" w:cs="Calibri"/>
                <w:i/>
                <w:color w:val="000000"/>
                <w:sz w:val="18"/>
                <w:szCs w:val="18"/>
              </w:rPr>
            </w:pPr>
            <w:r w:rsidRPr="00D53C14">
              <w:rPr>
                <w:rFonts w:ascii="Calibri" w:hAnsi="Calibri" w:eastAsia="Calibri" w:cs="Calibri"/>
                <w:i/>
                <w:color w:val="000000"/>
                <w:sz w:val="18"/>
                <w:szCs w:val="18"/>
              </w:rPr>
              <w:t>2</w:t>
            </w:r>
          </w:p>
        </w:tc>
        <w:tc>
          <w:tcPr>
            <w:tcW w:w="1080" w:type="dxa"/>
            <w:tcBorders>
              <w:top w:val="dotted" w:color="000000" w:sz="4" w:space="0"/>
              <w:left w:val="nil"/>
              <w:bottom w:val="double" w:color="000000" w:sz="4" w:space="0"/>
              <w:right w:val="single" w:color="000000" w:sz="4" w:space="0"/>
            </w:tcBorders>
            <w:shd w:val="clear" w:color="auto" w:fill="auto"/>
            <w:vAlign w:val="center"/>
          </w:tcPr>
          <w:p w:rsidRPr="0025543B" w:rsidR="006B0DEF" w:rsidP="006B0DEF" w:rsidRDefault="006B0DEF" w14:paraId="5F42D856" w14:textId="0720E36D">
            <w:pPr>
              <w:widowControl/>
              <w:jc w:val="center"/>
              <w:rPr>
                <w:rFonts w:ascii="Calibri" w:hAnsi="Calibri" w:eastAsia="Calibri" w:cs="Calibri"/>
                <w:i/>
                <w:color w:val="000000"/>
                <w:sz w:val="18"/>
                <w:szCs w:val="18"/>
              </w:rPr>
            </w:pPr>
            <w:r w:rsidRPr="0025543B">
              <w:rPr>
                <w:rFonts w:ascii="Calibri" w:hAnsi="Calibri" w:eastAsia="Calibri" w:cs="Calibri"/>
                <w:i/>
                <w:color w:val="000000"/>
                <w:sz w:val="18"/>
                <w:szCs w:val="18"/>
              </w:rPr>
              <w:t>1</w:t>
            </w:r>
          </w:p>
        </w:tc>
        <w:tc>
          <w:tcPr>
            <w:tcW w:w="1123" w:type="dxa"/>
            <w:tcBorders>
              <w:top w:val="dotted" w:color="000000" w:sz="4" w:space="0"/>
              <w:left w:val="nil"/>
              <w:bottom w:val="double" w:color="000000" w:sz="4" w:space="0"/>
              <w:right w:val="single" w:color="000000" w:sz="4" w:space="0"/>
            </w:tcBorders>
            <w:shd w:val="clear" w:color="auto" w:fill="auto"/>
            <w:vAlign w:val="center"/>
          </w:tcPr>
          <w:p w:rsidRPr="0025543B" w:rsidR="006B0DEF" w:rsidP="006B0DEF" w:rsidRDefault="006B0DEF" w14:paraId="22723E60" w14:textId="60482FDF">
            <w:pPr>
              <w:widowControl/>
              <w:jc w:val="center"/>
              <w:rPr>
                <w:rFonts w:ascii="Calibri" w:hAnsi="Calibri" w:eastAsia="Calibri" w:cs="Calibri"/>
                <w:i/>
                <w:color w:val="000000"/>
                <w:sz w:val="18"/>
                <w:szCs w:val="18"/>
              </w:rPr>
            </w:pPr>
            <w:r w:rsidRPr="0025543B">
              <w:rPr>
                <w:rFonts w:ascii="Calibri" w:hAnsi="Calibri" w:eastAsia="Calibri" w:cs="Calibri"/>
                <w:i/>
                <w:color w:val="000000"/>
                <w:sz w:val="18"/>
                <w:szCs w:val="18"/>
              </w:rPr>
              <w:t>2</w:t>
            </w:r>
          </w:p>
        </w:tc>
        <w:tc>
          <w:tcPr>
            <w:tcW w:w="1307" w:type="dxa"/>
            <w:tcBorders>
              <w:top w:val="dotted" w:color="000000" w:sz="4" w:space="0"/>
              <w:left w:val="nil"/>
              <w:bottom w:val="double" w:color="000000" w:sz="4" w:space="0"/>
              <w:right w:val="single" w:color="000000" w:sz="4" w:space="0"/>
            </w:tcBorders>
            <w:shd w:val="clear" w:color="auto" w:fill="auto"/>
            <w:vAlign w:val="center"/>
          </w:tcPr>
          <w:p w:rsidRPr="0025543B" w:rsidR="006B0DEF" w:rsidP="006B0DEF" w:rsidRDefault="006B0DEF" w14:paraId="13CFA844" w14:textId="4A5FFCEF">
            <w:pPr>
              <w:widowControl/>
              <w:jc w:val="center"/>
              <w:rPr>
                <w:rFonts w:eastAsia="Calibri" w:asciiTheme="minorHAnsi" w:hAnsiTheme="minorHAnsi" w:cstheme="minorHAnsi"/>
                <w:i/>
                <w:color w:val="000000"/>
                <w:sz w:val="18"/>
                <w:szCs w:val="18"/>
              </w:rPr>
            </w:pPr>
            <w:r w:rsidRPr="0025543B">
              <w:rPr>
                <w:rFonts w:ascii="Calibri" w:hAnsi="Calibri" w:eastAsia="Calibri" w:cs="Calibri"/>
                <w:i/>
                <w:color w:val="000000"/>
                <w:sz w:val="18"/>
                <w:szCs w:val="18"/>
              </w:rPr>
              <w:t>1 min.</w:t>
            </w:r>
          </w:p>
        </w:tc>
        <w:tc>
          <w:tcPr>
            <w:tcW w:w="1170" w:type="dxa"/>
            <w:tcBorders>
              <w:top w:val="dotted" w:color="000000" w:sz="4" w:space="0"/>
              <w:left w:val="nil"/>
              <w:bottom w:val="double" w:color="000000" w:sz="4" w:space="0"/>
              <w:right w:val="single" w:color="000000" w:sz="4" w:space="0"/>
            </w:tcBorders>
            <w:shd w:val="clear" w:color="auto" w:fill="auto"/>
            <w:vAlign w:val="center"/>
          </w:tcPr>
          <w:p w:rsidRPr="0025543B" w:rsidR="006B0DEF" w:rsidP="006B0DEF" w:rsidRDefault="006B0DEF" w14:paraId="207705CE" w14:textId="438578D3">
            <w:pPr>
              <w:widowControl/>
              <w:jc w:val="center"/>
              <w:rPr>
                <w:rFonts w:ascii="Calibri" w:hAnsi="Calibri" w:eastAsia="Calibri" w:cs="Calibri"/>
                <w:i/>
                <w:color w:val="000000"/>
                <w:sz w:val="18"/>
                <w:szCs w:val="18"/>
              </w:rPr>
            </w:pPr>
            <w:r w:rsidRPr="0025543B">
              <w:rPr>
                <w:rFonts w:ascii="Calibri" w:hAnsi="Calibri" w:eastAsia="Calibri" w:cs="Calibri"/>
                <w:i/>
                <w:color w:val="000000"/>
                <w:sz w:val="18"/>
                <w:szCs w:val="18"/>
              </w:rPr>
              <w:t>2 min.</w:t>
            </w:r>
          </w:p>
        </w:tc>
        <w:tc>
          <w:tcPr>
            <w:tcW w:w="1080" w:type="dxa"/>
            <w:tcBorders>
              <w:top w:val="dotted" w:color="000000" w:sz="4" w:space="0"/>
              <w:left w:val="nil"/>
              <w:bottom w:val="double" w:color="000000" w:sz="4" w:space="0"/>
              <w:right w:val="single" w:color="000000" w:sz="4" w:space="0"/>
            </w:tcBorders>
            <w:shd w:val="clear" w:color="auto" w:fill="auto"/>
            <w:vAlign w:val="center"/>
          </w:tcPr>
          <w:p w:rsidRPr="0025543B" w:rsidR="006B0DEF" w:rsidP="006B0DEF" w:rsidRDefault="009E015E" w14:paraId="11268628" w14:textId="315FE0A9">
            <w:pPr>
              <w:widowControl/>
              <w:jc w:val="center"/>
              <w:rPr>
                <w:rFonts w:ascii="Calibri" w:hAnsi="Calibri" w:eastAsia="Calibri" w:cs="Calibri"/>
                <w:i/>
                <w:color w:val="000000"/>
                <w:sz w:val="18"/>
                <w:szCs w:val="18"/>
              </w:rPr>
            </w:pPr>
            <w:r>
              <w:rPr>
                <w:rFonts w:ascii="Calibri" w:hAnsi="Calibri" w:eastAsia="Calibri" w:cs="Calibri"/>
                <w:i/>
                <w:color w:val="000000"/>
                <w:sz w:val="18"/>
                <w:szCs w:val="18"/>
              </w:rPr>
              <w:t>27.43</w:t>
            </w:r>
          </w:p>
        </w:tc>
        <w:tc>
          <w:tcPr>
            <w:tcW w:w="1080" w:type="dxa"/>
            <w:tcBorders>
              <w:top w:val="dotted" w:color="000000" w:sz="4" w:space="0"/>
              <w:left w:val="nil"/>
              <w:bottom w:val="double" w:color="000000" w:sz="4" w:space="0"/>
              <w:right w:val="single" w:color="000000" w:sz="8" w:space="0"/>
            </w:tcBorders>
            <w:shd w:val="clear" w:color="auto" w:fill="auto"/>
            <w:vAlign w:val="center"/>
          </w:tcPr>
          <w:p w:rsidRPr="0025543B" w:rsidR="006B0DEF" w:rsidP="006B0DEF" w:rsidRDefault="007D09CB" w14:paraId="0DF5699A" w14:textId="6C1E9018">
            <w:pPr>
              <w:widowControl/>
              <w:jc w:val="center"/>
              <w:rPr>
                <w:rFonts w:ascii="Calibri" w:hAnsi="Calibri" w:eastAsia="Calibri" w:cs="Calibri"/>
                <w:i/>
                <w:color w:val="000000"/>
                <w:sz w:val="18"/>
                <w:szCs w:val="18"/>
              </w:rPr>
            </w:pPr>
            <w:r>
              <w:rPr>
                <w:rFonts w:ascii="Calibri" w:hAnsi="Calibri" w:eastAsia="Calibri" w:cs="Calibri"/>
                <w:i/>
                <w:color w:val="000000"/>
                <w:sz w:val="18"/>
                <w:szCs w:val="18"/>
              </w:rPr>
              <w:t>1</w:t>
            </w:r>
          </w:p>
        </w:tc>
      </w:tr>
      <w:tr w:rsidRPr="00C0319B" w:rsidR="00120FEB" w:rsidTr="00062DB2" w14:paraId="3124FE04" w14:textId="77777777">
        <w:trPr>
          <w:trHeight w:val="501"/>
        </w:trPr>
        <w:tc>
          <w:tcPr>
            <w:tcW w:w="3075" w:type="dxa"/>
            <w:tcBorders>
              <w:top w:val="double" w:color="000000" w:sz="4" w:space="0"/>
              <w:left w:val="single" w:color="000000" w:sz="8" w:space="0"/>
              <w:bottom w:val="single" w:color="000000" w:sz="18" w:space="0"/>
              <w:right w:val="single" w:color="000000" w:sz="4" w:space="0"/>
            </w:tcBorders>
            <w:shd w:val="clear" w:color="auto" w:fill="auto"/>
            <w:vAlign w:val="center"/>
          </w:tcPr>
          <w:p w:rsidRPr="003E374E" w:rsidR="00120FEB" w:rsidP="00062DB2" w:rsidRDefault="00120FEB" w14:paraId="6ED48B51" w14:textId="359843A0">
            <w:pPr>
              <w:widowControl/>
              <w:rPr>
                <w:rFonts w:asciiTheme="minorHAnsi" w:hAnsiTheme="minorHAnsi" w:cstheme="minorHAnsi"/>
                <w:sz w:val="20"/>
                <w:szCs w:val="20"/>
              </w:rPr>
            </w:pPr>
            <w:r w:rsidRPr="003E374E">
              <w:rPr>
                <w:rFonts w:asciiTheme="minorHAnsi" w:hAnsiTheme="minorHAnsi" w:cstheme="minorHAnsi"/>
                <w:sz w:val="20"/>
                <w:szCs w:val="20"/>
              </w:rPr>
              <w:t>Volume and Value Reports Total</w:t>
            </w:r>
          </w:p>
        </w:tc>
        <w:tc>
          <w:tcPr>
            <w:tcW w:w="2070" w:type="dxa"/>
            <w:tcBorders>
              <w:top w:val="double" w:color="000000" w:sz="4" w:space="0"/>
              <w:left w:val="nil"/>
              <w:bottom w:val="single" w:color="000000" w:sz="18" w:space="0"/>
              <w:right w:val="single" w:color="000000" w:sz="4" w:space="0"/>
            </w:tcBorders>
            <w:shd w:val="clear" w:color="auto" w:fill="auto"/>
            <w:vAlign w:val="center"/>
          </w:tcPr>
          <w:p w:rsidRPr="003E374E" w:rsidR="00120FEB" w:rsidP="00F17AF4" w:rsidRDefault="00424973" w14:paraId="6AF19C2F" w14:textId="0E92C959">
            <w:pPr>
              <w:widowControl/>
              <w:jc w:val="center"/>
              <w:rPr>
                <w:rFonts w:ascii="Calibri" w:hAnsi="Calibri" w:eastAsia="Calibri" w:cs="Calibri"/>
                <w:color w:val="000000"/>
                <w:sz w:val="20"/>
                <w:szCs w:val="20"/>
              </w:rPr>
            </w:pPr>
            <w:r w:rsidRPr="003E374E">
              <w:rPr>
                <w:rFonts w:ascii="Calibri" w:hAnsi="Calibri" w:eastAsia="Calibri" w:cs="Calibri"/>
                <w:color w:val="000000"/>
                <w:sz w:val="20"/>
                <w:szCs w:val="20"/>
              </w:rPr>
              <w:t>—</w:t>
            </w:r>
          </w:p>
        </w:tc>
        <w:tc>
          <w:tcPr>
            <w:tcW w:w="1170" w:type="dxa"/>
            <w:tcBorders>
              <w:top w:val="double" w:color="000000" w:sz="4" w:space="0"/>
              <w:left w:val="nil"/>
              <w:bottom w:val="single" w:color="000000" w:sz="18" w:space="0"/>
              <w:right w:val="single" w:color="000000" w:sz="4" w:space="0"/>
            </w:tcBorders>
            <w:shd w:val="clear" w:color="auto" w:fill="auto"/>
            <w:vAlign w:val="center"/>
          </w:tcPr>
          <w:p w:rsidRPr="003E374E" w:rsidR="00120FEB" w:rsidP="006C4729" w:rsidRDefault="00BE4625" w14:paraId="5201975B" w14:textId="783F6228">
            <w:pPr>
              <w:widowControl/>
              <w:jc w:val="center"/>
              <w:rPr>
                <w:rFonts w:ascii="Calibri" w:hAnsi="Calibri" w:eastAsia="Calibri" w:cs="Calibri"/>
                <w:color w:val="000000"/>
                <w:sz w:val="20"/>
                <w:szCs w:val="20"/>
              </w:rPr>
            </w:pPr>
            <w:r w:rsidRPr="003E374E">
              <w:rPr>
                <w:rFonts w:ascii="Calibri" w:hAnsi="Calibri" w:eastAsia="Calibri" w:cs="Calibri"/>
                <w:color w:val="000000"/>
                <w:sz w:val="20"/>
                <w:szCs w:val="20"/>
              </w:rPr>
              <w:t>113</w:t>
            </w:r>
          </w:p>
        </w:tc>
        <w:tc>
          <w:tcPr>
            <w:tcW w:w="1080" w:type="dxa"/>
            <w:tcBorders>
              <w:top w:val="double" w:color="000000" w:sz="4" w:space="0"/>
              <w:left w:val="nil"/>
              <w:bottom w:val="single" w:color="000000" w:sz="18" w:space="0"/>
              <w:right w:val="single" w:color="000000" w:sz="4" w:space="0"/>
            </w:tcBorders>
            <w:shd w:val="clear" w:color="auto" w:fill="auto"/>
            <w:vAlign w:val="center"/>
          </w:tcPr>
          <w:p w:rsidRPr="003E374E" w:rsidR="00120FEB" w:rsidP="006C4729" w:rsidRDefault="00424973" w14:paraId="221867A2" w14:textId="573FD48A">
            <w:pPr>
              <w:widowControl/>
              <w:jc w:val="center"/>
              <w:rPr>
                <w:rFonts w:ascii="Calibri" w:hAnsi="Calibri" w:eastAsia="Calibri" w:cs="Calibri"/>
                <w:color w:val="000000"/>
                <w:sz w:val="20"/>
                <w:szCs w:val="20"/>
              </w:rPr>
            </w:pPr>
            <w:r w:rsidRPr="003E374E">
              <w:rPr>
                <w:rFonts w:ascii="Calibri" w:hAnsi="Calibri" w:eastAsia="Calibri" w:cs="Calibri"/>
                <w:color w:val="000000"/>
                <w:sz w:val="20"/>
                <w:szCs w:val="20"/>
              </w:rPr>
              <w:t>—</w:t>
            </w:r>
          </w:p>
        </w:tc>
        <w:tc>
          <w:tcPr>
            <w:tcW w:w="1123" w:type="dxa"/>
            <w:tcBorders>
              <w:top w:val="double" w:color="000000" w:sz="4" w:space="0"/>
              <w:left w:val="nil"/>
              <w:bottom w:val="single" w:color="000000" w:sz="18" w:space="0"/>
              <w:right w:val="single" w:color="000000" w:sz="4" w:space="0"/>
            </w:tcBorders>
            <w:shd w:val="clear" w:color="auto" w:fill="auto"/>
            <w:vAlign w:val="center"/>
          </w:tcPr>
          <w:p w:rsidRPr="003E374E" w:rsidR="00120FEB" w:rsidP="006C4729" w:rsidRDefault="004760CF" w14:paraId="1D4C8912" w14:textId="00A15A24">
            <w:pPr>
              <w:widowControl/>
              <w:jc w:val="center"/>
              <w:rPr>
                <w:rFonts w:ascii="Calibri" w:hAnsi="Calibri" w:eastAsia="Calibri" w:cs="Calibri"/>
                <w:color w:val="000000"/>
                <w:sz w:val="20"/>
                <w:szCs w:val="20"/>
              </w:rPr>
            </w:pPr>
            <w:r w:rsidRPr="003E374E">
              <w:rPr>
                <w:rFonts w:ascii="Calibri" w:hAnsi="Calibri" w:eastAsia="Calibri" w:cs="Calibri"/>
                <w:color w:val="000000"/>
                <w:sz w:val="20"/>
                <w:szCs w:val="20"/>
              </w:rPr>
              <w:t>113</w:t>
            </w:r>
          </w:p>
        </w:tc>
        <w:tc>
          <w:tcPr>
            <w:tcW w:w="1307" w:type="dxa"/>
            <w:tcBorders>
              <w:top w:val="double" w:color="000000" w:sz="4" w:space="0"/>
              <w:left w:val="nil"/>
              <w:bottom w:val="single" w:color="000000" w:sz="18" w:space="0"/>
              <w:right w:val="single" w:color="000000" w:sz="4" w:space="0"/>
            </w:tcBorders>
            <w:shd w:val="clear" w:color="auto" w:fill="auto"/>
            <w:vAlign w:val="center"/>
          </w:tcPr>
          <w:p w:rsidRPr="003E374E" w:rsidR="00120FEB" w:rsidP="00F17AF4" w:rsidRDefault="00424973" w14:paraId="1C333B80" w14:textId="1E572E69">
            <w:pPr>
              <w:widowControl/>
              <w:jc w:val="center"/>
              <w:rPr>
                <w:rFonts w:ascii="Calibri" w:hAnsi="Calibri" w:eastAsia="Calibri" w:cs="Calibri"/>
                <w:color w:val="000000"/>
                <w:sz w:val="20"/>
                <w:szCs w:val="20"/>
              </w:rPr>
            </w:pPr>
            <w:r w:rsidRPr="003E374E">
              <w:rPr>
                <w:rFonts w:ascii="Calibri" w:hAnsi="Calibri" w:eastAsia="Calibri" w:cs="Calibri"/>
                <w:color w:val="000000"/>
                <w:sz w:val="20"/>
                <w:szCs w:val="20"/>
              </w:rPr>
              <w:t>—</w:t>
            </w:r>
          </w:p>
        </w:tc>
        <w:tc>
          <w:tcPr>
            <w:tcW w:w="1170" w:type="dxa"/>
            <w:tcBorders>
              <w:top w:val="double" w:color="000000" w:sz="4" w:space="0"/>
              <w:left w:val="nil"/>
              <w:bottom w:val="single" w:color="000000" w:sz="18" w:space="0"/>
              <w:right w:val="single" w:color="000000" w:sz="4" w:space="0"/>
            </w:tcBorders>
            <w:shd w:val="clear" w:color="auto" w:fill="auto"/>
            <w:vAlign w:val="center"/>
          </w:tcPr>
          <w:p w:rsidRPr="003E374E" w:rsidR="00120FEB" w:rsidP="006C4729" w:rsidRDefault="004760CF" w14:paraId="747E6DAC" w14:textId="3AD49257">
            <w:pPr>
              <w:widowControl/>
              <w:jc w:val="center"/>
              <w:rPr>
                <w:rFonts w:ascii="Calibri" w:hAnsi="Calibri" w:eastAsia="Calibri" w:cs="Calibri"/>
                <w:color w:val="000000"/>
                <w:sz w:val="20"/>
                <w:szCs w:val="20"/>
              </w:rPr>
            </w:pPr>
            <w:r w:rsidRPr="003E374E">
              <w:rPr>
                <w:rFonts w:ascii="Calibri" w:hAnsi="Calibri" w:eastAsia="Calibri" w:cs="Calibri"/>
                <w:color w:val="000000"/>
                <w:sz w:val="20"/>
                <w:szCs w:val="20"/>
              </w:rPr>
              <w:t xml:space="preserve">12 </w:t>
            </w:r>
            <w:proofErr w:type="spellStart"/>
            <w:r w:rsidRPr="003E374E">
              <w:rPr>
                <w:rFonts w:ascii="Calibri" w:hAnsi="Calibri" w:eastAsia="Calibri" w:cs="Calibri"/>
                <w:color w:val="000000"/>
                <w:sz w:val="20"/>
                <w:szCs w:val="20"/>
              </w:rPr>
              <w:t>hrs</w:t>
            </w:r>
            <w:proofErr w:type="spellEnd"/>
          </w:p>
        </w:tc>
        <w:tc>
          <w:tcPr>
            <w:tcW w:w="1080" w:type="dxa"/>
            <w:tcBorders>
              <w:top w:val="double" w:color="000000" w:sz="4" w:space="0"/>
              <w:left w:val="nil"/>
              <w:bottom w:val="single" w:color="000000" w:sz="18" w:space="0"/>
              <w:right w:val="single" w:color="000000" w:sz="4" w:space="0"/>
            </w:tcBorders>
            <w:shd w:val="clear" w:color="auto" w:fill="auto"/>
            <w:vAlign w:val="center"/>
          </w:tcPr>
          <w:p w:rsidRPr="003E374E" w:rsidR="00120FEB" w:rsidP="006C4729" w:rsidRDefault="00424973" w14:paraId="314246F6" w14:textId="6A4D5B1A">
            <w:pPr>
              <w:widowControl/>
              <w:jc w:val="center"/>
              <w:rPr>
                <w:rFonts w:ascii="Calibri" w:hAnsi="Calibri" w:eastAsia="Calibri" w:cs="Calibri"/>
                <w:color w:val="000000"/>
                <w:sz w:val="20"/>
                <w:szCs w:val="20"/>
              </w:rPr>
            </w:pPr>
            <w:r w:rsidRPr="003E374E">
              <w:rPr>
                <w:rFonts w:ascii="Calibri" w:hAnsi="Calibri" w:eastAsia="Calibri" w:cs="Calibri"/>
                <w:color w:val="000000"/>
                <w:sz w:val="20"/>
                <w:szCs w:val="20"/>
              </w:rPr>
              <w:t>—</w:t>
            </w:r>
          </w:p>
        </w:tc>
        <w:tc>
          <w:tcPr>
            <w:tcW w:w="1080" w:type="dxa"/>
            <w:tcBorders>
              <w:top w:val="double" w:color="000000" w:sz="4" w:space="0"/>
              <w:left w:val="nil"/>
              <w:bottom w:val="single" w:color="000000" w:sz="18" w:space="0"/>
              <w:right w:val="single" w:color="000000" w:sz="8" w:space="0"/>
            </w:tcBorders>
            <w:shd w:val="clear" w:color="auto" w:fill="auto"/>
            <w:vAlign w:val="center"/>
          </w:tcPr>
          <w:p w:rsidRPr="003E374E" w:rsidR="00120FEB" w:rsidP="006C4729" w:rsidRDefault="007D09CB" w14:paraId="56A91F5C" w14:textId="370FC86F">
            <w:pPr>
              <w:widowControl/>
              <w:jc w:val="center"/>
              <w:rPr>
                <w:rFonts w:ascii="Calibri" w:hAnsi="Calibri" w:eastAsia="Calibri" w:cs="Calibri"/>
                <w:color w:val="000000"/>
                <w:sz w:val="20"/>
                <w:szCs w:val="20"/>
              </w:rPr>
            </w:pPr>
            <w:r>
              <w:rPr>
                <w:rFonts w:ascii="Calibri" w:hAnsi="Calibri" w:eastAsia="Calibri" w:cs="Calibri"/>
                <w:color w:val="000000"/>
                <w:sz w:val="20"/>
                <w:szCs w:val="20"/>
              </w:rPr>
              <w:t>$322</w:t>
            </w:r>
          </w:p>
        </w:tc>
      </w:tr>
      <w:tr w:rsidRPr="00C0319B" w:rsidR="00BB7C0F" w:rsidTr="00062DB2" w14:paraId="66DF399E" w14:textId="77777777">
        <w:trPr>
          <w:trHeight w:val="311"/>
        </w:trPr>
        <w:tc>
          <w:tcPr>
            <w:tcW w:w="3075" w:type="dxa"/>
            <w:tcBorders>
              <w:top w:val="single" w:color="000000" w:sz="18" w:space="0"/>
              <w:left w:val="single" w:color="000000" w:sz="8" w:space="0"/>
              <w:bottom w:val="single" w:color="000000" w:sz="18" w:space="0"/>
              <w:right w:val="single" w:color="000000" w:sz="4" w:space="0"/>
            </w:tcBorders>
            <w:shd w:val="clear" w:color="auto" w:fill="auto"/>
            <w:vAlign w:val="center"/>
          </w:tcPr>
          <w:p w:rsidRPr="00062DB2" w:rsidR="00BB7C0F" w:rsidRDefault="00B130A3" w14:paraId="42115A73" w14:textId="696639D1">
            <w:pPr>
              <w:widowControl/>
              <w:rPr>
                <w:rFonts w:ascii="Calibri" w:hAnsi="Calibri" w:eastAsia="Calibri" w:cs="Calibri"/>
                <w:color w:val="000000"/>
                <w:sz w:val="20"/>
                <w:szCs w:val="20"/>
              </w:rPr>
            </w:pPr>
            <w:r w:rsidRPr="00062DB2">
              <w:rPr>
                <w:rFonts w:ascii="Calibri" w:hAnsi="Calibri" w:eastAsia="Calibri" w:cs="Calibri"/>
                <w:color w:val="000000"/>
                <w:sz w:val="20"/>
                <w:szCs w:val="20"/>
              </w:rPr>
              <w:t>Appeals</w:t>
            </w:r>
          </w:p>
        </w:tc>
        <w:tc>
          <w:tcPr>
            <w:tcW w:w="2070" w:type="dxa"/>
            <w:tcBorders>
              <w:top w:val="single" w:color="000000" w:sz="18" w:space="0"/>
              <w:left w:val="nil"/>
              <w:bottom w:val="single" w:color="000000" w:sz="18" w:space="0"/>
              <w:right w:val="single" w:color="000000" w:sz="4" w:space="0"/>
            </w:tcBorders>
            <w:shd w:val="clear" w:color="auto" w:fill="auto"/>
            <w:vAlign w:val="center"/>
          </w:tcPr>
          <w:p w:rsidRPr="00062DB2" w:rsidR="00BB7C0F" w:rsidP="00C31E74" w:rsidRDefault="00C31E74" w14:paraId="2EC7C598" w14:textId="71853024">
            <w:pPr>
              <w:widowControl/>
              <w:jc w:val="center"/>
              <w:rPr>
                <w:rFonts w:ascii="Calibri" w:hAnsi="Calibri" w:eastAsia="Calibri" w:cs="Calibri"/>
                <w:color w:val="000000"/>
                <w:sz w:val="20"/>
                <w:szCs w:val="20"/>
              </w:rPr>
            </w:pPr>
            <w:r w:rsidRPr="00062DB2">
              <w:rPr>
                <w:rFonts w:ascii="Calibri" w:hAnsi="Calibri" w:eastAsia="Calibri" w:cs="Calibri"/>
                <w:color w:val="000000"/>
                <w:sz w:val="20"/>
                <w:szCs w:val="20"/>
              </w:rPr>
              <w:t xml:space="preserve">Permit holders; vessel or processor owners; registered buyers; registered crab receivers; representatives of CDQ groups, cooperatives, or the Aleut Corporation </w:t>
            </w:r>
          </w:p>
        </w:tc>
        <w:tc>
          <w:tcPr>
            <w:tcW w:w="1170" w:type="dxa"/>
            <w:tcBorders>
              <w:top w:val="single" w:color="000000" w:sz="18" w:space="0"/>
              <w:left w:val="nil"/>
              <w:bottom w:val="single" w:color="000000" w:sz="18" w:space="0"/>
              <w:right w:val="single" w:color="000000" w:sz="4" w:space="0"/>
            </w:tcBorders>
            <w:shd w:val="clear" w:color="auto" w:fill="auto"/>
            <w:vAlign w:val="center"/>
          </w:tcPr>
          <w:p w:rsidRPr="00062DB2" w:rsidR="00BB7C0F" w:rsidP="003D6D52" w:rsidRDefault="003D6D52" w14:paraId="40F42D90" w14:textId="6281F047">
            <w:pPr>
              <w:widowControl/>
              <w:jc w:val="center"/>
              <w:rPr>
                <w:rFonts w:ascii="Calibri" w:hAnsi="Calibri" w:eastAsia="Calibri" w:cs="Calibri"/>
                <w:color w:val="000000"/>
                <w:sz w:val="20"/>
                <w:szCs w:val="20"/>
              </w:rPr>
            </w:pPr>
            <w:r w:rsidRPr="00062DB2">
              <w:rPr>
                <w:rFonts w:ascii="Calibri" w:hAnsi="Calibri" w:eastAsia="Calibri" w:cs="Calibri"/>
                <w:color w:val="000000"/>
                <w:sz w:val="20"/>
                <w:szCs w:val="20"/>
              </w:rPr>
              <w:t>1</w:t>
            </w:r>
          </w:p>
        </w:tc>
        <w:tc>
          <w:tcPr>
            <w:tcW w:w="1080" w:type="dxa"/>
            <w:tcBorders>
              <w:top w:val="single" w:color="000000" w:sz="18" w:space="0"/>
              <w:left w:val="nil"/>
              <w:bottom w:val="single" w:color="000000" w:sz="18" w:space="0"/>
              <w:right w:val="single" w:color="000000" w:sz="4" w:space="0"/>
            </w:tcBorders>
            <w:shd w:val="clear" w:color="auto" w:fill="auto"/>
            <w:vAlign w:val="center"/>
          </w:tcPr>
          <w:p w:rsidRPr="00062DB2" w:rsidR="00BB7C0F" w:rsidP="003D6D52" w:rsidRDefault="0064680B" w14:paraId="7284C2E1" w14:textId="0A91C92D">
            <w:pPr>
              <w:widowControl/>
              <w:jc w:val="center"/>
              <w:rPr>
                <w:rFonts w:ascii="Calibri" w:hAnsi="Calibri" w:eastAsia="Calibri" w:cs="Calibri"/>
                <w:color w:val="000000"/>
                <w:sz w:val="20"/>
                <w:szCs w:val="20"/>
              </w:rPr>
            </w:pPr>
            <w:r w:rsidRPr="00062DB2">
              <w:rPr>
                <w:rFonts w:ascii="Calibri" w:hAnsi="Calibri" w:eastAsia="Calibri" w:cs="Calibri"/>
                <w:color w:val="000000"/>
                <w:sz w:val="20"/>
                <w:szCs w:val="20"/>
              </w:rPr>
              <w:t>1</w:t>
            </w:r>
          </w:p>
        </w:tc>
        <w:tc>
          <w:tcPr>
            <w:tcW w:w="1123" w:type="dxa"/>
            <w:tcBorders>
              <w:top w:val="single" w:color="000000" w:sz="18" w:space="0"/>
              <w:left w:val="nil"/>
              <w:bottom w:val="single" w:color="000000" w:sz="18" w:space="0"/>
              <w:right w:val="single" w:color="000000" w:sz="4" w:space="0"/>
            </w:tcBorders>
            <w:shd w:val="clear" w:color="auto" w:fill="auto"/>
            <w:vAlign w:val="center"/>
          </w:tcPr>
          <w:p w:rsidRPr="00062DB2" w:rsidR="00BB7C0F" w:rsidP="003D6D52" w:rsidRDefault="003D6D52" w14:paraId="6A351C36" w14:textId="37E892B0">
            <w:pPr>
              <w:widowControl/>
              <w:jc w:val="center"/>
              <w:rPr>
                <w:rFonts w:ascii="Calibri" w:hAnsi="Calibri" w:eastAsia="Calibri" w:cs="Calibri"/>
                <w:color w:val="000000"/>
                <w:sz w:val="20"/>
                <w:szCs w:val="20"/>
              </w:rPr>
            </w:pPr>
            <w:r w:rsidRPr="00062DB2">
              <w:rPr>
                <w:rFonts w:ascii="Calibri" w:hAnsi="Calibri" w:eastAsia="Calibri" w:cs="Calibri"/>
                <w:color w:val="000000"/>
                <w:sz w:val="20"/>
                <w:szCs w:val="20"/>
              </w:rPr>
              <w:t>1</w:t>
            </w:r>
          </w:p>
        </w:tc>
        <w:tc>
          <w:tcPr>
            <w:tcW w:w="1307" w:type="dxa"/>
            <w:tcBorders>
              <w:top w:val="single" w:color="000000" w:sz="18" w:space="0"/>
              <w:left w:val="nil"/>
              <w:bottom w:val="single" w:color="000000" w:sz="18" w:space="0"/>
              <w:right w:val="single" w:color="000000" w:sz="4" w:space="0"/>
            </w:tcBorders>
            <w:shd w:val="clear" w:color="auto" w:fill="auto"/>
            <w:vAlign w:val="center"/>
          </w:tcPr>
          <w:p w:rsidRPr="00062DB2" w:rsidR="00BB7C0F" w:rsidP="003D6D52" w:rsidRDefault="00860AE8" w14:paraId="128821CE" w14:textId="28D643D7">
            <w:pPr>
              <w:widowControl/>
              <w:jc w:val="center"/>
              <w:rPr>
                <w:rFonts w:ascii="Calibri" w:hAnsi="Calibri" w:eastAsia="Calibri" w:cs="Calibri"/>
                <w:color w:val="000000"/>
                <w:sz w:val="20"/>
                <w:szCs w:val="20"/>
              </w:rPr>
            </w:pPr>
            <w:r w:rsidRPr="00062DB2">
              <w:rPr>
                <w:rFonts w:ascii="Calibri" w:hAnsi="Calibri" w:eastAsia="Calibri" w:cs="Calibri"/>
                <w:color w:val="000000"/>
                <w:sz w:val="20"/>
                <w:szCs w:val="20"/>
              </w:rPr>
              <w:t xml:space="preserve">4 </w:t>
            </w:r>
            <w:proofErr w:type="spellStart"/>
            <w:r w:rsidRPr="00062DB2">
              <w:rPr>
                <w:rFonts w:ascii="Calibri" w:hAnsi="Calibri" w:eastAsia="Calibri" w:cs="Calibri"/>
                <w:color w:val="000000"/>
                <w:sz w:val="20"/>
                <w:szCs w:val="20"/>
              </w:rPr>
              <w:t>hrs</w:t>
            </w:r>
            <w:proofErr w:type="spellEnd"/>
          </w:p>
        </w:tc>
        <w:tc>
          <w:tcPr>
            <w:tcW w:w="1170" w:type="dxa"/>
            <w:tcBorders>
              <w:top w:val="single" w:color="000000" w:sz="18" w:space="0"/>
              <w:left w:val="nil"/>
              <w:bottom w:val="single" w:color="000000" w:sz="18" w:space="0"/>
              <w:right w:val="single" w:color="000000" w:sz="4" w:space="0"/>
            </w:tcBorders>
            <w:shd w:val="clear" w:color="auto" w:fill="auto"/>
            <w:vAlign w:val="center"/>
          </w:tcPr>
          <w:p w:rsidRPr="00062DB2" w:rsidR="00BB7C0F" w:rsidP="003D6D52" w:rsidRDefault="003D6D52" w14:paraId="0B859BAE" w14:textId="2A570E5C">
            <w:pPr>
              <w:widowControl/>
              <w:jc w:val="center"/>
              <w:rPr>
                <w:rFonts w:ascii="Calibri" w:hAnsi="Calibri" w:eastAsia="Calibri" w:cs="Calibri"/>
                <w:color w:val="000000"/>
                <w:sz w:val="20"/>
                <w:szCs w:val="20"/>
              </w:rPr>
            </w:pPr>
            <w:r w:rsidRPr="00062DB2">
              <w:rPr>
                <w:rFonts w:ascii="Calibri" w:hAnsi="Calibri" w:eastAsia="Calibri" w:cs="Calibri"/>
                <w:color w:val="000000"/>
                <w:sz w:val="20"/>
                <w:szCs w:val="20"/>
              </w:rPr>
              <w:t>4</w:t>
            </w:r>
            <w:r w:rsidRPr="00062DB2" w:rsidR="00877462">
              <w:rPr>
                <w:rFonts w:ascii="Calibri" w:hAnsi="Calibri" w:eastAsia="Calibri" w:cs="Calibri"/>
                <w:color w:val="000000"/>
                <w:sz w:val="20"/>
                <w:szCs w:val="20"/>
              </w:rPr>
              <w:t xml:space="preserve"> </w:t>
            </w:r>
            <w:proofErr w:type="spellStart"/>
            <w:r w:rsidRPr="00062DB2" w:rsidR="00877462">
              <w:rPr>
                <w:rFonts w:ascii="Calibri" w:hAnsi="Calibri" w:eastAsia="Calibri" w:cs="Calibri"/>
                <w:color w:val="000000"/>
                <w:sz w:val="20"/>
                <w:szCs w:val="20"/>
              </w:rPr>
              <w:t>hrs</w:t>
            </w:r>
            <w:proofErr w:type="spellEnd"/>
          </w:p>
        </w:tc>
        <w:tc>
          <w:tcPr>
            <w:tcW w:w="1080" w:type="dxa"/>
            <w:tcBorders>
              <w:top w:val="single" w:color="000000" w:sz="18" w:space="0"/>
              <w:left w:val="nil"/>
              <w:bottom w:val="single" w:color="000000" w:sz="18" w:space="0"/>
              <w:right w:val="single" w:color="000000" w:sz="4" w:space="0"/>
            </w:tcBorders>
            <w:shd w:val="clear" w:color="auto" w:fill="auto"/>
            <w:vAlign w:val="center"/>
          </w:tcPr>
          <w:p w:rsidRPr="00062DB2" w:rsidR="00BB7C0F" w:rsidP="003D6D52" w:rsidRDefault="009E015E" w14:paraId="1FB20C66" w14:textId="0386CAE8">
            <w:pPr>
              <w:widowControl/>
              <w:jc w:val="center"/>
              <w:rPr>
                <w:rFonts w:ascii="Calibri" w:hAnsi="Calibri" w:eastAsia="Calibri" w:cs="Calibri"/>
                <w:color w:val="000000"/>
                <w:sz w:val="20"/>
                <w:szCs w:val="20"/>
              </w:rPr>
            </w:pPr>
            <w:r w:rsidRPr="00062DB2">
              <w:rPr>
                <w:rFonts w:ascii="Calibri" w:hAnsi="Calibri" w:eastAsia="Calibri" w:cs="Calibri"/>
                <w:color w:val="000000"/>
                <w:sz w:val="20"/>
                <w:szCs w:val="20"/>
              </w:rPr>
              <w:t>27.43</w:t>
            </w:r>
          </w:p>
        </w:tc>
        <w:tc>
          <w:tcPr>
            <w:tcW w:w="1080" w:type="dxa"/>
            <w:tcBorders>
              <w:top w:val="single" w:color="000000" w:sz="18" w:space="0"/>
              <w:left w:val="nil"/>
              <w:bottom w:val="single" w:color="000000" w:sz="18" w:space="0"/>
              <w:right w:val="single" w:color="000000" w:sz="8" w:space="0"/>
            </w:tcBorders>
            <w:shd w:val="clear" w:color="auto" w:fill="auto"/>
            <w:vAlign w:val="center"/>
          </w:tcPr>
          <w:p w:rsidRPr="00062DB2" w:rsidR="00BB7C0F" w:rsidP="003D6D52" w:rsidRDefault="00333767" w14:paraId="0C9262A6" w14:textId="2D4D967E">
            <w:pPr>
              <w:widowControl/>
              <w:jc w:val="center"/>
              <w:rPr>
                <w:rFonts w:ascii="Calibri" w:hAnsi="Calibri" w:eastAsia="Calibri" w:cs="Calibri"/>
                <w:color w:val="000000"/>
                <w:sz w:val="20"/>
                <w:szCs w:val="20"/>
              </w:rPr>
            </w:pPr>
            <w:r>
              <w:rPr>
                <w:rFonts w:ascii="Calibri" w:hAnsi="Calibri" w:eastAsia="Calibri" w:cs="Calibri"/>
                <w:color w:val="000000"/>
                <w:sz w:val="20"/>
                <w:szCs w:val="20"/>
              </w:rPr>
              <w:t>$110</w:t>
            </w:r>
          </w:p>
        </w:tc>
      </w:tr>
      <w:tr w:rsidRPr="00062DB2" w:rsidR="00BD2A55" w:rsidTr="00062DB2" w14:paraId="28D12C5F" w14:textId="77777777">
        <w:trPr>
          <w:trHeight w:val="607"/>
        </w:trPr>
        <w:tc>
          <w:tcPr>
            <w:tcW w:w="3075" w:type="dxa"/>
            <w:tcBorders>
              <w:top w:val="single" w:color="000000" w:sz="18" w:space="0"/>
              <w:left w:val="single" w:color="000000" w:sz="8" w:space="0"/>
              <w:bottom w:val="single" w:color="000000" w:sz="8" w:space="0"/>
              <w:right w:val="single" w:color="000000" w:sz="8" w:space="0"/>
            </w:tcBorders>
            <w:shd w:val="clear" w:color="auto" w:fill="DDEBF7"/>
            <w:vAlign w:val="center"/>
          </w:tcPr>
          <w:p w:rsidRPr="00062DB2" w:rsidR="00BD2A55" w:rsidRDefault="00333FBA" w14:paraId="41DC4949" w14:textId="77777777">
            <w:pPr>
              <w:widowControl/>
              <w:rPr>
                <w:rFonts w:ascii="Calibri" w:hAnsi="Calibri" w:eastAsia="Calibri" w:cs="Calibri"/>
                <w:b/>
                <w:color w:val="000000"/>
                <w:sz w:val="20"/>
                <w:szCs w:val="20"/>
              </w:rPr>
            </w:pPr>
            <w:r w:rsidRPr="00062DB2">
              <w:rPr>
                <w:rFonts w:ascii="Calibri" w:hAnsi="Calibri" w:eastAsia="Calibri" w:cs="Calibri"/>
                <w:b/>
                <w:color w:val="000000"/>
                <w:sz w:val="20"/>
                <w:szCs w:val="20"/>
              </w:rPr>
              <w:t>Totals</w:t>
            </w:r>
          </w:p>
        </w:tc>
        <w:tc>
          <w:tcPr>
            <w:tcW w:w="2070" w:type="dxa"/>
            <w:tcBorders>
              <w:top w:val="single" w:color="000000" w:sz="18" w:space="0"/>
              <w:left w:val="nil"/>
              <w:bottom w:val="single" w:color="000000" w:sz="8" w:space="0"/>
              <w:right w:val="single" w:color="000000" w:sz="8" w:space="0"/>
            </w:tcBorders>
            <w:shd w:val="clear" w:color="auto" w:fill="000000"/>
            <w:vAlign w:val="center"/>
          </w:tcPr>
          <w:p w:rsidRPr="00062DB2" w:rsidR="00BD2A55" w:rsidRDefault="00333FBA" w14:paraId="3AF45FCE" w14:textId="77777777">
            <w:pPr>
              <w:widowControl/>
              <w:rPr>
                <w:rFonts w:ascii="Calibri" w:hAnsi="Calibri" w:eastAsia="Calibri" w:cs="Calibri"/>
                <w:b/>
                <w:color w:val="000000"/>
                <w:sz w:val="20"/>
                <w:szCs w:val="20"/>
              </w:rPr>
            </w:pPr>
            <w:r w:rsidRPr="00062DB2">
              <w:rPr>
                <w:rFonts w:ascii="Calibri" w:hAnsi="Calibri" w:eastAsia="Calibri" w:cs="Calibri"/>
                <w:b/>
                <w:color w:val="000000"/>
                <w:sz w:val="20"/>
                <w:szCs w:val="20"/>
              </w:rPr>
              <w:t> </w:t>
            </w:r>
          </w:p>
        </w:tc>
        <w:tc>
          <w:tcPr>
            <w:tcW w:w="1170" w:type="dxa"/>
            <w:tcBorders>
              <w:top w:val="single" w:color="000000" w:sz="18" w:space="0"/>
              <w:left w:val="nil"/>
              <w:bottom w:val="single" w:color="000000" w:sz="8" w:space="0"/>
              <w:right w:val="single" w:color="000000" w:sz="8" w:space="0"/>
            </w:tcBorders>
            <w:shd w:val="clear" w:color="auto" w:fill="000000"/>
            <w:vAlign w:val="center"/>
          </w:tcPr>
          <w:p w:rsidRPr="00062DB2" w:rsidR="00BD2A55" w:rsidRDefault="00333FBA" w14:paraId="4C0C41BE" w14:textId="77777777">
            <w:pPr>
              <w:widowControl/>
              <w:rPr>
                <w:rFonts w:ascii="Calibri" w:hAnsi="Calibri" w:eastAsia="Calibri" w:cs="Calibri"/>
                <w:b/>
                <w:color w:val="000000"/>
                <w:sz w:val="20"/>
                <w:szCs w:val="20"/>
              </w:rPr>
            </w:pPr>
            <w:r w:rsidRPr="00062DB2">
              <w:rPr>
                <w:rFonts w:ascii="Calibri" w:hAnsi="Calibri" w:eastAsia="Calibri" w:cs="Calibri"/>
                <w:b/>
                <w:color w:val="000000"/>
                <w:sz w:val="20"/>
                <w:szCs w:val="20"/>
              </w:rPr>
              <w:t> </w:t>
            </w:r>
          </w:p>
        </w:tc>
        <w:tc>
          <w:tcPr>
            <w:tcW w:w="1080" w:type="dxa"/>
            <w:tcBorders>
              <w:top w:val="single" w:color="000000" w:sz="18" w:space="0"/>
              <w:left w:val="nil"/>
              <w:bottom w:val="single" w:color="000000" w:sz="8" w:space="0"/>
              <w:right w:val="single" w:color="000000" w:sz="8" w:space="0"/>
            </w:tcBorders>
            <w:shd w:val="clear" w:color="auto" w:fill="000000"/>
            <w:vAlign w:val="center"/>
          </w:tcPr>
          <w:p w:rsidRPr="00062DB2" w:rsidR="00BD2A55" w:rsidRDefault="00333FBA" w14:paraId="0D43030C" w14:textId="77777777">
            <w:pPr>
              <w:widowControl/>
              <w:rPr>
                <w:rFonts w:ascii="Calibri" w:hAnsi="Calibri" w:eastAsia="Calibri" w:cs="Calibri"/>
                <w:b/>
                <w:color w:val="000000"/>
                <w:sz w:val="20"/>
                <w:szCs w:val="20"/>
              </w:rPr>
            </w:pPr>
            <w:r w:rsidRPr="00062DB2">
              <w:rPr>
                <w:rFonts w:ascii="Calibri" w:hAnsi="Calibri" w:eastAsia="Calibri" w:cs="Calibri"/>
                <w:b/>
                <w:color w:val="000000"/>
                <w:sz w:val="20"/>
                <w:szCs w:val="20"/>
              </w:rPr>
              <w:t> </w:t>
            </w:r>
          </w:p>
        </w:tc>
        <w:tc>
          <w:tcPr>
            <w:tcW w:w="1123" w:type="dxa"/>
            <w:tcBorders>
              <w:top w:val="single" w:color="000000" w:sz="18" w:space="0"/>
              <w:left w:val="nil"/>
              <w:bottom w:val="single" w:color="000000" w:sz="8" w:space="0"/>
              <w:right w:val="single" w:color="000000" w:sz="8" w:space="0"/>
            </w:tcBorders>
            <w:shd w:val="clear" w:color="auto" w:fill="DDEBF7"/>
            <w:vAlign w:val="center"/>
          </w:tcPr>
          <w:p w:rsidRPr="00062DB2" w:rsidR="00BD2A55" w:rsidP="00877462" w:rsidRDefault="00877462" w14:paraId="5ED8A1D9" w14:textId="3BC03244">
            <w:pPr>
              <w:widowControl/>
              <w:jc w:val="center"/>
              <w:rPr>
                <w:rFonts w:ascii="Calibri" w:hAnsi="Calibri" w:eastAsia="Calibri" w:cs="Calibri"/>
                <w:b/>
                <w:color w:val="000000"/>
                <w:sz w:val="20"/>
                <w:szCs w:val="20"/>
              </w:rPr>
            </w:pPr>
            <w:r w:rsidRPr="00062DB2">
              <w:rPr>
                <w:rFonts w:ascii="Calibri" w:hAnsi="Calibri" w:eastAsia="Calibri" w:cs="Calibri"/>
                <w:b/>
                <w:color w:val="000000"/>
                <w:sz w:val="20"/>
                <w:szCs w:val="20"/>
              </w:rPr>
              <w:t>1,909</w:t>
            </w:r>
          </w:p>
        </w:tc>
        <w:tc>
          <w:tcPr>
            <w:tcW w:w="1307" w:type="dxa"/>
            <w:tcBorders>
              <w:top w:val="single" w:color="000000" w:sz="18" w:space="0"/>
              <w:left w:val="nil"/>
              <w:bottom w:val="single" w:color="000000" w:sz="8" w:space="0"/>
              <w:right w:val="single" w:color="000000" w:sz="8" w:space="0"/>
            </w:tcBorders>
            <w:shd w:val="clear" w:color="auto" w:fill="000000"/>
            <w:vAlign w:val="center"/>
          </w:tcPr>
          <w:p w:rsidRPr="00062DB2" w:rsidR="00BD2A55" w:rsidRDefault="00333FBA" w14:paraId="37C5EE67" w14:textId="77777777">
            <w:pPr>
              <w:widowControl/>
              <w:rPr>
                <w:rFonts w:ascii="Calibri" w:hAnsi="Calibri" w:eastAsia="Calibri" w:cs="Calibri"/>
                <w:b/>
                <w:color w:val="000000"/>
                <w:sz w:val="20"/>
                <w:szCs w:val="20"/>
              </w:rPr>
            </w:pPr>
            <w:r w:rsidRPr="00062DB2">
              <w:rPr>
                <w:rFonts w:ascii="Calibri" w:hAnsi="Calibri" w:eastAsia="Calibri" w:cs="Calibri"/>
                <w:b/>
                <w:color w:val="000000"/>
                <w:sz w:val="20"/>
                <w:szCs w:val="20"/>
              </w:rPr>
              <w:t> </w:t>
            </w:r>
          </w:p>
        </w:tc>
        <w:tc>
          <w:tcPr>
            <w:tcW w:w="1170" w:type="dxa"/>
            <w:tcBorders>
              <w:top w:val="single" w:color="000000" w:sz="18" w:space="0"/>
              <w:left w:val="nil"/>
              <w:bottom w:val="single" w:color="000000" w:sz="8" w:space="0"/>
              <w:right w:val="single" w:color="000000" w:sz="8" w:space="0"/>
            </w:tcBorders>
            <w:shd w:val="clear" w:color="auto" w:fill="DDEBF7"/>
            <w:vAlign w:val="center"/>
          </w:tcPr>
          <w:p w:rsidRPr="00062DB2" w:rsidR="00BD2A55" w:rsidP="00E13FE4" w:rsidRDefault="00066A44" w14:paraId="3F57C6D3" w14:textId="4B5B5F9A">
            <w:pPr>
              <w:widowControl/>
              <w:jc w:val="center"/>
              <w:rPr>
                <w:rFonts w:ascii="Calibri" w:hAnsi="Calibri" w:eastAsia="Calibri" w:cs="Calibri"/>
                <w:b/>
                <w:color w:val="000000"/>
                <w:sz w:val="20"/>
                <w:szCs w:val="20"/>
              </w:rPr>
            </w:pPr>
            <w:r w:rsidRPr="00062DB2">
              <w:rPr>
                <w:rFonts w:ascii="Calibri" w:hAnsi="Calibri" w:eastAsia="Calibri" w:cs="Calibri"/>
                <w:b/>
                <w:color w:val="000000"/>
                <w:sz w:val="20"/>
                <w:szCs w:val="20"/>
              </w:rPr>
              <w:t>82</w:t>
            </w:r>
          </w:p>
        </w:tc>
        <w:tc>
          <w:tcPr>
            <w:tcW w:w="1080" w:type="dxa"/>
            <w:tcBorders>
              <w:top w:val="single" w:color="000000" w:sz="18" w:space="0"/>
              <w:left w:val="nil"/>
              <w:bottom w:val="single" w:color="000000" w:sz="8" w:space="0"/>
              <w:right w:val="single" w:color="000000" w:sz="8" w:space="0"/>
            </w:tcBorders>
            <w:shd w:val="clear" w:color="auto" w:fill="000000"/>
            <w:vAlign w:val="center"/>
          </w:tcPr>
          <w:p w:rsidRPr="00062DB2" w:rsidR="00BD2A55" w:rsidRDefault="00333FBA" w14:paraId="25736B97" w14:textId="77777777">
            <w:pPr>
              <w:widowControl/>
              <w:rPr>
                <w:rFonts w:ascii="Calibri" w:hAnsi="Calibri" w:eastAsia="Calibri" w:cs="Calibri"/>
                <w:b/>
                <w:color w:val="000000"/>
                <w:sz w:val="20"/>
                <w:szCs w:val="20"/>
              </w:rPr>
            </w:pPr>
            <w:r w:rsidRPr="00062DB2">
              <w:rPr>
                <w:rFonts w:ascii="Calibri" w:hAnsi="Calibri" w:eastAsia="Calibri" w:cs="Calibri"/>
                <w:b/>
                <w:color w:val="000000"/>
                <w:sz w:val="20"/>
                <w:szCs w:val="20"/>
              </w:rPr>
              <w:t> </w:t>
            </w:r>
          </w:p>
        </w:tc>
        <w:tc>
          <w:tcPr>
            <w:tcW w:w="1080" w:type="dxa"/>
            <w:tcBorders>
              <w:top w:val="single" w:color="000000" w:sz="18" w:space="0"/>
              <w:left w:val="nil"/>
              <w:bottom w:val="single" w:color="000000" w:sz="8" w:space="0"/>
              <w:right w:val="single" w:color="000000" w:sz="8" w:space="0"/>
            </w:tcBorders>
            <w:shd w:val="clear" w:color="auto" w:fill="DDEBF7"/>
            <w:vAlign w:val="center"/>
          </w:tcPr>
          <w:p w:rsidRPr="00062DB2" w:rsidR="00BD2A55" w:rsidP="00333767" w:rsidRDefault="00333FBA" w14:paraId="57F338A6" w14:textId="542C285D">
            <w:pPr>
              <w:widowControl/>
              <w:rPr>
                <w:rFonts w:ascii="Calibri" w:hAnsi="Calibri" w:eastAsia="Calibri" w:cs="Calibri"/>
                <w:b/>
                <w:color w:val="000000"/>
                <w:sz w:val="20"/>
                <w:szCs w:val="20"/>
              </w:rPr>
            </w:pPr>
            <w:r w:rsidRPr="00062DB2">
              <w:rPr>
                <w:rFonts w:ascii="Calibri" w:hAnsi="Calibri" w:eastAsia="Calibri" w:cs="Calibri"/>
                <w:b/>
                <w:color w:val="000000"/>
                <w:sz w:val="20"/>
                <w:szCs w:val="20"/>
              </w:rPr>
              <w:t> </w:t>
            </w:r>
            <w:r w:rsidR="00333767">
              <w:rPr>
                <w:rFonts w:ascii="Calibri" w:hAnsi="Calibri" w:eastAsia="Calibri" w:cs="Calibri"/>
                <w:b/>
                <w:color w:val="000000"/>
                <w:sz w:val="20"/>
                <w:szCs w:val="20"/>
              </w:rPr>
              <w:t>$2,576</w:t>
            </w:r>
          </w:p>
        </w:tc>
      </w:tr>
    </w:tbl>
    <w:p w:rsidRPr="009E015E" w:rsidR="00B1471A" w:rsidP="008C6036" w:rsidRDefault="00B1471A" w14:paraId="376692EA" w14:textId="05CC5CEC">
      <w:pPr>
        <w:spacing w:before="60"/>
        <w:ind w:left="130" w:hanging="130"/>
        <w:rPr>
          <w:rFonts w:asciiTheme="minorHAnsi" w:hAnsiTheme="minorHAnsi" w:cstheme="minorHAnsi"/>
          <w:sz w:val="20"/>
          <w:szCs w:val="20"/>
        </w:rPr>
      </w:pPr>
      <w:r w:rsidRPr="00B1471A">
        <w:rPr>
          <w:rFonts w:asciiTheme="minorHAnsi" w:hAnsiTheme="minorHAnsi" w:cstheme="minorHAnsi"/>
          <w:sz w:val="20"/>
          <w:szCs w:val="20"/>
          <w:vertAlign w:val="superscript"/>
        </w:rPr>
        <w:t>1</w:t>
      </w:r>
      <w:r>
        <w:rPr>
          <w:rFonts w:asciiTheme="minorHAnsi" w:hAnsiTheme="minorHAnsi" w:cstheme="minorHAnsi"/>
          <w:sz w:val="20"/>
          <w:szCs w:val="20"/>
        </w:rPr>
        <w:t xml:space="preserve"> The wage rate used is an average of </w:t>
      </w:r>
      <w:r w:rsidR="00131874">
        <w:rPr>
          <w:rFonts w:asciiTheme="minorHAnsi" w:hAnsiTheme="minorHAnsi" w:cstheme="minorHAnsi"/>
          <w:sz w:val="20"/>
          <w:szCs w:val="20"/>
        </w:rPr>
        <w:t>$27.43</w:t>
      </w:r>
      <w:r w:rsidR="00132021">
        <w:rPr>
          <w:rFonts w:asciiTheme="minorHAnsi" w:hAnsiTheme="minorHAnsi" w:cstheme="minorHAnsi"/>
          <w:sz w:val="20"/>
          <w:szCs w:val="20"/>
        </w:rPr>
        <w:t xml:space="preserve"> </w:t>
      </w:r>
      <w:r>
        <w:rPr>
          <w:rFonts w:asciiTheme="minorHAnsi" w:hAnsiTheme="minorHAnsi" w:cstheme="minorHAnsi"/>
          <w:sz w:val="20"/>
          <w:szCs w:val="20"/>
        </w:rPr>
        <w:t xml:space="preserve">used in OMB control no. 0648-0272, </w:t>
      </w:r>
      <w:r w:rsidRPr="00B1471A">
        <w:rPr>
          <w:rFonts w:asciiTheme="minorHAnsi" w:hAnsiTheme="minorHAnsi" w:cstheme="minorHAnsi"/>
          <w:sz w:val="20"/>
          <w:szCs w:val="20"/>
        </w:rPr>
        <w:t xml:space="preserve">Individual Fishing Quotas for Pacific Halibut and Sablefish in the </w:t>
      </w:r>
      <w:r w:rsidRPr="009E015E">
        <w:rPr>
          <w:rFonts w:asciiTheme="minorHAnsi" w:hAnsiTheme="minorHAnsi" w:cstheme="minorHAnsi"/>
          <w:sz w:val="20"/>
          <w:szCs w:val="20"/>
        </w:rPr>
        <w:t xml:space="preserve">Alaska Fisheries, and the wage rate used for CDQ groups representatives (see note </w:t>
      </w:r>
      <w:r w:rsidRPr="00131874">
        <w:rPr>
          <w:rFonts w:asciiTheme="minorHAnsi" w:hAnsiTheme="minorHAnsi" w:cstheme="minorHAnsi"/>
          <w:sz w:val="20"/>
          <w:szCs w:val="20"/>
        </w:rPr>
        <w:t>#</w:t>
      </w:r>
      <w:r w:rsidRPr="00131874" w:rsidR="00131874">
        <w:rPr>
          <w:rFonts w:asciiTheme="minorHAnsi" w:hAnsiTheme="minorHAnsi" w:cstheme="minorHAnsi"/>
          <w:sz w:val="20"/>
          <w:szCs w:val="20"/>
        </w:rPr>
        <w:t>3</w:t>
      </w:r>
      <w:r w:rsidR="00131874">
        <w:rPr>
          <w:rFonts w:asciiTheme="minorHAnsi" w:hAnsiTheme="minorHAnsi" w:cstheme="minorHAnsi"/>
          <w:sz w:val="20"/>
          <w:szCs w:val="20"/>
        </w:rPr>
        <w:t xml:space="preserve"> below</w:t>
      </w:r>
      <w:r w:rsidRPr="009E015E">
        <w:rPr>
          <w:rFonts w:asciiTheme="minorHAnsi" w:hAnsiTheme="minorHAnsi" w:cstheme="minorHAnsi"/>
          <w:sz w:val="20"/>
          <w:szCs w:val="20"/>
        </w:rPr>
        <w:t>). $40.20 = ($27.43 + 52.97)/2</w:t>
      </w:r>
    </w:p>
    <w:p w:rsidRPr="00032AD5" w:rsidR="009E015E" w:rsidP="008C6036" w:rsidRDefault="009E015E" w14:paraId="3F36FB90" w14:textId="65C3C9BF">
      <w:pPr>
        <w:spacing w:before="60"/>
        <w:ind w:left="130" w:hanging="130"/>
        <w:rPr>
          <w:rFonts w:asciiTheme="minorHAnsi" w:hAnsiTheme="minorHAnsi" w:cstheme="minorHAnsi"/>
          <w:sz w:val="20"/>
          <w:szCs w:val="20"/>
        </w:rPr>
      </w:pPr>
      <w:r w:rsidRPr="008C52A6">
        <w:rPr>
          <w:rFonts w:asciiTheme="minorHAnsi" w:hAnsiTheme="minorHAnsi" w:cstheme="minorHAnsi"/>
          <w:sz w:val="20"/>
          <w:szCs w:val="20"/>
          <w:vertAlign w:val="superscript"/>
        </w:rPr>
        <w:lastRenderedPageBreak/>
        <w:t>2</w:t>
      </w:r>
      <w:r w:rsidRPr="009E015E">
        <w:rPr>
          <w:rFonts w:asciiTheme="minorHAnsi" w:hAnsiTheme="minorHAnsi" w:cstheme="minorHAnsi"/>
          <w:sz w:val="20"/>
          <w:szCs w:val="20"/>
        </w:rPr>
        <w:t xml:space="preserve"> </w:t>
      </w:r>
      <w:r>
        <w:rPr>
          <w:rFonts w:asciiTheme="minorHAnsi" w:hAnsiTheme="minorHAnsi" w:cstheme="minorHAnsi"/>
          <w:sz w:val="20"/>
          <w:szCs w:val="20"/>
        </w:rPr>
        <w:t xml:space="preserve">The wage rate </w:t>
      </w:r>
      <w:proofErr w:type="gramStart"/>
      <w:r>
        <w:rPr>
          <w:rFonts w:asciiTheme="minorHAnsi" w:hAnsiTheme="minorHAnsi" w:cstheme="minorHAnsi"/>
          <w:sz w:val="20"/>
          <w:szCs w:val="20"/>
        </w:rPr>
        <w:t>is based</w:t>
      </w:r>
      <w:proofErr w:type="gramEnd"/>
      <w:r>
        <w:rPr>
          <w:rFonts w:asciiTheme="minorHAnsi" w:hAnsiTheme="minorHAnsi" w:cstheme="minorHAnsi"/>
          <w:sz w:val="20"/>
          <w:szCs w:val="20"/>
        </w:rPr>
        <w:t xml:space="preserve"> on the wage rate used for rockfish cooperative representatives in the 2020 renewal and revision of OMB control no. 0648-0545, </w:t>
      </w:r>
      <w:r w:rsidRPr="00032AD5" w:rsidR="008C52A6">
        <w:rPr>
          <w:rFonts w:asciiTheme="minorHAnsi" w:hAnsiTheme="minorHAnsi" w:cstheme="minorHAnsi"/>
          <w:sz w:val="20"/>
          <w:szCs w:val="20"/>
        </w:rPr>
        <w:t>Central Gulf of Alaska Rockfish Program: Permits and Reports.</w:t>
      </w:r>
    </w:p>
    <w:p w:rsidRPr="00032AD5" w:rsidR="00E163F4" w:rsidP="008C6036" w:rsidRDefault="009E015E" w14:paraId="60FB1B40" w14:textId="79BBCB19">
      <w:pPr>
        <w:spacing w:before="60"/>
        <w:ind w:left="130" w:hanging="130"/>
        <w:rPr>
          <w:rFonts w:asciiTheme="minorHAnsi" w:hAnsiTheme="minorHAnsi" w:cstheme="minorHAnsi"/>
          <w:sz w:val="20"/>
          <w:szCs w:val="20"/>
        </w:rPr>
      </w:pPr>
      <w:r w:rsidRPr="00032AD5">
        <w:rPr>
          <w:rFonts w:asciiTheme="minorHAnsi" w:hAnsiTheme="minorHAnsi" w:cstheme="minorHAnsi"/>
          <w:sz w:val="20"/>
          <w:szCs w:val="20"/>
          <w:vertAlign w:val="superscript"/>
        </w:rPr>
        <w:t>3</w:t>
      </w:r>
      <w:r w:rsidRPr="00032AD5" w:rsidR="00E163F4">
        <w:rPr>
          <w:rFonts w:asciiTheme="minorHAnsi" w:hAnsiTheme="minorHAnsi" w:cstheme="minorHAnsi"/>
          <w:sz w:val="20"/>
          <w:szCs w:val="20"/>
        </w:rPr>
        <w:t xml:space="preserve"> The wage rate for CDQ group representatives is based on U.S. Bureau of Labor Statistics mean hourly wage estimate for Occupation Code 11-1021 (General and Operations Managers; </w:t>
      </w:r>
      <w:hyperlink w:history="1" w:anchor="11-0000" r:id="rId53">
        <w:r w:rsidRPr="00032AD5" w:rsidR="00E163F4">
          <w:rPr>
            <w:rFonts w:asciiTheme="minorHAnsi" w:hAnsiTheme="minorHAnsi" w:cstheme="minorHAnsi"/>
            <w:color w:val="0000FF"/>
            <w:sz w:val="20"/>
            <w:szCs w:val="20"/>
            <w:u w:val="single"/>
          </w:rPr>
          <w:t>May 2020 Occupational Employment Statistics Research Estimates, Alaska</w:t>
        </w:r>
      </w:hyperlink>
      <w:r w:rsidRPr="00032AD5" w:rsidR="00E163F4">
        <w:rPr>
          <w:rFonts w:asciiTheme="minorHAnsi" w:hAnsiTheme="minorHAnsi" w:cstheme="minorHAnsi"/>
          <w:sz w:val="20"/>
          <w:szCs w:val="20"/>
        </w:rPr>
        <w:t>).</w:t>
      </w:r>
      <w:r w:rsidRPr="00032AD5" w:rsidR="00EA7805">
        <w:rPr>
          <w:rFonts w:asciiTheme="minorHAnsi" w:hAnsiTheme="minorHAnsi" w:cstheme="minorHAnsi"/>
          <w:sz w:val="20"/>
          <w:szCs w:val="20"/>
        </w:rPr>
        <w:t xml:space="preserve"> This wage rate has been updated from that used for </w:t>
      </w:r>
      <w:proofErr w:type="gramStart"/>
      <w:r w:rsidRPr="00032AD5" w:rsidR="00EA7805">
        <w:rPr>
          <w:rFonts w:asciiTheme="minorHAnsi" w:hAnsiTheme="minorHAnsi" w:cstheme="minorHAnsi"/>
          <w:sz w:val="20"/>
          <w:szCs w:val="20"/>
        </w:rPr>
        <w:t>CDQ</w:t>
      </w:r>
      <w:proofErr w:type="gramEnd"/>
      <w:r w:rsidRPr="00032AD5" w:rsidR="00EA7805">
        <w:rPr>
          <w:rFonts w:asciiTheme="minorHAnsi" w:hAnsiTheme="minorHAnsi" w:cstheme="minorHAnsi"/>
          <w:sz w:val="20"/>
          <w:szCs w:val="20"/>
        </w:rPr>
        <w:t xml:space="preserve"> representatives in the 2020 renewal of OMB control no. 0648-0269, Western Alaska Community Development Quota (CDQ) Program.</w:t>
      </w:r>
    </w:p>
    <w:p w:rsidRPr="00032AD5" w:rsidR="009C1110" w:rsidP="008C6036" w:rsidRDefault="009C1110" w14:paraId="346B7F42" w14:textId="6DD8CE2B">
      <w:pPr>
        <w:spacing w:before="60"/>
        <w:ind w:left="130" w:hanging="130"/>
        <w:rPr>
          <w:rFonts w:asciiTheme="minorHAnsi" w:hAnsiTheme="minorHAnsi" w:cstheme="minorHAnsi"/>
          <w:sz w:val="20"/>
          <w:szCs w:val="20"/>
          <w:vertAlign w:val="superscript"/>
        </w:rPr>
      </w:pPr>
      <w:r w:rsidRPr="00032AD5">
        <w:rPr>
          <w:rFonts w:asciiTheme="minorHAnsi" w:hAnsiTheme="minorHAnsi" w:cstheme="minorHAnsi"/>
          <w:sz w:val="20"/>
          <w:szCs w:val="20"/>
          <w:vertAlign w:val="superscript"/>
        </w:rPr>
        <w:t>4</w:t>
      </w:r>
      <w:r w:rsidRPr="00032AD5">
        <w:rPr>
          <w:rFonts w:asciiTheme="minorHAnsi" w:hAnsiTheme="minorHAnsi" w:cstheme="minorHAnsi"/>
          <w:sz w:val="20"/>
          <w:szCs w:val="20"/>
        </w:rPr>
        <w:t xml:space="preserve"> The wage rate </w:t>
      </w:r>
      <w:proofErr w:type="gramStart"/>
      <w:r w:rsidRPr="00032AD5">
        <w:rPr>
          <w:rFonts w:asciiTheme="minorHAnsi" w:hAnsiTheme="minorHAnsi" w:cstheme="minorHAnsi"/>
          <w:sz w:val="20"/>
          <w:szCs w:val="20"/>
        </w:rPr>
        <w:t>is based</w:t>
      </w:r>
      <w:proofErr w:type="gramEnd"/>
      <w:r w:rsidRPr="00032AD5">
        <w:rPr>
          <w:rFonts w:asciiTheme="minorHAnsi" w:hAnsiTheme="minorHAnsi" w:cstheme="minorHAnsi"/>
          <w:sz w:val="20"/>
          <w:szCs w:val="20"/>
        </w:rPr>
        <w:t xml:space="preserve"> on the wage rate used for AFA cooperative representatives in the 2021 renewal of OMB control no. 0648-0401, Alaska American Fisheries Act (AFA) Reports.</w:t>
      </w:r>
    </w:p>
    <w:p w:rsidR="009C1110" w:rsidP="008C6036" w:rsidRDefault="009C1110" w14:paraId="37C8F6DD" w14:textId="36B9B338">
      <w:pPr>
        <w:spacing w:before="60"/>
        <w:ind w:left="130" w:hanging="130"/>
        <w:rPr>
          <w:rFonts w:asciiTheme="minorHAnsi" w:hAnsiTheme="minorHAnsi" w:cstheme="minorHAnsi"/>
          <w:sz w:val="20"/>
          <w:szCs w:val="20"/>
        </w:rPr>
      </w:pPr>
      <w:r w:rsidRPr="00032AD5">
        <w:rPr>
          <w:rFonts w:asciiTheme="minorHAnsi" w:hAnsiTheme="minorHAnsi" w:cstheme="minorHAnsi"/>
          <w:sz w:val="20"/>
          <w:szCs w:val="20"/>
          <w:vertAlign w:val="superscript"/>
        </w:rPr>
        <w:t>5</w:t>
      </w:r>
      <w:r w:rsidRPr="00032AD5" w:rsidR="00141D2A">
        <w:rPr>
          <w:rFonts w:asciiTheme="minorHAnsi" w:hAnsiTheme="minorHAnsi" w:cstheme="minorHAnsi"/>
          <w:sz w:val="20"/>
          <w:szCs w:val="20"/>
        </w:rPr>
        <w:t xml:space="preserve"> </w:t>
      </w:r>
      <w:r w:rsidRPr="00032AD5">
        <w:rPr>
          <w:rFonts w:asciiTheme="minorHAnsi" w:hAnsiTheme="minorHAnsi" w:cstheme="minorHAnsi"/>
          <w:sz w:val="20"/>
          <w:szCs w:val="20"/>
        </w:rPr>
        <w:t xml:space="preserve">The wage rate </w:t>
      </w:r>
      <w:proofErr w:type="gramStart"/>
      <w:r w:rsidRPr="00032AD5">
        <w:rPr>
          <w:rFonts w:asciiTheme="minorHAnsi" w:hAnsiTheme="minorHAnsi" w:cstheme="minorHAnsi"/>
          <w:sz w:val="20"/>
          <w:szCs w:val="20"/>
        </w:rPr>
        <w:t>is based</w:t>
      </w:r>
      <w:proofErr w:type="gramEnd"/>
      <w:r w:rsidRPr="00032AD5">
        <w:rPr>
          <w:rFonts w:asciiTheme="minorHAnsi" w:hAnsiTheme="minorHAnsi" w:cstheme="minorHAnsi"/>
          <w:sz w:val="20"/>
          <w:szCs w:val="20"/>
        </w:rPr>
        <w:t xml:space="preserve"> on the wage rate used for the Aleut Corporation representative in the 2021 renewal of OMB control no. 0648-051</w:t>
      </w:r>
      <w:r w:rsidRPr="00032AD5" w:rsidR="002E7D66">
        <w:rPr>
          <w:rFonts w:asciiTheme="minorHAnsi" w:hAnsiTheme="minorHAnsi" w:cstheme="minorHAnsi"/>
          <w:sz w:val="20"/>
          <w:szCs w:val="20"/>
        </w:rPr>
        <w:t>3</w:t>
      </w:r>
      <w:r w:rsidRPr="00032AD5">
        <w:rPr>
          <w:rFonts w:asciiTheme="minorHAnsi" w:hAnsiTheme="minorHAnsi" w:cstheme="minorHAnsi"/>
          <w:sz w:val="20"/>
          <w:szCs w:val="20"/>
        </w:rPr>
        <w:t xml:space="preserve">, </w:t>
      </w:r>
      <w:r w:rsidRPr="00032AD5" w:rsidR="002E7D66">
        <w:rPr>
          <w:rFonts w:asciiTheme="minorHAnsi" w:hAnsiTheme="minorHAnsi" w:cstheme="minorHAnsi"/>
          <w:sz w:val="20"/>
          <w:szCs w:val="20"/>
        </w:rPr>
        <w:t>Aleutian Islands Pollock Fishery Requirements</w:t>
      </w:r>
      <w:r w:rsidRPr="00032AD5">
        <w:rPr>
          <w:rFonts w:asciiTheme="minorHAnsi" w:hAnsiTheme="minorHAnsi" w:cstheme="minorHAnsi"/>
          <w:sz w:val="20"/>
          <w:szCs w:val="20"/>
        </w:rPr>
        <w:t>.</w:t>
      </w:r>
    </w:p>
    <w:p w:rsidRPr="00032AD5" w:rsidR="00032AD5" w:rsidP="008C6036" w:rsidRDefault="00032AD5" w14:paraId="0D1D31B4" w14:textId="4E736975">
      <w:pPr>
        <w:spacing w:before="60"/>
        <w:ind w:left="130" w:hanging="130"/>
        <w:rPr>
          <w:rFonts w:asciiTheme="minorHAnsi" w:hAnsiTheme="minorHAnsi" w:cstheme="minorHAnsi"/>
          <w:sz w:val="20"/>
          <w:szCs w:val="20"/>
        </w:rPr>
      </w:pPr>
      <w:r w:rsidRPr="00032AD5">
        <w:rPr>
          <w:rFonts w:asciiTheme="minorHAnsi" w:hAnsiTheme="minorHAnsi" w:cstheme="minorHAnsi"/>
          <w:sz w:val="20"/>
          <w:szCs w:val="20"/>
          <w:vertAlign w:val="superscript"/>
        </w:rPr>
        <w:t>6</w:t>
      </w:r>
      <w:r>
        <w:rPr>
          <w:rFonts w:asciiTheme="minorHAnsi" w:hAnsiTheme="minorHAnsi" w:cstheme="minorHAnsi"/>
          <w:sz w:val="20"/>
          <w:szCs w:val="20"/>
        </w:rPr>
        <w:t xml:space="preserve"> </w:t>
      </w:r>
      <w:r w:rsidRPr="00032AD5">
        <w:rPr>
          <w:rFonts w:asciiTheme="minorHAnsi" w:hAnsiTheme="minorHAnsi" w:cstheme="minorHAnsi"/>
          <w:sz w:val="20"/>
          <w:szCs w:val="20"/>
        </w:rPr>
        <w:t xml:space="preserve">The wage rate is based on the wage rate used for the </w:t>
      </w:r>
      <w:r>
        <w:rPr>
          <w:rFonts w:asciiTheme="minorHAnsi" w:hAnsiTheme="minorHAnsi" w:cstheme="minorHAnsi"/>
          <w:sz w:val="20"/>
          <w:szCs w:val="20"/>
        </w:rPr>
        <w:t>Amendment 80 cooperative</w:t>
      </w:r>
      <w:r w:rsidRPr="00032AD5">
        <w:rPr>
          <w:rFonts w:asciiTheme="minorHAnsi" w:hAnsiTheme="minorHAnsi" w:cstheme="minorHAnsi"/>
          <w:sz w:val="20"/>
          <w:szCs w:val="20"/>
        </w:rPr>
        <w:t xml:space="preserve"> representative in the </w:t>
      </w:r>
      <w:r>
        <w:rPr>
          <w:rFonts w:asciiTheme="minorHAnsi" w:hAnsiTheme="minorHAnsi" w:cstheme="minorHAnsi"/>
          <w:sz w:val="20"/>
          <w:szCs w:val="20"/>
        </w:rPr>
        <w:t>2020</w:t>
      </w:r>
      <w:r w:rsidRPr="00032AD5">
        <w:rPr>
          <w:rFonts w:asciiTheme="minorHAnsi" w:hAnsiTheme="minorHAnsi" w:cstheme="minorHAnsi"/>
          <w:sz w:val="20"/>
          <w:szCs w:val="20"/>
        </w:rPr>
        <w:t xml:space="preserve"> renewal</w:t>
      </w:r>
      <w:r>
        <w:rPr>
          <w:rFonts w:asciiTheme="minorHAnsi" w:hAnsiTheme="minorHAnsi" w:cstheme="minorHAnsi"/>
          <w:sz w:val="20"/>
          <w:szCs w:val="20"/>
        </w:rPr>
        <w:t xml:space="preserve"> and revision</w:t>
      </w:r>
      <w:r w:rsidRPr="00032AD5">
        <w:rPr>
          <w:rFonts w:asciiTheme="minorHAnsi" w:hAnsiTheme="minorHAnsi" w:cstheme="minorHAnsi"/>
          <w:sz w:val="20"/>
          <w:szCs w:val="20"/>
        </w:rPr>
        <w:t xml:space="preserve"> of OMB control no. 0648-0</w:t>
      </w:r>
      <w:r>
        <w:rPr>
          <w:rFonts w:asciiTheme="minorHAnsi" w:hAnsiTheme="minorHAnsi" w:cstheme="minorHAnsi"/>
          <w:sz w:val="20"/>
          <w:szCs w:val="20"/>
        </w:rPr>
        <w:t>678</w:t>
      </w:r>
      <w:r w:rsidRPr="00032AD5">
        <w:rPr>
          <w:rFonts w:asciiTheme="minorHAnsi" w:hAnsiTheme="minorHAnsi" w:cstheme="minorHAnsi"/>
          <w:sz w:val="20"/>
          <w:szCs w:val="20"/>
        </w:rPr>
        <w:t>, North Pacific Fishery Management Council Cooperative Annual Reports</w:t>
      </w:r>
      <w:r>
        <w:rPr>
          <w:rFonts w:asciiTheme="minorHAnsi" w:hAnsiTheme="minorHAnsi" w:cstheme="minorHAnsi"/>
          <w:sz w:val="20"/>
          <w:szCs w:val="20"/>
        </w:rPr>
        <w:t>.</w:t>
      </w:r>
    </w:p>
    <w:p w:rsidRPr="00032AD5" w:rsidR="00032AD5" w:rsidP="00131874" w:rsidRDefault="00032AD5" w14:paraId="46E6462A" w14:textId="49433B0C">
      <w:pPr>
        <w:spacing w:before="60"/>
        <w:ind w:left="144" w:hanging="144"/>
        <w:rPr>
          <w:rFonts w:asciiTheme="minorHAnsi" w:hAnsiTheme="minorHAnsi" w:cstheme="minorHAnsi"/>
          <w:sz w:val="20"/>
          <w:szCs w:val="20"/>
          <w:highlight w:val="cyan"/>
        </w:rPr>
      </w:pPr>
    </w:p>
    <w:p w:rsidR="00032AD5" w:rsidP="00141D2A" w:rsidRDefault="00032AD5" w14:paraId="333D095C" w14:textId="4635D99B">
      <w:pPr>
        <w:spacing w:before="60" w:line="259" w:lineRule="auto"/>
        <w:rPr>
          <w:rFonts w:asciiTheme="minorHAnsi" w:hAnsiTheme="minorHAnsi" w:cstheme="minorHAnsi"/>
          <w:sz w:val="20"/>
          <w:szCs w:val="20"/>
          <w:highlight w:val="cyan"/>
        </w:rPr>
      </w:pPr>
    </w:p>
    <w:p w:rsidR="004B5496" w:rsidP="00141D2A" w:rsidRDefault="004B5496" w14:paraId="1AE9E4CE" w14:textId="6C1968A8">
      <w:pPr>
        <w:spacing w:before="60" w:line="259" w:lineRule="auto"/>
        <w:rPr>
          <w:rFonts w:asciiTheme="minorHAnsi" w:hAnsiTheme="minorHAnsi" w:cstheme="minorHAnsi"/>
          <w:sz w:val="20"/>
          <w:szCs w:val="20"/>
          <w:highlight w:val="cyan"/>
        </w:rPr>
      </w:pPr>
    </w:p>
    <w:p w:rsidR="004B5496" w:rsidP="00141D2A" w:rsidRDefault="004B5496" w14:paraId="25D0D311" w14:textId="3510A644">
      <w:pPr>
        <w:spacing w:before="60" w:line="259" w:lineRule="auto"/>
        <w:rPr>
          <w:rFonts w:asciiTheme="minorHAnsi" w:hAnsiTheme="minorHAnsi" w:cstheme="minorHAnsi"/>
          <w:sz w:val="20"/>
          <w:szCs w:val="20"/>
          <w:highlight w:val="cyan"/>
        </w:rPr>
      </w:pPr>
    </w:p>
    <w:p w:rsidR="004B5496" w:rsidP="00141D2A" w:rsidRDefault="004B5496" w14:paraId="5AC75266" w14:textId="0AD89991">
      <w:pPr>
        <w:spacing w:before="60" w:line="259" w:lineRule="auto"/>
        <w:rPr>
          <w:rFonts w:asciiTheme="minorHAnsi" w:hAnsiTheme="minorHAnsi" w:cstheme="minorHAnsi"/>
          <w:sz w:val="20"/>
          <w:szCs w:val="20"/>
          <w:highlight w:val="cyan"/>
        </w:rPr>
      </w:pPr>
    </w:p>
    <w:p w:rsidR="00BD2A55" w:rsidP="00DC6F01" w:rsidRDefault="00BD2A55" w14:paraId="2B44255E" w14:textId="77777777">
      <w:pPr>
        <w:spacing w:line="259" w:lineRule="auto"/>
        <w:jc w:val="center"/>
        <w:sectPr w:rsidR="00BD2A55" w:rsidSect="00DC6F01">
          <w:pgSz w:w="15840" w:h="12240" w:orient="landscape"/>
          <w:pgMar w:top="1440" w:right="1440" w:bottom="1440" w:left="1440" w:header="0" w:footer="1014" w:gutter="0"/>
          <w:cols w:space="720"/>
          <w:docGrid w:linePitch="326"/>
        </w:sectPr>
      </w:pPr>
    </w:p>
    <w:p w:rsidR="00BD2A55" w:rsidP="00F3659E" w:rsidRDefault="007623F5" w14:paraId="705A54EC" w14:textId="402F5AFB">
      <w:pPr>
        <w:numPr>
          <w:ilvl w:val="0"/>
          <w:numId w:val="3"/>
        </w:numPr>
        <w:pBdr>
          <w:top w:val="nil"/>
          <w:left w:val="nil"/>
          <w:bottom w:val="nil"/>
          <w:right w:val="nil"/>
          <w:between w:val="nil"/>
        </w:pBdr>
        <w:tabs>
          <w:tab w:val="left" w:pos="360"/>
        </w:tabs>
        <w:spacing w:after="120"/>
        <w:ind w:left="0" w:firstLine="0"/>
        <w:rPr>
          <w:b/>
          <w:color w:val="000000"/>
        </w:rPr>
      </w:pPr>
      <w:r>
        <w:rPr>
          <w:b/>
          <w:color w:val="000000"/>
        </w:rPr>
        <w:lastRenderedPageBreak/>
        <w:t xml:space="preserve"> </w:t>
      </w:r>
      <w:r w:rsidR="00333FBA">
        <w:rPr>
          <w:b/>
          <w:color w:val="000000"/>
        </w:rPr>
        <w:t>Provide an estimate for the total annual cost burden to respondents or record keepers resulting from the collection of information. (Do not include the cost of any hour burden already reflected on the burden worksheet).</w:t>
      </w:r>
    </w:p>
    <w:p w:rsidRPr="0062550F" w:rsidR="0062550F" w:rsidP="00F3659E" w:rsidRDefault="0062550F" w14:paraId="73C229EB" w14:textId="65546B87">
      <w:pPr>
        <w:pBdr>
          <w:top w:val="nil"/>
          <w:left w:val="nil"/>
          <w:bottom w:val="nil"/>
          <w:right w:val="nil"/>
          <w:between w:val="nil"/>
        </w:pBdr>
        <w:tabs>
          <w:tab w:val="left" w:pos="360"/>
        </w:tabs>
        <w:spacing w:after="120"/>
        <w:rPr>
          <w:color w:val="000000"/>
        </w:rPr>
      </w:pPr>
      <w:r w:rsidRPr="0062550F">
        <w:rPr>
          <w:color w:val="000000"/>
        </w:rPr>
        <w:t xml:space="preserve">Most of these information collections </w:t>
      </w:r>
      <w:proofErr w:type="gramStart"/>
      <w:r w:rsidRPr="0062550F">
        <w:rPr>
          <w:color w:val="000000"/>
        </w:rPr>
        <w:t>are submitted</w:t>
      </w:r>
      <w:proofErr w:type="gramEnd"/>
      <w:r w:rsidRPr="0062550F">
        <w:rPr>
          <w:color w:val="000000"/>
        </w:rPr>
        <w:t xml:space="preserve"> online</w:t>
      </w:r>
      <w:r w:rsidR="00A53E58">
        <w:rPr>
          <w:color w:val="000000"/>
        </w:rPr>
        <w:t>,</w:t>
      </w:r>
      <w:r w:rsidRPr="0062550F">
        <w:rPr>
          <w:color w:val="000000"/>
        </w:rPr>
        <w:t xml:space="preserve"> </w:t>
      </w:r>
      <w:r>
        <w:rPr>
          <w:color w:val="000000"/>
        </w:rPr>
        <w:t>and</w:t>
      </w:r>
      <w:r w:rsidRPr="0062550F">
        <w:rPr>
          <w:color w:val="000000"/>
        </w:rPr>
        <w:t xml:space="preserve"> the costs for </w:t>
      </w:r>
      <w:r>
        <w:rPr>
          <w:color w:val="000000"/>
        </w:rPr>
        <w:t>those</w:t>
      </w:r>
      <w:r w:rsidRPr="0062550F">
        <w:rPr>
          <w:color w:val="000000"/>
        </w:rPr>
        <w:t xml:space="preserve"> are estimated to be $0.</w:t>
      </w:r>
      <w:r w:rsidRPr="00F3659E" w:rsidR="00F3659E">
        <w:t xml:space="preserve"> </w:t>
      </w:r>
      <w:r w:rsidRPr="00F3659E" w:rsidR="00F3659E">
        <w:rPr>
          <w:color w:val="000000"/>
        </w:rPr>
        <w:t>Operating costs account for the typical inclusive general office services packages that include expenses for email, fax, copying, mailing, printing, and internet.</w:t>
      </w:r>
    </w:p>
    <w:tbl>
      <w:tblPr>
        <w:tblStyle w:val="a1"/>
        <w:tblW w:w="14387" w:type="dxa"/>
        <w:jc w:val="center"/>
        <w:tblLayout w:type="fixed"/>
        <w:tblLook w:val="0400" w:firstRow="0" w:lastRow="0" w:firstColumn="0" w:lastColumn="0" w:noHBand="0" w:noVBand="1"/>
      </w:tblPr>
      <w:tblGrid>
        <w:gridCol w:w="4130"/>
        <w:gridCol w:w="1530"/>
        <w:gridCol w:w="1890"/>
        <w:gridCol w:w="2004"/>
        <w:gridCol w:w="2690"/>
        <w:gridCol w:w="2143"/>
      </w:tblGrid>
      <w:tr w:rsidR="00B14D23" w:rsidTr="00B14D23" w14:paraId="14E02E67" w14:textId="77777777">
        <w:trPr>
          <w:trHeight w:val="711"/>
          <w:jc w:val="center"/>
        </w:trPr>
        <w:tc>
          <w:tcPr>
            <w:tcW w:w="413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BD2A55" w:rsidP="00947557" w:rsidRDefault="00333FBA" w14:paraId="4EA1E036" w14:textId="77777777">
            <w:pPr>
              <w:keepNext/>
              <w:keepLines/>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BD2A55" w:rsidP="00947557" w:rsidRDefault="00333FBA" w14:paraId="3323514F" w14:textId="77777777">
            <w:pPr>
              <w:keepNext/>
              <w:keepLines/>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890" w:type="dxa"/>
            <w:tcBorders>
              <w:top w:val="single" w:color="000000" w:sz="8" w:space="0"/>
              <w:left w:val="nil"/>
              <w:bottom w:val="single" w:color="000000" w:sz="8" w:space="0"/>
              <w:right w:val="single" w:color="000000" w:sz="8" w:space="0"/>
            </w:tcBorders>
            <w:shd w:val="clear" w:color="auto" w:fill="BDD7EE"/>
            <w:vAlign w:val="center"/>
          </w:tcPr>
          <w:p w:rsidR="00BD2A55" w:rsidP="00947557" w:rsidRDefault="00333FBA" w14:paraId="6CF3076F" w14:textId="77777777">
            <w:pPr>
              <w:keepNext/>
              <w:keepLines/>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2004" w:type="dxa"/>
            <w:tcBorders>
              <w:top w:val="single" w:color="000000" w:sz="8" w:space="0"/>
              <w:left w:val="nil"/>
              <w:bottom w:val="single" w:color="000000" w:sz="8" w:space="0"/>
              <w:right w:val="single" w:color="000000" w:sz="8" w:space="0"/>
            </w:tcBorders>
            <w:shd w:val="clear" w:color="auto" w:fill="BDD7EE"/>
            <w:vAlign w:val="center"/>
          </w:tcPr>
          <w:p w:rsidR="00BD2A55" w:rsidP="00947557" w:rsidRDefault="00333FBA" w14:paraId="42710EF5" w14:textId="77777777">
            <w:pPr>
              <w:keepNext/>
              <w:keepLines/>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2690" w:type="dxa"/>
            <w:tcBorders>
              <w:top w:val="single" w:color="000000" w:sz="8" w:space="0"/>
              <w:left w:val="nil"/>
              <w:bottom w:val="single" w:color="000000" w:sz="8" w:space="0"/>
              <w:right w:val="single" w:color="000000" w:sz="8" w:space="0"/>
            </w:tcBorders>
            <w:shd w:val="clear" w:color="auto" w:fill="BDD7EE"/>
            <w:vAlign w:val="center"/>
          </w:tcPr>
          <w:p w:rsidR="00BD2A55" w:rsidP="00947557" w:rsidRDefault="00333FBA" w14:paraId="06579A8F" w14:textId="77777777">
            <w:pPr>
              <w:keepNext/>
              <w:keepLines/>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Burden / Respondent</w:t>
            </w:r>
            <w:r>
              <w:rPr>
                <w:rFonts w:ascii="Calibri" w:hAnsi="Calibri" w:eastAsia="Calibri" w:cs="Calibri"/>
                <w:b/>
                <w:color w:val="000000"/>
                <w:sz w:val="16"/>
                <w:szCs w:val="16"/>
              </w:rPr>
              <w:br/>
              <w:t>(h)</w:t>
            </w:r>
          </w:p>
        </w:tc>
        <w:tc>
          <w:tcPr>
            <w:tcW w:w="2143" w:type="dxa"/>
            <w:tcBorders>
              <w:top w:val="single" w:color="000000" w:sz="8" w:space="0"/>
              <w:left w:val="nil"/>
              <w:bottom w:val="single" w:color="000000" w:sz="8" w:space="0"/>
              <w:right w:val="single" w:color="000000" w:sz="8" w:space="0"/>
            </w:tcBorders>
            <w:shd w:val="clear" w:color="auto" w:fill="BDD7EE"/>
            <w:vAlign w:val="center"/>
          </w:tcPr>
          <w:p w:rsidR="00BD2A55" w:rsidP="00947557" w:rsidRDefault="00333FBA" w14:paraId="69D11359" w14:textId="3C33F7A3">
            <w:pPr>
              <w:keepNext/>
              <w:keepLines/>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Cost Burden</w:t>
            </w:r>
            <w:r>
              <w:rPr>
                <w:rFonts w:ascii="Calibri" w:hAnsi="Calibri" w:eastAsia="Calibri" w:cs="Calibri"/>
                <w:b/>
                <w:color w:val="000000"/>
                <w:sz w:val="16"/>
                <w:szCs w:val="16"/>
              </w:rPr>
              <w:br/>
              <w:t>(</w:t>
            </w:r>
            <w:proofErr w:type="spellStart"/>
            <w:r>
              <w:rPr>
                <w:rFonts w:ascii="Calibri" w:hAnsi="Calibri" w:eastAsia="Calibri" w:cs="Calibri"/>
                <w:b/>
                <w:color w:val="000000"/>
                <w:sz w:val="16"/>
                <w:szCs w:val="16"/>
              </w:rPr>
              <w:t>i</w:t>
            </w:r>
            <w:proofErr w:type="spellEnd"/>
            <w:r>
              <w:rPr>
                <w:rFonts w:ascii="Calibri" w:hAnsi="Calibri" w:eastAsia="Calibri" w:cs="Calibri"/>
                <w:b/>
                <w:color w:val="000000"/>
                <w:sz w:val="16"/>
                <w:szCs w:val="16"/>
              </w:rPr>
              <w:t>) = (c) x (h)</w:t>
            </w:r>
          </w:p>
        </w:tc>
      </w:tr>
      <w:tr w:rsidRPr="00A53E58" w:rsidR="00B14D23" w:rsidTr="00B14D23" w14:paraId="386615F0" w14:textId="77777777">
        <w:trPr>
          <w:trHeight w:val="305"/>
          <w:jc w:val="center"/>
        </w:trPr>
        <w:tc>
          <w:tcPr>
            <w:tcW w:w="4130" w:type="dxa"/>
            <w:tcBorders>
              <w:top w:val="single" w:color="000000" w:sz="8" w:space="0"/>
              <w:left w:val="single" w:color="000000" w:sz="4" w:space="0"/>
              <w:bottom w:val="single" w:color="000000" w:sz="18" w:space="0"/>
              <w:right w:val="single" w:color="000000" w:sz="4" w:space="0"/>
            </w:tcBorders>
            <w:shd w:val="clear" w:color="auto" w:fill="auto"/>
            <w:vAlign w:val="center"/>
          </w:tcPr>
          <w:p w:rsidRPr="00A53E58" w:rsidR="00A104ED" w:rsidP="00947557" w:rsidRDefault="00A104ED" w14:paraId="30FF0052" w14:textId="5ACC1ACF">
            <w:pPr>
              <w:keepNext/>
              <w:keepLines/>
              <w:widowControl/>
              <w:rPr>
                <w:rFonts w:eastAsia="Calibri" w:asciiTheme="minorHAnsi" w:hAnsiTheme="minorHAnsi" w:cstheme="minorHAnsi"/>
                <w:color w:val="000000"/>
                <w:sz w:val="20"/>
                <w:szCs w:val="20"/>
              </w:rPr>
            </w:pPr>
            <w:r w:rsidRPr="00A53E58">
              <w:rPr>
                <w:rFonts w:asciiTheme="minorHAnsi" w:hAnsiTheme="minorHAnsi" w:cstheme="minorHAnsi"/>
                <w:sz w:val="20"/>
                <w:szCs w:val="20"/>
              </w:rPr>
              <w:t>Observer Coverage Fee Payment</w:t>
            </w:r>
          </w:p>
        </w:tc>
        <w:tc>
          <w:tcPr>
            <w:tcW w:w="1530" w:type="dxa"/>
            <w:tcBorders>
              <w:top w:val="single" w:color="000000" w:sz="8" w:space="0"/>
              <w:left w:val="nil"/>
              <w:bottom w:val="single" w:color="000000" w:sz="18" w:space="0"/>
              <w:right w:val="single" w:color="000000" w:sz="4" w:space="0"/>
            </w:tcBorders>
            <w:shd w:val="clear" w:color="auto" w:fill="auto"/>
            <w:vAlign w:val="center"/>
          </w:tcPr>
          <w:p w:rsidRPr="00A53E58" w:rsidR="00A104ED" w:rsidP="00947557" w:rsidRDefault="001D12C5" w14:paraId="41BC1B9C" w14:textId="19F5F818">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102</w:t>
            </w:r>
          </w:p>
        </w:tc>
        <w:tc>
          <w:tcPr>
            <w:tcW w:w="1890" w:type="dxa"/>
            <w:tcBorders>
              <w:top w:val="single" w:color="000000" w:sz="8" w:space="0"/>
              <w:left w:val="nil"/>
              <w:bottom w:val="single" w:color="000000" w:sz="18" w:space="0"/>
              <w:right w:val="single" w:color="000000" w:sz="4" w:space="0"/>
            </w:tcBorders>
            <w:shd w:val="clear" w:color="auto" w:fill="auto"/>
            <w:vAlign w:val="center"/>
          </w:tcPr>
          <w:p w:rsidRPr="00A53E58" w:rsidR="00A104ED" w:rsidP="00947557" w:rsidRDefault="006C4729" w14:paraId="687C16FF" w14:textId="5DD3A8BE">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1</w:t>
            </w:r>
          </w:p>
        </w:tc>
        <w:tc>
          <w:tcPr>
            <w:tcW w:w="2004" w:type="dxa"/>
            <w:tcBorders>
              <w:top w:val="single" w:color="000000" w:sz="8" w:space="0"/>
              <w:left w:val="nil"/>
              <w:bottom w:val="single" w:color="000000" w:sz="18" w:space="0"/>
              <w:right w:val="single" w:color="000000" w:sz="4" w:space="0"/>
            </w:tcBorders>
            <w:shd w:val="clear" w:color="auto" w:fill="auto"/>
            <w:vAlign w:val="center"/>
          </w:tcPr>
          <w:p w:rsidRPr="00A53E58" w:rsidR="00A104ED" w:rsidP="00947557" w:rsidRDefault="001D12C5" w14:paraId="7B8B20FB" w14:textId="6AE5EE38">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102</w:t>
            </w:r>
          </w:p>
        </w:tc>
        <w:tc>
          <w:tcPr>
            <w:tcW w:w="2690" w:type="dxa"/>
            <w:tcBorders>
              <w:top w:val="single" w:color="000000" w:sz="8" w:space="0"/>
              <w:left w:val="nil"/>
              <w:bottom w:val="single" w:color="000000" w:sz="18" w:space="0"/>
              <w:right w:val="single" w:color="000000" w:sz="4" w:space="0"/>
            </w:tcBorders>
            <w:shd w:val="clear" w:color="auto" w:fill="auto"/>
            <w:vAlign w:val="center"/>
          </w:tcPr>
          <w:p w:rsidRPr="00A53E58" w:rsidR="00A104ED" w:rsidP="00947557" w:rsidRDefault="0062550F" w14:paraId="237D300D" w14:textId="3BCE0BB5">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0</w:t>
            </w:r>
          </w:p>
        </w:tc>
        <w:tc>
          <w:tcPr>
            <w:tcW w:w="2143" w:type="dxa"/>
            <w:tcBorders>
              <w:top w:val="single" w:color="000000" w:sz="8" w:space="0"/>
              <w:left w:val="nil"/>
              <w:bottom w:val="single" w:color="000000" w:sz="18" w:space="0"/>
              <w:right w:val="single" w:color="000000" w:sz="8" w:space="0"/>
            </w:tcBorders>
            <w:shd w:val="clear" w:color="auto" w:fill="auto"/>
            <w:vAlign w:val="center"/>
          </w:tcPr>
          <w:p w:rsidRPr="00A53E58" w:rsidR="00A104ED" w:rsidP="00947557" w:rsidRDefault="0062550F" w14:paraId="14A927BC" w14:textId="136898A4">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0</w:t>
            </w:r>
          </w:p>
        </w:tc>
      </w:tr>
      <w:tr w:rsidRPr="00C0319B" w:rsidR="00B14D23" w:rsidTr="00B14D23" w14:paraId="40C1CF31" w14:textId="77777777">
        <w:trPr>
          <w:trHeight w:val="306"/>
          <w:jc w:val="center"/>
        </w:trPr>
        <w:tc>
          <w:tcPr>
            <w:tcW w:w="4130" w:type="dxa"/>
            <w:tcBorders>
              <w:top w:val="single" w:color="000000" w:sz="18" w:space="0"/>
              <w:left w:val="single" w:color="000000" w:sz="4" w:space="0"/>
            </w:tcBorders>
            <w:shd w:val="clear" w:color="auto" w:fill="auto"/>
            <w:vAlign w:val="center"/>
          </w:tcPr>
          <w:p w:rsidRPr="00A53E58" w:rsidR="00A104ED" w:rsidP="00947557" w:rsidRDefault="00A104ED" w14:paraId="3F646C55" w14:textId="632D4F63">
            <w:pPr>
              <w:keepNext/>
              <w:keepLines/>
              <w:widowControl/>
              <w:rPr>
                <w:rFonts w:eastAsia="Calibri" w:asciiTheme="minorHAnsi" w:hAnsiTheme="minorHAnsi" w:cstheme="minorHAnsi"/>
                <w:color w:val="000000"/>
                <w:sz w:val="20"/>
                <w:szCs w:val="20"/>
              </w:rPr>
            </w:pPr>
            <w:r w:rsidRPr="00A53E58">
              <w:rPr>
                <w:rFonts w:asciiTheme="minorHAnsi" w:hAnsiTheme="minorHAnsi" w:cstheme="minorHAnsi"/>
                <w:sz w:val="20"/>
                <w:szCs w:val="20"/>
              </w:rPr>
              <w:t>Cost Recovery Fee Payments</w:t>
            </w:r>
          </w:p>
        </w:tc>
        <w:tc>
          <w:tcPr>
            <w:tcW w:w="1530" w:type="dxa"/>
            <w:tcBorders>
              <w:top w:val="single" w:color="000000" w:sz="18" w:space="0"/>
            </w:tcBorders>
            <w:shd w:val="clear" w:color="auto" w:fill="auto"/>
            <w:vAlign w:val="center"/>
          </w:tcPr>
          <w:p w:rsidRPr="00C0319B" w:rsidR="00A104ED" w:rsidP="00947557" w:rsidRDefault="00A104ED" w14:paraId="0A9CD20C" w14:textId="77777777">
            <w:pPr>
              <w:keepNext/>
              <w:keepLines/>
              <w:widowControl/>
              <w:jc w:val="center"/>
              <w:rPr>
                <w:rFonts w:ascii="Calibri" w:hAnsi="Calibri" w:eastAsia="Calibri" w:cs="Calibri"/>
                <w:color w:val="000000"/>
                <w:sz w:val="18"/>
                <w:szCs w:val="18"/>
              </w:rPr>
            </w:pPr>
          </w:p>
        </w:tc>
        <w:tc>
          <w:tcPr>
            <w:tcW w:w="1890" w:type="dxa"/>
            <w:tcBorders>
              <w:top w:val="single" w:color="000000" w:sz="18" w:space="0"/>
            </w:tcBorders>
            <w:shd w:val="clear" w:color="auto" w:fill="auto"/>
            <w:vAlign w:val="center"/>
          </w:tcPr>
          <w:p w:rsidRPr="00C0319B" w:rsidR="00A104ED" w:rsidP="00947557" w:rsidRDefault="00A104ED" w14:paraId="3D32CFAE" w14:textId="77777777">
            <w:pPr>
              <w:keepNext/>
              <w:keepLines/>
              <w:widowControl/>
              <w:jc w:val="center"/>
              <w:rPr>
                <w:rFonts w:ascii="Calibri" w:hAnsi="Calibri" w:eastAsia="Calibri" w:cs="Calibri"/>
                <w:color w:val="000000"/>
                <w:sz w:val="18"/>
                <w:szCs w:val="18"/>
              </w:rPr>
            </w:pPr>
          </w:p>
        </w:tc>
        <w:tc>
          <w:tcPr>
            <w:tcW w:w="2004" w:type="dxa"/>
            <w:tcBorders>
              <w:top w:val="single" w:color="000000" w:sz="18" w:space="0"/>
            </w:tcBorders>
            <w:shd w:val="clear" w:color="auto" w:fill="auto"/>
            <w:vAlign w:val="center"/>
          </w:tcPr>
          <w:p w:rsidRPr="00C0319B" w:rsidR="00A104ED" w:rsidP="00947557" w:rsidRDefault="00A104ED" w14:paraId="61561E53" w14:textId="77777777">
            <w:pPr>
              <w:keepNext/>
              <w:keepLines/>
              <w:widowControl/>
              <w:jc w:val="center"/>
              <w:rPr>
                <w:rFonts w:ascii="Calibri" w:hAnsi="Calibri" w:eastAsia="Calibri" w:cs="Calibri"/>
                <w:color w:val="000000"/>
                <w:sz w:val="18"/>
                <w:szCs w:val="18"/>
              </w:rPr>
            </w:pPr>
          </w:p>
        </w:tc>
        <w:tc>
          <w:tcPr>
            <w:tcW w:w="2690" w:type="dxa"/>
            <w:tcBorders>
              <w:top w:val="single" w:color="000000" w:sz="18" w:space="0"/>
            </w:tcBorders>
            <w:shd w:val="clear" w:color="auto" w:fill="auto"/>
            <w:vAlign w:val="center"/>
          </w:tcPr>
          <w:p w:rsidRPr="00C0319B" w:rsidR="00A104ED" w:rsidP="00947557" w:rsidRDefault="00A104ED" w14:paraId="3FD6475F" w14:textId="77777777">
            <w:pPr>
              <w:keepNext/>
              <w:keepLines/>
              <w:widowControl/>
              <w:jc w:val="right"/>
              <w:rPr>
                <w:rFonts w:ascii="Calibri" w:hAnsi="Calibri" w:eastAsia="Calibri" w:cs="Calibri"/>
                <w:color w:val="000000"/>
                <w:sz w:val="18"/>
                <w:szCs w:val="18"/>
              </w:rPr>
            </w:pPr>
          </w:p>
        </w:tc>
        <w:tc>
          <w:tcPr>
            <w:tcW w:w="2143" w:type="dxa"/>
            <w:tcBorders>
              <w:top w:val="single" w:color="000000" w:sz="18" w:space="0"/>
              <w:right w:val="single" w:color="000000" w:sz="8" w:space="0"/>
            </w:tcBorders>
            <w:shd w:val="clear" w:color="auto" w:fill="auto"/>
            <w:vAlign w:val="center"/>
          </w:tcPr>
          <w:p w:rsidRPr="00C0319B" w:rsidR="00A104ED" w:rsidP="00947557" w:rsidRDefault="00A104ED" w14:paraId="1A7CCC99" w14:textId="77777777">
            <w:pPr>
              <w:keepNext/>
              <w:keepLines/>
              <w:widowControl/>
              <w:jc w:val="center"/>
              <w:rPr>
                <w:rFonts w:ascii="Calibri" w:hAnsi="Calibri" w:eastAsia="Calibri" w:cs="Calibri"/>
                <w:color w:val="000000"/>
                <w:sz w:val="18"/>
                <w:szCs w:val="18"/>
              </w:rPr>
            </w:pPr>
          </w:p>
        </w:tc>
      </w:tr>
      <w:tr w:rsidR="00B14D23" w:rsidTr="00B14D23" w14:paraId="567DC807" w14:textId="77777777">
        <w:trPr>
          <w:trHeight w:val="306"/>
          <w:jc w:val="center"/>
        </w:trPr>
        <w:tc>
          <w:tcPr>
            <w:tcW w:w="4130" w:type="dxa"/>
            <w:tcBorders>
              <w:left w:val="single" w:color="000000" w:sz="4" w:space="0"/>
              <w:bottom w:val="dotted" w:color="000000" w:sz="4" w:space="0"/>
              <w:right w:val="single" w:color="000000" w:sz="4" w:space="0"/>
            </w:tcBorders>
            <w:shd w:val="clear" w:color="auto" w:fill="auto"/>
            <w:vAlign w:val="center"/>
          </w:tcPr>
          <w:p w:rsidRPr="00DF2A51" w:rsidR="001D12C5" w:rsidP="001D12C5" w:rsidRDefault="001D12C5" w14:paraId="66365AD2" w14:textId="5C4B8126">
            <w:pPr>
              <w:keepNext/>
              <w:keepLines/>
              <w:widowControl/>
              <w:jc w:val="right"/>
              <w:rPr>
                <w:rFonts w:eastAsia="Calibri" w:asciiTheme="minorHAnsi" w:hAnsiTheme="minorHAnsi" w:cstheme="minorHAnsi"/>
                <w:i/>
                <w:color w:val="000000"/>
                <w:sz w:val="18"/>
                <w:szCs w:val="18"/>
              </w:rPr>
            </w:pPr>
            <w:r w:rsidRPr="00DF2A51">
              <w:rPr>
                <w:rFonts w:asciiTheme="minorHAnsi" w:hAnsiTheme="minorHAnsi" w:cstheme="minorHAnsi"/>
                <w:i/>
                <w:sz w:val="18"/>
                <w:szCs w:val="18"/>
              </w:rPr>
              <w:t>IFQ Program</w:t>
            </w:r>
          </w:p>
        </w:tc>
        <w:tc>
          <w:tcPr>
            <w:tcW w:w="1530" w:type="dxa"/>
            <w:tcBorders>
              <w:left w:val="nil"/>
              <w:bottom w:val="dotted" w:color="000000" w:sz="4" w:space="0"/>
              <w:right w:val="single" w:color="000000" w:sz="4" w:space="0"/>
            </w:tcBorders>
            <w:shd w:val="clear" w:color="auto" w:fill="auto"/>
            <w:vAlign w:val="center"/>
          </w:tcPr>
          <w:p w:rsidRPr="00DF2A51" w:rsidR="001D12C5" w:rsidP="001D12C5" w:rsidRDefault="001D12C5" w14:paraId="4E472A31" w14:textId="0D975216">
            <w:pPr>
              <w:keepNext/>
              <w:keepLines/>
              <w:widowControl/>
              <w:jc w:val="center"/>
              <w:rPr>
                <w:rFonts w:ascii="Calibri" w:hAnsi="Calibri" w:eastAsia="Calibri" w:cs="Calibri"/>
                <w:i/>
                <w:color w:val="000000"/>
                <w:sz w:val="18"/>
                <w:szCs w:val="18"/>
              </w:rPr>
            </w:pPr>
            <w:r w:rsidRPr="00320CC7">
              <w:rPr>
                <w:rFonts w:asciiTheme="minorHAnsi" w:hAnsiTheme="minorHAnsi" w:cstheme="minorHAnsi"/>
                <w:i/>
                <w:sz w:val="18"/>
                <w:szCs w:val="18"/>
              </w:rPr>
              <w:t>1</w:t>
            </w:r>
            <w:r>
              <w:rPr>
                <w:rFonts w:asciiTheme="minorHAnsi" w:hAnsiTheme="minorHAnsi" w:cstheme="minorHAnsi"/>
                <w:i/>
                <w:sz w:val="18"/>
                <w:szCs w:val="18"/>
              </w:rPr>
              <w:t>,</w:t>
            </w:r>
            <w:r w:rsidRPr="00320CC7">
              <w:rPr>
                <w:rFonts w:asciiTheme="minorHAnsi" w:hAnsiTheme="minorHAnsi" w:cstheme="minorHAnsi"/>
                <w:i/>
                <w:sz w:val="18"/>
                <w:szCs w:val="18"/>
              </w:rPr>
              <w:t>579</w:t>
            </w:r>
          </w:p>
        </w:tc>
        <w:tc>
          <w:tcPr>
            <w:tcW w:w="1890" w:type="dxa"/>
            <w:tcBorders>
              <w:left w:val="nil"/>
              <w:bottom w:val="dotted" w:color="000000" w:sz="4" w:space="0"/>
              <w:right w:val="single" w:color="000000" w:sz="4" w:space="0"/>
            </w:tcBorders>
            <w:shd w:val="clear" w:color="auto" w:fill="FFFFFF"/>
            <w:vAlign w:val="center"/>
          </w:tcPr>
          <w:p w:rsidRPr="00DF2A51" w:rsidR="001D12C5" w:rsidP="001D12C5" w:rsidRDefault="001D12C5" w14:paraId="1B2A75F7" w14:textId="70E38F8D">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1</w:t>
            </w:r>
          </w:p>
        </w:tc>
        <w:tc>
          <w:tcPr>
            <w:tcW w:w="2004" w:type="dxa"/>
            <w:tcBorders>
              <w:left w:val="nil"/>
              <w:bottom w:val="dotted" w:color="000000" w:sz="4" w:space="0"/>
              <w:right w:val="single" w:color="000000" w:sz="4" w:space="0"/>
            </w:tcBorders>
            <w:shd w:val="clear" w:color="auto" w:fill="auto"/>
            <w:vAlign w:val="center"/>
          </w:tcPr>
          <w:p w:rsidRPr="00DF2A51" w:rsidR="001D12C5" w:rsidP="001D12C5" w:rsidRDefault="001D12C5" w14:paraId="46FC483E" w14:textId="058BFAF6">
            <w:pPr>
              <w:keepNext/>
              <w:keepLines/>
              <w:widowControl/>
              <w:jc w:val="center"/>
              <w:rPr>
                <w:rFonts w:ascii="Calibri" w:hAnsi="Calibri" w:eastAsia="Calibri" w:cs="Calibri"/>
                <w:i/>
                <w:color w:val="000000"/>
                <w:sz w:val="18"/>
                <w:szCs w:val="18"/>
              </w:rPr>
            </w:pPr>
            <w:r w:rsidRPr="00320CC7">
              <w:rPr>
                <w:rFonts w:asciiTheme="minorHAnsi" w:hAnsiTheme="minorHAnsi" w:cstheme="minorHAnsi"/>
                <w:i/>
                <w:sz w:val="18"/>
                <w:szCs w:val="18"/>
              </w:rPr>
              <w:t>1</w:t>
            </w:r>
            <w:r>
              <w:rPr>
                <w:rFonts w:asciiTheme="minorHAnsi" w:hAnsiTheme="minorHAnsi" w:cstheme="minorHAnsi"/>
                <w:i/>
                <w:sz w:val="18"/>
                <w:szCs w:val="18"/>
              </w:rPr>
              <w:t>,</w:t>
            </w:r>
            <w:r w:rsidRPr="00320CC7">
              <w:rPr>
                <w:rFonts w:asciiTheme="minorHAnsi" w:hAnsiTheme="minorHAnsi" w:cstheme="minorHAnsi"/>
                <w:i/>
                <w:sz w:val="18"/>
                <w:szCs w:val="18"/>
              </w:rPr>
              <w:t>579</w:t>
            </w:r>
          </w:p>
        </w:tc>
        <w:tc>
          <w:tcPr>
            <w:tcW w:w="2690" w:type="dxa"/>
            <w:tcBorders>
              <w:left w:val="nil"/>
              <w:bottom w:val="dotted" w:color="000000" w:sz="4" w:space="0"/>
              <w:right w:val="single" w:color="000000" w:sz="4" w:space="0"/>
            </w:tcBorders>
            <w:shd w:val="clear" w:color="auto" w:fill="FFFFFF"/>
            <w:vAlign w:val="center"/>
          </w:tcPr>
          <w:p w:rsidRPr="00DF2A51" w:rsidR="001D12C5" w:rsidP="001D12C5" w:rsidRDefault="0062550F" w14:paraId="576C3F40" w14:textId="688F6AF5">
            <w:pPr>
              <w:keepNext/>
              <w:keepLines/>
              <w:widowControl/>
              <w:jc w:val="center"/>
              <w:rPr>
                <w:rFonts w:eastAsia="Calibri" w:asciiTheme="minorHAnsi" w:hAnsiTheme="minorHAnsi" w:cstheme="minorHAnsi"/>
                <w:i/>
                <w:color w:val="000000"/>
                <w:sz w:val="18"/>
                <w:szCs w:val="18"/>
              </w:rPr>
            </w:pPr>
            <w:r>
              <w:rPr>
                <w:rFonts w:asciiTheme="minorHAnsi" w:hAnsiTheme="minorHAnsi" w:cstheme="minorHAnsi"/>
                <w:i/>
                <w:sz w:val="18"/>
                <w:szCs w:val="18"/>
              </w:rPr>
              <w:t>0</w:t>
            </w:r>
          </w:p>
        </w:tc>
        <w:tc>
          <w:tcPr>
            <w:tcW w:w="2143" w:type="dxa"/>
            <w:tcBorders>
              <w:left w:val="nil"/>
              <w:bottom w:val="dotted" w:color="000000" w:sz="4" w:space="0"/>
              <w:right w:val="single" w:color="000000" w:sz="8" w:space="0"/>
            </w:tcBorders>
            <w:shd w:val="clear" w:color="auto" w:fill="FFFFFF"/>
            <w:vAlign w:val="center"/>
          </w:tcPr>
          <w:p w:rsidRPr="00DF2A51" w:rsidR="001D12C5" w:rsidP="001D12C5" w:rsidRDefault="0062550F" w14:paraId="6EC35416" w14:textId="6816C1A8">
            <w:pPr>
              <w:keepNext/>
              <w:keepLines/>
              <w:widowControl/>
              <w:jc w:val="center"/>
              <w:rPr>
                <w:rFonts w:ascii="Calibri" w:hAnsi="Calibri" w:eastAsia="Calibri" w:cs="Calibri"/>
                <w:i/>
                <w:color w:val="000000"/>
                <w:sz w:val="18"/>
                <w:szCs w:val="18"/>
              </w:rPr>
            </w:pPr>
            <w:r>
              <w:rPr>
                <w:rFonts w:ascii="Calibri" w:hAnsi="Calibri" w:eastAsia="Calibri" w:cs="Calibri"/>
                <w:i/>
                <w:color w:val="000000"/>
                <w:sz w:val="18"/>
                <w:szCs w:val="18"/>
              </w:rPr>
              <w:t>0</w:t>
            </w:r>
          </w:p>
        </w:tc>
      </w:tr>
      <w:tr w:rsidR="00B14D23" w:rsidTr="00B14D23" w14:paraId="644ADF66" w14:textId="77777777">
        <w:trPr>
          <w:trHeight w:val="305"/>
          <w:jc w:val="center"/>
        </w:trPr>
        <w:tc>
          <w:tcPr>
            <w:tcW w:w="4130" w:type="dxa"/>
            <w:tcBorders>
              <w:top w:val="dotted" w:color="000000" w:sz="4" w:space="0"/>
              <w:left w:val="single" w:color="000000" w:sz="4" w:space="0"/>
              <w:bottom w:val="dotted" w:color="000000" w:sz="4" w:space="0"/>
              <w:right w:val="single" w:color="000000" w:sz="4" w:space="0"/>
            </w:tcBorders>
            <w:shd w:val="clear" w:color="auto" w:fill="auto"/>
            <w:vAlign w:val="center"/>
          </w:tcPr>
          <w:p w:rsidRPr="00DF2A51" w:rsidR="001D12C5" w:rsidP="001D12C5" w:rsidRDefault="001D12C5" w14:paraId="326F8E15" w14:textId="57A67621">
            <w:pPr>
              <w:keepNext/>
              <w:keepLines/>
              <w:widowControl/>
              <w:jc w:val="right"/>
              <w:rPr>
                <w:rFonts w:eastAsia="Calibri" w:asciiTheme="minorHAnsi" w:hAnsiTheme="minorHAnsi" w:cstheme="minorHAnsi"/>
                <w:i/>
                <w:color w:val="000000"/>
                <w:sz w:val="18"/>
                <w:szCs w:val="18"/>
              </w:rPr>
            </w:pPr>
            <w:r w:rsidRPr="00DF2A51">
              <w:rPr>
                <w:rFonts w:asciiTheme="minorHAnsi" w:hAnsiTheme="minorHAnsi" w:cstheme="minorHAnsi"/>
                <w:i/>
                <w:sz w:val="18"/>
                <w:szCs w:val="18"/>
              </w:rPr>
              <w:t>CR Program</w:t>
            </w:r>
          </w:p>
        </w:tc>
        <w:tc>
          <w:tcPr>
            <w:tcW w:w="1530" w:type="dxa"/>
            <w:tcBorders>
              <w:top w:val="dotted" w:color="000000" w:sz="4" w:space="0"/>
              <w:left w:val="nil"/>
              <w:bottom w:val="dotted" w:color="000000" w:sz="4" w:space="0"/>
              <w:right w:val="single" w:color="000000" w:sz="4" w:space="0"/>
            </w:tcBorders>
            <w:shd w:val="clear" w:color="auto" w:fill="auto"/>
            <w:vAlign w:val="center"/>
          </w:tcPr>
          <w:p w:rsidRPr="00DF2A51" w:rsidR="001D12C5" w:rsidP="001D12C5" w:rsidRDefault="001D12C5" w14:paraId="7CAA97CA" w14:textId="0134CC8B">
            <w:pPr>
              <w:keepNext/>
              <w:keepLines/>
              <w:widowControl/>
              <w:jc w:val="center"/>
              <w:rPr>
                <w:rFonts w:ascii="Calibri" w:hAnsi="Calibri" w:eastAsia="Calibri" w:cs="Calibri"/>
                <w:i/>
                <w:color w:val="000000"/>
                <w:sz w:val="18"/>
                <w:szCs w:val="18"/>
              </w:rPr>
            </w:pPr>
            <w:r w:rsidRPr="00320CC7">
              <w:rPr>
                <w:rFonts w:asciiTheme="minorHAnsi" w:hAnsiTheme="minorHAnsi" w:cstheme="minorHAnsi"/>
                <w:i/>
                <w:sz w:val="18"/>
                <w:szCs w:val="18"/>
              </w:rPr>
              <w:t>18</w:t>
            </w:r>
          </w:p>
        </w:tc>
        <w:tc>
          <w:tcPr>
            <w:tcW w:w="1890" w:type="dxa"/>
            <w:tcBorders>
              <w:top w:val="dotted" w:color="000000" w:sz="4" w:space="0"/>
              <w:left w:val="nil"/>
              <w:bottom w:val="dotted" w:color="000000" w:sz="4" w:space="0"/>
              <w:right w:val="single" w:color="000000" w:sz="4" w:space="0"/>
            </w:tcBorders>
            <w:shd w:val="clear" w:color="auto" w:fill="FFFFFF"/>
            <w:vAlign w:val="center"/>
          </w:tcPr>
          <w:p w:rsidRPr="00DF2A51" w:rsidR="001D12C5" w:rsidP="001D12C5" w:rsidRDefault="001D12C5" w14:paraId="378E0A42" w14:textId="5B0E9132">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1</w:t>
            </w:r>
          </w:p>
        </w:tc>
        <w:tc>
          <w:tcPr>
            <w:tcW w:w="2004" w:type="dxa"/>
            <w:tcBorders>
              <w:top w:val="dotted" w:color="000000" w:sz="4" w:space="0"/>
              <w:left w:val="nil"/>
              <w:bottom w:val="dotted" w:color="000000" w:sz="4" w:space="0"/>
              <w:right w:val="single" w:color="000000" w:sz="4" w:space="0"/>
            </w:tcBorders>
            <w:shd w:val="clear" w:color="auto" w:fill="auto"/>
            <w:vAlign w:val="center"/>
          </w:tcPr>
          <w:p w:rsidRPr="00DF2A51" w:rsidR="001D12C5" w:rsidP="001D12C5" w:rsidRDefault="001D12C5" w14:paraId="5F2C52C7" w14:textId="66275B59">
            <w:pPr>
              <w:keepNext/>
              <w:keepLines/>
              <w:widowControl/>
              <w:jc w:val="center"/>
              <w:rPr>
                <w:rFonts w:ascii="Calibri" w:hAnsi="Calibri" w:eastAsia="Calibri" w:cs="Calibri"/>
                <w:i/>
                <w:color w:val="000000"/>
                <w:sz w:val="18"/>
                <w:szCs w:val="18"/>
              </w:rPr>
            </w:pPr>
            <w:r w:rsidRPr="00320CC7">
              <w:rPr>
                <w:rFonts w:asciiTheme="minorHAnsi" w:hAnsiTheme="minorHAnsi" w:cstheme="minorHAnsi"/>
                <w:i/>
                <w:sz w:val="18"/>
                <w:szCs w:val="18"/>
              </w:rPr>
              <w:t>18</w:t>
            </w:r>
          </w:p>
        </w:tc>
        <w:tc>
          <w:tcPr>
            <w:tcW w:w="2690" w:type="dxa"/>
            <w:tcBorders>
              <w:top w:val="dotted" w:color="000000" w:sz="4" w:space="0"/>
              <w:left w:val="nil"/>
              <w:bottom w:val="dotted" w:color="000000" w:sz="4" w:space="0"/>
              <w:right w:val="single" w:color="000000" w:sz="4" w:space="0"/>
            </w:tcBorders>
            <w:shd w:val="clear" w:color="auto" w:fill="FFFFFF"/>
            <w:vAlign w:val="center"/>
          </w:tcPr>
          <w:p w:rsidRPr="00DF2A51" w:rsidR="001D12C5" w:rsidP="001D12C5" w:rsidRDefault="0062550F" w14:paraId="42707D1A" w14:textId="55106003">
            <w:pPr>
              <w:keepNext/>
              <w:keepLines/>
              <w:widowControl/>
              <w:jc w:val="center"/>
              <w:rPr>
                <w:rFonts w:eastAsia="Calibri" w:asciiTheme="minorHAnsi" w:hAnsiTheme="minorHAnsi" w:cstheme="minorHAnsi"/>
                <w:i/>
                <w:color w:val="000000"/>
                <w:sz w:val="18"/>
                <w:szCs w:val="18"/>
              </w:rPr>
            </w:pPr>
            <w:r>
              <w:rPr>
                <w:rFonts w:asciiTheme="minorHAnsi" w:hAnsiTheme="minorHAnsi" w:cstheme="minorHAnsi"/>
                <w:i/>
                <w:sz w:val="18"/>
                <w:szCs w:val="18"/>
              </w:rPr>
              <w:t>0</w:t>
            </w:r>
          </w:p>
        </w:tc>
        <w:tc>
          <w:tcPr>
            <w:tcW w:w="2143" w:type="dxa"/>
            <w:tcBorders>
              <w:top w:val="dotted" w:color="000000" w:sz="4" w:space="0"/>
              <w:left w:val="nil"/>
              <w:bottom w:val="dotted" w:color="000000" w:sz="4" w:space="0"/>
              <w:right w:val="single" w:color="000000" w:sz="8" w:space="0"/>
            </w:tcBorders>
            <w:shd w:val="clear" w:color="auto" w:fill="FFFFFF"/>
            <w:vAlign w:val="center"/>
          </w:tcPr>
          <w:p w:rsidRPr="00DF2A51" w:rsidR="001D12C5" w:rsidP="001D12C5" w:rsidRDefault="0062550F" w14:paraId="707C1BFE" w14:textId="3EB6952F">
            <w:pPr>
              <w:keepNext/>
              <w:keepLines/>
              <w:widowControl/>
              <w:jc w:val="center"/>
              <w:rPr>
                <w:rFonts w:ascii="Calibri" w:hAnsi="Calibri" w:eastAsia="Calibri" w:cs="Calibri"/>
                <w:i/>
                <w:color w:val="000000"/>
                <w:sz w:val="18"/>
                <w:szCs w:val="18"/>
              </w:rPr>
            </w:pPr>
            <w:r>
              <w:rPr>
                <w:rFonts w:ascii="Calibri" w:hAnsi="Calibri" w:eastAsia="Calibri" w:cs="Calibri"/>
                <w:i/>
                <w:color w:val="000000"/>
                <w:sz w:val="18"/>
                <w:szCs w:val="18"/>
              </w:rPr>
              <w:t>0</w:t>
            </w:r>
          </w:p>
        </w:tc>
      </w:tr>
      <w:tr w:rsidR="00B14D23" w:rsidTr="00B14D23" w14:paraId="20328ABB" w14:textId="77777777">
        <w:trPr>
          <w:trHeight w:val="305"/>
          <w:jc w:val="center"/>
        </w:trPr>
        <w:tc>
          <w:tcPr>
            <w:tcW w:w="4130" w:type="dxa"/>
            <w:tcBorders>
              <w:top w:val="dotted" w:color="000000" w:sz="4" w:space="0"/>
              <w:left w:val="single" w:color="000000" w:sz="4" w:space="0"/>
              <w:bottom w:val="dotted" w:color="000000" w:sz="4" w:space="0"/>
              <w:right w:val="single" w:color="000000" w:sz="4" w:space="0"/>
            </w:tcBorders>
            <w:shd w:val="clear" w:color="auto" w:fill="auto"/>
            <w:vAlign w:val="center"/>
          </w:tcPr>
          <w:p w:rsidRPr="00DF2A51" w:rsidR="0062550F" w:rsidP="0062550F" w:rsidRDefault="0062550F" w14:paraId="6EA80C92" w14:textId="280EBC56">
            <w:pPr>
              <w:keepNext/>
              <w:keepLines/>
              <w:widowControl/>
              <w:jc w:val="right"/>
              <w:rPr>
                <w:rFonts w:eastAsia="Calibri" w:asciiTheme="minorHAnsi" w:hAnsiTheme="minorHAnsi" w:cstheme="minorHAnsi"/>
                <w:i/>
                <w:color w:val="000000"/>
                <w:sz w:val="18"/>
                <w:szCs w:val="18"/>
              </w:rPr>
            </w:pPr>
            <w:r w:rsidRPr="00DF2A51">
              <w:rPr>
                <w:rFonts w:asciiTheme="minorHAnsi" w:hAnsiTheme="minorHAnsi" w:cstheme="minorHAnsi"/>
                <w:i/>
                <w:sz w:val="18"/>
                <w:szCs w:val="18"/>
              </w:rPr>
              <w:t>Rockfish Program</w:t>
            </w:r>
          </w:p>
        </w:tc>
        <w:tc>
          <w:tcPr>
            <w:tcW w:w="1530" w:type="dxa"/>
            <w:tcBorders>
              <w:top w:val="dotted" w:color="000000" w:sz="4" w:space="0"/>
              <w:left w:val="nil"/>
              <w:bottom w:val="dotted" w:color="000000" w:sz="4" w:space="0"/>
              <w:right w:val="single" w:color="000000" w:sz="4" w:space="0"/>
            </w:tcBorders>
            <w:shd w:val="clear" w:color="auto" w:fill="auto"/>
            <w:vAlign w:val="center"/>
          </w:tcPr>
          <w:p w:rsidRPr="00DF2A51" w:rsidR="0062550F" w:rsidP="0062550F" w:rsidRDefault="0062550F" w14:paraId="3FF71CF3" w14:textId="6197ACF6">
            <w:pPr>
              <w:keepNext/>
              <w:keepLines/>
              <w:widowControl/>
              <w:jc w:val="center"/>
              <w:rPr>
                <w:rFonts w:ascii="Calibri" w:hAnsi="Calibri" w:eastAsia="Calibri" w:cs="Calibri"/>
                <w:i/>
                <w:color w:val="000000"/>
                <w:sz w:val="18"/>
                <w:szCs w:val="18"/>
              </w:rPr>
            </w:pPr>
            <w:r w:rsidRPr="00320CC7">
              <w:rPr>
                <w:rFonts w:asciiTheme="minorHAnsi" w:hAnsiTheme="minorHAnsi" w:cstheme="minorHAnsi"/>
                <w:i/>
                <w:sz w:val="18"/>
                <w:szCs w:val="18"/>
              </w:rPr>
              <w:t>7</w:t>
            </w:r>
          </w:p>
        </w:tc>
        <w:tc>
          <w:tcPr>
            <w:tcW w:w="1890" w:type="dxa"/>
            <w:tcBorders>
              <w:top w:val="dotted" w:color="000000" w:sz="4" w:space="0"/>
              <w:left w:val="nil"/>
              <w:bottom w:val="dotted" w:color="000000" w:sz="4" w:space="0"/>
              <w:right w:val="single" w:color="000000" w:sz="4" w:space="0"/>
            </w:tcBorders>
            <w:shd w:val="clear" w:color="auto" w:fill="FFFFFF"/>
            <w:vAlign w:val="center"/>
          </w:tcPr>
          <w:p w:rsidRPr="00DF2A51" w:rsidR="0062550F" w:rsidP="0062550F" w:rsidRDefault="0062550F" w14:paraId="061E5CF0" w14:textId="4876222E">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1</w:t>
            </w:r>
          </w:p>
        </w:tc>
        <w:tc>
          <w:tcPr>
            <w:tcW w:w="2004" w:type="dxa"/>
            <w:tcBorders>
              <w:top w:val="dotted" w:color="000000" w:sz="4" w:space="0"/>
              <w:left w:val="nil"/>
              <w:bottom w:val="dotted" w:color="000000" w:sz="4" w:space="0"/>
              <w:right w:val="single" w:color="000000" w:sz="4" w:space="0"/>
            </w:tcBorders>
            <w:shd w:val="clear" w:color="auto" w:fill="auto"/>
            <w:vAlign w:val="center"/>
          </w:tcPr>
          <w:p w:rsidRPr="00DF2A51" w:rsidR="0062550F" w:rsidP="0062550F" w:rsidRDefault="0062550F" w14:paraId="55E021AD" w14:textId="0EE85714">
            <w:pPr>
              <w:keepNext/>
              <w:keepLines/>
              <w:widowControl/>
              <w:jc w:val="center"/>
              <w:rPr>
                <w:rFonts w:ascii="Calibri" w:hAnsi="Calibri" w:eastAsia="Calibri" w:cs="Calibri"/>
                <w:i/>
                <w:color w:val="000000"/>
                <w:sz w:val="18"/>
                <w:szCs w:val="18"/>
              </w:rPr>
            </w:pPr>
            <w:r w:rsidRPr="00320CC7">
              <w:rPr>
                <w:rFonts w:asciiTheme="minorHAnsi" w:hAnsiTheme="minorHAnsi" w:cstheme="minorHAnsi"/>
                <w:i/>
                <w:sz w:val="18"/>
                <w:szCs w:val="18"/>
              </w:rPr>
              <w:t>7</w:t>
            </w:r>
          </w:p>
        </w:tc>
        <w:tc>
          <w:tcPr>
            <w:tcW w:w="2690" w:type="dxa"/>
            <w:tcBorders>
              <w:top w:val="dotted" w:color="000000" w:sz="4" w:space="0"/>
              <w:left w:val="nil"/>
              <w:bottom w:val="dotted" w:color="000000" w:sz="4" w:space="0"/>
              <w:right w:val="single" w:color="000000" w:sz="4" w:space="0"/>
            </w:tcBorders>
            <w:shd w:val="clear" w:color="auto" w:fill="FFFFFF"/>
            <w:vAlign w:val="center"/>
          </w:tcPr>
          <w:p w:rsidRPr="00DF2A51" w:rsidR="0062550F" w:rsidP="0062550F" w:rsidRDefault="0062550F" w14:paraId="1278D66C" w14:textId="0C894E19">
            <w:pPr>
              <w:keepNext/>
              <w:keepLines/>
              <w:widowControl/>
              <w:jc w:val="center"/>
              <w:rPr>
                <w:rFonts w:eastAsia="Calibri" w:asciiTheme="minorHAnsi" w:hAnsiTheme="minorHAnsi" w:cstheme="minorHAnsi"/>
                <w:i/>
                <w:color w:val="000000"/>
                <w:sz w:val="18"/>
                <w:szCs w:val="18"/>
              </w:rPr>
            </w:pPr>
            <w:r w:rsidRPr="00E90F65">
              <w:rPr>
                <w:rFonts w:asciiTheme="minorHAnsi" w:hAnsiTheme="minorHAnsi" w:cstheme="minorHAnsi"/>
                <w:i/>
                <w:sz w:val="18"/>
                <w:szCs w:val="18"/>
              </w:rPr>
              <w:t>0</w:t>
            </w:r>
          </w:p>
        </w:tc>
        <w:tc>
          <w:tcPr>
            <w:tcW w:w="2143" w:type="dxa"/>
            <w:tcBorders>
              <w:top w:val="dotted" w:color="000000" w:sz="4" w:space="0"/>
              <w:left w:val="nil"/>
              <w:bottom w:val="dotted" w:color="000000" w:sz="4" w:space="0"/>
              <w:right w:val="single" w:color="000000" w:sz="8" w:space="0"/>
            </w:tcBorders>
            <w:shd w:val="clear" w:color="auto" w:fill="FFFFFF"/>
            <w:vAlign w:val="center"/>
          </w:tcPr>
          <w:p w:rsidRPr="00DF2A51" w:rsidR="0062550F" w:rsidP="0062550F" w:rsidRDefault="0062550F" w14:paraId="40C6A847" w14:textId="2207203D">
            <w:pPr>
              <w:keepNext/>
              <w:keepLines/>
              <w:widowControl/>
              <w:jc w:val="center"/>
              <w:rPr>
                <w:rFonts w:ascii="Calibri" w:hAnsi="Calibri" w:eastAsia="Calibri" w:cs="Calibri"/>
                <w:i/>
                <w:color w:val="000000"/>
                <w:sz w:val="18"/>
                <w:szCs w:val="18"/>
              </w:rPr>
            </w:pPr>
            <w:r>
              <w:rPr>
                <w:rFonts w:ascii="Calibri" w:hAnsi="Calibri" w:eastAsia="Calibri" w:cs="Calibri"/>
                <w:i/>
                <w:color w:val="000000"/>
                <w:sz w:val="18"/>
                <w:szCs w:val="18"/>
              </w:rPr>
              <w:t>0</w:t>
            </w:r>
          </w:p>
        </w:tc>
      </w:tr>
      <w:tr w:rsidR="00B14D23" w:rsidTr="00B14D23" w14:paraId="487C108A" w14:textId="77777777">
        <w:trPr>
          <w:trHeight w:val="305"/>
          <w:jc w:val="center"/>
        </w:trPr>
        <w:tc>
          <w:tcPr>
            <w:tcW w:w="4130" w:type="dxa"/>
            <w:tcBorders>
              <w:top w:val="dotted" w:color="000000" w:sz="4" w:space="0"/>
              <w:left w:val="single" w:color="000000" w:sz="4" w:space="0"/>
              <w:bottom w:val="dotted" w:color="000000" w:sz="4" w:space="0"/>
              <w:right w:val="single" w:color="000000" w:sz="4" w:space="0"/>
            </w:tcBorders>
            <w:shd w:val="clear" w:color="auto" w:fill="auto"/>
            <w:vAlign w:val="center"/>
          </w:tcPr>
          <w:p w:rsidRPr="00DF2A51" w:rsidR="0062550F" w:rsidP="0062550F" w:rsidRDefault="0062550F" w14:paraId="4E00E0BB" w14:textId="585BFBBE">
            <w:pPr>
              <w:keepNext/>
              <w:keepLines/>
              <w:widowControl/>
              <w:jc w:val="right"/>
              <w:rPr>
                <w:rFonts w:eastAsia="Calibri" w:asciiTheme="minorHAnsi" w:hAnsiTheme="minorHAnsi" w:cstheme="minorHAnsi"/>
                <w:i/>
                <w:color w:val="000000"/>
                <w:sz w:val="18"/>
                <w:szCs w:val="18"/>
              </w:rPr>
            </w:pPr>
            <w:r w:rsidRPr="00DF2A51">
              <w:rPr>
                <w:rFonts w:asciiTheme="minorHAnsi" w:hAnsiTheme="minorHAnsi" w:cstheme="minorHAnsi"/>
                <w:i/>
                <w:sz w:val="18"/>
                <w:szCs w:val="18"/>
              </w:rPr>
              <w:t>CDQ Program</w:t>
            </w:r>
          </w:p>
        </w:tc>
        <w:tc>
          <w:tcPr>
            <w:tcW w:w="1530" w:type="dxa"/>
            <w:tcBorders>
              <w:top w:val="dotted" w:color="000000" w:sz="4" w:space="0"/>
              <w:left w:val="nil"/>
              <w:bottom w:val="dotted" w:color="000000" w:sz="4" w:space="0"/>
              <w:right w:val="single" w:color="000000" w:sz="4" w:space="0"/>
            </w:tcBorders>
            <w:shd w:val="clear" w:color="auto" w:fill="auto"/>
            <w:vAlign w:val="center"/>
          </w:tcPr>
          <w:p w:rsidRPr="00DF2A51" w:rsidR="0062550F" w:rsidP="0062550F" w:rsidRDefault="0062550F" w14:paraId="12BA33A3" w14:textId="12D3499D">
            <w:pPr>
              <w:keepNext/>
              <w:keepLines/>
              <w:widowControl/>
              <w:jc w:val="center"/>
              <w:rPr>
                <w:rFonts w:ascii="Calibri" w:hAnsi="Calibri" w:eastAsia="Calibri" w:cs="Calibri"/>
                <w:i/>
                <w:color w:val="000000"/>
                <w:sz w:val="18"/>
                <w:szCs w:val="18"/>
              </w:rPr>
            </w:pPr>
            <w:r w:rsidRPr="00320CC7">
              <w:rPr>
                <w:rFonts w:asciiTheme="minorHAnsi" w:hAnsiTheme="minorHAnsi" w:cstheme="minorHAnsi"/>
                <w:i/>
                <w:sz w:val="18"/>
                <w:szCs w:val="18"/>
              </w:rPr>
              <w:t>6</w:t>
            </w:r>
          </w:p>
        </w:tc>
        <w:tc>
          <w:tcPr>
            <w:tcW w:w="1890" w:type="dxa"/>
            <w:tcBorders>
              <w:top w:val="dotted" w:color="000000" w:sz="4" w:space="0"/>
              <w:left w:val="nil"/>
              <w:bottom w:val="dotted" w:color="000000" w:sz="4" w:space="0"/>
              <w:right w:val="single" w:color="000000" w:sz="4" w:space="0"/>
            </w:tcBorders>
            <w:shd w:val="clear" w:color="auto" w:fill="FFFFFF"/>
            <w:vAlign w:val="center"/>
          </w:tcPr>
          <w:p w:rsidRPr="00DF2A51" w:rsidR="0062550F" w:rsidP="0062550F" w:rsidRDefault="0062550F" w14:paraId="0C5BB58E" w14:textId="498B9C2A">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1</w:t>
            </w:r>
          </w:p>
        </w:tc>
        <w:tc>
          <w:tcPr>
            <w:tcW w:w="2004" w:type="dxa"/>
            <w:tcBorders>
              <w:top w:val="dotted" w:color="000000" w:sz="4" w:space="0"/>
              <w:left w:val="nil"/>
              <w:bottom w:val="dotted" w:color="000000" w:sz="4" w:space="0"/>
              <w:right w:val="single" w:color="000000" w:sz="4" w:space="0"/>
            </w:tcBorders>
            <w:shd w:val="clear" w:color="auto" w:fill="auto"/>
            <w:vAlign w:val="center"/>
          </w:tcPr>
          <w:p w:rsidRPr="00DF2A51" w:rsidR="0062550F" w:rsidP="0062550F" w:rsidRDefault="0062550F" w14:paraId="3550CB0C" w14:textId="02614368">
            <w:pPr>
              <w:keepNext/>
              <w:keepLines/>
              <w:widowControl/>
              <w:jc w:val="center"/>
              <w:rPr>
                <w:rFonts w:ascii="Calibri" w:hAnsi="Calibri" w:eastAsia="Calibri" w:cs="Calibri"/>
                <w:i/>
                <w:color w:val="000000"/>
                <w:sz w:val="18"/>
                <w:szCs w:val="18"/>
              </w:rPr>
            </w:pPr>
            <w:r w:rsidRPr="00320CC7">
              <w:rPr>
                <w:rFonts w:asciiTheme="minorHAnsi" w:hAnsiTheme="minorHAnsi" w:cstheme="minorHAnsi"/>
                <w:i/>
                <w:sz w:val="18"/>
                <w:szCs w:val="18"/>
              </w:rPr>
              <w:t>6</w:t>
            </w:r>
          </w:p>
        </w:tc>
        <w:tc>
          <w:tcPr>
            <w:tcW w:w="2690" w:type="dxa"/>
            <w:tcBorders>
              <w:top w:val="dotted" w:color="000000" w:sz="4" w:space="0"/>
              <w:left w:val="nil"/>
              <w:bottom w:val="dotted" w:color="000000" w:sz="4" w:space="0"/>
              <w:right w:val="single" w:color="000000" w:sz="4" w:space="0"/>
            </w:tcBorders>
            <w:shd w:val="clear" w:color="auto" w:fill="FFFFFF"/>
            <w:vAlign w:val="center"/>
          </w:tcPr>
          <w:p w:rsidRPr="00DF2A51" w:rsidR="0062550F" w:rsidP="0062550F" w:rsidRDefault="0062550F" w14:paraId="778A699E" w14:textId="4B15547B">
            <w:pPr>
              <w:keepNext/>
              <w:keepLines/>
              <w:widowControl/>
              <w:jc w:val="center"/>
              <w:rPr>
                <w:rFonts w:eastAsia="Calibri" w:asciiTheme="minorHAnsi" w:hAnsiTheme="minorHAnsi" w:cstheme="minorHAnsi"/>
                <w:i/>
                <w:color w:val="000000"/>
                <w:sz w:val="18"/>
                <w:szCs w:val="18"/>
              </w:rPr>
            </w:pPr>
            <w:r w:rsidRPr="00E90F65">
              <w:rPr>
                <w:rFonts w:asciiTheme="minorHAnsi" w:hAnsiTheme="minorHAnsi" w:cstheme="minorHAnsi"/>
                <w:i/>
                <w:sz w:val="18"/>
                <w:szCs w:val="18"/>
              </w:rPr>
              <w:t>0</w:t>
            </w:r>
          </w:p>
        </w:tc>
        <w:tc>
          <w:tcPr>
            <w:tcW w:w="2143" w:type="dxa"/>
            <w:tcBorders>
              <w:top w:val="dotted" w:color="000000" w:sz="4" w:space="0"/>
              <w:left w:val="nil"/>
              <w:bottom w:val="dotted" w:color="000000" w:sz="4" w:space="0"/>
              <w:right w:val="single" w:color="000000" w:sz="8" w:space="0"/>
            </w:tcBorders>
            <w:shd w:val="clear" w:color="auto" w:fill="FFFFFF"/>
            <w:vAlign w:val="center"/>
          </w:tcPr>
          <w:p w:rsidRPr="00DF2A51" w:rsidR="0062550F" w:rsidP="0062550F" w:rsidRDefault="0062550F" w14:paraId="1402BF92" w14:textId="0F9B2E0C">
            <w:pPr>
              <w:keepNext/>
              <w:keepLines/>
              <w:widowControl/>
              <w:jc w:val="center"/>
              <w:rPr>
                <w:rFonts w:ascii="Calibri" w:hAnsi="Calibri" w:eastAsia="Calibri" w:cs="Calibri"/>
                <w:i/>
                <w:color w:val="000000"/>
                <w:sz w:val="18"/>
                <w:szCs w:val="18"/>
              </w:rPr>
            </w:pPr>
            <w:r>
              <w:rPr>
                <w:rFonts w:ascii="Calibri" w:hAnsi="Calibri" w:eastAsia="Calibri" w:cs="Calibri"/>
                <w:i/>
                <w:color w:val="000000"/>
                <w:sz w:val="18"/>
                <w:szCs w:val="18"/>
              </w:rPr>
              <w:t>0</w:t>
            </w:r>
          </w:p>
        </w:tc>
      </w:tr>
      <w:tr w:rsidR="00B14D23" w:rsidTr="00B14D23" w14:paraId="61F0D38C" w14:textId="77777777">
        <w:trPr>
          <w:trHeight w:val="305"/>
          <w:jc w:val="center"/>
        </w:trPr>
        <w:tc>
          <w:tcPr>
            <w:tcW w:w="4130" w:type="dxa"/>
            <w:tcBorders>
              <w:top w:val="dotted" w:color="000000" w:sz="4" w:space="0"/>
              <w:left w:val="single" w:color="000000" w:sz="4" w:space="0"/>
              <w:bottom w:val="dotted" w:color="000000" w:sz="4" w:space="0"/>
              <w:right w:val="single" w:color="000000" w:sz="4" w:space="0"/>
            </w:tcBorders>
            <w:shd w:val="clear" w:color="auto" w:fill="auto"/>
            <w:vAlign w:val="center"/>
          </w:tcPr>
          <w:p w:rsidRPr="00DF2A51" w:rsidR="0062550F" w:rsidP="0062550F" w:rsidRDefault="0062550F" w14:paraId="5A93696E" w14:textId="5BD59352">
            <w:pPr>
              <w:keepNext/>
              <w:keepLines/>
              <w:widowControl/>
              <w:jc w:val="right"/>
              <w:rPr>
                <w:rFonts w:eastAsia="Calibri" w:asciiTheme="minorHAnsi" w:hAnsiTheme="minorHAnsi" w:cstheme="minorHAnsi"/>
                <w:i/>
                <w:color w:val="000000"/>
                <w:sz w:val="18"/>
                <w:szCs w:val="18"/>
              </w:rPr>
            </w:pPr>
            <w:r w:rsidRPr="00DF2A51">
              <w:rPr>
                <w:rFonts w:asciiTheme="minorHAnsi" w:hAnsiTheme="minorHAnsi" w:cstheme="minorHAnsi"/>
                <w:i/>
                <w:sz w:val="18"/>
                <w:szCs w:val="18"/>
              </w:rPr>
              <w:t>AFA Program</w:t>
            </w:r>
          </w:p>
        </w:tc>
        <w:tc>
          <w:tcPr>
            <w:tcW w:w="1530" w:type="dxa"/>
            <w:tcBorders>
              <w:top w:val="dotted" w:color="000000" w:sz="4" w:space="0"/>
              <w:left w:val="nil"/>
              <w:bottom w:val="dotted" w:color="000000" w:sz="4" w:space="0"/>
              <w:right w:val="single" w:color="000000" w:sz="4" w:space="0"/>
            </w:tcBorders>
            <w:shd w:val="clear" w:color="auto" w:fill="auto"/>
            <w:vAlign w:val="center"/>
          </w:tcPr>
          <w:p w:rsidRPr="00DF2A51" w:rsidR="0062550F" w:rsidP="0062550F" w:rsidRDefault="0062550F" w14:paraId="64407EFE" w14:textId="4EBBCEB9">
            <w:pPr>
              <w:keepNext/>
              <w:keepLines/>
              <w:widowControl/>
              <w:jc w:val="center"/>
              <w:rPr>
                <w:rFonts w:ascii="Calibri" w:hAnsi="Calibri" w:eastAsia="Calibri" w:cs="Calibri"/>
                <w:i/>
                <w:color w:val="000000"/>
                <w:sz w:val="18"/>
                <w:szCs w:val="18"/>
              </w:rPr>
            </w:pPr>
            <w:r w:rsidRPr="00320CC7">
              <w:rPr>
                <w:rFonts w:asciiTheme="minorHAnsi" w:hAnsiTheme="minorHAnsi" w:cstheme="minorHAnsi"/>
                <w:i/>
                <w:sz w:val="18"/>
                <w:szCs w:val="18"/>
              </w:rPr>
              <w:t>8</w:t>
            </w:r>
          </w:p>
        </w:tc>
        <w:tc>
          <w:tcPr>
            <w:tcW w:w="1890" w:type="dxa"/>
            <w:tcBorders>
              <w:top w:val="dotted" w:color="000000" w:sz="4" w:space="0"/>
              <w:left w:val="nil"/>
              <w:bottom w:val="dotted" w:color="000000" w:sz="4" w:space="0"/>
              <w:right w:val="single" w:color="000000" w:sz="4" w:space="0"/>
            </w:tcBorders>
            <w:shd w:val="clear" w:color="auto" w:fill="FFFFFF"/>
            <w:vAlign w:val="center"/>
          </w:tcPr>
          <w:p w:rsidRPr="00DF2A51" w:rsidR="0062550F" w:rsidP="0062550F" w:rsidRDefault="0062550F" w14:paraId="1954D4E8" w14:textId="3B85C2D5">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1</w:t>
            </w:r>
          </w:p>
        </w:tc>
        <w:tc>
          <w:tcPr>
            <w:tcW w:w="2004" w:type="dxa"/>
            <w:tcBorders>
              <w:top w:val="dotted" w:color="000000" w:sz="4" w:space="0"/>
              <w:left w:val="nil"/>
              <w:bottom w:val="dotted" w:color="000000" w:sz="4" w:space="0"/>
              <w:right w:val="single" w:color="000000" w:sz="4" w:space="0"/>
            </w:tcBorders>
            <w:shd w:val="clear" w:color="auto" w:fill="auto"/>
            <w:vAlign w:val="center"/>
          </w:tcPr>
          <w:p w:rsidRPr="00DF2A51" w:rsidR="0062550F" w:rsidP="0062550F" w:rsidRDefault="0062550F" w14:paraId="66787AB5" w14:textId="6863958A">
            <w:pPr>
              <w:keepNext/>
              <w:keepLines/>
              <w:widowControl/>
              <w:jc w:val="center"/>
              <w:rPr>
                <w:rFonts w:ascii="Calibri" w:hAnsi="Calibri" w:eastAsia="Calibri" w:cs="Calibri"/>
                <w:i/>
                <w:color w:val="000000"/>
                <w:sz w:val="18"/>
                <w:szCs w:val="18"/>
              </w:rPr>
            </w:pPr>
            <w:r w:rsidRPr="00320CC7">
              <w:rPr>
                <w:rFonts w:asciiTheme="minorHAnsi" w:hAnsiTheme="minorHAnsi" w:cstheme="minorHAnsi"/>
                <w:i/>
                <w:sz w:val="18"/>
                <w:szCs w:val="18"/>
              </w:rPr>
              <w:t>8</w:t>
            </w:r>
          </w:p>
        </w:tc>
        <w:tc>
          <w:tcPr>
            <w:tcW w:w="2690" w:type="dxa"/>
            <w:tcBorders>
              <w:top w:val="dotted" w:color="000000" w:sz="4" w:space="0"/>
              <w:left w:val="nil"/>
              <w:bottom w:val="dotted" w:color="000000" w:sz="4" w:space="0"/>
              <w:right w:val="single" w:color="000000" w:sz="4" w:space="0"/>
            </w:tcBorders>
            <w:shd w:val="clear" w:color="auto" w:fill="FFFFFF"/>
            <w:vAlign w:val="center"/>
          </w:tcPr>
          <w:p w:rsidRPr="00DF2A51" w:rsidR="0062550F" w:rsidP="0062550F" w:rsidRDefault="0062550F" w14:paraId="370854F6" w14:textId="79753C66">
            <w:pPr>
              <w:keepNext/>
              <w:keepLines/>
              <w:widowControl/>
              <w:jc w:val="center"/>
              <w:rPr>
                <w:rFonts w:eastAsia="Calibri" w:asciiTheme="minorHAnsi" w:hAnsiTheme="minorHAnsi" w:cstheme="minorHAnsi"/>
                <w:i/>
                <w:color w:val="000000"/>
                <w:sz w:val="18"/>
                <w:szCs w:val="18"/>
              </w:rPr>
            </w:pPr>
            <w:r w:rsidRPr="00E90F65">
              <w:rPr>
                <w:rFonts w:asciiTheme="minorHAnsi" w:hAnsiTheme="minorHAnsi" w:cstheme="minorHAnsi"/>
                <w:i/>
                <w:sz w:val="18"/>
                <w:szCs w:val="18"/>
              </w:rPr>
              <w:t>0</w:t>
            </w:r>
          </w:p>
        </w:tc>
        <w:tc>
          <w:tcPr>
            <w:tcW w:w="2143" w:type="dxa"/>
            <w:tcBorders>
              <w:top w:val="dotted" w:color="000000" w:sz="4" w:space="0"/>
              <w:left w:val="nil"/>
              <w:bottom w:val="dotted" w:color="000000" w:sz="4" w:space="0"/>
              <w:right w:val="single" w:color="000000" w:sz="8" w:space="0"/>
            </w:tcBorders>
            <w:shd w:val="clear" w:color="auto" w:fill="FFFFFF"/>
            <w:vAlign w:val="center"/>
          </w:tcPr>
          <w:p w:rsidRPr="00DF2A51" w:rsidR="0062550F" w:rsidP="0062550F" w:rsidRDefault="0062550F" w14:paraId="55B027B9" w14:textId="58D87748">
            <w:pPr>
              <w:keepNext/>
              <w:keepLines/>
              <w:widowControl/>
              <w:jc w:val="center"/>
              <w:rPr>
                <w:rFonts w:ascii="Calibri" w:hAnsi="Calibri" w:eastAsia="Calibri" w:cs="Calibri"/>
                <w:i/>
                <w:color w:val="000000"/>
                <w:sz w:val="18"/>
                <w:szCs w:val="18"/>
              </w:rPr>
            </w:pPr>
            <w:r>
              <w:rPr>
                <w:rFonts w:ascii="Calibri" w:hAnsi="Calibri" w:eastAsia="Calibri" w:cs="Calibri"/>
                <w:i/>
                <w:color w:val="000000"/>
                <w:sz w:val="18"/>
                <w:szCs w:val="18"/>
              </w:rPr>
              <w:t>0</w:t>
            </w:r>
          </w:p>
        </w:tc>
      </w:tr>
      <w:tr w:rsidR="00B14D23" w:rsidTr="00B14D23" w14:paraId="45E85552" w14:textId="77777777">
        <w:trPr>
          <w:trHeight w:val="305"/>
          <w:jc w:val="center"/>
        </w:trPr>
        <w:tc>
          <w:tcPr>
            <w:tcW w:w="4130" w:type="dxa"/>
            <w:tcBorders>
              <w:top w:val="dotted" w:color="000000" w:sz="4" w:space="0"/>
              <w:left w:val="single" w:color="000000" w:sz="4" w:space="0"/>
              <w:bottom w:val="dotted" w:color="000000" w:sz="4" w:space="0"/>
              <w:right w:val="single" w:color="000000" w:sz="4" w:space="0"/>
            </w:tcBorders>
            <w:shd w:val="clear" w:color="auto" w:fill="auto"/>
            <w:vAlign w:val="center"/>
          </w:tcPr>
          <w:p w:rsidRPr="00DF2A51" w:rsidR="0062550F" w:rsidP="0062550F" w:rsidRDefault="0062550F" w14:paraId="6EF09EEA" w14:textId="2B818ED3">
            <w:pPr>
              <w:keepNext/>
              <w:keepLines/>
              <w:widowControl/>
              <w:jc w:val="right"/>
              <w:rPr>
                <w:rFonts w:eastAsia="Calibri" w:asciiTheme="minorHAnsi" w:hAnsiTheme="minorHAnsi" w:cstheme="minorHAnsi"/>
                <w:i/>
                <w:color w:val="000000"/>
                <w:sz w:val="18"/>
                <w:szCs w:val="18"/>
              </w:rPr>
            </w:pPr>
            <w:r w:rsidRPr="00DF2A51">
              <w:rPr>
                <w:rFonts w:asciiTheme="minorHAnsi" w:hAnsiTheme="minorHAnsi" w:cstheme="minorHAnsi"/>
                <w:i/>
                <w:sz w:val="18"/>
                <w:szCs w:val="18"/>
              </w:rPr>
              <w:t>Aleutian Islands Pollock</w:t>
            </w:r>
          </w:p>
        </w:tc>
        <w:tc>
          <w:tcPr>
            <w:tcW w:w="1530" w:type="dxa"/>
            <w:tcBorders>
              <w:top w:val="dotted" w:color="000000" w:sz="4" w:space="0"/>
              <w:left w:val="nil"/>
              <w:bottom w:val="dotted" w:color="000000" w:sz="4" w:space="0"/>
              <w:right w:val="single" w:color="000000" w:sz="4" w:space="0"/>
            </w:tcBorders>
            <w:shd w:val="clear" w:color="auto" w:fill="auto"/>
            <w:vAlign w:val="center"/>
          </w:tcPr>
          <w:p w:rsidRPr="00DF2A51" w:rsidR="0062550F" w:rsidP="0062550F" w:rsidRDefault="0062550F" w14:paraId="200D56EB" w14:textId="15F65C03">
            <w:pPr>
              <w:keepNext/>
              <w:keepLines/>
              <w:widowControl/>
              <w:jc w:val="center"/>
              <w:rPr>
                <w:rFonts w:ascii="Calibri" w:hAnsi="Calibri" w:eastAsia="Calibri" w:cs="Calibri"/>
                <w:i/>
                <w:color w:val="000000"/>
                <w:sz w:val="18"/>
                <w:szCs w:val="18"/>
              </w:rPr>
            </w:pPr>
            <w:r w:rsidRPr="00320CC7">
              <w:rPr>
                <w:rFonts w:asciiTheme="minorHAnsi" w:hAnsiTheme="minorHAnsi" w:cstheme="minorHAnsi"/>
                <w:i/>
                <w:sz w:val="18"/>
                <w:szCs w:val="18"/>
              </w:rPr>
              <w:t>1</w:t>
            </w:r>
          </w:p>
        </w:tc>
        <w:tc>
          <w:tcPr>
            <w:tcW w:w="1890" w:type="dxa"/>
            <w:tcBorders>
              <w:top w:val="dotted" w:color="000000" w:sz="4" w:space="0"/>
              <w:left w:val="nil"/>
              <w:bottom w:val="dotted" w:color="000000" w:sz="4" w:space="0"/>
              <w:right w:val="single" w:color="000000" w:sz="4" w:space="0"/>
            </w:tcBorders>
            <w:shd w:val="clear" w:color="auto" w:fill="FFFFFF"/>
            <w:vAlign w:val="center"/>
          </w:tcPr>
          <w:p w:rsidRPr="00DF2A51" w:rsidR="0062550F" w:rsidP="0062550F" w:rsidRDefault="0062550F" w14:paraId="3ACC3C07" w14:textId="4B16A74A">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1</w:t>
            </w:r>
          </w:p>
        </w:tc>
        <w:tc>
          <w:tcPr>
            <w:tcW w:w="2004" w:type="dxa"/>
            <w:tcBorders>
              <w:top w:val="dotted" w:color="000000" w:sz="4" w:space="0"/>
              <w:left w:val="nil"/>
              <w:bottom w:val="dotted" w:color="000000" w:sz="4" w:space="0"/>
              <w:right w:val="single" w:color="000000" w:sz="4" w:space="0"/>
            </w:tcBorders>
            <w:shd w:val="clear" w:color="auto" w:fill="auto"/>
            <w:vAlign w:val="center"/>
          </w:tcPr>
          <w:p w:rsidRPr="00DF2A51" w:rsidR="0062550F" w:rsidP="0062550F" w:rsidRDefault="0062550F" w14:paraId="4827BD65" w14:textId="4F6CC825">
            <w:pPr>
              <w:keepNext/>
              <w:keepLines/>
              <w:widowControl/>
              <w:jc w:val="center"/>
              <w:rPr>
                <w:rFonts w:ascii="Calibri" w:hAnsi="Calibri" w:eastAsia="Calibri" w:cs="Calibri"/>
                <w:i/>
                <w:color w:val="000000"/>
                <w:sz w:val="18"/>
                <w:szCs w:val="18"/>
              </w:rPr>
            </w:pPr>
            <w:r w:rsidRPr="00320CC7">
              <w:rPr>
                <w:rFonts w:asciiTheme="minorHAnsi" w:hAnsiTheme="minorHAnsi" w:cstheme="minorHAnsi"/>
                <w:i/>
                <w:sz w:val="18"/>
                <w:szCs w:val="18"/>
              </w:rPr>
              <w:t>1</w:t>
            </w:r>
          </w:p>
        </w:tc>
        <w:tc>
          <w:tcPr>
            <w:tcW w:w="2690" w:type="dxa"/>
            <w:tcBorders>
              <w:top w:val="dotted" w:color="000000" w:sz="4" w:space="0"/>
              <w:left w:val="nil"/>
              <w:bottom w:val="dotted" w:color="000000" w:sz="4" w:space="0"/>
              <w:right w:val="single" w:color="000000" w:sz="4" w:space="0"/>
            </w:tcBorders>
            <w:shd w:val="clear" w:color="auto" w:fill="FFFFFF"/>
            <w:vAlign w:val="center"/>
          </w:tcPr>
          <w:p w:rsidRPr="00DF2A51" w:rsidR="0062550F" w:rsidP="0062550F" w:rsidRDefault="0062550F" w14:paraId="3799B843" w14:textId="55D0539E">
            <w:pPr>
              <w:keepNext/>
              <w:keepLines/>
              <w:widowControl/>
              <w:jc w:val="center"/>
              <w:rPr>
                <w:rFonts w:eastAsia="Calibri" w:asciiTheme="minorHAnsi" w:hAnsiTheme="minorHAnsi" w:cstheme="minorHAnsi"/>
                <w:i/>
                <w:color w:val="000000"/>
                <w:sz w:val="18"/>
                <w:szCs w:val="18"/>
              </w:rPr>
            </w:pPr>
            <w:r w:rsidRPr="00E90F65">
              <w:rPr>
                <w:rFonts w:asciiTheme="minorHAnsi" w:hAnsiTheme="minorHAnsi" w:cstheme="minorHAnsi"/>
                <w:i/>
                <w:sz w:val="18"/>
                <w:szCs w:val="18"/>
              </w:rPr>
              <w:t>0</w:t>
            </w:r>
          </w:p>
        </w:tc>
        <w:tc>
          <w:tcPr>
            <w:tcW w:w="2143" w:type="dxa"/>
            <w:tcBorders>
              <w:top w:val="dotted" w:color="000000" w:sz="4" w:space="0"/>
              <w:left w:val="nil"/>
              <w:bottom w:val="dotted" w:color="000000" w:sz="4" w:space="0"/>
              <w:right w:val="single" w:color="000000" w:sz="8" w:space="0"/>
            </w:tcBorders>
            <w:shd w:val="clear" w:color="auto" w:fill="FFFFFF"/>
            <w:vAlign w:val="center"/>
          </w:tcPr>
          <w:p w:rsidRPr="00DF2A51" w:rsidR="0062550F" w:rsidP="0062550F" w:rsidRDefault="0062550F" w14:paraId="1F3EC3C0" w14:textId="38411669">
            <w:pPr>
              <w:keepNext/>
              <w:keepLines/>
              <w:widowControl/>
              <w:jc w:val="center"/>
              <w:rPr>
                <w:rFonts w:ascii="Calibri" w:hAnsi="Calibri" w:eastAsia="Calibri" w:cs="Calibri"/>
                <w:i/>
                <w:color w:val="000000"/>
                <w:sz w:val="18"/>
                <w:szCs w:val="18"/>
              </w:rPr>
            </w:pPr>
            <w:r>
              <w:rPr>
                <w:rFonts w:ascii="Calibri" w:hAnsi="Calibri" w:eastAsia="Calibri" w:cs="Calibri"/>
                <w:i/>
                <w:color w:val="000000"/>
                <w:sz w:val="18"/>
                <w:szCs w:val="18"/>
              </w:rPr>
              <w:t>0</w:t>
            </w:r>
          </w:p>
        </w:tc>
      </w:tr>
      <w:tr w:rsidR="00B14D23" w:rsidTr="00B14D23" w14:paraId="248B854F" w14:textId="77777777">
        <w:trPr>
          <w:trHeight w:val="305"/>
          <w:jc w:val="center"/>
        </w:trPr>
        <w:tc>
          <w:tcPr>
            <w:tcW w:w="4130" w:type="dxa"/>
            <w:tcBorders>
              <w:top w:val="dotted" w:color="000000" w:sz="4" w:space="0"/>
              <w:left w:val="single" w:color="000000" w:sz="4" w:space="0"/>
              <w:bottom w:val="double" w:color="000000" w:sz="4" w:space="0"/>
              <w:right w:val="single" w:color="000000" w:sz="4" w:space="0"/>
            </w:tcBorders>
            <w:shd w:val="clear" w:color="auto" w:fill="auto"/>
            <w:vAlign w:val="center"/>
          </w:tcPr>
          <w:p w:rsidRPr="00DF2A51" w:rsidR="001D12C5" w:rsidP="001D12C5" w:rsidRDefault="001D12C5" w14:paraId="7D1E09F2" w14:textId="24510CEB">
            <w:pPr>
              <w:keepNext/>
              <w:keepLines/>
              <w:widowControl/>
              <w:jc w:val="right"/>
              <w:rPr>
                <w:rFonts w:eastAsia="Calibri" w:asciiTheme="minorHAnsi" w:hAnsiTheme="minorHAnsi" w:cstheme="minorHAnsi"/>
                <w:i/>
                <w:color w:val="000000"/>
                <w:sz w:val="18"/>
                <w:szCs w:val="18"/>
              </w:rPr>
            </w:pPr>
            <w:r w:rsidRPr="00DF2A51">
              <w:rPr>
                <w:rFonts w:asciiTheme="minorHAnsi" w:hAnsiTheme="minorHAnsi" w:cstheme="minorHAnsi"/>
                <w:i/>
                <w:sz w:val="18"/>
                <w:szCs w:val="18"/>
              </w:rPr>
              <w:t>Amendment 80 Program</w:t>
            </w:r>
          </w:p>
        </w:tc>
        <w:tc>
          <w:tcPr>
            <w:tcW w:w="1530" w:type="dxa"/>
            <w:tcBorders>
              <w:top w:val="dotted" w:color="000000" w:sz="4" w:space="0"/>
              <w:left w:val="nil"/>
              <w:bottom w:val="double" w:color="000000" w:sz="4" w:space="0"/>
              <w:right w:val="single" w:color="000000" w:sz="4" w:space="0"/>
            </w:tcBorders>
            <w:shd w:val="clear" w:color="auto" w:fill="auto"/>
            <w:vAlign w:val="center"/>
          </w:tcPr>
          <w:p w:rsidRPr="00DF2A51" w:rsidR="001D12C5" w:rsidP="001D12C5" w:rsidRDefault="001D12C5" w14:paraId="04707CFB" w14:textId="27349989">
            <w:pPr>
              <w:keepNext/>
              <w:keepLines/>
              <w:widowControl/>
              <w:jc w:val="center"/>
              <w:rPr>
                <w:rFonts w:ascii="Calibri" w:hAnsi="Calibri" w:eastAsia="Calibri" w:cs="Calibri"/>
                <w:i/>
                <w:color w:val="000000"/>
                <w:sz w:val="18"/>
                <w:szCs w:val="18"/>
              </w:rPr>
            </w:pPr>
            <w:r w:rsidRPr="00320CC7">
              <w:rPr>
                <w:rFonts w:asciiTheme="minorHAnsi" w:hAnsiTheme="minorHAnsi" w:cstheme="minorHAnsi"/>
                <w:i/>
                <w:sz w:val="18"/>
                <w:szCs w:val="18"/>
              </w:rPr>
              <w:t>1</w:t>
            </w:r>
          </w:p>
        </w:tc>
        <w:tc>
          <w:tcPr>
            <w:tcW w:w="1890" w:type="dxa"/>
            <w:tcBorders>
              <w:top w:val="dotted" w:color="000000" w:sz="4" w:space="0"/>
              <w:left w:val="nil"/>
              <w:bottom w:val="double" w:color="000000" w:sz="4" w:space="0"/>
              <w:right w:val="single" w:color="000000" w:sz="4" w:space="0"/>
            </w:tcBorders>
            <w:shd w:val="clear" w:color="auto" w:fill="FFFFFF"/>
            <w:vAlign w:val="center"/>
          </w:tcPr>
          <w:p w:rsidRPr="00DF2A51" w:rsidR="001D12C5" w:rsidP="001D12C5" w:rsidRDefault="001D12C5" w14:paraId="6A776A98" w14:textId="69346794">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1</w:t>
            </w:r>
          </w:p>
        </w:tc>
        <w:tc>
          <w:tcPr>
            <w:tcW w:w="2004" w:type="dxa"/>
            <w:tcBorders>
              <w:top w:val="dotted" w:color="000000" w:sz="4" w:space="0"/>
              <w:left w:val="nil"/>
              <w:bottom w:val="double" w:color="000000" w:sz="4" w:space="0"/>
              <w:right w:val="single" w:color="000000" w:sz="4" w:space="0"/>
            </w:tcBorders>
            <w:shd w:val="clear" w:color="auto" w:fill="auto"/>
            <w:vAlign w:val="center"/>
          </w:tcPr>
          <w:p w:rsidRPr="00DF2A51" w:rsidR="001D12C5" w:rsidP="001D12C5" w:rsidRDefault="001D12C5" w14:paraId="02413904" w14:textId="1B470B56">
            <w:pPr>
              <w:keepNext/>
              <w:keepLines/>
              <w:widowControl/>
              <w:jc w:val="center"/>
              <w:rPr>
                <w:rFonts w:ascii="Calibri" w:hAnsi="Calibri" w:eastAsia="Calibri" w:cs="Calibri"/>
                <w:i/>
                <w:color w:val="000000"/>
                <w:sz w:val="18"/>
                <w:szCs w:val="18"/>
              </w:rPr>
            </w:pPr>
            <w:r w:rsidRPr="00320CC7">
              <w:rPr>
                <w:rFonts w:asciiTheme="minorHAnsi" w:hAnsiTheme="minorHAnsi" w:cstheme="minorHAnsi"/>
                <w:i/>
                <w:sz w:val="18"/>
                <w:szCs w:val="18"/>
              </w:rPr>
              <w:t>1</w:t>
            </w:r>
          </w:p>
        </w:tc>
        <w:tc>
          <w:tcPr>
            <w:tcW w:w="2690" w:type="dxa"/>
            <w:tcBorders>
              <w:top w:val="dotted" w:color="000000" w:sz="4" w:space="0"/>
              <w:left w:val="nil"/>
              <w:bottom w:val="double" w:color="000000" w:sz="4" w:space="0"/>
              <w:right w:val="single" w:color="000000" w:sz="4" w:space="0"/>
            </w:tcBorders>
            <w:shd w:val="clear" w:color="auto" w:fill="FFFFFF"/>
            <w:vAlign w:val="center"/>
          </w:tcPr>
          <w:p w:rsidRPr="00DF2A51" w:rsidR="001D12C5" w:rsidP="001D12C5" w:rsidRDefault="0062550F" w14:paraId="1B35023B" w14:textId="2FBE1267">
            <w:pPr>
              <w:keepNext/>
              <w:keepLines/>
              <w:widowControl/>
              <w:jc w:val="center"/>
              <w:rPr>
                <w:rFonts w:eastAsia="Calibri" w:asciiTheme="minorHAnsi" w:hAnsiTheme="minorHAnsi" w:cstheme="minorHAnsi"/>
                <w:i/>
                <w:color w:val="000000"/>
                <w:sz w:val="18"/>
                <w:szCs w:val="18"/>
              </w:rPr>
            </w:pPr>
            <w:r>
              <w:rPr>
                <w:rFonts w:asciiTheme="minorHAnsi" w:hAnsiTheme="minorHAnsi" w:cstheme="minorHAnsi"/>
                <w:i/>
                <w:sz w:val="18"/>
                <w:szCs w:val="18"/>
              </w:rPr>
              <w:t>0</w:t>
            </w:r>
          </w:p>
        </w:tc>
        <w:tc>
          <w:tcPr>
            <w:tcW w:w="2143" w:type="dxa"/>
            <w:tcBorders>
              <w:top w:val="dotted" w:color="000000" w:sz="4" w:space="0"/>
              <w:left w:val="nil"/>
              <w:bottom w:val="double" w:color="000000" w:sz="4" w:space="0"/>
              <w:right w:val="single" w:color="000000" w:sz="8" w:space="0"/>
            </w:tcBorders>
            <w:shd w:val="clear" w:color="auto" w:fill="FFFFFF"/>
            <w:vAlign w:val="center"/>
          </w:tcPr>
          <w:p w:rsidRPr="00DF2A51" w:rsidR="001D12C5" w:rsidP="001D12C5" w:rsidRDefault="0062550F" w14:paraId="5BA3589E" w14:textId="1A1EF15B">
            <w:pPr>
              <w:keepNext/>
              <w:keepLines/>
              <w:widowControl/>
              <w:jc w:val="center"/>
              <w:rPr>
                <w:rFonts w:ascii="Calibri" w:hAnsi="Calibri" w:eastAsia="Calibri" w:cs="Calibri"/>
                <w:i/>
                <w:color w:val="000000"/>
                <w:sz w:val="18"/>
                <w:szCs w:val="18"/>
              </w:rPr>
            </w:pPr>
            <w:r>
              <w:rPr>
                <w:rFonts w:ascii="Calibri" w:hAnsi="Calibri" w:eastAsia="Calibri" w:cs="Calibri"/>
                <w:i/>
                <w:color w:val="000000"/>
                <w:sz w:val="18"/>
                <w:szCs w:val="18"/>
              </w:rPr>
              <w:t>0</w:t>
            </w:r>
          </w:p>
        </w:tc>
      </w:tr>
      <w:tr w:rsidRPr="00A53E58" w:rsidR="00B14D23" w:rsidTr="00B14D23" w14:paraId="1CAB52C3" w14:textId="77777777">
        <w:trPr>
          <w:trHeight w:val="305"/>
          <w:jc w:val="center"/>
        </w:trPr>
        <w:tc>
          <w:tcPr>
            <w:tcW w:w="4130" w:type="dxa"/>
            <w:tcBorders>
              <w:top w:val="double" w:color="000000" w:sz="4" w:space="0"/>
              <w:left w:val="single" w:color="000000" w:sz="4" w:space="0"/>
              <w:bottom w:val="single" w:color="000000" w:sz="18" w:space="0"/>
              <w:right w:val="single" w:color="000000" w:sz="4" w:space="0"/>
            </w:tcBorders>
            <w:shd w:val="clear" w:color="auto" w:fill="auto"/>
            <w:vAlign w:val="center"/>
          </w:tcPr>
          <w:p w:rsidRPr="00A53E58" w:rsidR="00D87F43" w:rsidP="00947557" w:rsidRDefault="00D87F43" w14:paraId="328BB64C" w14:textId="009F09ED">
            <w:pPr>
              <w:keepNext/>
              <w:keepLines/>
              <w:widowControl/>
              <w:rPr>
                <w:rFonts w:asciiTheme="minorHAnsi" w:hAnsiTheme="minorHAnsi" w:cstheme="minorHAnsi"/>
                <w:sz w:val="20"/>
                <w:szCs w:val="20"/>
              </w:rPr>
            </w:pPr>
            <w:r w:rsidRPr="00A53E58">
              <w:rPr>
                <w:rFonts w:asciiTheme="minorHAnsi" w:hAnsiTheme="minorHAnsi" w:cstheme="minorHAnsi"/>
                <w:sz w:val="20"/>
                <w:szCs w:val="20"/>
              </w:rPr>
              <w:t>Cost Recovery Fee Total</w:t>
            </w:r>
          </w:p>
        </w:tc>
        <w:tc>
          <w:tcPr>
            <w:tcW w:w="1530" w:type="dxa"/>
            <w:tcBorders>
              <w:top w:val="double" w:color="000000" w:sz="4" w:space="0"/>
              <w:left w:val="nil"/>
              <w:bottom w:val="single" w:color="000000" w:sz="18" w:space="0"/>
              <w:right w:val="single" w:color="000000" w:sz="4" w:space="0"/>
            </w:tcBorders>
            <w:shd w:val="clear" w:color="auto" w:fill="auto"/>
            <w:vAlign w:val="center"/>
          </w:tcPr>
          <w:p w:rsidRPr="00A53E58" w:rsidR="00D87F43" w:rsidP="00947557" w:rsidRDefault="001D12C5" w14:paraId="34DD5335" w14:textId="2DFEE15D">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1,620</w:t>
            </w:r>
          </w:p>
        </w:tc>
        <w:tc>
          <w:tcPr>
            <w:tcW w:w="1890" w:type="dxa"/>
            <w:tcBorders>
              <w:top w:val="double" w:color="000000" w:sz="4" w:space="0"/>
              <w:left w:val="nil"/>
              <w:bottom w:val="single" w:color="000000" w:sz="18" w:space="0"/>
              <w:right w:val="single" w:color="000000" w:sz="4" w:space="0"/>
            </w:tcBorders>
            <w:shd w:val="clear" w:color="auto" w:fill="auto"/>
            <w:vAlign w:val="center"/>
          </w:tcPr>
          <w:p w:rsidRPr="00A53E58" w:rsidR="00D87F43" w:rsidP="00947557" w:rsidRDefault="00D87F43" w14:paraId="29CDEAAD" w14:textId="5616E796">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w:t>
            </w:r>
          </w:p>
        </w:tc>
        <w:tc>
          <w:tcPr>
            <w:tcW w:w="2004" w:type="dxa"/>
            <w:tcBorders>
              <w:top w:val="double" w:color="000000" w:sz="4" w:space="0"/>
              <w:left w:val="nil"/>
              <w:bottom w:val="single" w:color="000000" w:sz="18" w:space="0"/>
              <w:right w:val="single" w:color="000000" w:sz="4" w:space="0"/>
            </w:tcBorders>
            <w:shd w:val="clear" w:color="auto" w:fill="auto"/>
            <w:vAlign w:val="center"/>
          </w:tcPr>
          <w:p w:rsidRPr="00A53E58" w:rsidR="00D87F43" w:rsidP="00947557" w:rsidRDefault="001D12C5" w14:paraId="5BB0C131" w14:textId="109B5CE3">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1,620</w:t>
            </w:r>
          </w:p>
        </w:tc>
        <w:tc>
          <w:tcPr>
            <w:tcW w:w="2690" w:type="dxa"/>
            <w:tcBorders>
              <w:top w:val="double" w:color="000000" w:sz="4" w:space="0"/>
              <w:left w:val="nil"/>
              <w:bottom w:val="single" w:color="000000" w:sz="18" w:space="0"/>
              <w:right w:val="single" w:color="000000" w:sz="4" w:space="0"/>
            </w:tcBorders>
            <w:shd w:val="clear" w:color="auto" w:fill="auto"/>
            <w:vAlign w:val="center"/>
          </w:tcPr>
          <w:p w:rsidRPr="00A53E58" w:rsidR="00D87F43" w:rsidP="00947557" w:rsidRDefault="00D87F43" w14:paraId="26F0668B" w14:textId="291E1C51">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w:t>
            </w:r>
          </w:p>
        </w:tc>
        <w:tc>
          <w:tcPr>
            <w:tcW w:w="2143" w:type="dxa"/>
            <w:tcBorders>
              <w:top w:val="double" w:color="000000" w:sz="4" w:space="0"/>
              <w:left w:val="nil"/>
              <w:bottom w:val="single" w:color="000000" w:sz="18" w:space="0"/>
              <w:right w:val="single" w:color="000000" w:sz="8" w:space="0"/>
            </w:tcBorders>
            <w:shd w:val="clear" w:color="auto" w:fill="auto"/>
            <w:vAlign w:val="center"/>
          </w:tcPr>
          <w:p w:rsidRPr="00A53E58" w:rsidR="00D87F43" w:rsidP="00947557" w:rsidRDefault="0062550F" w14:paraId="6F9AB1FE" w14:textId="336ED338">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0</w:t>
            </w:r>
          </w:p>
        </w:tc>
      </w:tr>
      <w:tr w:rsidRPr="00A53E58" w:rsidR="00B14D23" w:rsidTr="00B14D23" w14:paraId="4B9BD576" w14:textId="77777777">
        <w:trPr>
          <w:trHeight w:val="305"/>
          <w:jc w:val="center"/>
        </w:trPr>
        <w:tc>
          <w:tcPr>
            <w:tcW w:w="4130" w:type="dxa"/>
            <w:tcBorders>
              <w:top w:val="single" w:color="000000" w:sz="18" w:space="0"/>
              <w:left w:val="single" w:color="000000" w:sz="4" w:space="0"/>
              <w:bottom w:val="single" w:color="000000" w:sz="2" w:space="0"/>
              <w:right w:val="single" w:color="000000" w:sz="4" w:space="0"/>
            </w:tcBorders>
            <w:shd w:val="clear" w:color="auto" w:fill="auto"/>
            <w:vAlign w:val="center"/>
          </w:tcPr>
          <w:p w:rsidRPr="00A53E58" w:rsidR="00FC251F" w:rsidP="00947557" w:rsidRDefault="00FC251F" w14:paraId="3D896ED3" w14:textId="5F0533AD">
            <w:pPr>
              <w:keepNext/>
              <w:keepLines/>
              <w:widowControl/>
              <w:rPr>
                <w:rFonts w:asciiTheme="minorHAnsi" w:hAnsiTheme="minorHAnsi" w:cstheme="minorHAnsi"/>
                <w:sz w:val="20"/>
                <w:szCs w:val="20"/>
              </w:rPr>
            </w:pPr>
            <w:r w:rsidRPr="00A53E58">
              <w:rPr>
                <w:rFonts w:asciiTheme="minorHAnsi" w:hAnsiTheme="minorHAnsi" w:cstheme="minorHAnsi"/>
                <w:sz w:val="20"/>
                <w:szCs w:val="20"/>
              </w:rPr>
              <w:t xml:space="preserve">IFQ Permit Holder Fee </w:t>
            </w:r>
            <w:r w:rsidRPr="00A53E58" w:rsidR="00B028A0">
              <w:rPr>
                <w:rFonts w:asciiTheme="minorHAnsi" w:hAnsiTheme="minorHAnsi" w:cstheme="minorHAnsi"/>
                <w:sz w:val="20"/>
                <w:szCs w:val="20"/>
              </w:rPr>
              <w:t>Calculation</w:t>
            </w:r>
            <w:r w:rsidRPr="00A53E58">
              <w:rPr>
                <w:rFonts w:asciiTheme="minorHAnsi" w:hAnsiTheme="minorHAnsi" w:cstheme="minorHAnsi"/>
                <w:sz w:val="20"/>
                <w:szCs w:val="20"/>
              </w:rPr>
              <w:t xml:space="preserve"> Form</w:t>
            </w:r>
          </w:p>
        </w:tc>
        <w:tc>
          <w:tcPr>
            <w:tcW w:w="1530" w:type="dxa"/>
            <w:tcBorders>
              <w:top w:val="single" w:color="000000" w:sz="18" w:space="0"/>
              <w:left w:val="nil"/>
              <w:bottom w:val="single" w:color="000000" w:sz="2" w:space="0"/>
              <w:right w:val="single" w:color="000000" w:sz="4" w:space="0"/>
            </w:tcBorders>
            <w:shd w:val="clear" w:color="auto" w:fill="auto"/>
            <w:vAlign w:val="center"/>
          </w:tcPr>
          <w:p w:rsidRPr="00A53E58" w:rsidR="00FC251F" w:rsidP="00947557" w:rsidRDefault="0004345B" w14:paraId="5C6D6F2A" w14:textId="21D21711">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66</w:t>
            </w:r>
          </w:p>
        </w:tc>
        <w:tc>
          <w:tcPr>
            <w:tcW w:w="1890" w:type="dxa"/>
            <w:tcBorders>
              <w:top w:val="single" w:color="000000" w:sz="18" w:space="0"/>
              <w:left w:val="nil"/>
              <w:bottom w:val="single" w:color="000000" w:sz="2" w:space="0"/>
              <w:right w:val="single" w:color="000000" w:sz="4" w:space="0"/>
            </w:tcBorders>
            <w:shd w:val="clear" w:color="auto" w:fill="auto"/>
            <w:vAlign w:val="center"/>
          </w:tcPr>
          <w:p w:rsidRPr="00A53E58" w:rsidR="00FC251F" w:rsidP="00947557" w:rsidRDefault="006C4729" w14:paraId="6D4E8847" w14:textId="05FE44A7">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1</w:t>
            </w:r>
          </w:p>
        </w:tc>
        <w:tc>
          <w:tcPr>
            <w:tcW w:w="2004" w:type="dxa"/>
            <w:tcBorders>
              <w:top w:val="single" w:color="000000" w:sz="18" w:space="0"/>
              <w:left w:val="nil"/>
              <w:bottom w:val="single" w:color="000000" w:sz="2" w:space="0"/>
              <w:right w:val="single" w:color="000000" w:sz="4" w:space="0"/>
            </w:tcBorders>
            <w:shd w:val="clear" w:color="auto" w:fill="auto"/>
            <w:vAlign w:val="center"/>
          </w:tcPr>
          <w:p w:rsidRPr="00A53E58" w:rsidR="00FC251F" w:rsidP="00947557" w:rsidRDefault="0004345B" w14:paraId="78CF0CD1" w14:textId="3AA99C46">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66</w:t>
            </w:r>
          </w:p>
        </w:tc>
        <w:tc>
          <w:tcPr>
            <w:tcW w:w="2690" w:type="dxa"/>
            <w:tcBorders>
              <w:top w:val="single" w:color="000000" w:sz="18" w:space="0"/>
              <w:left w:val="nil"/>
              <w:bottom w:val="single" w:color="000000" w:sz="2" w:space="0"/>
              <w:right w:val="single" w:color="000000" w:sz="4" w:space="0"/>
            </w:tcBorders>
            <w:shd w:val="clear" w:color="auto" w:fill="auto"/>
            <w:vAlign w:val="center"/>
          </w:tcPr>
          <w:p w:rsidRPr="00A53E58" w:rsidR="00FC251F" w:rsidP="00947557" w:rsidRDefault="000C57B1" w14:paraId="3A2BA609" w14:textId="4BA47313">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Operating costs = $5</w:t>
            </w:r>
          </w:p>
        </w:tc>
        <w:tc>
          <w:tcPr>
            <w:tcW w:w="2143" w:type="dxa"/>
            <w:tcBorders>
              <w:top w:val="single" w:color="000000" w:sz="18" w:space="0"/>
              <w:left w:val="nil"/>
              <w:bottom w:val="single" w:color="000000" w:sz="2" w:space="0"/>
              <w:right w:val="single" w:color="000000" w:sz="8" w:space="0"/>
            </w:tcBorders>
            <w:shd w:val="clear" w:color="auto" w:fill="auto"/>
            <w:vAlign w:val="center"/>
          </w:tcPr>
          <w:p w:rsidRPr="00A53E58" w:rsidR="00FC251F" w:rsidP="00947557" w:rsidRDefault="00D539DB" w14:paraId="378D87B4" w14:textId="4F4365CC">
            <w:pPr>
              <w:keepNext/>
              <w:keepLines/>
              <w:widowControl/>
              <w:jc w:val="center"/>
              <w:rPr>
                <w:rFonts w:ascii="Calibri" w:hAnsi="Calibri" w:eastAsia="Calibri" w:cs="Calibri"/>
                <w:color w:val="000000"/>
                <w:sz w:val="20"/>
                <w:szCs w:val="20"/>
              </w:rPr>
            </w:pPr>
            <w:r>
              <w:rPr>
                <w:rFonts w:ascii="Calibri" w:hAnsi="Calibri" w:eastAsia="Calibri" w:cs="Calibri"/>
                <w:color w:val="000000"/>
                <w:sz w:val="20"/>
                <w:szCs w:val="20"/>
              </w:rPr>
              <w:t>$</w:t>
            </w:r>
            <w:r w:rsidRPr="00A53E58" w:rsidR="0062550F">
              <w:rPr>
                <w:rFonts w:ascii="Calibri" w:hAnsi="Calibri" w:eastAsia="Calibri" w:cs="Calibri"/>
                <w:color w:val="000000"/>
                <w:sz w:val="20"/>
                <w:szCs w:val="20"/>
              </w:rPr>
              <w:t>330</w:t>
            </w:r>
          </w:p>
        </w:tc>
      </w:tr>
      <w:tr w:rsidRPr="00A53E58" w:rsidR="00B14D23" w:rsidTr="00B14D23" w14:paraId="58B85D10" w14:textId="77777777">
        <w:trPr>
          <w:trHeight w:val="305"/>
          <w:jc w:val="center"/>
        </w:trPr>
        <w:tc>
          <w:tcPr>
            <w:tcW w:w="4130" w:type="dxa"/>
            <w:tcBorders>
              <w:top w:val="single" w:color="000000" w:sz="2" w:space="0"/>
              <w:left w:val="single" w:color="000000" w:sz="4" w:space="0"/>
              <w:bottom w:val="single" w:color="000000" w:sz="18" w:space="0"/>
              <w:right w:val="single" w:color="000000" w:sz="4" w:space="0"/>
            </w:tcBorders>
            <w:shd w:val="clear" w:color="auto" w:fill="auto"/>
            <w:vAlign w:val="center"/>
          </w:tcPr>
          <w:p w:rsidRPr="00A53E58" w:rsidR="00FC251F" w:rsidP="00947557" w:rsidRDefault="000C57B1" w14:paraId="3F86410E" w14:textId="16A2A755">
            <w:pPr>
              <w:keepNext/>
              <w:keepLines/>
              <w:widowControl/>
              <w:rPr>
                <w:rFonts w:asciiTheme="minorHAnsi" w:hAnsiTheme="minorHAnsi" w:cstheme="minorHAnsi"/>
                <w:sz w:val="20"/>
                <w:szCs w:val="20"/>
              </w:rPr>
            </w:pPr>
            <w:r w:rsidRPr="00A53E58">
              <w:rPr>
                <w:rFonts w:asciiTheme="minorHAnsi" w:hAnsiTheme="minorHAnsi" w:cstheme="minorHAnsi"/>
                <w:sz w:val="20"/>
                <w:szCs w:val="20"/>
              </w:rPr>
              <w:t xml:space="preserve">Registered Crab Receiver Fee </w:t>
            </w:r>
            <w:r w:rsidRPr="00A53E58" w:rsidR="00B028A0">
              <w:rPr>
                <w:rFonts w:asciiTheme="minorHAnsi" w:hAnsiTheme="minorHAnsi" w:cstheme="minorHAnsi"/>
                <w:sz w:val="20"/>
                <w:szCs w:val="20"/>
              </w:rPr>
              <w:t>Calculation</w:t>
            </w:r>
            <w:r w:rsidRPr="00A53E58">
              <w:rPr>
                <w:rFonts w:asciiTheme="minorHAnsi" w:hAnsiTheme="minorHAnsi" w:cstheme="minorHAnsi"/>
                <w:sz w:val="20"/>
                <w:szCs w:val="20"/>
              </w:rPr>
              <w:t xml:space="preserve"> F</w:t>
            </w:r>
            <w:r w:rsidRPr="00A53E58" w:rsidR="00FC251F">
              <w:rPr>
                <w:rFonts w:asciiTheme="minorHAnsi" w:hAnsiTheme="minorHAnsi" w:cstheme="minorHAnsi"/>
                <w:sz w:val="20"/>
                <w:szCs w:val="20"/>
              </w:rPr>
              <w:t>orm</w:t>
            </w:r>
          </w:p>
        </w:tc>
        <w:tc>
          <w:tcPr>
            <w:tcW w:w="1530" w:type="dxa"/>
            <w:tcBorders>
              <w:top w:val="single" w:color="000000" w:sz="2" w:space="0"/>
              <w:left w:val="nil"/>
              <w:bottom w:val="single" w:color="000000" w:sz="18" w:space="0"/>
              <w:right w:val="single" w:color="000000" w:sz="4" w:space="0"/>
            </w:tcBorders>
            <w:shd w:val="clear" w:color="auto" w:fill="auto"/>
            <w:vAlign w:val="center"/>
          </w:tcPr>
          <w:p w:rsidRPr="00A53E58" w:rsidR="00FC251F" w:rsidP="00947557" w:rsidRDefault="0004345B" w14:paraId="1C7A8031" w14:textId="7D2D4C0C">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7</w:t>
            </w:r>
          </w:p>
        </w:tc>
        <w:tc>
          <w:tcPr>
            <w:tcW w:w="1890" w:type="dxa"/>
            <w:tcBorders>
              <w:top w:val="single" w:color="000000" w:sz="2" w:space="0"/>
              <w:left w:val="nil"/>
              <w:bottom w:val="single" w:color="000000" w:sz="18" w:space="0"/>
              <w:right w:val="single" w:color="000000" w:sz="4" w:space="0"/>
            </w:tcBorders>
            <w:shd w:val="clear" w:color="auto" w:fill="auto"/>
            <w:vAlign w:val="center"/>
          </w:tcPr>
          <w:p w:rsidRPr="00A53E58" w:rsidR="00FC251F" w:rsidP="00947557" w:rsidRDefault="006C4729" w14:paraId="2294A3EE" w14:textId="17274EA0">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1</w:t>
            </w:r>
          </w:p>
        </w:tc>
        <w:tc>
          <w:tcPr>
            <w:tcW w:w="2004" w:type="dxa"/>
            <w:tcBorders>
              <w:top w:val="single" w:color="000000" w:sz="2" w:space="0"/>
              <w:left w:val="nil"/>
              <w:bottom w:val="single" w:color="000000" w:sz="18" w:space="0"/>
              <w:right w:val="single" w:color="000000" w:sz="4" w:space="0"/>
            </w:tcBorders>
            <w:shd w:val="clear" w:color="auto" w:fill="auto"/>
            <w:vAlign w:val="center"/>
          </w:tcPr>
          <w:p w:rsidRPr="00A53E58" w:rsidR="00FC251F" w:rsidP="00947557" w:rsidRDefault="0004345B" w14:paraId="3B61A9EB" w14:textId="2234BDAE">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7</w:t>
            </w:r>
          </w:p>
        </w:tc>
        <w:tc>
          <w:tcPr>
            <w:tcW w:w="2690" w:type="dxa"/>
            <w:tcBorders>
              <w:top w:val="single" w:color="000000" w:sz="2" w:space="0"/>
              <w:left w:val="nil"/>
              <w:bottom w:val="single" w:color="000000" w:sz="18" w:space="0"/>
              <w:right w:val="single" w:color="000000" w:sz="4" w:space="0"/>
            </w:tcBorders>
            <w:shd w:val="clear" w:color="auto" w:fill="auto"/>
            <w:vAlign w:val="center"/>
          </w:tcPr>
          <w:p w:rsidRPr="00A53E58" w:rsidR="00FC251F" w:rsidP="00947557" w:rsidRDefault="000C57B1" w14:paraId="2CC068A6" w14:textId="3DEB9B73">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Operating costs = $5</w:t>
            </w:r>
          </w:p>
        </w:tc>
        <w:tc>
          <w:tcPr>
            <w:tcW w:w="2143" w:type="dxa"/>
            <w:tcBorders>
              <w:top w:val="single" w:color="000000" w:sz="2" w:space="0"/>
              <w:left w:val="nil"/>
              <w:bottom w:val="single" w:color="000000" w:sz="18" w:space="0"/>
              <w:right w:val="single" w:color="000000" w:sz="8" w:space="0"/>
            </w:tcBorders>
            <w:shd w:val="clear" w:color="auto" w:fill="auto"/>
            <w:vAlign w:val="center"/>
          </w:tcPr>
          <w:p w:rsidRPr="00A53E58" w:rsidR="00FC251F" w:rsidP="00947557" w:rsidRDefault="00D539DB" w14:paraId="6C7B7EB2" w14:textId="5C7A1FE3">
            <w:pPr>
              <w:keepNext/>
              <w:keepLines/>
              <w:widowControl/>
              <w:jc w:val="center"/>
              <w:rPr>
                <w:rFonts w:ascii="Calibri" w:hAnsi="Calibri" w:eastAsia="Calibri" w:cs="Calibri"/>
                <w:color w:val="000000"/>
                <w:sz w:val="20"/>
                <w:szCs w:val="20"/>
                <w:highlight w:val="cyan"/>
              </w:rPr>
            </w:pPr>
            <w:r>
              <w:rPr>
                <w:rFonts w:ascii="Calibri" w:hAnsi="Calibri" w:eastAsia="Calibri" w:cs="Calibri"/>
                <w:color w:val="000000"/>
                <w:sz w:val="20"/>
                <w:szCs w:val="20"/>
              </w:rPr>
              <w:t>$</w:t>
            </w:r>
            <w:r w:rsidRPr="00A53E58" w:rsidR="0062550F">
              <w:rPr>
                <w:rFonts w:ascii="Calibri" w:hAnsi="Calibri" w:eastAsia="Calibri" w:cs="Calibri"/>
                <w:color w:val="000000"/>
                <w:sz w:val="20"/>
                <w:szCs w:val="20"/>
              </w:rPr>
              <w:t>35</w:t>
            </w:r>
          </w:p>
        </w:tc>
      </w:tr>
      <w:tr w:rsidRPr="00C0319B" w:rsidR="00B14D23" w:rsidTr="00B14D23" w14:paraId="2124FBCD" w14:textId="77777777">
        <w:trPr>
          <w:trHeight w:val="306"/>
          <w:jc w:val="center"/>
        </w:trPr>
        <w:tc>
          <w:tcPr>
            <w:tcW w:w="4130" w:type="dxa"/>
            <w:tcBorders>
              <w:top w:val="single" w:color="000000" w:sz="18" w:space="0"/>
              <w:left w:val="single" w:color="000000" w:sz="4" w:space="0"/>
            </w:tcBorders>
            <w:shd w:val="clear" w:color="auto" w:fill="auto"/>
            <w:vAlign w:val="center"/>
          </w:tcPr>
          <w:p w:rsidRPr="00A53E58" w:rsidR="00A104ED" w:rsidP="00947557" w:rsidRDefault="00A104ED" w14:paraId="27693D46" w14:textId="54696C29">
            <w:pPr>
              <w:keepNext/>
              <w:keepLines/>
              <w:widowControl/>
              <w:rPr>
                <w:rFonts w:eastAsia="Calibri" w:asciiTheme="minorHAnsi" w:hAnsiTheme="minorHAnsi" w:cstheme="minorHAnsi"/>
                <w:color w:val="000000"/>
                <w:sz w:val="20"/>
                <w:szCs w:val="20"/>
              </w:rPr>
            </w:pPr>
            <w:r w:rsidRPr="00C0319B">
              <w:rPr>
                <w:rFonts w:asciiTheme="minorHAnsi" w:hAnsiTheme="minorHAnsi" w:cstheme="minorHAnsi"/>
                <w:i/>
                <w:sz w:val="18"/>
                <w:szCs w:val="18"/>
              </w:rPr>
              <w:t xml:space="preserve"> </w:t>
            </w:r>
            <w:r w:rsidRPr="00A53E58">
              <w:rPr>
                <w:rFonts w:asciiTheme="minorHAnsi" w:hAnsiTheme="minorHAnsi" w:cstheme="minorHAnsi"/>
                <w:sz w:val="20"/>
                <w:szCs w:val="20"/>
              </w:rPr>
              <w:t>Volume and Value Reports</w:t>
            </w:r>
          </w:p>
        </w:tc>
        <w:tc>
          <w:tcPr>
            <w:tcW w:w="1530" w:type="dxa"/>
            <w:tcBorders>
              <w:top w:val="single" w:color="000000" w:sz="18" w:space="0"/>
            </w:tcBorders>
            <w:shd w:val="clear" w:color="auto" w:fill="auto"/>
            <w:vAlign w:val="center"/>
          </w:tcPr>
          <w:p w:rsidRPr="00C0319B" w:rsidR="00A104ED" w:rsidP="00947557" w:rsidRDefault="00A104ED" w14:paraId="0B606B84" w14:textId="77777777">
            <w:pPr>
              <w:keepNext/>
              <w:keepLines/>
              <w:widowControl/>
              <w:jc w:val="center"/>
              <w:rPr>
                <w:rFonts w:ascii="Calibri" w:hAnsi="Calibri" w:eastAsia="Calibri" w:cs="Calibri"/>
                <w:color w:val="000000"/>
                <w:sz w:val="18"/>
                <w:szCs w:val="18"/>
              </w:rPr>
            </w:pPr>
          </w:p>
        </w:tc>
        <w:tc>
          <w:tcPr>
            <w:tcW w:w="1890" w:type="dxa"/>
            <w:tcBorders>
              <w:top w:val="single" w:color="000000" w:sz="18" w:space="0"/>
            </w:tcBorders>
            <w:shd w:val="clear" w:color="auto" w:fill="auto"/>
            <w:vAlign w:val="center"/>
          </w:tcPr>
          <w:p w:rsidRPr="00C0319B" w:rsidR="00A104ED" w:rsidP="00947557" w:rsidRDefault="00A104ED" w14:paraId="0D096C91" w14:textId="77777777">
            <w:pPr>
              <w:keepNext/>
              <w:keepLines/>
              <w:widowControl/>
              <w:jc w:val="center"/>
              <w:rPr>
                <w:rFonts w:ascii="Calibri" w:hAnsi="Calibri" w:eastAsia="Calibri" w:cs="Calibri"/>
                <w:color w:val="000000"/>
                <w:sz w:val="18"/>
                <w:szCs w:val="18"/>
              </w:rPr>
            </w:pPr>
          </w:p>
        </w:tc>
        <w:tc>
          <w:tcPr>
            <w:tcW w:w="2004" w:type="dxa"/>
            <w:tcBorders>
              <w:top w:val="single" w:color="000000" w:sz="18" w:space="0"/>
            </w:tcBorders>
            <w:shd w:val="clear" w:color="auto" w:fill="auto"/>
            <w:vAlign w:val="center"/>
          </w:tcPr>
          <w:p w:rsidRPr="00C0319B" w:rsidR="00A104ED" w:rsidP="00947557" w:rsidRDefault="00A104ED" w14:paraId="3D96A056" w14:textId="77777777">
            <w:pPr>
              <w:keepNext/>
              <w:keepLines/>
              <w:widowControl/>
              <w:jc w:val="center"/>
              <w:rPr>
                <w:rFonts w:ascii="Calibri" w:hAnsi="Calibri" w:eastAsia="Calibri" w:cs="Calibri"/>
                <w:color w:val="000000"/>
                <w:sz w:val="18"/>
                <w:szCs w:val="18"/>
              </w:rPr>
            </w:pPr>
          </w:p>
        </w:tc>
        <w:tc>
          <w:tcPr>
            <w:tcW w:w="2690" w:type="dxa"/>
            <w:tcBorders>
              <w:top w:val="single" w:color="000000" w:sz="18" w:space="0"/>
            </w:tcBorders>
            <w:shd w:val="clear" w:color="auto" w:fill="auto"/>
            <w:vAlign w:val="center"/>
          </w:tcPr>
          <w:p w:rsidRPr="00C0319B" w:rsidR="00A104ED" w:rsidP="00947557" w:rsidRDefault="00A104ED" w14:paraId="5691DCC8" w14:textId="77777777">
            <w:pPr>
              <w:keepNext/>
              <w:keepLines/>
              <w:widowControl/>
              <w:jc w:val="center"/>
              <w:rPr>
                <w:rFonts w:ascii="Calibri" w:hAnsi="Calibri" w:eastAsia="Calibri" w:cs="Calibri"/>
                <w:color w:val="000000"/>
                <w:sz w:val="18"/>
                <w:szCs w:val="18"/>
              </w:rPr>
            </w:pPr>
          </w:p>
        </w:tc>
        <w:tc>
          <w:tcPr>
            <w:tcW w:w="2143" w:type="dxa"/>
            <w:tcBorders>
              <w:top w:val="single" w:color="000000" w:sz="18" w:space="0"/>
              <w:right w:val="single" w:color="000000" w:sz="8" w:space="0"/>
            </w:tcBorders>
            <w:shd w:val="clear" w:color="auto" w:fill="auto"/>
            <w:vAlign w:val="center"/>
          </w:tcPr>
          <w:p w:rsidRPr="00C0319B" w:rsidR="00A104ED" w:rsidP="00947557" w:rsidRDefault="00A104ED" w14:paraId="34CFC0D2" w14:textId="77777777">
            <w:pPr>
              <w:keepNext/>
              <w:keepLines/>
              <w:widowControl/>
              <w:jc w:val="center"/>
              <w:rPr>
                <w:rFonts w:ascii="Calibri" w:hAnsi="Calibri" w:eastAsia="Calibri" w:cs="Calibri"/>
                <w:color w:val="000000"/>
                <w:sz w:val="18"/>
                <w:szCs w:val="18"/>
              </w:rPr>
            </w:pPr>
          </w:p>
        </w:tc>
      </w:tr>
      <w:tr w:rsidR="00B14D23" w:rsidTr="00B14D23" w14:paraId="21A49933" w14:textId="77777777">
        <w:trPr>
          <w:trHeight w:val="306"/>
          <w:jc w:val="center"/>
        </w:trPr>
        <w:tc>
          <w:tcPr>
            <w:tcW w:w="4130" w:type="dxa"/>
            <w:tcBorders>
              <w:left w:val="single" w:color="000000" w:sz="4" w:space="0"/>
              <w:bottom w:val="dotted" w:color="000000" w:sz="4" w:space="0"/>
              <w:right w:val="single" w:color="000000" w:sz="4" w:space="0"/>
            </w:tcBorders>
            <w:shd w:val="clear" w:color="auto" w:fill="auto"/>
            <w:vAlign w:val="center"/>
          </w:tcPr>
          <w:p w:rsidRPr="00DF2A51" w:rsidR="00B84CB4" w:rsidP="00947557" w:rsidRDefault="00B84CB4" w14:paraId="7760DC90" w14:textId="73AC5FCD">
            <w:pPr>
              <w:keepNext/>
              <w:keepLines/>
              <w:widowControl/>
              <w:jc w:val="right"/>
              <w:rPr>
                <w:rFonts w:eastAsia="Calibri" w:asciiTheme="minorHAnsi" w:hAnsiTheme="minorHAnsi" w:cstheme="minorHAnsi"/>
                <w:i/>
                <w:color w:val="000000"/>
                <w:sz w:val="18"/>
                <w:szCs w:val="18"/>
              </w:rPr>
            </w:pPr>
            <w:r w:rsidRPr="00DF2A51">
              <w:rPr>
                <w:rFonts w:asciiTheme="minorHAnsi" w:hAnsiTheme="minorHAnsi" w:cstheme="minorHAnsi"/>
                <w:i/>
                <w:sz w:val="18"/>
                <w:szCs w:val="18"/>
              </w:rPr>
              <w:t>IFQ Registered Buyer</w:t>
            </w:r>
          </w:p>
        </w:tc>
        <w:tc>
          <w:tcPr>
            <w:tcW w:w="1530" w:type="dxa"/>
            <w:tcBorders>
              <w:left w:val="nil"/>
              <w:bottom w:val="dotted" w:color="000000" w:sz="4" w:space="0"/>
              <w:right w:val="single" w:color="000000" w:sz="4" w:space="0"/>
            </w:tcBorders>
            <w:shd w:val="clear" w:color="auto" w:fill="auto"/>
            <w:vAlign w:val="center"/>
          </w:tcPr>
          <w:p w:rsidRPr="00DF2A51" w:rsidR="00B84CB4" w:rsidP="00947557" w:rsidRDefault="00B84CB4" w14:paraId="59FA7486" w14:textId="4E2AB737">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69</w:t>
            </w:r>
          </w:p>
        </w:tc>
        <w:tc>
          <w:tcPr>
            <w:tcW w:w="1890" w:type="dxa"/>
            <w:tcBorders>
              <w:left w:val="nil"/>
              <w:bottom w:val="dotted" w:color="000000" w:sz="4" w:space="0"/>
              <w:right w:val="single" w:color="000000" w:sz="4" w:space="0"/>
            </w:tcBorders>
            <w:shd w:val="clear" w:color="auto" w:fill="FFFFFF"/>
            <w:vAlign w:val="center"/>
          </w:tcPr>
          <w:p w:rsidRPr="00DF2A51" w:rsidR="00B84CB4" w:rsidP="00947557" w:rsidRDefault="00B84CB4" w14:paraId="78552E64" w14:textId="1EE81FAA">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1</w:t>
            </w:r>
          </w:p>
        </w:tc>
        <w:tc>
          <w:tcPr>
            <w:tcW w:w="2004" w:type="dxa"/>
            <w:tcBorders>
              <w:left w:val="nil"/>
              <w:bottom w:val="dotted" w:color="000000" w:sz="4" w:space="0"/>
              <w:right w:val="single" w:color="000000" w:sz="4" w:space="0"/>
            </w:tcBorders>
            <w:shd w:val="clear" w:color="auto" w:fill="auto"/>
            <w:vAlign w:val="center"/>
          </w:tcPr>
          <w:p w:rsidRPr="0062550F" w:rsidR="0062550F" w:rsidP="0062550F" w:rsidRDefault="0062550F" w14:paraId="53AF1EE5" w14:textId="77777777">
            <w:pPr>
              <w:keepNext/>
              <w:keepLines/>
              <w:widowControl/>
              <w:jc w:val="center"/>
              <w:rPr>
                <w:rFonts w:ascii="Calibri" w:hAnsi="Calibri" w:eastAsia="Calibri" w:cs="Calibri"/>
                <w:i/>
                <w:color w:val="000000"/>
                <w:sz w:val="18"/>
                <w:szCs w:val="18"/>
              </w:rPr>
            </w:pPr>
            <w:r w:rsidRPr="0062550F">
              <w:rPr>
                <w:rFonts w:ascii="Calibri" w:hAnsi="Calibri" w:eastAsia="Calibri" w:cs="Calibri"/>
                <w:i/>
                <w:color w:val="000000"/>
                <w:sz w:val="18"/>
                <w:szCs w:val="18"/>
              </w:rPr>
              <w:t xml:space="preserve">69 </w:t>
            </w:r>
          </w:p>
          <w:p w:rsidRPr="00DF2A51" w:rsidR="00B84CB4" w:rsidP="0062550F" w:rsidRDefault="0062550F" w14:paraId="76E199E0" w14:textId="00411575">
            <w:pPr>
              <w:keepNext/>
              <w:keepLines/>
              <w:widowControl/>
              <w:jc w:val="center"/>
              <w:rPr>
                <w:rFonts w:ascii="Calibri" w:hAnsi="Calibri" w:eastAsia="Calibri" w:cs="Calibri"/>
                <w:i/>
                <w:color w:val="000000"/>
                <w:sz w:val="18"/>
                <w:szCs w:val="18"/>
              </w:rPr>
            </w:pPr>
            <w:r w:rsidRPr="0062550F">
              <w:rPr>
                <w:rFonts w:ascii="Calibri" w:hAnsi="Calibri" w:eastAsia="Calibri" w:cs="Calibri"/>
                <w:i/>
                <w:color w:val="000000"/>
                <w:sz w:val="18"/>
                <w:szCs w:val="18"/>
              </w:rPr>
              <w:t>(eFISH-64; non-elec. 5)</w:t>
            </w:r>
          </w:p>
        </w:tc>
        <w:tc>
          <w:tcPr>
            <w:tcW w:w="2690" w:type="dxa"/>
            <w:tcBorders>
              <w:left w:val="nil"/>
              <w:bottom w:val="dotted" w:color="000000" w:sz="4" w:space="0"/>
              <w:right w:val="single" w:color="000000" w:sz="4" w:space="0"/>
            </w:tcBorders>
            <w:shd w:val="clear" w:color="auto" w:fill="FFFFFF"/>
            <w:vAlign w:val="center"/>
          </w:tcPr>
          <w:p w:rsidRPr="00DF2A51" w:rsidR="0062550F" w:rsidP="000E3902" w:rsidRDefault="00B84CB4" w14:paraId="47D927C7" w14:textId="2E5706F2">
            <w:pPr>
              <w:keepNext/>
              <w:keepLines/>
              <w:widowControl/>
              <w:jc w:val="center"/>
              <w:rPr>
                <w:rFonts w:eastAsia="Calibri" w:asciiTheme="minorHAnsi" w:hAnsiTheme="minorHAnsi" w:cstheme="minorHAnsi"/>
                <w:i/>
                <w:color w:val="000000"/>
                <w:sz w:val="18"/>
                <w:szCs w:val="18"/>
              </w:rPr>
            </w:pPr>
            <w:r w:rsidRPr="00DF2A51">
              <w:rPr>
                <w:rFonts w:asciiTheme="minorHAnsi" w:hAnsiTheme="minorHAnsi" w:cstheme="minorHAnsi"/>
                <w:i/>
                <w:sz w:val="18"/>
                <w:szCs w:val="18"/>
              </w:rPr>
              <w:t>Operating costs = $5</w:t>
            </w:r>
          </w:p>
        </w:tc>
        <w:tc>
          <w:tcPr>
            <w:tcW w:w="2143" w:type="dxa"/>
            <w:tcBorders>
              <w:left w:val="nil"/>
              <w:bottom w:val="dotted" w:color="000000" w:sz="4" w:space="0"/>
              <w:right w:val="single" w:color="000000" w:sz="8" w:space="0"/>
            </w:tcBorders>
            <w:shd w:val="clear" w:color="auto" w:fill="FFFFFF"/>
            <w:vAlign w:val="center"/>
          </w:tcPr>
          <w:p w:rsidR="0062550F" w:rsidP="00947557" w:rsidRDefault="0062550F" w14:paraId="5FF25C5A" w14:textId="77777777">
            <w:pPr>
              <w:keepNext/>
              <w:keepLines/>
              <w:widowControl/>
              <w:jc w:val="center"/>
              <w:rPr>
                <w:rFonts w:ascii="Calibri" w:hAnsi="Calibri" w:eastAsia="Calibri" w:cs="Calibri"/>
                <w:i/>
                <w:color w:val="000000"/>
                <w:sz w:val="18"/>
                <w:szCs w:val="18"/>
              </w:rPr>
            </w:pPr>
            <w:r>
              <w:rPr>
                <w:rFonts w:ascii="Calibri" w:hAnsi="Calibri" w:eastAsia="Calibri" w:cs="Calibri"/>
                <w:i/>
                <w:color w:val="000000"/>
                <w:sz w:val="18"/>
                <w:szCs w:val="18"/>
              </w:rPr>
              <w:t>25</w:t>
            </w:r>
          </w:p>
          <w:p w:rsidRPr="00DF2A51" w:rsidR="00B84CB4" w:rsidP="00947557" w:rsidRDefault="0062550F" w14:paraId="70D7CB71" w14:textId="3C31DCDA">
            <w:pPr>
              <w:keepNext/>
              <w:keepLines/>
              <w:widowControl/>
              <w:jc w:val="center"/>
              <w:rPr>
                <w:rFonts w:ascii="Calibri" w:hAnsi="Calibri" w:eastAsia="Calibri" w:cs="Calibri"/>
                <w:i/>
                <w:color w:val="000000"/>
                <w:sz w:val="18"/>
                <w:szCs w:val="18"/>
              </w:rPr>
            </w:pPr>
            <w:r>
              <w:rPr>
                <w:rFonts w:asciiTheme="minorHAnsi" w:hAnsiTheme="minorHAnsi" w:cstheme="minorHAnsi"/>
                <w:i/>
                <w:sz w:val="18"/>
                <w:szCs w:val="18"/>
              </w:rPr>
              <w:t>(5 non-</w:t>
            </w:r>
            <w:proofErr w:type="spellStart"/>
            <w:r>
              <w:rPr>
                <w:rFonts w:asciiTheme="minorHAnsi" w:hAnsiTheme="minorHAnsi" w:cstheme="minorHAnsi"/>
                <w:i/>
                <w:sz w:val="18"/>
                <w:szCs w:val="18"/>
              </w:rPr>
              <w:t>elec</w:t>
            </w:r>
            <w:proofErr w:type="spellEnd"/>
            <w:r>
              <w:rPr>
                <w:rFonts w:asciiTheme="minorHAnsi" w:hAnsiTheme="minorHAnsi" w:cstheme="minorHAnsi"/>
                <w:i/>
                <w:sz w:val="18"/>
                <w:szCs w:val="18"/>
              </w:rPr>
              <w:t xml:space="preserve"> x $5 = $25)</w:t>
            </w:r>
          </w:p>
        </w:tc>
      </w:tr>
      <w:tr w:rsidR="00B14D23" w:rsidTr="00B14D23" w14:paraId="09AD38CF" w14:textId="77777777">
        <w:trPr>
          <w:trHeight w:val="305"/>
          <w:jc w:val="center"/>
        </w:trPr>
        <w:tc>
          <w:tcPr>
            <w:tcW w:w="4130" w:type="dxa"/>
            <w:tcBorders>
              <w:top w:val="dotted" w:color="000000" w:sz="4" w:space="0"/>
              <w:left w:val="single" w:color="000000" w:sz="4" w:space="0"/>
              <w:bottom w:val="dotted" w:color="000000" w:sz="4" w:space="0"/>
              <w:right w:val="single" w:color="000000" w:sz="4" w:space="0"/>
            </w:tcBorders>
            <w:shd w:val="clear" w:color="auto" w:fill="auto"/>
            <w:vAlign w:val="center"/>
          </w:tcPr>
          <w:p w:rsidRPr="00DF2A51" w:rsidR="00B84CB4" w:rsidP="00947557" w:rsidRDefault="00B84CB4" w14:paraId="429609C7" w14:textId="6A4E4A90">
            <w:pPr>
              <w:keepNext/>
              <w:keepLines/>
              <w:widowControl/>
              <w:jc w:val="right"/>
              <w:rPr>
                <w:rFonts w:eastAsia="Calibri" w:asciiTheme="minorHAnsi" w:hAnsiTheme="minorHAnsi" w:cstheme="minorHAnsi"/>
                <w:i/>
                <w:color w:val="000000"/>
                <w:sz w:val="18"/>
                <w:szCs w:val="18"/>
              </w:rPr>
            </w:pPr>
            <w:r w:rsidRPr="00DF2A51">
              <w:rPr>
                <w:rFonts w:asciiTheme="minorHAnsi" w:hAnsiTheme="minorHAnsi" w:cstheme="minorHAnsi"/>
                <w:i/>
                <w:sz w:val="18"/>
                <w:szCs w:val="18"/>
              </w:rPr>
              <w:t>CR RCR</w:t>
            </w:r>
          </w:p>
        </w:tc>
        <w:tc>
          <w:tcPr>
            <w:tcW w:w="1530" w:type="dxa"/>
            <w:tcBorders>
              <w:top w:val="dotted" w:color="000000" w:sz="4" w:space="0"/>
              <w:left w:val="nil"/>
              <w:bottom w:val="dotted" w:color="000000" w:sz="4" w:space="0"/>
              <w:right w:val="single" w:color="000000" w:sz="4" w:space="0"/>
            </w:tcBorders>
            <w:shd w:val="clear" w:color="auto" w:fill="auto"/>
            <w:vAlign w:val="center"/>
          </w:tcPr>
          <w:p w:rsidRPr="00DF2A51" w:rsidR="00B84CB4" w:rsidP="00947557" w:rsidRDefault="00B84CB4" w14:paraId="1101DF61" w14:textId="57C3A3E7">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29</w:t>
            </w:r>
          </w:p>
        </w:tc>
        <w:tc>
          <w:tcPr>
            <w:tcW w:w="1890" w:type="dxa"/>
            <w:tcBorders>
              <w:top w:val="dotted" w:color="000000" w:sz="4" w:space="0"/>
              <w:left w:val="nil"/>
              <w:bottom w:val="dotted" w:color="000000" w:sz="4" w:space="0"/>
              <w:right w:val="single" w:color="000000" w:sz="4" w:space="0"/>
            </w:tcBorders>
            <w:shd w:val="clear" w:color="auto" w:fill="FFFFFF"/>
            <w:vAlign w:val="center"/>
          </w:tcPr>
          <w:p w:rsidRPr="00DF2A51" w:rsidR="00B84CB4" w:rsidP="00947557" w:rsidRDefault="00B84CB4" w14:paraId="0FE335AD" w14:textId="40624455">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1</w:t>
            </w:r>
          </w:p>
        </w:tc>
        <w:tc>
          <w:tcPr>
            <w:tcW w:w="2004" w:type="dxa"/>
            <w:tcBorders>
              <w:top w:val="dotted" w:color="000000" w:sz="4" w:space="0"/>
              <w:left w:val="nil"/>
              <w:bottom w:val="dotted" w:color="000000" w:sz="4" w:space="0"/>
              <w:right w:val="single" w:color="000000" w:sz="4" w:space="0"/>
            </w:tcBorders>
            <w:shd w:val="clear" w:color="auto" w:fill="auto"/>
            <w:vAlign w:val="center"/>
          </w:tcPr>
          <w:p w:rsidRPr="00DF2A51" w:rsidR="00B84CB4" w:rsidP="00947557" w:rsidRDefault="00B84CB4" w14:paraId="1A8EF27C" w14:textId="768A2EAC">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29</w:t>
            </w:r>
          </w:p>
        </w:tc>
        <w:tc>
          <w:tcPr>
            <w:tcW w:w="2690" w:type="dxa"/>
            <w:tcBorders>
              <w:top w:val="dotted" w:color="000000" w:sz="4" w:space="0"/>
              <w:left w:val="nil"/>
              <w:bottom w:val="dotted" w:color="000000" w:sz="4" w:space="0"/>
              <w:right w:val="single" w:color="000000" w:sz="4" w:space="0"/>
            </w:tcBorders>
            <w:shd w:val="clear" w:color="auto" w:fill="FFFFFF"/>
            <w:vAlign w:val="center"/>
          </w:tcPr>
          <w:p w:rsidRPr="00DF2A51" w:rsidR="00B84CB4" w:rsidP="00947557" w:rsidRDefault="0062550F" w14:paraId="78F94135" w14:textId="25AC4A40">
            <w:pPr>
              <w:keepNext/>
              <w:keepLines/>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0</w:t>
            </w:r>
          </w:p>
        </w:tc>
        <w:tc>
          <w:tcPr>
            <w:tcW w:w="2143" w:type="dxa"/>
            <w:tcBorders>
              <w:top w:val="dotted" w:color="000000" w:sz="4" w:space="0"/>
              <w:left w:val="nil"/>
              <w:bottom w:val="dotted" w:color="000000" w:sz="4" w:space="0"/>
              <w:right w:val="single" w:color="000000" w:sz="8" w:space="0"/>
            </w:tcBorders>
            <w:shd w:val="clear" w:color="auto" w:fill="FFFFFF"/>
            <w:vAlign w:val="center"/>
          </w:tcPr>
          <w:p w:rsidRPr="00DF2A51" w:rsidR="00B84CB4" w:rsidP="00947557" w:rsidRDefault="0062550F" w14:paraId="0D477702" w14:textId="230F8F5F">
            <w:pPr>
              <w:keepNext/>
              <w:keepLines/>
              <w:widowControl/>
              <w:jc w:val="center"/>
              <w:rPr>
                <w:rFonts w:ascii="Calibri" w:hAnsi="Calibri" w:eastAsia="Calibri" w:cs="Calibri"/>
                <w:i/>
                <w:color w:val="000000"/>
                <w:sz w:val="18"/>
                <w:szCs w:val="18"/>
              </w:rPr>
            </w:pPr>
            <w:r>
              <w:rPr>
                <w:rFonts w:ascii="Calibri" w:hAnsi="Calibri" w:eastAsia="Calibri" w:cs="Calibri"/>
                <w:i/>
                <w:color w:val="000000"/>
                <w:sz w:val="18"/>
                <w:szCs w:val="18"/>
              </w:rPr>
              <w:t>0</w:t>
            </w:r>
          </w:p>
        </w:tc>
      </w:tr>
      <w:tr w:rsidR="00B14D23" w:rsidTr="00B14D23" w14:paraId="26757735" w14:textId="77777777">
        <w:trPr>
          <w:trHeight w:val="305"/>
          <w:jc w:val="center"/>
        </w:trPr>
        <w:tc>
          <w:tcPr>
            <w:tcW w:w="4130" w:type="dxa"/>
            <w:tcBorders>
              <w:top w:val="dotted" w:color="000000" w:sz="4" w:space="0"/>
              <w:left w:val="single" w:color="000000" w:sz="4" w:space="0"/>
              <w:bottom w:val="dotted" w:color="000000" w:sz="4" w:space="0"/>
              <w:right w:val="single" w:color="000000" w:sz="4" w:space="0"/>
            </w:tcBorders>
            <w:shd w:val="clear" w:color="auto" w:fill="auto"/>
            <w:vAlign w:val="center"/>
          </w:tcPr>
          <w:p w:rsidRPr="00DF2A51" w:rsidR="00B84CB4" w:rsidP="00947557" w:rsidRDefault="00B84CB4" w14:paraId="55690FB3" w14:textId="0E58CA74">
            <w:pPr>
              <w:keepNext/>
              <w:keepLines/>
              <w:widowControl/>
              <w:jc w:val="right"/>
              <w:rPr>
                <w:rFonts w:eastAsia="Calibri" w:asciiTheme="minorHAnsi" w:hAnsiTheme="minorHAnsi" w:cstheme="minorHAnsi"/>
                <w:i/>
                <w:color w:val="000000"/>
                <w:sz w:val="18"/>
                <w:szCs w:val="18"/>
              </w:rPr>
            </w:pPr>
            <w:r w:rsidRPr="00DF2A51">
              <w:rPr>
                <w:rFonts w:asciiTheme="minorHAnsi" w:hAnsiTheme="minorHAnsi" w:cstheme="minorHAnsi"/>
                <w:i/>
                <w:sz w:val="18"/>
                <w:szCs w:val="18"/>
              </w:rPr>
              <w:t>Rockfish</w:t>
            </w:r>
          </w:p>
        </w:tc>
        <w:tc>
          <w:tcPr>
            <w:tcW w:w="1530" w:type="dxa"/>
            <w:tcBorders>
              <w:top w:val="dotted" w:color="000000" w:sz="4" w:space="0"/>
              <w:left w:val="nil"/>
              <w:bottom w:val="dotted" w:color="000000" w:sz="4" w:space="0"/>
              <w:right w:val="single" w:color="000000" w:sz="4" w:space="0"/>
            </w:tcBorders>
            <w:shd w:val="clear" w:color="auto" w:fill="auto"/>
            <w:vAlign w:val="center"/>
          </w:tcPr>
          <w:p w:rsidRPr="00DF2A51" w:rsidR="00B84CB4" w:rsidP="00947557" w:rsidRDefault="00B84CB4" w14:paraId="3A8C3034" w14:textId="0773B67A">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7</w:t>
            </w:r>
          </w:p>
        </w:tc>
        <w:tc>
          <w:tcPr>
            <w:tcW w:w="1890" w:type="dxa"/>
            <w:tcBorders>
              <w:top w:val="dotted" w:color="000000" w:sz="4" w:space="0"/>
              <w:left w:val="nil"/>
              <w:bottom w:val="dotted" w:color="000000" w:sz="4" w:space="0"/>
              <w:right w:val="single" w:color="000000" w:sz="4" w:space="0"/>
            </w:tcBorders>
            <w:shd w:val="clear" w:color="auto" w:fill="FFFFFF"/>
            <w:vAlign w:val="center"/>
          </w:tcPr>
          <w:p w:rsidRPr="00DF2A51" w:rsidR="00B84CB4" w:rsidP="00947557" w:rsidRDefault="00B84CB4" w14:paraId="2F21FD21" w14:textId="4E2C862D">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1</w:t>
            </w:r>
          </w:p>
        </w:tc>
        <w:tc>
          <w:tcPr>
            <w:tcW w:w="2004" w:type="dxa"/>
            <w:tcBorders>
              <w:top w:val="dotted" w:color="000000" w:sz="4" w:space="0"/>
              <w:left w:val="nil"/>
              <w:bottom w:val="dotted" w:color="000000" w:sz="4" w:space="0"/>
              <w:right w:val="single" w:color="000000" w:sz="4" w:space="0"/>
            </w:tcBorders>
            <w:shd w:val="clear" w:color="auto" w:fill="auto"/>
            <w:vAlign w:val="center"/>
          </w:tcPr>
          <w:p w:rsidRPr="00DF2A51" w:rsidR="00B84CB4" w:rsidP="00947557" w:rsidRDefault="00B84CB4" w14:paraId="45F8A458" w14:textId="2E2D817C">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7</w:t>
            </w:r>
          </w:p>
        </w:tc>
        <w:tc>
          <w:tcPr>
            <w:tcW w:w="2690" w:type="dxa"/>
            <w:tcBorders>
              <w:top w:val="dotted" w:color="000000" w:sz="4" w:space="0"/>
              <w:left w:val="nil"/>
              <w:bottom w:val="dotted" w:color="000000" w:sz="4" w:space="0"/>
              <w:right w:val="single" w:color="000000" w:sz="4" w:space="0"/>
            </w:tcBorders>
            <w:shd w:val="clear" w:color="auto" w:fill="FFFFFF"/>
            <w:vAlign w:val="center"/>
          </w:tcPr>
          <w:p w:rsidRPr="00DF2A51" w:rsidR="00B84CB4" w:rsidP="00947557" w:rsidRDefault="0062550F" w14:paraId="6EC59723" w14:textId="578C3B13">
            <w:pPr>
              <w:keepNext/>
              <w:keepLines/>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0</w:t>
            </w:r>
          </w:p>
        </w:tc>
        <w:tc>
          <w:tcPr>
            <w:tcW w:w="2143" w:type="dxa"/>
            <w:tcBorders>
              <w:top w:val="dotted" w:color="000000" w:sz="4" w:space="0"/>
              <w:left w:val="nil"/>
              <w:bottom w:val="dotted" w:color="000000" w:sz="4" w:space="0"/>
              <w:right w:val="single" w:color="000000" w:sz="8" w:space="0"/>
            </w:tcBorders>
            <w:shd w:val="clear" w:color="auto" w:fill="FFFFFF"/>
            <w:vAlign w:val="center"/>
          </w:tcPr>
          <w:p w:rsidRPr="00DF2A51" w:rsidR="00B84CB4" w:rsidP="00947557" w:rsidRDefault="0062550F" w14:paraId="2D440B62" w14:textId="3009A889">
            <w:pPr>
              <w:keepNext/>
              <w:keepLines/>
              <w:widowControl/>
              <w:jc w:val="center"/>
              <w:rPr>
                <w:rFonts w:ascii="Calibri" w:hAnsi="Calibri" w:eastAsia="Calibri" w:cs="Calibri"/>
                <w:i/>
                <w:color w:val="000000"/>
                <w:sz w:val="18"/>
                <w:szCs w:val="18"/>
              </w:rPr>
            </w:pPr>
            <w:r>
              <w:rPr>
                <w:rFonts w:ascii="Calibri" w:hAnsi="Calibri" w:eastAsia="Calibri" w:cs="Calibri"/>
                <w:i/>
                <w:color w:val="000000"/>
                <w:sz w:val="18"/>
                <w:szCs w:val="18"/>
              </w:rPr>
              <w:t>0</w:t>
            </w:r>
          </w:p>
        </w:tc>
      </w:tr>
      <w:tr w:rsidR="00B14D23" w:rsidTr="00B14D23" w14:paraId="0C33CE99" w14:textId="77777777">
        <w:trPr>
          <w:trHeight w:val="305"/>
          <w:jc w:val="center"/>
        </w:trPr>
        <w:tc>
          <w:tcPr>
            <w:tcW w:w="4130" w:type="dxa"/>
            <w:tcBorders>
              <w:top w:val="dotted" w:color="000000" w:sz="4" w:space="0"/>
              <w:left w:val="single" w:color="000000" w:sz="4" w:space="0"/>
              <w:bottom w:val="dotted" w:color="000000" w:sz="4" w:space="0"/>
              <w:right w:val="single" w:color="000000" w:sz="4" w:space="0"/>
            </w:tcBorders>
            <w:shd w:val="clear" w:color="auto" w:fill="auto"/>
            <w:vAlign w:val="center"/>
          </w:tcPr>
          <w:p w:rsidRPr="00DF2A51" w:rsidR="00B84CB4" w:rsidP="00947557" w:rsidRDefault="00B84CB4" w14:paraId="0327014E" w14:textId="7F5B7F7B">
            <w:pPr>
              <w:keepNext/>
              <w:keepLines/>
              <w:widowControl/>
              <w:jc w:val="right"/>
              <w:rPr>
                <w:rFonts w:eastAsia="Calibri" w:asciiTheme="minorHAnsi" w:hAnsiTheme="minorHAnsi" w:cstheme="minorHAnsi"/>
                <w:i/>
                <w:color w:val="000000"/>
                <w:sz w:val="18"/>
                <w:szCs w:val="18"/>
              </w:rPr>
            </w:pPr>
            <w:r w:rsidRPr="00DF2A51">
              <w:rPr>
                <w:rFonts w:asciiTheme="minorHAnsi" w:hAnsiTheme="minorHAnsi" w:cstheme="minorHAnsi"/>
                <w:i/>
                <w:sz w:val="18"/>
                <w:szCs w:val="18"/>
              </w:rPr>
              <w:t>Pacific Cod</w:t>
            </w:r>
          </w:p>
        </w:tc>
        <w:tc>
          <w:tcPr>
            <w:tcW w:w="1530" w:type="dxa"/>
            <w:tcBorders>
              <w:top w:val="dotted" w:color="000000" w:sz="4" w:space="0"/>
              <w:left w:val="nil"/>
              <w:bottom w:val="dotted" w:color="000000" w:sz="4" w:space="0"/>
              <w:right w:val="single" w:color="000000" w:sz="4" w:space="0"/>
            </w:tcBorders>
            <w:shd w:val="clear" w:color="auto" w:fill="auto"/>
            <w:vAlign w:val="center"/>
          </w:tcPr>
          <w:p w:rsidRPr="00DF2A51" w:rsidR="00B84CB4" w:rsidP="00947557" w:rsidRDefault="00B84CB4" w14:paraId="0A69B6B3" w14:textId="7D2C2CD3">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6</w:t>
            </w:r>
          </w:p>
        </w:tc>
        <w:tc>
          <w:tcPr>
            <w:tcW w:w="1890" w:type="dxa"/>
            <w:tcBorders>
              <w:top w:val="dotted" w:color="000000" w:sz="4" w:space="0"/>
              <w:left w:val="nil"/>
              <w:bottom w:val="dotted" w:color="000000" w:sz="4" w:space="0"/>
              <w:right w:val="single" w:color="000000" w:sz="4" w:space="0"/>
            </w:tcBorders>
            <w:shd w:val="clear" w:color="auto" w:fill="FFFFFF"/>
            <w:vAlign w:val="center"/>
          </w:tcPr>
          <w:p w:rsidRPr="00DF2A51" w:rsidR="00B84CB4" w:rsidP="00947557" w:rsidRDefault="00B84CB4" w14:paraId="1492AEB3" w14:textId="6752A67D">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1</w:t>
            </w:r>
          </w:p>
        </w:tc>
        <w:tc>
          <w:tcPr>
            <w:tcW w:w="2004" w:type="dxa"/>
            <w:tcBorders>
              <w:top w:val="dotted" w:color="000000" w:sz="4" w:space="0"/>
              <w:left w:val="nil"/>
              <w:bottom w:val="dotted" w:color="000000" w:sz="4" w:space="0"/>
              <w:right w:val="single" w:color="000000" w:sz="4" w:space="0"/>
            </w:tcBorders>
            <w:shd w:val="clear" w:color="auto" w:fill="auto"/>
            <w:vAlign w:val="center"/>
          </w:tcPr>
          <w:p w:rsidRPr="00DF2A51" w:rsidR="00B84CB4" w:rsidP="00947557" w:rsidRDefault="00B84CB4" w14:paraId="5A44BFF0" w14:textId="22CD3569">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6</w:t>
            </w:r>
          </w:p>
        </w:tc>
        <w:tc>
          <w:tcPr>
            <w:tcW w:w="2690" w:type="dxa"/>
            <w:tcBorders>
              <w:top w:val="dotted" w:color="000000" w:sz="4" w:space="0"/>
              <w:left w:val="nil"/>
              <w:bottom w:val="dotted" w:color="000000" w:sz="4" w:space="0"/>
              <w:right w:val="single" w:color="000000" w:sz="4" w:space="0"/>
            </w:tcBorders>
            <w:shd w:val="clear" w:color="auto" w:fill="FFFFFF"/>
            <w:vAlign w:val="center"/>
          </w:tcPr>
          <w:p w:rsidRPr="00DF2A51" w:rsidR="00B84CB4" w:rsidP="00947557" w:rsidRDefault="0062550F" w14:paraId="1A84509D" w14:textId="2E617F7F">
            <w:pPr>
              <w:keepNext/>
              <w:keepLines/>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0</w:t>
            </w:r>
          </w:p>
        </w:tc>
        <w:tc>
          <w:tcPr>
            <w:tcW w:w="2143" w:type="dxa"/>
            <w:tcBorders>
              <w:top w:val="dotted" w:color="000000" w:sz="4" w:space="0"/>
              <w:left w:val="nil"/>
              <w:bottom w:val="dotted" w:color="000000" w:sz="4" w:space="0"/>
              <w:right w:val="single" w:color="000000" w:sz="8" w:space="0"/>
            </w:tcBorders>
            <w:shd w:val="clear" w:color="auto" w:fill="FFFFFF"/>
            <w:vAlign w:val="center"/>
          </w:tcPr>
          <w:p w:rsidRPr="00DF2A51" w:rsidR="00B84CB4" w:rsidP="00947557" w:rsidRDefault="0062550F" w14:paraId="611560EA" w14:textId="47D86ABA">
            <w:pPr>
              <w:keepNext/>
              <w:keepLines/>
              <w:widowControl/>
              <w:jc w:val="center"/>
              <w:rPr>
                <w:rFonts w:ascii="Calibri" w:hAnsi="Calibri" w:eastAsia="Calibri" w:cs="Calibri"/>
                <w:i/>
                <w:color w:val="000000"/>
                <w:sz w:val="18"/>
                <w:szCs w:val="18"/>
              </w:rPr>
            </w:pPr>
            <w:r>
              <w:rPr>
                <w:rFonts w:ascii="Calibri" w:hAnsi="Calibri" w:eastAsia="Calibri" w:cs="Calibri"/>
                <w:i/>
                <w:color w:val="000000"/>
                <w:sz w:val="18"/>
                <w:szCs w:val="18"/>
              </w:rPr>
              <w:t>0</w:t>
            </w:r>
          </w:p>
        </w:tc>
      </w:tr>
      <w:tr w:rsidR="00B14D23" w:rsidTr="00B14D23" w14:paraId="2819E15D" w14:textId="77777777">
        <w:trPr>
          <w:trHeight w:val="305"/>
          <w:jc w:val="center"/>
        </w:trPr>
        <w:tc>
          <w:tcPr>
            <w:tcW w:w="4130" w:type="dxa"/>
            <w:tcBorders>
              <w:top w:val="dotted" w:color="000000" w:sz="4" w:space="0"/>
              <w:left w:val="single" w:color="000000" w:sz="4" w:space="0"/>
              <w:bottom w:val="double" w:color="000000" w:sz="4" w:space="0"/>
              <w:right w:val="single" w:color="000000" w:sz="4" w:space="0"/>
            </w:tcBorders>
            <w:shd w:val="clear" w:color="auto" w:fill="auto"/>
            <w:vAlign w:val="center"/>
          </w:tcPr>
          <w:p w:rsidRPr="00DF2A51" w:rsidR="00B84CB4" w:rsidP="00947557" w:rsidRDefault="00B84CB4" w14:paraId="036B0679" w14:textId="6BB88C85">
            <w:pPr>
              <w:keepNext/>
              <w:keepLines/>
              <w:widowControl/>
              <w:jc w:val="right"/>
              <w:rPr>
                <w:rFonts w:eastAsia="Calibri" w:asciiTheme="minorHAnsi" w:hAnsiTheme="minorHAnsi" w:cstheme="minorHAnsi"/>
                <w:i/>
                <w:color w:val="000000"/>
                <w:sz w:val="18"/>
                <w:szCs w:val="18"/>
              </w:rPr>
            </w:pPr>
            <w:r w:rsidRPr="00DF2A51">
              <w:rPr>
                <w:rFonts w:asciiTheme="minorHAnsi" w:hAnsiTheme="minorHAnsi" w:cstheme="minorHAnsi"/>
                <w:i/>
                <w:sz w:val="18"/>
                <w:szCs w:val="18"/>
              </w:rPr>
              <w:t>First Wholesale</w:t>
            </w:r>
          </w:p>
        </w:tc>
        <w:tc>
          <w:tcPr>
            <w:tcW w:w="1530" w:type="dxa"/>
            <w:tcBorders>
              <w:top w:val="dotted" w:color="000000" w:sz="4" w:space="0"/>
              <w:left w:val="nil"/>
              <w:bottom w:val="double" w:color="000000" w:sz="4" w:space="0"/>
              <w:right w:val="single" w:color="000000" w:sz="4" w:space="0"/>
            </w:tcBorders>
            <w:shd w:val="clear" w:color="auto" w:fill="auto"/>
            <w:vAlign w:val="center"/>
          </w:tcPr>
          <w:p w:rsidRPr="00DF2A51" w:rsidR="00B84CB4" w:rsidP="00947557" w:rsidRDefault="00B84CB4" w14:paraId="3BE3F7BF" w14:textId="22C097EF">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2</w:t>
            </w:r>
          </w:p>
        </w:tc>
        <w:tc>
          <w:tcPr>
            <w:tcW w:w="1890" w:type="dxa"/>
            <w:tcBorders>
              <w:top w:val="dotted" w:color="000000" w:sz="4" w:space="0"/>
              <w:left w:val="nil"/>
              <w:bottom w:val="double" w:color="000000" w:sz="4" w:space="0"/>
              <w:right w:val="single" w:color="000000" w:sz="4" w:space="0"/>
            </w:tcBorders>
            <w:shd w:val="clear" w:color="auto" w:fill="FFFFFF"/>
            <w:vAlign w:val="center"/>
          </w:tcPr>
          <w:p w:rsidRPr="00DF2A51" w:rsidR="00B84CB4" w:rsidP="00947557" w:rsidRDefault="00B84CB4" w14:paraId="33A41F2C" w14:textId="211BEACF">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1</w:t>
            </w:r>
          </w:p>
        </w:tc>
        <w:tc>
          <w:tcPr>
            <w:tcW w:w="2004" w:type="dxa"/>
            <w:tcBorders>
              <w:top w:val="dotted" w:color="000000" w:sz="4" w:space="0"/>
              <w:left w:val="nil"/>
              <w:bottom w:val="double" w:color="000000" w:sz="4" w:space="0"/>
              <w:right w:val="single" w:color="000000" w:sz="4" w:space="0"/>
            </w:tcBorders>
            <w:shd w:val="clear" w:color="auto" w:fill="auto"/>
            <w:vAlign w:val="center"/>
          </w:tcPr>
          <w:p w:rsidRPr="00DF2A51" w:rsidR="00B84CB4" w:rsidP="00947557" w:rsidRDefault="00B84CB4" w14:paraId="3A4CAB15" w14:textId="3586BBEF">
            <w:pPr>
              <w:keepNext/>
              <w:keepLines/>
              <w:widowControl/>
              <w:jc w:val="center"/>
              <w:rPr>
                <w:rFonts w:ascii="Calibri" w:hAnsi="Calibri" w:eastAsia="Calibri" w:cs="Calibri"/>
                <w:i/>
                <w:color w:val="000000"/>
                <w:sz w:val="18"/>
                <w:szCs w:val="18"/>
              </w:rPr>
            </w:pPr>
            <w:r w:rsidRPr="00DF2A51">
              <w:rPr>
                <w:rFonts w:ascii="Calibri" w:hAnsi="Calibri" w:eastAsia="Calibri" w:cs="Calibri"/>
                <w:i/>
                <w:color w:val="000000"/>
                <w:sz w:val="18"/>
                <w:szCs w:val="18"/>
              </w:rPr>
              <w:t>2</w:t>
            </w:r>
          </w:p>
        </w:tc>
        <w:tc>
          <w:tcPr>
            <w:tcW w:w="2690" w:type="dxa"/>
            <w:tcBorders>
              <w:top w:val="dotted" w:color="000000" w:sz="4" w:space="0"/>
              <w:left w:val="nil"/>
              <w:bottom w:val="double" w:color="000000" w:sz="4" w:space="0"/>
              <w:right w:val="single" w:color="000000" w:sz="4" w:space="0"/>
            </w:tcBorders>
            <w:shd w:val="clear" w:color="auto" w:fill="FFFFFF"/>
            <w:vAlign w:val="center"/>
          </w:tcPr>
          <w:p w:rsidRPr="00DF2A51" w:rsidR="00B84CB4" w:rsidP="00947557" w:rsidRDefault="0062550F" w14:paraId="2A4C2523" w14:textId="47E7ACC3">
            <w:pPr>
              <w:keepNext/>
              <w:keepLines/>
              <w:widowControl/>
              <w:jc w:val="center"/>
              <w:rPr>
                <w:rFonts w:eastAsia="Calibri" w:asciiTheme="minorHAnsi" w:hAnsiTheme="minorHAnsi" w:cstheme="minorHAnsi"/>
                <w:i/>
                <w:color w:val="000000"/>
                <w:sz w:val="18"/>
                <w:szCs w:val="18"/>
              </w:rPr>
            </w:pPr>
            <w:r>
              <w:rPr>
                <w:rFonts w:eastAsia="Calibri" w:asciiTheme="minorHAnsi" w:hAnsiTheme="minorHAnsi" w:cstheme="minorHAnsi"/>
                <w:i/>
                <w:color w:val="000000"/>
                <w:sz w:val="18"/>
                <w:szCs w:val="18"/>
              </w:rPr>
              <w:t>0</w:t>
            </w:r>
          </w:p>
        </w:tc>
        <w:tc>
          <w:tcPr>
            <w:tcW w:w="2143" w:type="dxa"/>
            <w:tcBorders>
              <w:top w:val="dotted" w:color="000000" w:sz="4" w:space="0"/>
              <w:left w:val="nil"/>
              <w:bottom w:val="double" w:color="000000" w:sz="4" w:space="0"/>
              <w:right w:val="single" w:color="000000" w:sz="8" w:space="0"/>
            </w:tcBorders>
            <w:shd w:val="clear" w:color="auto" w:fill="FFFFFF"/>
            <w:vAlign w:val="center"/>
          </w:tcPr>
          <w:p w:rsidRPr="00DF2A51" w:rsidR="00B84CB4" w:rsidP="00947557" w:rsidRDefault="0062550F" w14:paraId="463987C1" w14:textId="3FD0909F">
            <w:pPr>
              <w:keepNext/>
              <w:keepLines/>
              <w:widowControl/>
              <w:jc w:val="center"/>
              <w:rPr>
                <w:rFonts w:ascii="Calibri" w:hAnsi="Calibri" w:eastAsia="Calibri" w:cs="Calibri"/>
                <w:i/>
                <w:color w:val="000000"/>
                <w:sz w:val="18"/>
                <w:szCs w:val="18"/>
              </w:rPr>
            </w:pPr>
            <w:r>
              <w:rPr>
                <w:rFonts w:ascii="Calibri" w:hAnsi="Calibri" w:eastAsia="Calibri" w:cs="Calibri"/>
                <w:i/>
                <w:color w:val="000000"/>
                <w:sz w:val="18"/>
                <w:szCs w:val="18"/>
              </w:rPr>
              <w:t>0</w:t>
            </w:r>
          </w:p>
        </w:tc>
      </w:tr>
      <w:tr w:rsidRPr="00C0319B" w:rsidR="00B14D23" w:rsidTr="00B14D23" w14:paraId="77C305D7" w14:textId="77777777">
        <w:trPr>
          <w:trHeight w:val="305"/>
          <w:jc w:val="center"/>
        </w:trPr>
        <w:tc>
          <w:tcPr>
            <w:tcW w:w="4130" w:type="dxa"/>
            <w:tcBorders>
              <w:top w:val="double" w:color="000000" w:sz="4" w:space="0"/>
              <w:left w:val="single" w:color="000000" w:sz="4" w:space="0"/>
              <w:bottom w:val="single" w:color="000000" w:sz="18" w:space="0"/>
              <w:right w:val="single" w:color="000000" w:sz="4" w:space="0"/>
            </w:tcBorders>
            <w:shd w:val="clear" w:color="auto" w:fill="auto"/>
            <w:vAlign w:val="center"/>
          </w:tcPr>
          <w:p w:rsidRPr="00A53E58" w:rsidR="00B84CB4" w:rsidP="00947557" w:rsidRDefault="00B84CB4" w14:paraId="113B64A0" w14:textId="13912FE2">
            <w:pPr>
              <w:keepNext/>
              <w:keepLines/>
              <w:widowControl/>
              <w:rPr>
                <w:rFonts w:asciiTheme="minorHAnsi" w:hAnsiTheme="minorHAnsi" w:cstheme="minorHAnsi"/>
                <w:sz w:val="20"/>
                <w:szCs w:val="20"/>
              </w:rPr>
            </w:pPr>
            <w:r w:rsidRPr="00A53E58">
              <w:rPr>
                <w:rFonts w:asciiTheme="minorHAnsi" w:hAnsiTheme="minorHAnsi" w:cstheme="minorHAnsi"/>
                <w:sz w:val="20"/>
                <w:szCs w:val="20"/>
              </w:rPr>
              <w:t>Volume and Value Reports Total</w:t>
            </w:r>
          </w:p>
        </w:tc>
        <w:tc>
          <w:tcPr>
            <w:tcW w:w="1530" w:type="dxa"/>
            <w:tcBorders>
              <w:top w:val="double" w:color="000000" w:sz="4" w:space="0"/>
              <w:left w:val="nil"/>
              <w:bottom w:val="single" w:color="000000" w:sz="18" w:space="0"/>
              <w:right w:val="single" w:color="000000" w:sz="4" w:space="0"/>
            </w:tcBorders>
            <w:shd w:val="clear" w:color="auto" w:fill="auto"/>
            <w:vAlign w:val="center"/>
          </w:tcPr>
          <w:p w:rsidRPr="00A53E58" w:rsidR="00B84CB4" w:rsidP="00947557" w:rsidRDefault="00B84CB4" w14:paraId="2E8FFC95" w14:textId="51917A46">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113</w:t>
            </w:r>
          </w:p>
        </w:tc>
        <w:tc>
          <w:tcPr>
            <w:tcW w:w="1890" w:type="dxa"/>
            <w:tcBorders>
              <w:top w:val="double" w:color="000000" w:sz="4" w:space="0"/>
              <w:left w:val="nil"/>
              <w:bottom w:val="single" w:color="000000" w:sz="18" w:space="0"/>
              <w:right w:val="single" w:color="000000" w:sz="4" w:space="0"/>
            </w:tcBorders>
            <w:shd w:val="clear" w:color="auto" w:fill="auto"/>
            <w:vAlign w:val="center"/>
          </w:tcPr>
          <w:p w:rsidRPr="00A53E58" w:rsidR="00B84CB4" w:rsidP="00947557" w:rsidRDefault="00B84CB4" w14:paraId="64D9AB48" w14:textId="32B9F047">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w:t>
            </w:r>
          </w:p>
        </w:tc>
        <w:tc>
          <w:tcPr>
            <w:tcW w:w="2004" w:type="dxa"/>
            <w:tcBorders>
              <w:top w:val="double" w:color="000000" w:sz="4" w:space="0"/>
              <w:left w:val="nil"/>
              <w:bottom w:val="single" w:color="000000" w:sz="18" w:space="0"/>
              <w:right w:val="single" w:color="000000" w:sz="4" w:space="0"/>
            </w:tcBorders>
            <w:shd w:val="clear" w:color="auto" w:fill="auto"/>
            <w:vAlign w:val="center"/>
          </w:tcPr>
          <w:p w:rsidRPr="00A53E58" w:rsidR="00B84CB4" w:rsidP="00947557" w:rsidRDefault="00B84CB4" w14:paraId="0D8CCA1E" w14:textId="0CE4A1E9">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113</w:t>
            </w:r>
          </w:p>
        </w:tc>
        <w:tc>
          <w:tcPr>
            <w:tcW w:w="2690" w:type="dxa"/>
            <w:tcBorders>
              <w:top w:val="double" w:color="000000" w:sz="4" w:space="0"/>
              <w:left w:val="nil"/>
              <w:bottom w:val="single" w:color="000000" w:sz="18" w:space="0"/>
              <w:right w:val="single" w:color="000000" w:sz="4" w:space="0"/>
            </w:tcBorders>
            <w:shd w:val="clear" w:color="auto" w:fill="auto"/>
            <w:vAlign w:val="center"/>
          </w:tcPr>
          <w:p w:rsidRPr="00A53E58" w:rsidR="00B84CB4" w:rsidP="00947557" w:rsidRDefault="00B84CB4" w14:paraId="6D329605" w14:textId="048F501B">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w:t>
            </w:r>
          </w:p>
        </w:tc>
        <w:tc>
          <w:tcPr>
            <w:tcW w:w="2143" w:type="dxa"/>
            <w:tcBorders>
              <w:top w:val="double" w:color="000000" w:sz="4" w:space="0"/>
              <w:left w:val="nil"/>
              <w:bottom w:val="single" w:color="000000" w:sz="18" w:space="0"/>
              <w:right w:val="single" w:color="000000" w:sz="8" w:space="0"/>
            </w:tcBorders>
            <w:shd w:val="clear" w:color="auto" w:fill="auto"/>
            <w:vAlign w:val="center"/>
          </w:tcPr>
          <w:p w:rsidRPr="00A53E58" w:rsidR="00B84CB4" w:rsidP="00947557" w:rsidRDefault="00D539DB" w14:paraId="48B235B4" w14:textId="63F50A86">
            <w:pPr>
              <w:keepNext/>
              <w:keepLines/>
              <w:widowControl/>
              <w:jc w:val="center"/>
              <w:rPr>
                <w:rFonts w:ascii="Calibri" w:hAnsi="Calibri" w:eastAsia="Calibri" w:cs="Calibri"/>
                <w:color w:val="000000"/>
                <w:sz w:val="20"/>
                <w:szCs w:val="20"/>
              </w:rPr>
            </w:pPr>
            <w:r>
              <w:rPr>
                <w:rFonts w:ascii="Calibri" w:hAnsi="Calibri" w:eastAsia="Calibri" w:cs="Calibri"/>
                <w:color w:val="000000"/>
                <w:sz w:val="20"/>
                <w:szCs w:val="20"/>
              </w:rPr>
              <w:t>$</w:t>
            </w:r>
            <w:r w:rsidRPr="00A53E58" w:rsidR="0062550F">
              <w:rPr>
                <w:rFonts w:ascii="Calibri" w:hAnsi="Calibri" w:eastAsia="Calibri" w:cs="Calibri"/>
                <w:color w:val="000000"/>
                <w:sz w:val="20"/>
                <w:szCs w:val="20"/>
              </w:rPr>
              <w:t>25</w:t>
            </w:r>
          </w:p>
        </w:tc>
      </w:tr>
      <w:tr w:rsidRPr="00C0319B" w:rsidR="00B14D23" w:rsidTr="00B14D23" w14:paraId="5FF28B94" w14:textId="77777777">
        <w:trPr>
          <w:trHeight w:val="320"/>
          <w:jc w:val="center"/>
        </w:trPr>
        <w:tc>
          <w:tcPr>
            <w:tcW w:w="4130" w:type="dxa"/>
            <w:tcBorders>
              <w:top w:val="single" w:color="000000" w:sz="18" w:space="0"/>
              <w:left w:val="single" w:color="000000" w:sz="4" w:space="0"/>
              <w:bottom w:val="single" w:color="000000" w:sz="18" w:space="0"/>
              <w:right w:val="single" w:color="000000" w:sz="4" w:space="0"/>
            </w:tcBorders>
            <w:shd w:val="clear" w:color="auto" w:fill="auto"/>
            <w:vAlign w:val="center"/>
          </w:tcPr>
          <w:p w:rsidRPr="00A53E58" w:rsidR="00A104ED" w:rsidP="00947557" w:rsidRDefault="00A104ED" w14:paraId="03E775FE" w14:textId="20232846">
            <w:pPr>
              <w:keepNext/>
              <w:keepLines/>
              <w:widowControl/>
              <w:rPr>
                <w:rFonts w:eastAsia="Calibri" w:asciiTheme="minorHAnsi" w:hAnsiTheme="minorHAnsi" w:cstheme="minorHAnsi"/>
                <w:color w:val="000000"/>
                <w:sz w:val="20"/>
                <w:szCs w:val="20"/>
              </w:rPr>
            </w:pPr>
            <w:r w:rsidRPr="00A53E58">
              <w:rPr>
                <w:rFonts w:asciiTheme="minorHAnsi" w:hAnsiTheme="minorHAnsi" w:cstheme="minorHAnsi"/>
                <w:sz w:val="20"/>
                <w:szCs w:val="20"/>
              </w:rPr>
              <w:t>Appeals</w:t>
            </w:r>
          </w:p>
        </w:tc>
        <w:tc>
          <w:tcPr>
            <w:tcW w:w="1530" w:type="dxa"/>
            <w:tcBorders>
              <w:top w:val="single" w:color="000000" w:sz="18" w:space="0"/>
              <w:left w:val="nil"/>
              <w:bottom w:val="single" w:color="000000" w:sz="18" w:space="0"/>
              <w:right w:val="single" w:color="000000" w:sz="4" w:space="0"/>
            </w:tcBorders>
            <w:shd w:val="clear" w:color="auto" w:fill="auto"/>
            <w:vAlign w:val="center"/>
          </w:tcPr>
          <w:p w:rsidRPr="00A53E58" w:rsidR="00A104ED" w:rsidP="00947557" w:rsidRDefault="00060C31" w14:paraId="61A65681" w14:textId="6CCEB37F">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1</w:t>
            </w:r>
          </w:p>
        </w:tc>
        <w:tc>
          <w:tcPr>
            <w:tcW w:w="1890" w:type="dxa"/>
            <w:tcBorders>
              <w:top w:val="single" w:color="000000" w:sz="18" w:space="0"/>
              <w:left w:val="nil"/>
              <w:bottom w:val="single" w:color="000000" w:sz="18" w:space="0"/>
              <w:right w:val="single" w:color="000000" w:sz="4" w:space="0"/>
            </w:tcBorders>
            <w:shd w:val="clear" w:color="auto" w:fill="auto"/>
            <w:vAlign w:val="center"/>
          </w:tcPr>
          <w:p w:rsidRPr="00A53E58" w:rsidR="00A104ED" w:rsidP="00947557" w:rsidRDefault="006C4729" w14:paraId="45518CC6" w14:textId="198CC979">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1</w:t>
            </w:r>
          </w:p>
        </w:tc>
        <w:tc>
          <w:tcPr>
            <w:tcW w:w="2004" w:type="dxa"/>
            <w:tcBorders>
              <w:top w:val="single" w:color="000000" w:sz="18" w:space="0"/>
              <w:left w:val="nil"/>
              <w:bottom w:val="single" w:color="000000" w:sz="18" w:space="0"/>
              <w:right w:val="single" w:color="000000" w:sz="4" w:space="0"/>
            </w:tcBorders>
            <w:shd w:val="clear" w:color="auto" w:fill="auto"/>
            <w:vAlign w:val="center"/>
          </w:tcPr>
          <w:p w:rsidRPr="00A53E58" w:rsidR="00A104ED" w:rsidP="00947557" w:rsidRDefault="00060C31" w14:paraId="64924FB6" w14:textId="6B4DEA88">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1</w:t>
            </w:r>
          </w:p>
        </w:tc>
        <w:tc>
          <w:tcPr>
            <w:tcW w:w="2690" w:type="dxa"/>
            <w:tcBorders>
              <w:top w:val="single" w:color="000000" w:sz="18" w:space="0"/>
              <w:left w:val="nil"/>
              <w:bottom w:val="single" w:color="000000" w:sz="18" w:space="0"/>
              <w:right w:val="single" w:color="000000" w:sz="4" w:space="0"/>
            </w:tcBorders>
            <w:shd w:val="clear" w:color="auto" w:fill="auto"/>
            <w:vAlign w:val="center"/>
          </w:tcPr>
          <w:p w:rsidRPr="00A53E58" w:rsidR="000C57B1" w:rsidP="00947557" w:rsidRDefault="000C57B1" w14:paraId="5CF121FB" w14:textId="77777777">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 xml:space="preserve">$505 </w:t>
            </w:r>
          </w:p>
          <w:p w:rsidRPr="00A53E58" w:rsidR="000C57B1" w:rsidP="00947557" w:rsidRDefault="000C57B1" w14:paraId="29B18A81" w14:textId="77777777">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(Operating costs - $5</w:t>
            </w:r>
          </w:p>
          <w:p w:rsidRPr="00A53E58" w:rsidR="00A104ED" w:rsidP="00947557" w:rsidRDefault="000C57B1" w14:paraId="5C08D368" w14:textId="44CADB87">
            <w:pPr>
              <w:keepNext/>
              <w:keepLines/>
              <w:widowControl/>
              <w:jc w:val="center"/>
              <w:rPr>
                <w:rFonts w:ascii="Calibri" w:hAnsi="Calibri" w:eastAsia="Calibri" w:cs="Calibri"/>
                <w:color w:val="000000"/>
                <w:sz w:val="20"/>
                <w:szCs w:val="20"/>
              </w:rPr>
            </w:pPr>
            <w:r w:rsidRPr="00A53E58">
              <w:rPr>
                <w:rFonts w:ascii="Calibri" w:hAnsi="Calibri" w:eastAsia="Calibri" w:cs="Calibri"/>
                <w:color w:val="000000"/>
                <w:sz w:val="20"/>
                <w:szCs w:val="20"/>
              </w:rPr>
              <w:t>Attorney - $500</w:t>
            </w:r>
            <w:r w:rsidRPr="00F3659E" w:rsidR="00F3659E">
              <w:rPr>
                <w:rFonts w:ascii="Calibri" w:hAnsi="Calibri" w:eastAsia="Calibri" w:cs="Calibri"/>
                <w:color w:val="000000"/>
                <w:sz w:val="20"/>
                <w:szCs w:val="20"/>
                <w:vertAlign w:val="superscript"/>
              </w:rPr>
              <w:t>1</w:t>
            </w:r>
            <w:r w:rsidRPr="00A53E58">
              <w:rPr>
                <w:rFonts w:ascii="Calibri" w:hAnsi="Calibri" w:eastAsia="Calibri" w:cs="Calibri"/>
                <w:color w:val="000000"/>
                <w:sz w:val="20"/>
                <w:szCs w:val="20"/>
              </w:rPr>
              <w:t>)</w:t>
            </w:r>
          </w:p>
        </w:tc>
        <w:tc>
          <w:tcPr>
            <w:tcW w:w="2143" w:type="dxa"/>
            <w:tcBorders>
              <w:top w:val="single" w:color="000000" w:sz="18" w:space="0"/>
              <w:left w:val="nil"/>
              <w:bottom w:val="single" w:color="000000" w:sz="18" w:space="0"/>
              <w:right w:val="single" w:color="000000" w:sz="8" w:space="0"/>
            </w:tcBorders>
            <w:shd w:val="clear" w:color="auto" w:fill="auto"/>
            <w:vAlign w:val="center"/>
          </w:tcPr>
          <w:p w:rsidRPr="00A53E58" w:rsidR="00A104ED" w:rsidP="00947557" w:rsidRDefault="00D539DB" w14:paraId="59A311E6" w14:textId="01F6AE6D">
            <w:pPr>
              <w:keepNext/>
              <w:keepLines/>
              <w:widowControl/>
              <w:jc w:val="center"/>
              <w:rPr>
                <w:rFonts w:ascii="Calibri" w:hAnsi="Calibri" w:eastAsia="Calibri" w:cs="Calibri"/>
                <w:color w:val="000000"/>
                <w:sz w:val="20"/>
                <w:szCs w:val="20"/>
              </w:rPr>
            </w:pPr>
            <w:r>
              <w:rPr>
                <w:rFonts w:ascii="Calibri" w:hAnsi="Calibri" w:eastAsia="Calibri" w:cs="Calibri"/>
                <w:color w:val="000000"/>
                <w:sz w:val="20"/>
                <w:szCs w:val="20"/>
              </w:rPr>
              <w:t>$</w:t>
            </w:r>
            <w:r w:rsidRPr="00A53E58" w:rsidR="00060C31">
              <w:rPr>
                <w:rFonts w:ascii="Calibri" w:hAnsi="Calibri" w:eastAsia="Calibri" w:cs="Calibri"/>
                <w:color w:val="000000"/>
                <w:sz w:val="20"/>
                <w:szCs w:val="20"/>
              </w:rPr>
              <w:t>505</w:t>
            </w:r>
          </w:p>
        </w:tc>
      </w:tr>
      <w:tr w:rsidRPr="00C0319B" w:rsidR="00B14D23" w:rsidTr="00B14D23" w14:paraId="0EBD7088" w14:textId="77777777">
        <w:trPr>
          <w:trHeight w:val="320"/>
          <w:jc w:val="center"/>
        </w:trPr>
        <w:tc>
          <w:tcPr>
            <w:tcW w:w="4130" w:type="dxa"/>
            <w:tcBorders>
              <w:top w:val="single" w:color="000000" w:sz="18" w:space="0"/>
              <w:left w:val="single" w:color="000000" w:sz="8" w:space="0"/>
              <w:bottom w:val="single" w:color="000000" w:sz="2" w:space="0"/>
              <w:right w:val="single" w:color="000000" w:sz="4" w:space="0"/>
            </w:tcBorders>
            <w:shd w:val="clear" w:color="auto" w:fill="DDEBF7"/>
            <w:vAlign w:val="center"/>
          </w:tcPr>
          <w:p w:rsidRPr="00A53E58" w:rsidR="00BD2A55" w:rsidP="00A53E58" w:rsidRDefault="00333FBA" w14:paraId="76E1A399" w14:textId="77777777">
            <w:pPr>
              <w:keepNext/>
              <w:keepLines/>
              <w:widowControl/>
              <w:jc w:val="center"/>
              <w:rPr>
                <w:rFonts w:ascii="Calibri" w:hAnsi="Calibri" w:eastAsia="Calibri" w:cs="Calibri"/>
                <w:b/>
                <w:color w:val="000000"/>
                <w:sz w:val="20"/>
                <w:szCs w:val="20"/>
              </w:rPr>
            </w:pPr>
            <w:r w:rsidRPr="00A53E58">
              <w:rPr>
                <w:rFonts w:ascii="Calibri" w:hAnsi="Calibri" w:eastAsia="Calibri" w:cs="Calibri"/>
                <w:b/>
                <w:color w:val="000000"/>
                <w:sz w:val="20"/>
                <w:szCs w:val="20"/>
              </w:rPr>
              <w:t>TOTALS</w:t>
            </w:r>
          </w:p>
        </w:tc>
        <w:tc>
          <w:tcPr>
            <w:tcW w:w="1530" w:type="dxa"/>
            <w:tcBorders>
              <w:top w:val="single" w:color="000000" w:sz="18" w:space="0"/>
              <w:left w:val="nil"/>
              <w:bottom w:val="single" w:color="000000" w:sz="2" w:space="0"/>
              <w:right w:val="single" w:color="000000" w:sz="4" w:space="0"/>
            </w:tcBorders>
            <w:shd w:val="clear" w:color="auto" w:fill="DBE5F1" w:themeFill="accent1" w:themeFillTint="33"/>
            <w:vAlign w:val="center"/>
          </w:tcPr>
          <w:p w:rsidRPr="00A53E58" w:rsidR="00BD2A55" w:rsidP="00F3659E" w:rsidRDefault="00162D22" w14:paraId="494E27EE" w14:textId="48880E7C">
            <w:pPr>
              <w:keepNext/>
              <w:keepLines/>
              <w:widowControl/>
              <w:jc w:val="center"/>
              <w:rPr>
                <w:rFonts w:ascii="Calibri" w:hAnsi="Calibri" w:eastAsia="Calibri" w:cs="Calibri"/>
                <w:b/>
                <w:color w:val="000000"/>
                <w:sz w:val="20"/>
                <w:szCs w:val="20"/>
              </w:rPr>
            </w:pPr>
            <w:r w:rsidRPr="00A53E58">
              <w:rPr>
                <w:rFonts w:ascii="Calibri" w:hAnsi="Calibri" w:eastAsia="Calibri" w:cs="Calibri"/>
                <w:b/>
                <w:color w:val="000000"/>
                <w:sz w:val="20"/>
                <w:szCs w:val="20"/>
              </w:rPr>
              <w:t>1,722</w:t>
            </w:r>
            <w:r w:rsidRPr="00F3659E" w:rsidR="00F3659E">
              <w:rPr>
                <w:rFonts w:ascii="Calibri" w:hAnsi="Calibri" w:eastAsia="Calibri" w:cs="Calibri"/>
                <w:b/>
                <w:color w:val="000000"/>
                <w:sz w:val="20"/>
                <w:szCs w:val="20"/>
                <w:vertAlign w:val="superscript"/>
              </w:rPr>
              <w:t>2</w:t>
            </w:r>
          </w:p>
        </w:tc>
        <w:tc>
          <w:tcPr>
            <w:tcW w:w="1890" w:type="dxa"/>
            <w:tcBorders>
              <w:top w:val="single" w:color="000000" w:sz="18" w:space="0"/>
              <w:left w:val="nil"/>
              <w:bottom w:val="single" w:color="000000" w:sz="2" w:space="0"/>
              <w:right w:val="single" w:color="000000" w:sz="4" w:space="0"/>
            </w:tcBorders>
            <w:shd w:val="clear" w:color="auto" w:fill="000000" w:themeFill="text1"/>
            <w:vAlign w:val="center"/>
          </w:tcPr>
          <w:p w:rsidRPr="00A53E58" w:rsidR="00BD2A55" w:rsidP="00A53E58" w:rsidRDefault="00BD2A55" w14:paraId="565EBF55" w14:textId="7661CDCC">
            <w:pPr>
              <w:keepNext/>
              <w:keepLines/>
              <w:widowControl/>
              <w:jc w:val="center"/>
              <w:rPr>
                <w:rFonts w:ascii="Calibri" w:hAnsi="Calibri" w:eastAsia="Calibri" w:cs="Calibri"/>
                <w:b/>
                <w:color w:val="000000"/>
                <w:sz w:val="20"/>
                <w:szCs w:val="20"/>
              </w:rPr>
            </w:pPr>
          </w:p>
        </w:tc>
        <w:tc>
          <w:tcPr>
            <w:tcW w:w="2004" w:type="dxa"/>
            <w:tcBorders>
              <w:top w:val="single" w:color="000000" w:sz="18" w:space="0"/>
              <w:left w:val="nil"/>
              <w:bottom w:val="single" w:color="000000" w:sz="2" w:space="0"/>
              <w:right w:val="single" w:color="000000" w:sz="4" w:space="0"/>
            </w:tcBorders>
            <w:shd w:val="clear" w:color="auto" w:fill="DDEBF7"/>
            <w:vAlign w:val="center"/>
          </w:tcPr>
          <w:p w:rsidRPr="00A53E58" w:rsidR="00BD2A55" w:rsidP="00A53E58" w:rsidRDefault="00377089" w14:paraId="0BDF12F9" w14:textId="2120FB34">
            <w:pPr>
              <w:keepNext/>
              <w:keepLines/>
              <w:widowControl/>
              <w:jc w:val="center"/>
              <w:rPr>
                <w:rFonts w:ascii="Calibri" w:hAnsi="Calibri" w:eastAsia="Calibri" w:cs="Calibri"/>
                <w:b/>
                <w:color w:val="000000"/>
                <w:sz w:val="20"/>
                <w:szCs w:val="20"/>
              </w:rPr>
            </w:pPr>
            <w:r w:rsidRPr="00A53E58">
              <w:rPr>
                <w:rFonts w:ascii="Calibri" w:hAnsi="Calibri" w:eastAsia="Calibri" w:cs="Calibri"/>
                <w:b/>
                <w:color w:val="000000"/>
                <w:sz w:val="20"/>
                <w:szCs w:val="20"/>
              </w:rPr>
              <w:t>1,909</w:t>
            </w:r>
          </w:p>
        </w:tc>
        <w:tc>
          <w:tcPr>
            <w:tcW w:w="2690" w:type="dxa"/>
            <w:tcBorders>
              <w:top w:val="single" w:color="000000" w:sz="18" w:space="0"/>
              <w:left w:val="nil"/>
              <w:bottom w:val="single" w:color="000000" w:sz="2" w:space="0"/>
              <w:right w:val="single" w:color="000000" w:sz="4" w:space="0"/>
            </w:tcBorders>
            <w:shd w:val="clear" w:color="auto" w:fill="000000" w:themeFill="text1"/>
            <w:vAlign w:val="center"/>
          </w:tcPr>
          <w:p w:rsidRPr="00A53E58" w:rsidR="00BD2A55" w:rsidP="00A53E58" w:rsidRDefault="00BD2A55" w14:paraId="07E78DF0" w14:textId="0951C98B">
            <w:pPr>
              <w:keepNext/>
              <w:keepLines/>
              <w:widowControl/>
              <w:jc w:val="center"/>
              <w:rPr>
                <w:rFonts w:ascii="Calibri" w:hAnsi="Calibri" w:eastAsia="Calibri" w:cs="Calibri"/>
                <w:b/>
                <w:color w:val="000000"/>
                <w:sz w:val="20"/>
                <w:szCs w:val="20"/>
              </w:rPr>
            </w:pPr>
          </w:p>
        </w:tc>
        <w:tc>
          <w:tcPr>
            <w:tcW w:w="2143" w:type="dxa"/>
            <w:tcBorders>
              <w:top w:val="single" w:color="000000" w:sz="18" w:space="0"/>
              <w:left w:val="nil"/>
              <w:bottom w:val="single" w:color="000000" w:sz="2" w:space="0"/>
              <w:right w:val="single" w:color="000000" w:sz="8" w:space="0"/>
            </w:tcBorders>
            <w:shd w:val="clear" w:color="auto" w:fill="DDEBF7"/>
            <w:vAlign w:val="center"/>
          </w:tcPr>
          <w:p w:rsidRPr="00A53E58" w:rsidR="00BD2A55" w:rsidP="00A53E58" w:rsidRDefault="00377089" w14:paraId="593CDB7F" w14:textId="21AD9032">
            <w:pPr>
              <w:keepNext/>
              <w:keepLines/>
              <w:widowControl/>
              <w:jc w:val="center"/>
              <w:rPr>
                <w:rFonts w:ascii="Calibri" w:hAnsi="Calibri" w:eastAsia="Calibri" w:cs="Calibri"/>
                <w:b/>
                <w:color w:val="000000"/>
                <w:sz w:val="20"/>
                <w:szCs w:val="20"/>
              </w:rPr>
            </w:pPr>
            <w:r w:rsidRPr="00A53E58">
              <w:rPr>
                <w:rFonts w:ascii="Calibri" w:hAnsi="Calibri" w:eastAsia="Calibri" w:cs="Calibri"/>
                <w:b/>
                <w:color w:val="000000"/>
                <w:sz w:val="20"/>
                <w:szCs w:val="20"/>
              </w:rPr>
              <w:t>$895</w:t>
            </w:r>
          </w:p>
        </w:tc>
      </w:tr>
    </w:tbl>
    <w:p w:rsidRPr="00F3659E" w:rsidR="00F3659E" w:rsidP="00B14D23" w:rsidRDefault="00F3659E" w14:paraId="352D9221" w14:textId="6842C838">
      <w:pPr>
        <w:widowControl/>
        <w:autoSpaceDE w:val="0"/>
        <w:autoSpaceDN w:val="0"/>
        <w:ind w:left="130" w:hanging="130"/>
        <w:contextualSpacing/>
        <w:rPr>
          <w:rFonts w:asciiTheme="minorHAnsi" w:hAnsiTheme="minorHAnsi" w:cstheme="minorHAnsi"/>
          <w:color w:val="000000"/>
          <w:sz w:val="18"/>
          <w:szCs w:val="18"/>
        </w:rPr>
      </w:pPr>
      <w:proofErr w:type="gramStart"/>
      <w:r w:rsidRPr="00F3659E">
        <w:rPr>
          <w:rFonts w:asciiTheme="minorHAnsi" w:hAnsiTheme="minorHAnsi" w:cstheme="minorHAnsi"/>
          <w:sz w:val="18"/>
          <w:szCs w:val="18"/>
          <w:vertAlign w:val="superscript"/>
        </w:rPr>
        <w:t>1</w:t>
      </w:r>
      <w:proofErr w:type="gramEnd"/>
      <w:r w:rsidRPr="00F3659E">
        <w:rPr>
          <w:rFonts w:asciiTheme="minorHAnsi" w:hAnsiTheme="minorHAnsi" w:cstheme="minorHAnsi"/>
          <w:sz w:val="18"/>
          <w:szCs w:val="18"/>
          <w:vertAlign w:val="superscript"/>
        </w:rPr>
        <w:t xml:space="preserve"> </w:t>
      </w:r>
      <w:r w:rsidRPr="00F3659E">
        <w:rPr>
          <w:rFonts w:asciiTheme="minorHAnsi" w:hAnsiTheme="minorHAnsi" w:cstheme="minorHAnsi"/>
          <w:sz w:val="18"/>
          <w:szCs w:val="18"/>
        </w:rPr>
        <w:t>4 hours of attorney time at $125 per hour.</w:t>
      </w:r>
      <w:r w:rsidRPr="00F3659E">
        <w:rPr>
          <w:rFonts w:asciiTheme="minorHAnsi" w:hAnsiTheme="minorHAnsi" w:cstheme="minorHAnsi"/>
          <w:color w:val="000000"/>
          <w:sz w:val="18"/>
          <w:szCs w:val="18"/>
        </w:rPr>
        <w:t xml:space="preserve"> </w:t>
      </w:r>
    </w:p>
    <w:p w:rsidRPr="00F3659E" w:rsidR="00F3659E" w:rsidP="00B14D23" w:rsidRDefault="00F3659E" w14:paraId="55302A7D" w14:textId="5D5C5C73">
      <w:pPr>
        <w:widowControl/>
        <w:autoSpaceDE w:val="0"/>
        <w:autoSpaceDN w:val="0"/>
        <w:ind w:left="86" w:hanging="86"/>
        <w:contextualSpacing/>
        <w:rPr>
          <w:rFonts w:asciiTheme="minorHAnsi" w:hAnsiTheme="minorHAnsi" w:cstheme="minorHAnsi"/>
          <w:sz w:val="18"/>
          <w:szCs w:val="18"/>
        </w:rPr>
      </w:pPr>
      <w:proofErr w:type="gramStart"/>
      <w:r w:rsidRPr="00F3659E">
        <w:rPr>
          <w:rFonts w:asciiTheme="minorHAnsi" w:hAnsiTheme="minorHAnsi" w:cstheme="minorHAnsi"/>
          <w:color w:val="000000"/>
          <w:sz w:val="18"/>
          <w:szCs w:val="18"/>
          <w:vertAlign w:val="superscript"/>
        </w:rPr>
        <w:t>2</w:t>
      </w:r>
      <w:proofErr w:type="gramEnd"/>
      <w:r w:rsidRPr="00F3659E">
        <w:rPr>
          <w:rFonts w:asciiTheme="minorHAnsi" w:hAnsiTheme="minorHAnsi" w:cstheme="minorHAnsi"/>
          <w:color w:val="000000"/>
          <w:sz w:val="18"/>
          <w:szCs w:val="18"/>
          <w:vertAlign w:val="superscript"/>
        </w:rPr>
        <w:t xml:space="preserve"> </w:t>
      </w:r>
      <w:r w:rsidRPr="00F3659E">
        <w:rPr>
          <w:rFonts w:asciiTheme="minorHAnsi" w:hAnsiTheme="minorHAnsi" w:cstheme="minorHAnsi"/>
          <w:color w:val="000000"/>
          <w:sz w:val="18"/>
          <w:szCs w:val="18"/>
        </w:rPr>
        <w:t xml:space="preserve">Total respondents includes unique respondents only. Some respondents submit more than one instrument in this collection; therefore, the number of unique respondents </w:t>
      </w:r>
      <w:proofErr w:type="gramStart"/>
      <w:r w:rsidRPr="00F3659E">
        <w:rPr>
          <w:rFonts w:asciiTheme="minorHAnsi" w:hAnsiTheme="minorHAnsi" w:cstheme="minorHAnsi"/>
          <w:color w:val="000000"/>
          <w:sz w:val="18"/>
          <w:szCs w:val="18"/>
        </w:rPr>
        <w:t>is used</w:t>
      </w:r>
      <w:proofErr w:type="gramEnd"/>
      <w:r w:rsidRPr="00F3659E">
        <w:rPr>
          <w:rFonts w:asciiTheme="minorHAnsi" w:hAnsiTheme="minorHAnsi" w:cstheme="minorHAnsi"/>
          <w:color w:val="000000"/>
          <w:sz w:val="18"/>
          <w:szCs w:val="18"/>
        </w:rPr>
        <w:t xml:space="preserve"> to show the estimated annual number of separate participants who are expected to submit information during the 3-year renewal period for this information collection</w:t>
      </w:r>
      <w:r w:rsidRPr="00F3659E">
        <w:rPr>
          <w:rFonts w:asciiTheme="minorHAnsi" w:hAnsiTheme="minorHAnsi" w:cstheme="minorHAnsi"/>
          <w:sz w:val="18"/>
          <w:szCs w:val="18"/>
        </w:rPr>
        <w:t>.</w:t>
      </w:r>
    </w:p>
    <w:p w:rsidRPr="00F3659E" w:rsidR="00377089" w:rsidP="00377089" w:rsidRDefault="00377089" w14:paraId="3C1850DE" w14:textId="77777777">
      <w:pPr>
        <w:widowControl/>
        <w:autoSpaceDE w:val="0"/>
        <w:autoSpaceDN w:val="0"/>
        <w:contextualSpacing/>
        <w:rPr>
          <w:rFonts w:asciiTheme="minorHAnsi" w:hAnsiTheme="minorHAnsi" w:cstheme="minorHAnsi"/>
          <w:color w:val="000000"/>
          <w:sz w:val="18"/>
          <w:szCs w:val="18"/>
        </w:rPr>
        <w:sectPr w:rsidRPr="00F3659E" w:rsidR="00377089" w:rsidSect="00B14D23">
          <w:pgSz w:w="15840" w:h="12240" w:orient="landscape"/>
          <w:pgMar w:top="720" w:right="720" w:bottom="720" w:left="720" w:header="0" w:footer="1008" w:gutter="0"/>
          <w:cols w:space="720"/>
          <w:docGrid w:linePitch="326"/>
        </w:sectPr>
      </w:pPr>
    </w:p>
    <w:p w:rsidRPr="00B17E2B" w:rsidR="00BD2A55" w:rsidP="00DC6F01" w:rsidRDefault="00333FBA" w14:paraId="45ED1496" w14:textId="5CA06C80">
      <w:pPr>
        <w:numPr>
          <w:ilvl w:val="0"/>
          <w:numId w:val="3"/>
        </w:numPr>
        <w:pBdr>
          <w:top w:val="nil"/>
          <w:left w:val="nil"/>
          <w:bottom w:val="nil"/>
          <w:right w:val="nil"/>
          <w:between w:val="nil"/>
        </w:pBdr>
        <w:tabs>
          <w:tab w:val="left" w:pos="360"/>
        </w:tabs>
        <w:ind w:left="0" w:firstLine="0"/>
        <w:rPr>
          <w:b/>
          <w:color w:val="000000"/>
        </w:rPr>
      </w:pPr>
      <w:r w:rsidRPr="00B17E2B">
        <w:rPr>
          <w:b/>
          <w:color w:val="000000"/>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E24E29" w:rsidR="00BD2A55" w:rsidP="00DC6F01" w:rsidRDefault="00BD2A55" w14:paraId="5B1B786D" w14:textId="31D15732">
      <w:pPr>
        <w:pBdr>
          <w:top w:val="nil"/>
          <w:left w:val="nil"/>
          <w:bottom w:val="nil"/>
          <w:right w:val="nil"/>
          <w:between w:val="nil"/>
        </w:pBdr>
        <w:rPr>
          <w:b/>
          <w:color w:val="000000"/>
          <w:sz w:val="23"/>
          <w:szCs w:val="23"/>
        </w:rPr>
      </w:pPr>
    </w:p>
    <w:p w:rsidRPr="00857811" w:rsidR="00857811" w:rsidP="00857811" w:rsidRDefault="00857811" w14:paraId="30FE9645" w14:textId="47BBD46D">
      <w:pPr>
        <w:keepNext/>
        <w:autoSpaceDE w:val="0"/>
        <w:autoSpaceDN w:val="0"/>
        <w:adjustRightInd w:val="0"/>
      </w:pPr>
      <w:r w:rsidRPr="00857811">
        <w:t xml:space="preserve">Cost recovery fees do not increase agency budgets or expenditures. Under the Magnuson-Stevens Act, NMFS </w:t>
      </w:r>
      <w:proofErr w:type="gramStart"/>
      <w:r w:rsidRPr="00857811">
        <w:t>is authorized</w:t>
      </w:r>
      <w:proofErr w:type="gramEnd"/>
      <w:r w:rsidRPr="00857811">
        <w:t xml:space="preserve"> to collect direct program costs from the participants in cost recovery programs. Therefore, information </w:t>
      </w:r>
      <w:r w:rsidR="00E24E29">
        <w:t xml:space="preserve">collection </w:t>
      </w:r>
      <w:r w:rsidRPr="00857811">
        <w:t>for the</w:t>
      </w:r>
      <w:r w:rsidR="00320E5C">
        <w:t xml:space="preserve"> cost recovery</w:t>
      </w:r>
      <w:r w:rsidRPr="00857811">
        <w:t xml:space="preserve"> programs does not impose a cost on the Federal Government. </w:t>
      </w:r>
      <w:r w:rsidR="00320E5C">
        <w:t>The observer fee is not part of a cost recovery program</w:t>
      </w:r>
      <w:r w:rsidR="00434849">
        <w:t>,</w:t>
      </w:r>
      <w:r w:rsidR="00320E5C">
        <w:t xml:space="preserve"> and those costs </w:t>
      </w:r>
      <w:proofErr w:type="gramStart"/>
      <w:r w:rsidR="00320E5C">
        <w:t>are shown</w:t>
      </w:r>
      <w:proofErr w:type="gramEnd"/>
      <w:r w:rsidR="00320E5C">
        <w:t xml:space="preserve"> in the table below. </w:t>
      </w:r>
      <w:r w:rsidR="00432B8E">
        <w:t>The f</w:t>
      </w:r>
      <w:r w:rsidRPr="00432B8E" w:rsidR="00432B8E">
        <w:t>ully loaded salary cost include</w:t>
      </w:r>
      <w:r w:rsidR="00434849">
        <w:t>s</w:t>
      </w:r>
      <w:r w:rsidRPr="00432B8E" w:rsidR="00432B8E">
        <w:t xml:space="preserve"> 52</w:t>
      </w:r>
      <w:r w:rsidR="00320E5C">
        <w:t xml:space="preserve"> percent</w:t>
      </w:r>
      <w:r w:rsidRPr="00432B8E" w:rsidR="00432B8E">
        <w:t xml:space="preserve"> of the salary to account for benefits and other overhead costs</w:t>
      </w:r>
      <w:r w:rsidR="00320E5C">
        <w:t>.</w:t>
      </w:r>
    </w:p>
    <w:p w:rsidRPr="00857811" w:rsidR="00857811" w:rsidP="00857811" w:rsidRDefault="00857811" w14:paraId="31D7AAB6" w14:textId="77777777">
      <w:pPr>
        <w:keepNext/>
        <w:autoSpaceDE w:val="0"/>
        <w:autoSpaceDN w:val="0"/>
        <w:adjustRightInd w:val="0"/>
      </w:pPr>
    </w:p>
    <w:p w:rsidRPr="00857811" w:rsidR="00857811" w:rsidP="00857811" w:rsidRDefault="00857811" w14:paraId="39BCD332" w14:textId="5BE6A1DD">
      <w:pPr>
        <w:keepNext/>
        <w:autoSpaceDE w:val="0"/>
        <w:autoSpaceDN w:val="0"/>
        <w:adjustRightInd w:val="0"/>
        <w:spacing w:after="120"/>
      </w:pPr>
      <w:r w:rsidRPr="00857811">
        <w:t>Total Annualized Cost to the Federal Government for Observer Fees</w:t>
      </w:r>
    </w:p>
    <w:tbl>
      <w:tblPr>
        <w:tblStyle w:val="a2"/>
        <w:tblW w:w="9383" w:type="dxa"/>
        <w:tblLayout w:type="fixed"/>
        <w:tblLook w:val="0400" w:firstRow="0" w:lastRow="0" w:firstColumn="0" w:lastColumn="0" w:noHBand="0" w:noVBand="1"/>
      </w:tblPr>
      <w:tblGrid>
        <w:gridCol w:w="2597"/>
        <w:gridCol w:w="1275"/>
        <w:gridCol w:w="1518"/>
        <w:gridCol w:w="1260"/>
        <w:gridCol w:w="1252"/>
        <w:gridCol w:w="1481"/>
      </w:tblGrid>
      <w:tr w:rsidR="00BD2A55" w:rsidTr="00066CA2" w14:paraId="6A6B7DDC" w14:textId="77777777">
        <w:trPr>
          <w:trHeight w:val="475"/>
        </w:trPr>
        <w:tc>
          <w:tcPr>
            <w:tcW w:w="2597" w:type="dxa"/>
            <w:tcBorders>
              <w:top w:val="single" w:color="000000" w:sz="8" w:space="0"/>
              <w:left w:val="single" w:color="000000" w:sz="8" w:space="0"/>
              <w:bottom w:val="nil"/>
              <w:right w:val="single" w:color="000000" w:sz="8" w:space="0"/>
            </w:tcBorders>
            <w:shd w:val="clear" w:color="auto" w:fill="BDD7EE"/>
            <w:vAlign w:val="center"/>
          </w:tcPr>
          <w:p w:rsidRPr="001D54CD" w:rsidR="00BD2A55" w:rsidRDefault="00333FBA" w14:paraId="47E7C557" w14:textId="77777777">
            <w:pPr>
              <w:widowControl/>
              <w:jc w:val="center"/>
              <w:rPr>
                <w:rFonts w:eastAsia="Calibri" w:asciiTheme="minorHAnsi" w:hAnsiTheme="minorHAnsi" w:cstheme="minorHAnsi"/>
                <w:b/>
                <w:color w:val="000000"/>
                <w:sz w:val="18"/>
                <w:szCs w:val="18"/>
              </w:rPr>
            </w:pPr>
            <w:r w:rsidRPr="001D54CD">
              <w:rPr>
                <w:rFonts w:eastAsia="Calibri" w:asciiTheme="minorHAnsi" w:hAnsiTheme="minorHAnsi" w:cstheme="minorHAnsi"/>
                <w:b/>
                <w:color w:val="000000"/>
                <w:sz w:val="18"/>
                <w:szCs w:val="18"/>
              </w:rPr>
              <w:t>Cost Descriptions</w:t>
            </w:r>
          </w:p>
        </w:tc>
        <w:tc>
          <w:tcPr>
            <w:tcW w:w="1275" w:type="dxa"/>
            <w:tcBorders>
              <w:top w:val="single" w:color="000000" w:sz="8" w:space="0"/>
              <w:left w:val="nil"/>
              <w:bottom w:val="nil"/>
              <w:right w:val="single" w:color="000000" w:sz="8" w:space="0"/>
            </w:tcBorders>
            <w:shd w:val="clear" w:color="auto" w:fill="BDD7EE"/>
            <w:vAlign w:val="center"/>
          </w:tcPr>
          <w:p w:rsidRPr="001D54CD" w:rsidR="00BD2A55" w:rsidRDefault="00333FBA" w14:paraId="218A68FC" w14:textId="77777777">
            <w:pPr>
              <w:widowControl/>
              <w:jc w:val="center"/>
              <w:rPr>
                <w:rFonts w:eastAsia="Calibri" w:asciiTheme="minorHAnsi" w:hAnsiTheme="minorHAnsi" w:cstheme="minorHAnsi"/>
                <w:b/>
                <w:color w:val="000000"/>
                <w:sz w:val="18"/>
                <w:szCs w:val="18"/>
              </w:rPr>
            </w:pPr>
            <w:r w:rsidRPr="001D54CD">
              <w:rPr>
                <w:rFonts w:eastAsia="Calibri" w:asciiTheme="minorHAnsi" w:hAnsiTheme="minorHAnsi" w:cstheme="minorHAnsi"/>
                <w:b/>
                <w:color w:val="000000"/>
                <w:sz w:val="18"/>
                <w:szCs w:val="18"/>
              </w:rPr>
              <w:t>Grade/Step</w:t>
            </w:r>
          </w:p>
        </w:tc>
        <w:tc>
          <w:tcPr>
            <w:tcW w:w="1518" w:type="dxa"/>
            <w:tcBorders>
              <w:top w:val="single" w:color="000000" w:sz="8" w:space="0"/>
              <w:left w:val="nil"/>
              <w:bottom w:val="nil"/>
              <w:right w:val="single" w:color="000000" w:sz="8" w:space="0"/>
            </w:tcBorders>
            <w:shd w:val="clear" w:color="auto" w:fill="BDD7EE"/>
            <w:vAlign w:val="center"/>
          </w:tcPr>
          <w:p w:rsidRPr="001D54CD" w:rsidR="00BD2A55" w:rsidRDefault="00066CA2" w14:paraId="55EA3EDF" w14:textId="71830013">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Loaded Salary</w:t>
            </w:r>
            <w:r w:rsidRPr="001D54CD" w:rsidR="00333FBA">
              <w:rPr>
                <w:rFonts w:eastAsia="Calibri" w:asciiTheme="minorHAnsi" w:hAnsiTheme="minorHAnsi" w:cstheme="minorHAnsi"/>
                <w:b/>
                <w:color w:val="000000"/>
                <w:sz w:val="18"/>
                <w:szCs w:val="18"/>
              </w:rPr>
              <w:t>/</w:t>
            </w:r>
            <w:r>
              <w:rPr>
                <w:rFonts w:eastAsia="Calibri" w:asciiTheme="minorHAnsi" w:hAnsiTheme="minorHAnsi" w:cstheme="minorHAnsi"/>
                <w:b/>
                <w:color w:val="000000"/>
                <w:sz w:val="18"/>
                <w:szCs w:val="18"/>
              </w:rPr>
              <w:t xml:space="preserve"> </w:t>
            </w:r>
            <w:r w:rsidRPr="001D54CD" w:rsidR="00333FBA">
              <w:rPr>
                <w:rFonts w:eastAsia="Calibri" w:asciiTheme="minorHAnsi" w:hAnsiTheme="minorHAnsi" w:cstheme="minorHAnsi"/>
                <w:b/>
                <w:color w:val="000000"/>
                <w:sz w:val="18"/>
                <w:szCs w:val="18"/>
              </w:rPr>
              <w:t>Cost</w:t>
            </w:r>
          </w:p>
        </w:tc>
        <w:tc>
          <w:tcPr>
            <w:tcW w:w="1260" w:type="dxa"/>
            <w:tcBorders>
              <w:top w:val="single" w:color="000000" w:sz="8" w:space="0"/>
              <w:left w:val="nil"/>
              <w:bottom w:val="nil"/>
              <w:right w:val="single" w:color="000000" w:sz="8" w:space="0"/>
            </w:tcBorders>
            <w:shd w:val="clear" w:color="auto" w:fill="BDD7EE"/>
            <w:vAlign w:val="center"/>
          </w:tcPr>
          <w:p w:rsidRPr="001D54CD" w:rsidR="00BD2A55" w:rsidRDefault="00333FBA" w14:paraId="167ADB1D" w14:textId="77777777">
            <w:pPr>
              <w:widowControl/>
              <w:jc w:val="center"/>
              <w:rPr>
                <w:rFonts w:eastAsia="Calibri" w:asciiTheme="minorHAnsi" w:hAnsiTheme="minorHAnsi" w:cstheme="minorHAnsi"/>
                <w:b/>
                <w:color w:val="000000"/>
                <w:sz w:val="18"/>
                <w:szCs w:val="18"/>
              </w:rPr>
            </w:pPr>
            <w:r w:rsidRPr="001D54CD">
              <w:rPr>
                <w:rFonts w:eastAsia="Calibri" w:asciiTheme="minorHAnsi" w:hAnsiTheme="minorHAnsi" w:cstheme="minorHAnsi"/>
                <w:b/>
                <w:color w:val="000000"/>
                <w:sz w:val="18"/>
                <w:szCs w:val="18"/>
              </w:rPr>
              <w:t>% of Effort</w:t>
            </w:r>
          </w:p>
        </w:tc>
        <w:tc>
          <w:tcPr>
            <w:tcW w:w="1252" w:type="dxa"/>
            <w:tcBorders>
              <w:top w:val="single" w:color="000000" w:sz="8" w:space="0"/>
              <w:left w:val="nil"/>
              <w:bottom w:val="nil"/>
              <w:right w:val="single" w:color="000000" w:sz="8" w:space="0"/>
            </w:tcBorders>
            <w:shd w:val="clear" w:color="auto" w:fill="BDD7EE"/>
            <w:vAlign w:val="center"/>
          </w:tcPr>
          <w:p w:rsidRPr="001D54CD" w:rsidR="00BD2A55" w:rsidRDefault="00333FBA" w14:paraId="0234A2CF" w14:textId="77777777">
            <w:pPr>
              <w:widowControl/>
              <w:jc w:val="center"/>
              <w:rPr>
                <w:rFonts w:eastAsia="Calibri" w:asciiTheme="minorHAnsi" w:hAnsiTheme="minorHAnsi" w:cstheme="minorHAnsi"/>
                <w:b/>
                <w:color w:val="000000"/>
                <w:sz w:val="18"/>
                <w:szCs w:val="18"/>
              </w:rPr>
            </w:pPr>
            <w:r w:rsidRPr="001D54CD">
              <w:rPr>
                <w:rFonts w:eastAsia="Calibri" w:asciiTheme="minorHAnsi" w:hAnsiTheme="minorHAnsi" w:cstheme="minorHAnsi"/>
                <w:b/>
                <w:color w:val="000000"/>
                <w:sz w:val="18"/>
                <w:szCs w:val="18"/>
              </w:rPr>
              <w:t>Fringe (if Applicable)</w:t>
            </w:r>
          </w:p>
        </w:tc>
        <w:tc>
          <w:tcPr>
            <w:tcW w:w="1481" w:type="dxa"/>
            <w:tcBorders>
              <w:top w:val="single" w:color="000000" w:sz="8" w:space="0"/>
              <w:left w:val="nil"/>
              <w:bottom w:val="nil"/>
              <w:right w:val="single" w:color="000000" w:sz="8" w:space="0"/>
            </w:tcBorders>
            <w:shd w:val="clear" w:color="auto" w:fill="BDD7EE"/>
            <w:vAlign w:val="center"/>
          </w:tcPr>
          <w:p w:rsidRPr="001D54CD" w:rsidR="00BD2A55" w:rsidRDefault="00333FBA" w14:paraId="38568650" w14:textId="77777777">
            <w:pPr>
              <w:widowControl/>
              <w:jc w:val="center"/>
              <w:rPr>
                <w:rFonts w:eastAsia="Calibri" w:asciiTheme="minorHAnsi" w:hAnsiTheme="minorHAnsi" w:cstheme="minorHAnsi"/>
                <w:b/>
                <w:color w:val="000000"/>
                <w:sz w:val="18"/>
                <w:szCs w:val="18"/>
              </w:rPr>
            </w:pPr>
            <w:r w:rsidRPr="001D54CD">
              <w:rPr>
                <w:rFonts w:eastAsia="Calibri" w:asciiTheme="minorHAnsi" w:hAnsiTheme="minorHAnsi" w:cstheme="minorHAnsi"/>
                <w:b/>
                <w:color w:val="000000"/>
                <w:sz w:val="18"/>
                <w:szCs w:val="18"/>
              </w:rPr>
              <w:t>Total Cost to Government</w:t>
            </w:r>
          </w:p>
        </w:tc>
      </w:tr>
      <w:tr w:rsidR="00BD2A55" w:rsidTr="00066CA2" w14:paraId="42B2B535" w14:textId="77777777">
        <w:trPr>
          <w:trHeight w:val="491"/>
        </w:trPr>
        <w:tc>
          <w:tcPr>
            <w:tcW w:w="2597" w:type="dxa"/>
            <w:tcBorders>
              <w:top w:val="single" w:color="000000" w:sz="4" w:space="0"/>
              <w:left w:val="single" w:color="000000" w:sz="8" w:space="0"/>
              <w:bottom w:val="single" w:color="000000" w:sz="4" w:space="0"/>
              <w:right w:val="single" w:color="000000" w:sz="8" w:space="0"/>
            </w:tcBorders>
            <w:shd w:val="clear" w:color="auto" w:fill="auto"/>
            <w:vAlign w:val="center"/>
          </w:tcPr>
          <w:p w:rsidRPr="001D54CD" w:rsidR="00BD2A55" w:rsidRDefault="00333FBA" w14:paraId="38C846C0" w14:textId="77777777">
            <w:pPr>
              <w:widowControl/>
              <w:rPr>
                <w:rFonts w:eastAsia="Calibri" w:asciiTheme="minorHAnsi" w:hAnsiTheme="minorHAnsi" w:cstheme="minorHAnsi"/>
                <w:b/>
                <w:color w:val="000000"/>
                <w:sz w:val="18"/>
                <w:szCs w:val="18"/>
              </w:rPr>
            </w:pPr>
            <w:r w:rsidRPr="001D54CD">
              <w:rPr>
                <w:rFonts w:eastAsia="Calibri" w:asciiTheme="minorHAnsi" w:hAnsiTheme="minorHAnsi" w:cstheme="minorHAnsi"/>
                <w:b/>
                <w:color w:val="000000"/>
                <w:sz w:val="18"/>
                <w:szCs w:val="18"/>
              </w:rPr>
              <w:t>Federal Oversight</w:t>
            </w:r>
          </w:p>
        </w:tc>
        <w:tc>
          <w:tcPr>
            <w:tcW w:w="1275" w:type="dxa"/>
            <w:tcBorders>
              <w:top w:val="single" w:color="000000" w:sz="4" w:space="0"/>
              <w:left w:val="nil"/>
              <w:bottom w:val="single" w:color="000000" w:sz="4" w:space="0"/>
              <w:right w:val="single" w:color="000000" w:sz="4" w:space="0"/>
            </w:tcBorders>
            <w:shd w:val="clear" w:color="auto" w:fill="auto"/>
            <w:vAlign w:val="center"/>
          </w:tcPr>
          <w:p w:rsidRPr="001D54CD" w:rsidR="00BD2A55" w:rsidP="00EE3C71" w:rsidRDefault="00432B8E" w14:paraId="764F07D1" w14:textId="17EFCC1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GS 11-12</w:t>
            </w:r>
          </w:p>
        </w:tc>
        <w:tc>
          <w:tcPr>
            <w:tcW w:w="1518" w:type="dxa"/>
            <w:tcBorders>
              <w:top w:val="single" w:color="000000" w:sz="4" w:space="0"/>
              <w:left w:val="nil"/>
              <w:bottom w:val="single" w:color="000000" w:sz="4" w:space="0"/>
              <w:right w:val="single" w:color="000000" w:sz="4" w:space="0"/>
            </w:tcBorders>
            <w:shd w:val="clear" w:color="auto" w:fill="auto"/>
            <w:vAlign w:val="center"/>
          </w:tcPr>
          <w:p w:rsidRPr="001D54CD" w:rsidR="00BD2A55" w:rsidP="00432B8E" w:rsidRDefault="00EE3C71" w14:paraId="50EBD57C" w14:textId="608F60B2">
            <w:pPr>
              <w:widowControl/>
              <w:jc w:val="center"/>
              <w:rPr>
                <w:rFonts w:eastAsia="Calibri" w:asciiTheme="minorHAnsi" w:hAnsiTheme="minorHAnsi" w:cstheme="minorHAnsi"/>
                <w:color w:val="000000"/>
                <w:sz w:val="18"/>
                <w:szCs w:val="18"/>
              </w:rPr>
            </w:pPr>
            <w:r w:rsidRPr="00EE3C71">
              <w:rPr>
                <w:rFonts w:eastAsia="Calibri" w:asciiTheme="minorHAnsi" w:hAnsiTheme="minorHAnsi" w:cstheme="minorHAnsi"/>
                <w:color w:val="000000"/>
                <w:sz w:val="18"/>
                <w:szCs w:val="18"/>
              </w:rPr>
              <w:t>$</w:t>
            </w:r>
            <w:r w:rsidR="00432B8E">
              <w:rPr>
                <w:rFonts w:eastAsia="Calibri" w:asciiTheme="minorHAnsi" w:hAnsiTheme="minorHAnsi" w:cstheme="minorHAnsi"/>
                <w:color w:val="000000"/>
                <w:sz w:val="18"/>
                <w:szCs w:val="18"/>
              </w:rPr>
              <w:t>169,545</w:t>
            </w:r>
          </w:p>
        </w:tc>
        <w:tc>
          <w:tcPr>
            <w:tcW w:w="1260" w:type="dxa"/>
            <w:tcBorders>
              <w:top w:val="single" w:color="000000" w:sz="4" w:space="0"/>
              <w:left w:val="nil"/>
              <w:bottom w:val="single" w:color="000000" w:sz="4" w:space="0"/>
              <w:right w:val="single" w:color="000000" w:sz="4" w:space="0"/>
            </w:tcBorders>
            <w:shd w:val="clear" w:color="auto" w:fill="auto"/>
            <w:vAlign w:val="center"/>
          </w:tcPr>
          <w:p w:rsidRPr="001D54CD" w:rsidR="00BD2A55" w:rsidP="00EE3C71" w:rsidRDefault="00EE3C71" w14:paraId="0269D9EE" w14:textId="5716916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w:t>
            </w:r>
          </w:p>
        </w:tc>
        <w:tc>
          <w:tcPr>
            <w:tcW w:w="1252" w:type="dxa"/>
            <w:tcBorders>
              <w:top w:val="single" w:color="000000" w:sz="4" w:space="0"/>
              <w:left w:val="nil"/>
              <w:bottom w:val="single" w:color="000000" w:sz="4" w:space="0"/>
              <w:right w:val="single" w:color="000000" w:sz="4" w:space="0"/>
            </w:tcBorders>
            <w:shd w:val="clear" w:color="auto" w:fill="808080"/>
            <w:vAlign w:val="center"/>
          </w:tcPr>
          <w:p w:rsidRPr="001D54CD" w:rsidR="00BD2A55" w:rsidRDefault="00333FBA" w14:paraId="31DA37CF" w14:textId="77777777">
            <w:pPr>
              <w:widowControl/>
              <w:rPr>
                <w:rFonts w:eastAsia="Calibri" w:asciiTheme="minorHAnsi" w:hAnsiTheme="minorHAnsi" w:cstheme="minorHAnsi"/>
                <w:color w:val="000000"/>
                <w:sz w:val="18"/>
                <w:szCs w:val="18"/>
              </w:rPr>
            </w:pPr>
            <w:r w:rsidRPr="001D54CD">
              <w:rPr>
                <w:rFonts w:eastAsia="Calibri" w:asciiTheme="minorHAnsi" w:hAnsiTheme="minorHAnsi" w:cstheme="minorHAnsi"/>
                <w:color w:val="000000"/>
                <w:sz w:val="18"/>
                <w:szCs w:val="18"/>
              </w:rPr>
              <w:t> </w:t>
            </w:r>
          </w:p>
        </w:tc>
        <w:tc>
          <w:tcPr>
            <w:tcW w:w="1481" w:type="dxa"/>
            <w:tcBorders>
              <w:top w:val="single" w:color="000000" w:sz="4" w:space="0"/>
              <w:left w:val="nil"/>
              <w:bottom w:val="single" w:color="000000" w:sz="4" w:space="0"/>
              <w:right w:val="single" w:color="000000" w:sz="8" w:space="0"/>
            </w:tcBorders>
            <w:shd w:val="clear" w:color="auto" w:fill="auto"/>
            <w:vAlign w:val="center"/>
          </w:tcPr>
          <w:p w:rsidRPr="001D54CD" w:rsidR="00BD2A55" w:rsidP="00EE3C71" w:rsidRDefault="00432B8E" w14:paraId="1B9BCA75" w14:textId="3E3F6F17">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16,955</w:t>
            </w:r>
          </w:p>
        </w:tc>
      </w:tr>
      <w:tr w:rsidR="00066CA2" w:rsidTr="00066CA2" w14:paraId="06D2FE29" w14:textId="77777777">
        <w:trPr>
          <w:trHeight w:val="316"/>
        </w:trPr>
        <w:tc>
          <w:tcPr>
            <w:tcW w:w="2597" w:type="dxa"/>
            <w:tcBorders>
              <w:top w:val="nil"/>
              <w:left w:val="single" w:color="000000" w:sz="8" w:space="0"/>
              <w:bottom w:val="single" w:color="000000" w:sz="4" w:space="0"/>
              <w:right w:val="single" w:color="000000" w:sz="8" w:space="0"/>
            </w:tcBorders>
            <w:shd w:val="clear" w:color="auto" w:fill="auto"/>
            <w:vAlign w:val="center"/>
          </w:tcPr>
          <w:p w:rsidRPr="001D54CD" w:rsidR="00066CA2" w:rsidP="00066CA2" w:rsidRDefault="00066CA2" w14:paraId="5CDE8FC3" w14:textId="77777777">
            <w:pPr>
              <w:widowControl/>
              <w:rPr>
                <w:rFonts w:eastAsia="Calibri" w:asciiTheme="minorHAnsi" w:hAnsiTheme="minorHAnsi" w:cstheme="minorHAnsi"/>
                <w:color w:val="000000"/>
                <w:sz w:val="18"/>
                <w:szCs w:val="18"/>
              </w:rPr>
            </w:pPr>
            <w:r w:rsidRPr="001D54CD">
              <w:rPr>
                <w:rFonts w:eastAsia="Calibri" w:asciiTheme="minorHAnsi" w:hAnsiTheme="minorHAnsi" w:cstheme="minorHAnsi"/>
                <w:color w:val="000000"/>
                <w:sz w:val="18"/>
                <w:szCs w:val="18"/>
              </w:rPr>
              <w:t>Other Federal Positions</w:t>
            </w:r>
          </w:p>
        </w:tc>
        <w:tc>
          <w:tcPr>
            <w:tcW w:w="1275" w:type="dxa"/>
            <w:tcBorders>
              <w:top w:val="nil"/>
              <w:left w:val="nil"/>
              <w:bottom w:val="single" w:color="000000" w:sz="4" w:space="0"/>
              <w:right w:val="single" w:color="000000" w:sz="4" w:space="0"/>
            </w:tcBorders>
            <w:shd w:val="clear" w:color="auto" w:fill="auto"/>
            <w:vAlign w:val="center"/>
          </w:tcPr>
          <w:p w:rsidRPr="001D54CD" w:rsidR="00066CA2" w:rsidP="00066CA2" w:rsidRDefault="00066CA2" w14:paraId="613E200D" w14:textId="72F4FD86">
            <w:pPr>
              <w:widowControl/>
              <w:jc w:val="center"/>
              <w:rPr>
                <w:rFonts w:eastAsia="Calibri" w:asciiTheme="minorHAnsi" w:hAnsiTheme="minorHAnsi" w:cstheme="minorHAnsi"/>
                <w:color w:val="000000"/>
                <w:sz w:val="18"/>
                <w:szCs w:val="18"/>
              </w:rPr>
            </w:pPr>
            <w:r w:rsidRPr="001D54CD">
              <w:rPr>
                <w:rFonts w:eastAsia="Calibri" w:asciiTheme="minorHAnsi" w:hAnsiTheme="minorHAnsi" w:cstheme="minorHAnsi"/>
                <w:color w:val="000000"/>
                <w:sz w:val="18"/>
                <w:szCs w:val="18"/>
              </w:rPr>
              <w:t>—</w:t>
            </w:r>
          </w:p>
        </w:tc>
        <w:tc>
          <w:tcPr>
            <w:tcW w:w="1518" w:type="dxa"/>
            <w:tcBorders>
              <w:top w:val="nil"/>
              <w:left w:val="nil"/>
              <w:bottom w:val="single" w:color="000000" w:sz="4" w:space="0"/>
              <w:right w:val="single" w:color="000000" w:sz="4" w:space="0"/>
            </w:tcBorders>
            <w:shd w:val="clear" w:color="auto" w:fill="auto"/>
            <w:vAlign w:val="center"/>
          </w:tcPr>
          <w:p w:rsidRPr="001D54CD" w:rsidR="00066CA2" w:rsidP="00066CA2" w:rsidRDefault="00066CA2" w14:paraId="2760885D" w14:textId="4193ECC4">
            <w:pPr>
              <w:widowControl/>
              <w:jc w:val="center"/>
              <w:rPr>
                <w:rFonts w:eastAsia="Calibri" w:asciiTheme="minorHAnsi" w:hAnsiTheme="minorHAnsi" w:cstheme="minorHAnsi"/>
                <w:color w:val="000000"/>
                <w:sz w:val="18"/>
                <w:szCs w:val="18"/>
              </w:rPr>
            </w:pPr>
            <w:r w:rsidRPr="001D54CD">
              <w:rPr>
                <w:rFonts w:asciiTheme="minorHAnsi" w:hAnsiTheme="minorHAnsi" w:cstheme="minorHAnsi"/>
                <w:sz w:val="18"/>
                <w:szCs w:val="18"/>
              </w:rPr>
              <w:t>—</w:t>
            </w:r>
          </w:p>
        </w:tc>
        <w:tc>
          <w:tcPr>
            <w:tcW w:w="1260" w:type="dxa"/>
            <w:tcBorders>
              <w:top w:val="nil"/>
              <w:left w:val="nil"/>
              <w:bottom w:val="single" w:color="000000" w:sz="4" w:space="0"/>
              <w:right w:val="single" w:color="000000" w:sz="4" w:space="0"/>
            </w:tcBorders>
            <w:shd w:val="clear" w:color="auto" w:fill="auto"/>
            <w:vAlign w:val="center"/>
          </w:tcPr>
          <w:p w:rsidRPr="001D54CD" w:rsidR="00066CA2" w:rsidP="00066CA2" w:rsidRDefault="00066CA2" w14:paraId="3D5C1201" w14:textId="0294EBAF">
            <w:pPr>
              <w:widowControl/>
              <w:jc w:val="center"/>
              <w:rPr>
                <w:rFonts w:eastAsia="Calibri" w:asciiTheme="minorHAnsi" w:hAnsiTheme="minorHAnsi" w:cstheme="minorHAnsi"/>
                <w:color w:val="000000"/>
                <w:sz w:val="18"/>
                <w:szCs w:val="18"/>
              </w:rPr>
            </w:pPr>
            <w:r w:rsidRPr="001D54CD">
              <w:rPr>
                <w:rFonts w:asciiTheme="minorHAnsi" w:hAnsiTheme="minorHAnsi" w:cstheme="minorHAnsi"/>
                <w:sz w:val="18"/>
                <w:szCs w:val="18"/>
              </w:rPr>
              <w:t>—</w:t>
            </w:r>
          </w:p>
        </w:tc>
        <w:tc>
          <w:tcPr>
            <w:tcW w:w="1252" w:type="dxa"/>
            <w:tcBorders>
              <w:top w:val="nil"/>
              <w:left w:val="nil"/>
              <w:bottom w:val="single" w:color="000000" w:sz="4" w:space="0"/>
              <w:right w:val="single" w:color="000000" w:sz="4" w:space="0"/>
            </w:tcBorders>
            <w:shd w:val="clear" w:color="auto" w:fill="808080"/>
            <w:vAlign w:val="center"/>
          </w:tcPr>
          <w:p w:rsidRPr="001D54CD" w:rsidR="00066CA2" w:rsidP="00066CA2" w:rsidRDefault="00066CA2" w14:paraId="102B8F60" w14:textId="77777777">
            <w:pPr>
              <w:widowControl/>
              <w:rPr>
                <w:rFonts w:eastAsia="Calibri" w:asciiTheme="minorHAnsi" w:hAnsiTheme="minorHAnsi" w:cstheme="minorHAnsi"/>
                <w:color w:val="000000"/>
                <w:sz w:val="18"/>
                <w:szCs w:val="18"/>
              </w:rPr>
            </w:pPr>
            <w:r w:rsidRPr="001D54CD">
              <w:rPr>
                <w:rFonts w:eastAsia="Calibri" w:asciiTheme="minorHAnsi" w:hAnsiTheme="minorHAnsi" w:cstheme="minorHAnsi"/>
                <w:color w:val="000000"/>
                <w:sz w:val="18"/>
                <w:szCs w:val="18"/>
              </w:rPr>
              <w:t> </w:t>
            </w:r>
          </w:p>
        </w:tc>
        <w:tc>
          <w:tcPr>
            <w:tcW w:w="1481" w:type="dxa"/>
            <w:tcBorders>
              <w:top w:val="nil"/>
              <w:left w:val="nil"/>
              <w:bottom w:val="single" w:color="000000" w:sz="4" w:space="0"/>
              <w:right w:val="single" w:color="000000" w:sz="8" w:space="0"/>
            </w:tcBorders>
            <w:shd w:val="clear" w:color="auto" w:fill="auto"/>
            <w:vAlign w:val="center"/>
          </w:tcPr>
          <w:p w:rsidRPr="001D54CD" w:rsidR="00066CA2" w:rsidP="00066CA2" w:rsidRDefault="00066CA2" w14:paraId="722815A3" w14:textId="5ADD7C2B">
            <w:pPr>
              <w:widowControl/>
              <w:jc w:val="right"/>
              <w:rPr>
                <w:rFonts w:eastAsia="Calibri" w:asciiTheme="minorHAnsi" w:hAnsiTheme="minorHAnsi" w:cstheme="minorHAnsi"/>
                <w:color w:val="000000"/>
                <w:sz w:val="18"/>
                <w:szCs w:val="18"/>
              </w:rPr>
            </w:pPr>
            <w:r w:rsidRPr="001D54CD">
              <w:rPr>
                <w:rFonts w:eastAsia="Calibri" w:asciiTheme="minorHAnsi" w:hAnsiTheme="minorHAnsi" w:cstheme="minorHAnsi"/>
                <w:color w:val="000000"/>
                <w:sz w:val="18"/>
                <w:szCs w:val="18"/>
              </w:rPr>
              <w:t> </w:t>
            </w:r>
            <w:r w:rsidRPr="001D54CD">
              <w:rPr>
                <w:rFonts w:asciiTheme="minorHAnsi" w:hAnsiTheme="minorHAnsi" w:cstheme="minorHAnsi"/>
                <w:sz w:val="18"/>
                <w:szCs w:val="18"/>
              </w:rPr>
              <w:t>—</w:t>
            </w:r>
          </w:p>
        </w:tc>
      </w:tr>
      <w:tr w:rsidR="001D54CD" w:rsidTr="00066CA2" w14:paraId="36989CC5" w14:textId="77777777">
        <w:trPr>
          <w:trHeight w:val="491"/>
        </w:trPr>
        <w:tc>
          <w:tcPr>
            <w:tcW w:w="2597" w:type="dxa"/>
            <w:tcBorders>
              <w:top w:val="nil"/>
              <w:left w:val="single" w:color="000000" w:sz="8" w:space="0"/>
              <w:bottom w:val="single" w:color="000000" w:sz="4" w:space="0"/>
              <w:right w:val="single" w:color="000000" w:sz="8" w:space="0"/>
            </w:tcBorders>
            <w:shd w:val="clear" w:color="auto" w:fill="auto"/>
            <w:vAlign w:val="center"/>
          </w:tcPr>
          <w:p w:rsidRPr="001D54CD" w:rsidR="001D54CD" w:rsidP="001D54CD" w:rsidRDefault="001D54CD" w14:paraId="63B38E5A" w14:textId="77777777">
            <w:pPr>
              <w:widowControl/>
              <w:rPr>
                <w:rFonts w:eastAsia="Calibri" w:asciiTheme="minorHAnsi" w:hAnsiTheme="minorHAnsi" w:cstheme="minorHAnsi"/>
                <w:b/>
                <w:color w:val="000000"/>
                <w:sz w:val="18"/>
                <w:szCs w:val="18"/>
              </w:rPr>
            </w:pPr>
            <w:r w:rsidRPr="001D54CD">
              <w:rPr>
                <w:rFonts w:eastAsia="Calibri" w:asciiTheme="minorHAnsi" w:hAnsiTheme="minorHAnsi" w:cstheme="minorHAnsi"/>
                <w:b/>
                <w:color w:val="000000"/>
                <w:sz w:val="18"/>
                <w:szCs w:val="18"/>
              </w:rPr>
              <w:t>Contractor Cost</w:t>
            </w:r>
          </w:p>
        </w:tc>
        <w:tc>
          <w:tcPr>
            <w:tcW w:w="1275" w:type="dxa"/>
            <w:tcBorders>
              <w:top w:val="nil"/>
              <w:left w:val="nil"/>
              <w:bottom w:val="single" w:color="000000" w:sz="4" w:space="0"/>
              <w:right w:val="single" w:color="000000" w:sz="4" w:space="0"/>
            </w:tcBorders>
            <w:shd w:val="clear" w:color="auto" w:fill="808080"/>
            <w:vAlign w:val="center"/>
          </w:tcPr>
          <w:p w:rsidRPr="001D54CD" w:rsidR="001D54CD" w:rsidP="001D54CD" w:rsidRDefault="001D54CD" w14:paraId="7A68FD77" w14:textId="77777777">
            <w:pPr>
              <w:widowControl/>
              <w:rPr>
                <w:rFonts w:eastAsia="Calibri" w:asciiTheme="minorHAnsi" w:hAnsiTheme="minorHAnsi" w:cstheme="minorHAnsi"/>
                <w:color w:val="000000"/>
                <w:sz w:val="18"/>
                <w:szCs w:val="18"/>
              </w:rPr>
            </w:pPr>
            <w:r w:rsidRPr="001D54CD">
              <w:rPr>
                <w:rFonts w:eastAsia="Calibri" w:asciiTheme="minorHAnsi" w:hAnsiTheme="minorHAnsi" w:cstheme="minorHAnsi"/>
                <w:color w:val="000000"/>
                <w:sz w:val="18"/>
                <w:szCs w:val="18"/>
              </w:rPr>
              <w:t> </w:t>
            </w:r>
          </w:p>
        </w:tc>
        <w:tc>
          <w:tcPr>
            <w:tcW w:w="1518" w:type="dxa"/>
            <w:tcBorders>
              <w:top w:val="nil"/>
              <w:left w:val="nil"/>
              <w:bottom w:val="single" w:color="000000" w:sz="4" w:space="0"/>
              <w:right w:val="single" w:color="000000" w:sz="4" w:space="0"/>
            </w:tcBorders>
            <w:shd w:val="clear" w:color="auto" w:fill="auto"/>
            <w:vAlign w:val="center"/>
          </w:tcPr>
          <w:p w:rsidRPr="001D54CD" w:rsidR="001D54CD" w:rsidP="001D54CD" w:rsidRDefault="001D54CD" w14:paraId="28D0B837" w14:textId="0C943084">
            <w:pPr>
              <w:widowControl/>
              <w:jc w:val="center"/>
              <w:rPr>
                <w:rFonts w:eastAsia="Calibri" w:asciiTheme="minorHAnsi" w:hAnsiTheme="minorHAnsi" w:cstheme="minorHAnsi"/>
                <w:color w:val="000000"/>
                <w:sz w:val="18"/>
                <w:szCs w:val="18"/>
              </w:rPr>
            </w:pPr>
            <w:r w:rsidRPr="001D54CD">
              <w:rPr>
                <w:rFonts w:eastAsia="Calibri" w:asciiTheme="minorHAnsi" w:hAnsiTheme="minorHAnsi" w:cstheme="minorHAnsi"/>
                <w:color w:val="000000"/>
                <w:sz w:val="18"/>
                <w:szCs w:val="18"/>
              </w:rPr>
              <w:t>—</w:t>
            </w:r>
          </w:p>
        </w:tc>
        <w:tc>
          <w:tcPr>
            <w:tcW w:w="1260" w:type="dxa"/>
            <w:tcBorders>
              <w:top w:val="nil"/>
              <w:left w:val="nil"/>
              <w:bottom w:val="single" w:color="000000" w:sz="4" w:space="0"/>
              <w:right w:val="single" w:color="000000" w:sz="4" w:space="0"/>
            </w:tcBorders>
            <w:shd w:val="clear" w:color="auto" w:fill="auto"/>
            <w:vAlign w:val="center"/>
          </w:tcPr>
          <w:p w:rsidRPr="001D54CD" w:rsidR="001D54CD" w:rsidP="001D54CD" w:rsidRDefault="001D54CD" w14:paraId="6A37E4BA" w14:textId="2C15E596">
            <w:pPr>
              <w:widowControl/>
              <w:jc w:val="center"/>
              <w:rPr>
                <w:rFonts w:eastAsia="Calibri" w:asciiTheme="minorHAnsi" w:hAnsiTheme="minorHAnsi" w:cstheme="minorHAnsi"/>
                <w:color w:val="000000"/>
                <w:sz w:val="18"/>
                <w:szCs w:val="18"/>
              </w:rPr>
            </w:pPr>
            <w:r w:rsidRPr="001D54CD">
              <w:rPr>
                <w:rFonts w:asciiTheme="minorHAnsi" w:hAnsiTheme="minorHAnsi" w:cstheme="minorHAnsi"/>
                <w:sz w:val="18"/>
                <w:szCs w:val="18"/>
              </w:rPr>
              <w:t>—</w:t>
            </w:r>
          </w:p>
        </w:tc>
        <w:tc>
          <w:tcPr>
            <w:tcW w:w="1252" w:type="dxa"/>
            <w:tcBorders>
              <w:top w:val="nil"/>
              <w:left w:val="nil"/>
              <w:bottom w:val="single" w:color="000000" w:sz="4" w:space="0"/>
              <w:right w:val="single" w:color="000000" w:sz="4" w:space="0"/>
            </w:tcBorders>
            <w:shd w:val="clear" w:color="auto" w:fill="auto"/>
            <w:vAlign w:val="center"/>
          </w:tcPr>
          <w:p w:rsidRPr="001D54CD" w:rsidR="001D54CD" w:rsidP="001D54CD" w:rsidRDefault="001D54CD" w14:paraId="7D4EB019" w14:textId="5F1576B8">
            <w:pPr>
              <w:widowControl/>
              <w:jc w:val="center"/>
              <w:rPr>
                <w:rFonts w:eastAsia="Calibri" w:asciiTheme="minorHAnsi" w:hAnsiTheme="minorHAnsi" w:cstheme="minorHAnsi"/>
                <w:color w:val="000000"/>
                <w:sz w:val="18"/>
                <w:szCs w:val="18"/>
              </w:rPr>
            </w:pPr>
            <w:r w:rsidRPr="001D54CD">
              <w:rPr>
                <w:rFonts w:asciiTheme="minorHAnsi" w:hAnsiTheme="minorHAnsi" w:cstheme="minorHAnsi"/>
                <w:sz w:val="18"/>
                <w:szCs w:val="18"/>
              </w:rPr>
              <w:t>—</w:t>
            </w:r>
          </w:p>
        </w:tc>
        <w:tc>
          <w:tcPr>
            <w:tcW w:w="1481" w:type="dxa"/>
            <w:tcBorders>
              <w:top w:val="nil"/>
              <w:left w:val="nil"/>
              <w:bottom w:val="single" w:color="000000" w:sz="4" w:space="0"/>
              <w:right w:val="single" w:color="000000" w:sz="8" w:space="0"/>
            </w:tcBorders>
            <w:shd w:val="clear" w:color="auto" w:fill="auto"/>
            <w:vAlign w:val="center"/>
          </w:tcPr>
          <w:p w:rsidRPr="001D54CD" w:rsidR="001D54CD" w:rsidP="00066CA2" w:rsidRDefault="001D54CD" w14:paraId="4EC6AAF0" w14:textId="557858C5">
            <w:pPr>
              <w:widowControl/>
              <w:jc w:val="right"/>
              <w:rPr>
                <w:rFonts w:eastAsia="Calibri" w:asciiTheme="minorHAnsi" w:hAnsiTheme="minorHAnsi" w:cstheme="minorHAnsi"/>
                <w:color w:val="000000"/>
                <w:sz w:val="18"/>
                <w:szCs w:val="18"/>
              </w:rPr>
            </w:pPr>
            <w:r w:rsidRPr="001D54CD">
              <w:rPr>
                <w:rFonts w:asciiTheme="minorHAnsi" w:hAnsiTheme="minorHAnsi" w:cstheme="minorHAnsi"/>
                <w:sz w:val="18"/>
                <w:szCs w:val="18"/>
              </w:rPr>
              <w:t>—</w:t>
            </w:r>
          </w:p>
        </w:tc>
      </w:tr>
      <w:tr w:rsidR="00BD2A55" w:rsidTr="00066CA2" w14:paraId="2C324CB6" w14:textId="77777777">
        <w:trPr>
          <w:trHeight w:val="316"/>
        </w:trPr>
        <w:tc>
          <w:tcPr>
            <w:tcW w:w="2597" w:type="dxa"/>
            <w:tcBorders>
              <w:top w:val="nil"/>
              <w:left w:val="single" w:color="000000" w:sz="8" w:space="0"/>
              <w:bottom w:val="single" w:color="000000" w:sz="4" w:space="0"/>
              <w:right w:val="single" w:color="000000" w:sz="8" w:space="0"/>
            </w:tcBorders>
            <w:shd w:val="clear" w:color="auto" w:fill="auto"/>
            <w:vAlign w:val="center"/>
          </w:tcPr>
          <w:p w:rsidRPr="001D54CD" w:rsidR="00BD2A55" w:rsidRDefault="00333FBA" w14:paraId="262943EA" w14:textId="77777777">
            <w:pPr>
              <w:widowControl/>
              <w:rPr>
                <w:rFonts w:eastAsia="Calibri" w:asciiTheme="minorHAnsi" w:hAnsiTheme="minorHAnsi" w:cstheme="minorHAnsi"/>
                <w:b/>
                <w:color w:val="000000"/>
                <w:sz w:val="18"/>
                <w:szCs w:val="18"/>
              </w:rPr>
            </w:pPr>
            <w:r w:rsidRPr="001D54CD">
              <w:rPr>
                <w:rFonts w:eastAsia="Calibri" w:asciiTheme="minorHAnsi" w:hAnsiTheme="minorHAnsi" w:cstheme="minorHAnsi"/>
                <w:b/>
                <w:color w:val="000000"/>
                <w:sz w:val="18"/>
                <w:szCs w:val="18"/>
              </w:rPr>
              <w:t>Travel</w:t>
            </w:r>
          </w:p>
        </w:tc>
        <w:tc>
          <w:tcPr>
            <w:tcW w:w="1275" w:type="dxa"/>
            <w:tcBorders>
              <w:top w:val="nil"/>
              <w:left w:val="nil"/>
              <w:bottom w:val="single" w:color="000000" w:sz="4" w:space="0"/>
              <w:right w:val="single" w:color="000000" w:sz="4" w:space="0"/>
            </w:tcBorders>
            <w:shd w:val="clear" w:color="auto" w:fill="808080"/>
            <w:vAlign w:val="center"/>
          </w:tcPr>
          <w:p w:rsidRPr="001D54CD" w:rsidR="00BD2A55" w:rsidRDefault="00333FBA" w14:paraId="181F3483" w14:textId="77777777">
            <w:pPr>
              <w:widowControl/>
              <w:rPr>
                <w:rFonts w:eastAsia="Calibri" w:asciiTheme="minorHAnsi" w:hAnsiTheme="minorHAnsi" w:cstheme="minorHAnsi"/>
                <w:color w:val="000000"/>
                <w:sz w:val="18"/>
                <w:szCs w:val="18"/>
              </w:rPr>
            </w:pPr>
            <w:r w:rsidRPr="001D54CD">
              <w:rPr>
                <w:rFonts w:eastAsia="Calibri" w:asciiTheme="minorHAnsi" w:hAnsiTheme="minorHAnsi" w:cstheme="minorHAnsi"/>
                <w:color w:val="000000"/>
                <w:sz w:val="18"/>
                <w:szCs w:val="18"/>
              </w:rPr>
              <w:t> </w:t>
            </w:r>
          </w:p>
        </w:tc>
        <w:tc>
          <w:tcPr>
            <w:tcW w:w="1518" w:type="dxa"/>
            <w:tcBorders>
              <w:top w:val="nil"/>
              <w:left w:val="nil"/>
              <w:bottom w:val="single" w:color="000000" w:sz="4" w:space="0"/>
              <w:right w:val="single" w:color="000000" w:sz="4" w:space="0"/>
            </w:tcBorders>
            <w:shd w:val="clear" w:color="auto" w:fill="808080"/>
            <w:vAlign w:val="center"/>
          </w:tcPr>
          <w:p w:rsidRPr="001D54CD" w:rsidR="00BD2A55" w:rsidP="001D54CD" w:rsidRDefault="00BD2A55" w14:paraId="002E4A87" w14:textId="04F254F0">
            <w:pPr>
              <w:widowControl/>
              <w:jc w:val="center"/>
              <w:rPr>
                <w:rFonts w:eastAsia="Calibri" w:asciiTheme="minorHAnsi" w:hAnsiTheme="minorHAnsi" w:cstheme="minorHAnsi"/>
                <w:color w:val="000000"/>
                <w:sz w:val="18"/>
                <w:szCs w:val="18"/>
              </w:rPr>
            </w:pPr>
          </w:p>
        </w:tc>
        <w:tc>
          <w:tcPr>
            <w:tcW w:w="1260" w:type="dxa"/>
            <w:tcBorders>
              <w:top w:val="nil"/>
              <w:left w:val="nil"/>
              <w:bottom w:val="single" w:color="000000" w:sz="4" w:space="0"/>
              <w:right w:val="single" w:color="000000" w:sz="4" w:space="0"/>
            </w:tcBorders>
            <w:shd w:val="clear" w:color="auto" w:fill="808080"/>
            <w:vAlign w:val="center"/>
          </w:tcPr>
          <w:p w:rsidRPr="001D54CD" w:rsidR="00BD2A55" w:rsidP="001D54CD" w:rsidRDefault="00BD2A55" w14:paraId="0AEDD4B8" w14:textId="5FB126B8">
            <w:pPr>
              <w:widowControl/>
              <w:jc w:val="center"/>
              <w:rPr>
                <w:rFonts w:eastAsia="Calibri" w:asciiTheme="minorHAnsi" w:hAnsiTheme="minorHAnsi" w:cstheme="minorHAnsi"/>
                <w:color w:val="000000"/>
                <w:sz w:val="18"/>
                <w:szCs w:val="18"/>
              </w:rPr>
            </w:pPr>
          </w:p>
        </w:tc>
        <w:tc>
          <w:tcPr>
            <w:tcW w:w="1252" w:type="dxa"/>
            <w:tcBorders>
              <w:top w:val="nil"/>
              <w:left w:val="nil"/>
              <w:bottom w:val="single" w:color="000000" w:sz="4" w:space="0"/>
              <w:right w:val="single" w:color="000000" w:sz="4" w:space="0"/>
            </w:tcBorders>
            <w:shd w:val="clear" w:color="auto" w:fill="808080"/>
            <w:vAlign w:val="center"/>
          </w:tcPr>
          <w:p w:rsidRPr="001D54CD" w:rsidR="00BD2A55" w:rsidP="001D54CD" w:rsidRDefault="00BD2A55" w14:paraId="610648BF" w14:textId="2A274F24">
            <w:pPr>
              <w:widowControl/>
              <w:jc w:val="center"/>
              <w:rPr>
                <w:rFonts w:eastAsia="Calibri" w:asciiTheme="minorHAnsi" w:hAnsiTheme="minorHAnsi" w:cstheme="minorHAnsi"/>
                <w:color w:val="000000"/>
                <w:sz w:val="18"/>
                <w:szCs w:val="18"/>
              </w:rPr>
            </w:pPr>
          </w:p>
        </w:tc>
        <w:tc>
          <w:tcPr>
            <w:tcW w:w="1481" w:type="dxa"/>
            <w:tcBorders>
              <w:top w:val="nil"/>
              <w:left w:val="nil"/>
              <w:bottom w:val="single" w:color="000000" w:sz="4" w:space="0"/>
              <w:right w:val="single" w:color="000000" w:sz="8" w:space="0"/>
            </w:tcBorders>
            <w:shd w:val="clear" w:color="auto" w:fill="auto"/>
            <w:vAlign w:val="center"/>
          </w:tcPr>
          <w:p w:rsidRPr="001D54CD" w:rsidR="00BD2A55" w:rsidP="00066CA2" w:rsidRDefault="001D54CD" w14:paraId="4921AE8E" w14:textId="4113D9F1">
            <w:pPr>
              <w:widowControl/>
              <w:jc w:val="right"/>
              <w:rPr>
                <w:rFonts w:eastAsia="Calibri" w:asciiTheme="minorHAnsi" w:hAnsiTheme="minorHAnsi" w:cstheme="minorHAnsi"/>
                <w:color w:val="000000"/>
                <w:sz w:val="18"/>
                <w:szCs w:val="18"/>
              </w:rPr>
            </w:pPr>
            <w:r w:rsidRPr="001D54CD">
              <w:rPr>
                <w:rFonts w:eastAsia="Calibri" w:asciiTheme="minorHAnsi" w:hAnsiTheme="minorHAnsi" w:cstheme="minorHAnsi"/>
                <w:color w:val="000000"/>
                <w:sz w:val="18"/>
                <w:szCs w:val="18"/>
              </w:rPr>
              <w:t>—</w:t>
            </w:r>
          </w:p>
        </w:tc>
      </w:tr>
      <w:tr w:rsidR="00F371AB" w:rsidTr="00ED6CB6" w14:paraId="4416B48C" w14:textId="77777777">
        <w:trPr>
          <w:trHeight w:val="555"/>
        </w:trPr>
        <w:tc>
          <w:tcPr>
            <w:tcW w:w="2597" w:type="dxa"/>
            <w:tcBorders>
              <w:top w:val="single" w:color="000000" w:sz="4" w:space="0"/>
              <w:left w:val="single" w:color="000000" w:sz="8" w:space="0"/>
              <w:bottom w:val="single" w:color="000000" w:sz="4" w:space="0"/>
              <w:right w:val="single" w:color="000000" w:sz="8" w:space="0"/>
            </w:tcBorders>
            <w:shd w:val="clear" w:color="auto" w:fill="auto"/>
            <w:vAlign w:val="center"/>
          </w:tcPr>
          <w:p w:rsidRPr="001D54CD" w:rsidR="00F371AB" w:rsidP="00F371AB" w:rsidRDefault="00F371AB" w14:paraId="20B5B4C4" w14:textId="0EA0C326">
            <w:pPr>
              <w:widowControl/>
              <w:rPr>
                <w:rFonts w:eastAsia="Calibri" w:asciiTheme="minorHAnsi" w:hAnsiTheme="minorHAnsi" w:cstheme="minorHAnsi"/>
                <w:b/>
                <w:color w:val="000000"/>
                <w:sz w:val="18"/>
                <w:szCs w:val="18"/>
              </w:rPr>
            </w:pPr>
            <w:r w:rsidRPr="001D54CD">
              <w:rPr>
                <w:rFonts w:eastAsia="Calibri" w:asciiTheme="minorHAnsi" w:hAnsiTheme="minorHAnsi" w:cstheme="minorHAnsi"/>
                <w:b/>
                <w:color w:val="000000"/>
                <w:sz w:val="18"/>
                <w:szCs w:val="18"/>
              </w:rPr>
              <w:t xml:space="preserve">Other Costs: </w:t>
            </w:r>
            <w:r w:rsidRPr="00EE3C71">
              <w:rPr>
                <w:rFonts w:eastAsia="Calibri" w:asciiTheme="minorHAnsi" w:hAnsiTheme="minorHAnsi" w:cstheme="minorHAnsi"/>
                <w:color w:val="000000"/>
                <w:sz w:val="18"/>
                <w:szCs w:val="18"/>
              </w:rPr>
              <w:t>Mailing costs</w:t>
            </w:r>
          </w:p>
        </w:tc>
        <w:tc>
          <w:tcPr>
            <w:tcW w:w="1275" w:type="dxa"/>
            <w:tcBorders>
              <w:top w:val="nil"/>
              <w:left w:val="nil"/>
              <w:bottom w:val="single" w:color="000000" w:sz="4" w:space="0"/>
              <w:right w:val="single" w:color="000000" w:sz="4" w:space="0"/>
            </w:tcBorders>
            <w:shd w:val="clear" w:color="auto" w:fill="auto"/>
            <w:vAlign w:val="center"/>
          </w:tcPr>
          <w:p w:rsidRPr="001D54CD" w:rsidR="00F371AB" w:rsidP="00F371AB" w:rsidRDefault="00F371AB" w14:paraId="75E48417" w14:textId="69A88E07">
            <w:pPr>
              <w:widowControl/>
              <w:jc w:val="center"/>
              <w:rPr>
                <w:rFonts w:eastAsia="Calibri" w:asciiTheme="minorHAnsi" w:hAnsiTheme="minorHAnsi" w:cstheme="minorHAnsi"/>
                <w:color w:val="000000"/>
                <w:sz w:val="18"/>
                <w:szCs w:val="18"/>
              </w:rPr>
            </w:pPr>
            <w:r w:rsidRPr="001D54CD">
              <w:rPr>
                <w:rFonts w:eastAsia="Calibri" w:asciiTheme="minorHAnsi" w:hAnsiTheme="minorHAnsi" w:cstheme="minorHAnsi"/>
                <w:color w:val="000000"/>
                <w:sz w:val="18"/>
                <w:szCs w:val="18"/>
              </w:rPr>
              <w:t>—</w:t>
            </w:r>
          </w:p>
        </w:tc>
        <w:tc>
          <w:tcPr>
            <w:tcW w:w="1518" w:type="dxa"/>
            <w:tcBorders>
              <w:top w:val="nil"/>
              <w:left w:val="nil"/>
              <w:bottom w:val="single" w:color="000000" w:sz="4" w:space="0"/>
              <w:right w:val="single" w:color="000000" w:sz="4" w:space="0"/>
            </w:tcBorders>
            <w:shd w:val="clear" w:color="auto" w:fill="auto"/>
            <w:vAlign w:val="center"/>
          </w:tcPr>
          <w:p w:rsidRPr="001D54CD" w:rsidR="00F371AB" w:rsidP="00F371AB" w:rsidRDefault="00F371AB" w14:paraId="5AAC4BBB" w14:textId="025D85FA">
            <w:pPr>
              <w:widowControl/>
              <w:jc w:val="center"/>
              <w:rPr>
                <w:rFonts w:eastAsia="Calibri" w:asciiTheme="minorHAnsi" w:hAnsiTheme="minorHAnsi" w:cstheme="minorHAnsi"/>
                <w:color w:val="000000"/>
                <w:sz w:val="18"/>
                <w:szCs w:val="18"/>
              </w:rPr>
            </w:pPr>
            <w:r w:rsidRPr="001D54CD">
              <w:rPr>
                <w:rFonts w:asciiTheme="minorHAnsi" w:hAnsiTheme="minorHAnsi" w:cstheme="minorHAnsi"/>
                <w:sz w:val="18"/>
                <w:szCs w:val="18"/>
              </w:rPr>
              <w:t>—</w:t>
            </w:r>
          </w:p>
        </w:tc>
        <w:tc>
          <w:tcPr>
            <w:tcW w:w="1260" w:type="dxa"/>
            <w:tcBorders>
              <w:top w:val="nil"/>
              <w:left w:val="nil"/>
              <w:bottom w:val="single" w:color="000000" w:sz="4" w:space="0"/>
              <w:right w:val="single" w:color="000000" w:sz="4" w:space="0"/>
            </w:tcBorders>
            <w:shd w:val="clear" w:color="auto" w:fill="auto"/>
            <w:vAlign w:val="center"/>
          </w:tcPr>
          <w:p w:rsidRPr="001D54CD" w:rsidR="00F371AB" w:rsidP="00F371AB" w:rsidRDefault="00F371AB" w14:paraId="1EE23BFF" w14:textId="58E97CB8">
            <w:pPr>
              <w:widowControl/>
              <w:jc w:val="center"/>
              <w:rPr>
                <w:rFonts w:eastAsia="Calibri" w:asciiTheme="minorHAnsi" w:hAnsiTheme="minorHAnsi" w:cstheme="minorHAnsi"/>
                <w:color w:val="000000"/>
                <w:sz w:val="18"/>
                <w:szCs w:val="18"/>
              </w:rPr>
            </w:pPr>
            <w:r w:rsidRPr="001D54CD">
              <w:rPr>
                <w:rFonts w:asciiTheme="minorHAnsi" w:hAnsiTheme="minorHAnsi" w:cstheme="minorHAnsi"/>
                <w:sz w:val="18"/>
                <w:szCs w:val="18"/>
              </w:rPr>
              <w:t>—</w:t>
            </w:r>
          </w:p>
        </w:tc>
        <w:tc>
          <w:tcPr>
            <w:tcW w:w="1252" w:type="dxa"/>
            <w:tcBorders>
              <w:top w:val="single" w:color="000000" w:sz="4" w:space="0"/>
              <w:left w:val="nil"/>
              <w:bottom w:val="single" w:color="000000" w:sz="4" w:space="0"/>
              <w:right w:val="single" w:color="000000" w:sz="4" w:space="0"/>
            </w:tcBorders>
            <w:shd w:val="clear" w:color="auto" w:fill="auto"/>
            <w:vAlign w:val="center"/>
          </w:tcPr>
          <w:p w:rsidRPr="001D54CD" w:rsidR="00F371AB" w:rsidP="00F371AB" w:rsidRDefault="00F371AB" w14:paraId="6824712A" w14:textId="09531AC9">
            <w:pPr>
              <w:widowControl/>
              <w:jc w:val="center"/>
              <w:rPr>
                <w:rFonts w:eastAsia="Calibri" w:asciiTheme="minorHAnsi" w:hAnsiTheme="minorHAnsi" w:cstheme="minorHAnsi"/>
                <w:color w:val="000000"/>
                <w:sz w:val="18"/>
                <w:szCs w:val="18"/>
              </w:rPr>
            </w:pPr>
            <w:r w:rsidRPr="00F371AB">
              <w:rPr>
                <w:rFonts w:eastAsia="Calibri" w:asciiTheme="minorHAnsi" w:hAnsiTheme="minorHAnsi" w:cstheme="minorHAnsi"/>
                <w:color w:val="000000"/>
                <w:sz w:val="18"/>
                <w:szCs w:val="18"/>
              </w:rPr>
              <w:t>—</w:t>
            </w:r>
          </w:p>
        </w:tc>
        <w:tc>
          <w:tcPr>
            <w:tcW w:w="1481" w:type="dxa"/>
            <w:tcBorders>
              <w:top w:val="single" w:color="000000" w:sz="4" w:space="0"/>
              <w:left w:val="nil"/>
              <w:bottom w:val="single" w:color="000000" w:sz="4" w:space="0"/>
              <w:right w:val="single" w:color="000000" w:sz="8" w:space="0"/>
            </w:tcBorders>
            <w:shd w:val="clear" w:color="auto" w:fill="auto"/>
            <w:vAlign w:val="center"/>
          </w:tcPr>
          <w:p w:rsidRPr="001D54CD" w:rsidR="00F371AB" w:rsidP="00F371AB" w:rsidRDefault="00523867" w14:paraId="591635B1" w14:textId="3F816C23">
            <w:pPr>
              <w:widowControl/>
              <w:jc w:val="right"/>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50</w:t>
            </w:r>
          </w:p>
        </w:tc>
      </w:tr>
      <w:tr w:rsidR="00BD2A55" w:rsidTr="00066CA2" w14:paraId="35ADC4B9" w14:textId="77777777">
        <w:trPr>
          <w:trHeight w:val="332"/>
        </w:trPr>
        <w:tc>
          <w:tcPr>
            <w:tcW w:w="2597" w:type="dxa"/>
            <w:tcBorders>
              <w:top w:val="single" w:color="000000" w:sz="8" w:space="0"/>
              <w:left w:val="single" w:color="000000" w:sz="8" w:space="0"/>
              <w:bottom w:val="single" w:color="000000" w:sz="8" w:space="0"/>
              <w:right w:val="single" w:color="000000" w:sz="8" w:space="0"/>
            </w:tcBorders>
            <w:shd w:val="clear" w:color="auto" w:fill="DDEBF7"/>
            <w:vAlign w:val="center"/>
          </w:tcPr>
          <w:p w:rsidRPr="001D54CD" w:rsidR="00BD2A55" w:rsidRDefault="00333FBA" w14:paraId="36193241" w14:textId="77777777">
            <w:pPr>
              <w:widowControl/>
              <w:rPr>
                <w:rFonts w:eastAsia="Calibri" w:asciiTheme="minorHAnsi" w:hAnsiTheme="minorHAnsi" w:cstheme="minorHAnsi"/>
                <w:b/>
                <w:color w:val="000000"/>
                <w:sz w:val="18"/>
                <w:szCs w:val="18"/>
              </w:rPr>
            </w:pPr>
            <w:r w:rsidRPr="001D54CD">
              <w:rPr>
                <w:rFonts w:eastAsia="Calibri" w:asciiTheme="minorHAnsi" w:hAnsiTheme="minorHAnsi" w:cstheme="minorHAnsi"/>
                <w:b/>
                <w:color w:val="000000"/>
                <w:sz w:val="18"/>
                <w:szCs w:val="18"/>
              </w:rPr>
              <w:t>TOTAL</w:t>
            </w:r>
          </w:p>
        </w:tc>
        <w:tc>
          <w:tcPr>
            <w:tcW w:w="1275" w:type="dxa"/>
            <w:tcBorders>
              <w:top w:val="single" w:color="000000" w:sz="8" w:space="0"/>
              <w:left w:val="nil"/>
              <w:bottom w:val="single" w:color="000000" w:sz="8" w:space="0"/>
              <w:right w:val="single" w:color="000000" w:sz="8" w:space="0"/>
            </w:tcBorders>
            <w:shd w:val="clear" w:color="auto" w:fill="808080"/>
            <w:vAlign w:val="center"/>
          </w:tcPr>
          <w:p w:rsidRPr="001D54CD" w:rsidR="00BD2A55" w:rsidRDefault="00333FBA" w14:paraId="7FA9C7D1" w14:textId="77777777">
            <w:pPr>
              <w:widowControl/>
              <w:rPr>
                <w:rFonts w:eastAsia="Calibri" w:asciiTheme="minorHAnsi" w:hAnsiTheme="minorHAnsi" w:cstheme="minorHAnsi"/>
                <w:color w:val="000000"/>
                <w:sz w:val="18"/>
                <w:szCs w:val="18"/>
              </w:rPr>
            </w:pPr>
            <w:r w:rsidRPr="001D54CD">
              <w:rPr>
                <w:rFonts w:eastAsia="Calibri" w:asciiTheme="minorHAnsi" w:hAnsiTheme="minorHAnsi" w:cstheme="minorHAnsi"/>
                <w:color w:val="000000"/>
                <w:sz w:val="18"/>
                <w:szCs w:val="18"/>
              </w:rPr>
              <w:t> </w:t>
            </w:r>
          </w:p>
        </w:tc>
        <w:tc>
          <w:tcPr>
            <w:tcW w:w="1518" w:type="dxa"/>
            <w:tcBorders>
              <w:top w:val="single" w:color="000000" w:sz="8" w:space="0"/>
              <w:left w:val="nil"/>
              <w:bottom w:val="single" w:color="000000" w:sz="8" w:space="0"/>
              <w:right w:val="single" w:color="000000" w:sz="8" w:space="0"/>
            </w:tcBorders>
            <w:shd w:val="clear" w:color="auto" w:fill="808080"/>
            <w:vAlign w:val="center"/>
          </w:tcPr>
          <w:p w:rsidRPr="001D54CD" w:rsidR="00BD2A55" w:rsidRDefault="00333FBA" w14:paraId="2F63A5D2" w14:textId="77777777">
            <w:pPr>
              <w:widowControl/>
              <w:rPr>
                <w:rFonts w:eastAsia="Calibri" w:asciiTheme="minorHAnsi" w:hAnsiTheme="minorHAnsi" w:cstheme="minorHAnsi"/>
                <w:color w:val="000000"/>
                <w:sz w:val="18"/>
                <w:szCs w:val="18"/>
              </w:rPr>
            </w:pPr>
            <w:r w:rsidRPr="001D54CD">
              <w:rPr>
                <w:rFonts w:eastAsia="Calibri" w:asciiTheme="minorHAnsi" w:hAnsiTheme="minorHAnsi" w:cstheme="minorHAnsi"/>
                <w:color w:val="000000"/>
                <w:sz w:val="18"/>
                <w:szCs w:val="18"/>
              </w:rPr>
              <w:t> </w:t>
            </w:r>
          </w:p>
        </w:tc>
        <w:tc>
          <w:tcPr>
            <w:tcW w:w="1260" w:type="dxa"/>
            <w:tcBorders>
              <w:top w:val="single" w:color="000000" w:sz="8" w:space="0"/>
              <w:left w:val="nil"/>
              <w:bottom w:val="single" w:color="000000" w:sz="8" w:space="0"/>
              <w:right w:val="single" w:color="000000" w:sz="8" w:space="0"/>
            </w:tcBorders>
            <w:shd w:val="clear" w:color="auto" w:fill="757171"/>
            <w:vAlign w:val="center"/>
          </w:tcPr>
          <w:p w:rsidRPr="001D54CD" w:rsidR="00BD2A55" w:rsidRDefault="00333FBA" w14:paraId="1CDD3DBC" w14:textId="77777777">
            <w:pPr>
              <w:widowControl/>
              <w:rPr>
                <w:rFonts w:eastAsia="Calibri" w:asciiTheme="minorHAnsi" w:hAnsiTheme="minorHAnsi" w:cstheme="minorHAnsi"/>
                <w:color w:val="000000"/>
                <w:sz w:val="18"/>
                <w:szCs w:val="18"/>
              </w:rPr>
            </w:pPr>
            <w:r w:rsidRPr="001D54CD">
              <w:rPr>
                <w:rFonts w:eastAsia="Calibri" w:asciiTheme="minorHAnsi" w:hAnsiTheme="minorHAnsi" w:cstheme="minorHAnsi"/>
                <w:color w:val="000000"/>
                <w:sz w:val="18"/>
                <w:szCs w:val="18"/>
              </w:rPr>
              <w:t> </w:t>
            </w:r>
          </w:p>
        </w:tc>
        <w:tc>
          <w:tcPr>
            <w:tcW w:w="1252" w:type="dxa"/>
            <w:tcBorders>
              <w:top w:val="single" w:color="000000" w:sz="8" w:space="0"/>
              <w:left w:val="nil"/>
              <w:bottom w:val="single" w:color="000000" w:sz="8" w:space="0"/>
              <w:right w:val="single" w:color="000000" w:sz="8" w:space="0"/>
            </w:tcBorders>
            <w:shd w:val="clear" w:color="auto" w:fill="DDEBF7"/>
            <w:vAlign w:val="center"/>
          </w:tcPr>
          <w:p w:rsidRPr="001D54CD" w:rsidR="00BD2A55" w:rsidP="001D54CD" w:rsidRDefault="001D54CD" w14:paraId="6E9623F8" w14:textId="5FBB2F71">
            <w:pPr>
              <w:widowControl/>
              <w:jc w:val="center"/>
              <w:rPr>
                <w:rFonts w:eastAsia="Calibri" w:asciiTheme="minorHAnsi" w:hAnsiTheme="minorHAnsi" w:cstheme="minorHAnsi"/>
                <w:color w:val="000000"/>
                <w:sz w:val="18"/>
                <w:szCs w:val="18"/>
              </w:rPr>
            </w:pPr>
            <w:r w:rsidRPr="001D54CD">
              <w:rPr>
                <w:rFonts w:eastAsia="Calibri" w:asciiTheme="minorHAnsi" w:hAnsiTheme="minorHAnsi" w:cstheme="minorHAnsi"/>
                <w:color w:val="000000"/>
                <w:sz w:val="18"/>
                <w:szCs w:val="18"/>
              </w:rPr>
              <w:t>—</w:t>
            </w:r>
          </w:p>
        </w:tc>
        <w:tc>
          <w:tcPr>
            <w:tcW w:w="1481" w:type="dxa"/>
            <w:tcBorders>
              <w:top w:val="single" w:color="000000" w:sz="8" w:space="0"/>
              <w:left w:val="nil"/>
              <w:bottom w:val="single" w:color="000000" w:sz="8" w:space="0"/>
              <w:right w:val="single" w:color="000000" w:sz="8" w:space="0"/>
            </w:tcBorders>
            <w:shd w:val="clear" w:color="auto" w:fill="DDEBF7"/>
            <w:vAlign w:val="center"/>
          </w:tcPr>
          <w:p w:rsidRPr="00EE3C71" w:rsidR="00BD2A55" w:rsidP="00EE3C71" w:rsidRDefault="00432B8E" w14:paraId="10EED6A9" w14:textId="33B8984D">
            <w:pPr>
              <w:widowControl/>
              <w:jc w:val="right"/>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$17,005</w:t>
            </w:r>
          </w:p>
        </w:tc>
      </w:tr>
    </w:tbl>
    <w:p w:rsidR="004B5496" w:rsidP="008B51D8" w:rsidRDefault="004B5496" w14:paraId="6026DF6D" w14:textId="00D1E2B3">
      <w:pPr>
        <w:rPr>
          <w:rStyle w:val="CommentReference"/>
        </w:rPr>
      </w:pPr>
    </w:p>
    <w:p w:rsidR="004B5496" w:rsidP="008B51D8" w:rsidRDefault="004B5496" w14:paraId="6CE69425" w14:textId="798F883E">
      <w:pPr>
        <w:rPr>
          <w:rStyle w:val="CommentReference"/>
        </w:rPr>
      </w:pPr>
    </w:p>
    <w:p w:rsidR="00BD2A55" w:rsidP="00DC6F01" w:rsidRDefault="00DC6F01" w14:paraId="2670EF2F"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Explain the reasons for any program changes or adjustments reported in ROCIS.</w:t>
      </w:r>
    </w:p>
    <w:p w:rsidR="00BD2A55" w:rsidP="00DC6F01" w:rsidRDefault="00BD2A55" w14:paraId="103CF114" w14:textId="0616048C">
      <w:pPr>
        <w:pBdr>
          <w:top w:val="nil"/>
          <w:left w:val="nil"/>
          <w:bottom w:val="nil"/>
          <w:right w:val="nil"/>
          <w:between w:val="nil"/>
        </w:pBdr>
        <w:rPr>
          <w:b/>
          <w:color w:val="000000"/>
        </w:rPr>
      </w:pPr>
    </w:p>
    <w:p w:rsidRPr="000C55E4" w:rsidR="000C55E4" w:rsidP="00DC6F01" w:rsidRDefault="000C55E4" w14:paraId="15B91DEB" w14:textId="67835CEA">
      <w:pPr>
        <w:pBdr>
          <w:top w:val="nil"/>
          <w:left w:val="nil"/>
          <w:bottom w:val="nil"/>
          <w:right w:val="nil"/>
          <w:between w:val="nil"/>
        </w:pBdr>
        <w:rPr>
          <w:color w:val="000000"/>
        </w:rPr>
      </w:pPr>
      <w:r w:rsidRPr="000C55E4">
        <w:rPr>
          <w:color w:val="000000"/>
        </w:rPr>
        <w:t xml:space="preserve">The respondents and responses </w:t>
      </w:r>
      <w:proofErr w:type="gramStart"/>
      <w:r w:rsidRPr="000C55E4">
        <w:rPr>
          <w:color w:val="000000"/>
        </w:rPr>
        <w:t>were adjusted</w:t>
      </w:r>
      <w:proofErr w:type="gramEnd"/>
      <w:r w:rsidRPr="000C55E4">
        <w:rPr>
          <w:color w:val="000000"/>
        </w:rPr>
        <w:t xml:space="preserve"> to reflect the </w:t>
      </w:r>
      <w:r w:rsidRPr="005E51C7">
        <w:rPr>
          <w:color w:val="000000"/>
        </w:rPr>
        <w:t>most current data available</w:t>
      </w:r>
      <w:r w:rsidRPr="005E51C7" w:rsidR="00277A2F">
        <w:rPr>
          <w:color w:val="000000"/>
        </w:rPr>
        <w:t>. A</w:t>
      </w:r>
      <w:r w:rsidRPr="005E51C7">
        <w:rPr>
          <w:color w:val="000000"/>
        </w:rPr>
        <w:t>ny changes to these numbers have affected the total burden hours and costs of those collection instruments.</w:t>
      </w:r>
      <w:r w:rsidRPr="005E51C7" w:rsidR="007756E0">
        <w:t xml:space="preserve"> </w:t>
      </w:r>
      <w:r w:rsidRPr="005E51C7" w:rsidR="005E51C7">
        <w:rPr>
          <w:color w:val="000000"/>
        </w:rPr>
        <w:t xml:space="preserve">Adjustments to the cost recovery fee payments and fee forms also reflect that the fee forms are no longer used to submit fees and have been renamed, revised, and are now reported separately from cost recovery fee payments to reflect their current use. </w:t>
      </w:r>
      <w:r w:rsidRPr="005E51C7">
        <w:rPr>
          <w:color w:val="000000"/>
        </w:rPr>
        <w:t xml:space="preserve">Any additional reasons for adjustments </w:t>
      </w:r>
      <w:proofErr w:type="gramStart"/>
      <w:r w:rsidRPr="005E51C7">
        <w:rPr>
          <w:color w:val="000000"/>
        </w:rPr>
        <w:t>are noted</w:t>
      </w:r>
      <w:proofErr w:type="gramEnd"/>
      <w:r w:rsidRPr="005E51C7">
        <w:rPr>
          <w:color w:val="000000"/>
        </w:rPr>
        <w:t xml:space="preserve"> in the tables.</w:t>
      </w:r>
    </w:p>
    <w:p w:rsidR="000C55E4" w:rsidP="00DC6F01" w:rsidRDefault="000C55E4" w14:paraId="2EFEDBA8" w14:textId="77777777">
      <w:pPr>
        <w:pBdr>
          <w:top w:val="nil"/>
          <w:left w:val="nil"/>
          <w:bottom w:val="nil"/>
          <w:right w:val="nil"/>
          <w:between w:val="nil"/>
        </w:pBdr>
        <w:rPr>
          <w:b/>
          <w:color w:val="000000"/>
        </w:rPr>
      </w:pPr>
    </w:p>
    <w:tbl>
      <w:tblPr>
        <w:tblStyle w:val="a3"/>
        <w:tblW w:w="9684" w:type="dxa"/>
        <w:jc w:val="center"/>
        <w:tblLayout w:type="fixed"/>
        <w:tblLook w:val="0400" w:firstRow="0" w:lastRow="0" w:firstColumn="0" w:lastColumn="0" w:noHBand="0" w:noVBand="1"/>
      </w:tblPr>
      <w:tblGrid>
        <w:gridCol w:w="2150"/>
        <w:gridCol w:w="720"/>
        <w:gridCol w:w="720"/>
        <w:gridCol w:w="720"/>
        <w:gridCol w:w="720"/>
        <w:gridCol w:w="630"/>
        <w:gridCol w:w="810"/>
        <w:gridCol w:w="3214"/>
      </w:tblGrid>
      <w:tr w:rsidRPr="00291DA0" w:rsidR="00BD2A55" w:rsidTr="00CA270E" w14:paraId="266CBFBB" w14:textId="77777777">
        <w:trPr>
          <w:trHeight w:val="535"/>
          <w:jc w:val="center"/>
        </w:trPr>
        <w:tc>
          <w:tcPr>
            <w:tcW w:w="215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Pr="00291DA0" w:rsidR="00BD2A55" w:rsidRDefault="00333FBA" w14:paraId="0CF944B1" w14:textId="77777777">
            <w:pPr>
              <w:widowControl/>
              <w:jc w:val="center"/>
              <w:rPr>
                <w:rFonts w:ascii="Calibri" w:hAnsi="Calibri" w:eastAsia="Calibri" w:cs="Calibri"/>
                <w:b/>
                <w:color w:val="000000"/>
                <w:sz w:val="18"/>
                <w:szCs w:val="18"/>
              </w:rPr>
            </w:pPr>
            <w:r w:rsidRPr="00291DA0">
              <w:rPr>
                <w:rFonts w:ascii="Calibri" w:hAnsi="Calibri" w:eastAsia="Calibri" w:cs="Calibri"/>
                <w:b/>
                <w:color w:val="000000"/>
                <w:sz w:val="18"/>
                <w:szCs w:val="18"/>
              </w:rPr>
              <w:t>Information Collection</w:t>
            </w:r>
          </w:p>
        </w:tc>
        <w:tc>
          <w:tcPr>
            <w:tcW w:w="1440" w:type="dxa"/>
            <w:gridSpan w:val="2"/>
            <w:tcBorders>
              <w:top w:val="single" w:color="000000" w:sz="8" w:space="0"/>
              <w:left w:val="nil"/>
              <w:bottom w:val="single" w:color="000000" w:sz="8" w:space="0"/>
              <w:right w:val="single" w:color="000000" w:sz="8" w:space="0"/>
            </w:tcBorders>
            <w:shd w:val="clear" w:color="auto" w:fill="5B9BD5"/>
            <w:vAlign w:val="center"/>
          </w:tcPr>
          <w:p w:rsidRPr="00291DA0" w:rsidR="00BD2A55" w:rsidRDefault="00333FBA" w14:paraId="51CCE529" w14:textId="77777777">
            <w:pPr>
              <w:widowControl/>
              <w:jc w:val="center"/>
              <w:rPr>
                <w:rFonts w:ascii="Calibri" w:hAnsi="Calibri" w:eastAsia="Calibri" w:cs="Calibri"/>
                <w:b/>
                <w:color w:val="000000"/>
                <w:sz w:val="18"/>
                <w:szCs w:val="18"/>
              </w:rPr>
            </w:pPr>
            <w:r w:rsidRPr="00291DA0">
              <w:rPr>
                <w:rFonts w:ascii="Calibri" w:hAnsi="Calibri" w:eastAsia="Calibri" w:cs="Calibri"/>
                <w:b/>
                <w:color w:val="000000"/>
                <w:sz w:val="18"/>
                <w:szCs w:val="18"/>
              </w:rPr>
              <w:t>Respondents</w:t>
            </w:r>
          </w:p>
        </w:tc>
        <w:tc>
          <w:tcPr>
            <w:tcW w:w="1440" w:type="dxa"/>
            <w:gridSpan w:val="2"/>
            <w:tcBorders>
              <w:top w:val="single" w:color="000000" w:sz="8" w:space="0"/>
              <w:left w:val="nil"/>
              <w:bottom w:val="single" w:color="000000" w:sz="8" w:space="0"/>
              <w:right w:val="single" w:color="000000" w:sz="8" w:space="0"/>
            </w:tcBorders>
            <w:shd w:val="clear" w:color="auto" w:fill="5B9BD5"/>
            <w:vAlign w:val="center"/>
          </w:tcPr>
          <w:p w:rsidRPr="00291DA0" w:rsidR="00BD2A55" w:rsidRDefault="00333FBA" w14:paraId="3C802BD6" w14:textId="77777777">
            <w:pPr>
              <w:widowControl/>
              <w:jc w:val="center"/>
              <w:rPr>
                <w:rFonts w:ascii="Calibri" w:hAnsi="Calibri" w:eastAsia="Calibri" w:cs="Calibri"/>
                <w:b/>
                <w:color w:val="000000"/>
                <w:sz w:val="18"/>
                <w:szCs w:val="18"/>
              </w:rPr>
            </w:pPr>
            <w:r w:rsidRPr="00291DA0">
              <w:rPr>
                <w:rFonts w:ascii="Calibri" w:hAnsi="Calibri" w:eastAsia="Calibri" w:cs="Calibri"/>
                <w:b/>
                <w:color w:val="000000"/>
                <w:sz w:val="18"/>
                <w:szCs w:val="18"/>
              </w:rPr>
              <w:t>Responses</w:t>
            </w:r>
          </w:p>
        </w:tc>
        <w:tc>
          <w:tcPr>
            <w:tcW w:w="1440" w:type="dxa"/>
            <w:gridSpan w:val="2"/>
            <w:tcBorders>
              <w:top w:val="single" w:color="000000" w:sz="8" w:space="0"/>
              <w:left w:val="nil"/>
              <w:bottom w:val="single" w:color="000000" w:sz="8" w:space="0"/>
              <w:right w:val="single" w:color="000000" w:sz="8" w:space="0"/>
            </w:tcBorders>
            <w:shd w:val="clear" w:color="auto" w:fill="5B9BD5"/>
            <w:vAlign w:val="center"/>
          </w:tcPr>
          <w:p w:rsidRPr="00291DA0" w:rsidR="00BD2A55" w:rsidRDefault="00333FBA" w14:paraId="1C1E97B2" w14:textId="77777777">
            <w:pPr>
              <w:widowControl/>
              <w:jc w:val="center"/>
              <w:rPr>
                <w:rFonts w:ascii="Calibri" w:hAnsi="Calibri" w:eastAsia="Calibri" w:cs="Calibri"/>
                <w:b/>
                <w:color w:val="000000"/>
                <w:sz w:val="18"/>
                <w:szCs w:val="18"/>
              </w:rPr>
            </w:pPr>
            <w:r w:rsidRPr="00291DA0">
              <w:rPr>
                <w:rFonts w:ascii="Calibri" w:hAnsi="Calibri" w:eastAsia="Calibri" w:cs="Calibri"/>
                <w:b/>
                <w:color w:val="000000"/>
                <w:sz w:val="18"/>
                <w:szCs w:val="18"/>
              </w:rPr>
              <w:t>Burden Hours</w:t>
            </w:r>
          </w:p>
        </w:tc>
        <w:tc>
          <w:tcPr>
            <w:tcW w:w="3214"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Pr="00291DA0" w:rsidR="00BD2A55" w:rsidRDefault="00333FBA" w14:paraId="5CAE512B" w14:textId="77777777">
            <w:pPr>
              <w:widowControl/>
              <w:jc w:val="center"/>
              <w:rPr>
                <w:rFonts w:ascii="Calibri" w:hAnsi="Calibri" w:eastAsia="Calibri" w:cs="Calibri"/>
                <w:b/>
                <w:color w:val="000000"/>
                <w:sz w:val="18"/>
                <w:szCs w:val="18"/>
              </w:rPr>
            </w:pPr>
            <w:r w:rsidRPr="00291DA0">
              <w:rPr>
                <w:rFonts w:ascii="Calibri" w:hAnsi="Calibri" w:eastAsia="Calibri" w:cs="Calibri"/>
                <w:b/>
                <w:color w:val="000000"/>
                <w:sz w:val="18"/>
                <w:szCs w:val="18"/>
              </w:rPr>
              <w:t>Reason for change or adjustment</w:t>
            </w:r>
          </w:p>
        </w:tc>
      </w:tr>
      <w:tr w:rsidR="00CA270E" w:rsidTr="00CA270E" w14:paraId="68FB3350" w14:textId="77777777">
        <w:trPr>
          <w:trHeight w:val="1175"/>
          <w:jc w:val="center"/>
        </w:trPr>
        <w:tc>
          <w:tcPr>
            <w:tcW w:w="215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RDefault="00BD2A55" w14:paraId="35042BFF"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720" w:type="dxa"/>
            <w:tcBorders>
              <w:top w:val="nil"/>
              <w:left w:val="nil"/>
              <w:bottom w:val="single" w:color="000000" w:sz="8" w:space="0"/>
              <w:right w:val="dashed" w:color="000000" w:sz="8" w:space="0"/>
            </w:tcBorders>
            <w:shd w:val="clear" w:color="auto" w:fill="FBE4D5"/>
            <w:vAlign w:val="center"/>
          </w:tcPr>
          <w:p w:rsidR="00BD2A55" w:rsidRDefault="00333FBA" w14:paraId="7C189EE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720" w:type="dxa"/>
            <w:tcBorders>
              <w:top w:val="nil"/>
              <w:left w:val="nil"/>
              <w:bottom w:val="single" w:color="000000" w:sz="8" w:space="0"/>
              <w:right w:val="single" w:color="000000" w:sz="8" w:space="0"/>
            </w:tcBorders>
            <w:shd w:val="clear" w:color="auto" w:fill="FBE4D5"/>
            <w:vAlign w:val="center"/>
          </w:tcPr>
          <w:p w:rsidR="00BD2A55" w:rsidRDefault="00333FBA" w14:paraId="5795699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720" w:type="dxa"/>
            <w:tcBorders>
              <w:top w:val="nil"/>
              <w:left w:val="nil"/>
              <w:bottom w:val="single" w:color="000000" w:sz="8" w:space="0"/>
              <w:right w:val="dashed" w:color="000000" w:sz="8" w:space="0"/>
            </w:tcBorders>
            <w:shd w:val="clear" w:color="auto" w:fill="FBE4D5"/>
            <w:vAlign w:val="center"/>
          </w:tcPr>
          <w:p w:rsidR="00BD2A55" w:rsidRDefault="00333FBA" w14:paraId="19FFFBE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720" w:type="dxa"/>
            <w:tcBorders>
              <w:top w:val="nil"/>
              <w:left w:val="nil"/>
              <w:bottom w:val="single" w:color="000000" w:sz="8" w:space="0"/>
              <w:right w:val="single" w:color="000000" w:sz="8" w:space="0"/>
            </w:tcBorders>
            <w:shd w:val="clear" w:color="auto" w:fill="FBE4D5"/>
            <w:vAlign w:val="center"/>
          </w:tcPr>
          <w:p w:rsidR="00BD2A55" w:rsidRDefault="00333FBA" w14:paraId="0C6F9C0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630" w:type="dxa"/>
            <w:tcBorders>
              <w:top w:val="nil"/>
              <w:left w:val="nil"/>
              <w:bottom w:val="single" w:color="000000" w:sz="8" w:space="0"/>
              <w:right w:val="dashed" w:color="000000" w:sz="8" w:space="0"/>
            </w:tcBorders>
            <w:shd w:val="clear" w:color="auto" w:fill="FBE4D5"/>
            <w:vAlign w:val="center"/>
          </w:tcPr>
          <w:p w:rsidR="00BD2A55" w:rsidRDefault="00333FBA" w14:paraId="30C224A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810" w:type="dxa"/>
            <w:tcBorders>
              <w:top w:val="nil"/>
              <w:left w:val="nil"/>
              <w:bottom w:val="single" w:color="000000" w:sz="8" w:space="0"/>
              <w:right w:val="single" w:color="000000" w:sz="8" w:space="0"/>
            </w:tcBorders>
            <w:shd w:val="clear" w:color="auto" w:fill="FBE4D5"/>
            <w:vAlign w:val="center"/>
          </w:tcPr>
          <w:p w:rsidR="00BD2A55" w:rsidRDefault="00333FBA" w14:paraId="23048ED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3214"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RDefault="00BD2A55" w14:paraId="00E84066"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Pr="00291DA0" w:rsidR="00BA555C" w:rsidTr="00CA270E" w14:paraId="74B8BD0F" w14:textId="77777777">
        <w:trPr>
          <w:trHeight w:val="535"/>
          <w:jc w:val="center"/>
        </w:trPr>
        <w:tc>
          <w:tcPr>
            <w:tcW w:w="215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291DA0" w:rsidR="00BA555C" w:rsidP="00BA555C" w:rsidRDefault="00BA555C" w14:paraId="6C865224" w14:textId="13EFF613">
            <w:pPr>
              <w:widowControl/>
              <w:rPr>
                <w:rFonts w:eastAsia="Calibri" w:asciiTheme="minorHAnsi" w:hAnsiTheme="minorHAnsi" w:cstheme="minorHAnsi"/>
                <w:color w:val="000000"/>
                <w:sz w:val="18"/>
                <w:szCs w:val="18"/>
              </w:rPr>
            </w:pPr>
            <w:r w:rsidRPr="00291DA0">
              <w:rPr>
                <w:rFonts w:asciiTheme="minorHAnsi" w:hAnsiTheme="minorHAnsi" w:cstheme="minorHAnsi"/>
                <w:sz w:val="18"/>
                <w:szCs w:val="18"/>
              </w:rPr>
              <w:t>Observer Coverage Fee Payment</w:t>
            </w:r>
          </w:p>
        </w:tc>
        <w:tc>
          <w:tcPr>
            <w:tcW w:w="720" w:type="dxa"/>
            <w:tcBorders>
              <w:top w:val="single" w:color="000000" w:sz="8" w:space="0"/>
              <w:left w:val="nil"/>
              <w:bottom w:val="single" w:color="000000" w:sz="8" w:space="0"/>
              <w:right w:val="dashed" w:color="000000" w:sz="8" w:space="0"/>
            </w:tcBorders>
            <w:shd w:val="clear" w:color="auto" w:fill="auto"/>
            <w:vAlign w:val="center"/>
          </w:tcPr>
          <w:p w:rsidRPr="00291DA0" w:rsidR="00BA555C" w:rsidP="00BA555C" w:rsidRDefault="00733388" w14:paraId="780A27C9" w14:textId="60E89095">
            <w:pPr>
              <w:widowControl/>
              <w:jc w:val="center"/>
              <w:rPr>
                <w:rFonts w:ascii="Calibri" w:hAnsi="Calibri" w:eastAsia="Calibri" w:cs="Calibri"/>
                <w:color w:val="000000"/>
                <w:sz w:val="18"/>
                <w:szCs w:val="18"/>
              </w:rPr>
            </w:pPr>
            <w:r>
              <w:rPr>
                <w:rFonts w:ascii="Calibri" w:hAnsi="Calibri" w:eastAsia="Calibri" w:cs="Calibri"/>
                <w:color w:val="000000"/>
                <w:sz w:val="18"/>
                <w:szCs w:val="18"/>
              </w:rPr>
              <w:t>102</w:t>
            </w:r>
          </w:p>
        </w:tc>
        <w:tc>
          <w:tcPr>
            <w:tcW w:w="720" w:type="dxa"/>
            <w:tcBorders>
              <w:top w:val="single" w:color="000000" w:sz="8" w:space="0"/>
              <w:left w:val="nil"/>
              <w:bottom w:val="single" w:color="000000" w:sz="8" w:space="0"/>
              <w:right w:val="single" w:color="000000" w:sz="8" w:space="0"/>
            </w:tcBorders>
            <w:shd w:val="clear" w:color="auto" w:fill="auto"/>
            <w:vAlign w:val="center"/>
          </w:tcPr>
          <w:p w:rsidRPr="00291DA0" w:rsidR="00BA555C" w:rsidP="00BA555C" w:rsidRDefault="00A46690" w14:paraId="38A53BD6" w14:textId="2EED5BD0">
            <w:pPr>
              <w:widowControl/>
              <w:jc w:val="center"/>
              <w:rPr>
                <w:rFonts w:ascii="Calibri" w:hAnsi="Calibri" w:eastAsia="Calibri" w:cs="Calibri"/>
                <w:color w:val="000000"/>
                <w:sz w:val="18"/>
                <w:szCs w:val="18"/>
              </w:rPr>
            </w:pPr>
            <w:r w:rsidRPr="00291DA0">
              <w:rPr>
                <w:rFonts w:ascii="Calibri" w:hAnsi="Calibri" w:eastAsia="Calibri" w:cs="Calibri"/>
                <w:color w:val="000000"/>
                <w:sz w:val="18"/>
                <w:szCs w:val="18"/>
              </w:rPr>
              <w:t>107</w:t>
            </w:r>
          </w:p>
        </w:tc>
        <w:tc>
          <w:tcPr>
            <w:tcW w:w="720" w:type="dxa"/>
            <w:tcBorders>
              <w:top w:val="single" w:color="000000" w:sz="8" w:space="0"/>
              <w:left w:val="nil"/>
              <w:bottom w:val="single" w:color="000000" w:sz="8" w:space="0"/>
              <w:right w:val="dashed" w:color="000000" w:sz="8" w:space="0"/>
            </w:tcBorders>
            <w:shd w:val="clear" w:color="auto" w:fill="auto"/>
            <w:vAlign w:val="center"/>
          </w:tcPr>
          <w:p w:rsidRPr="00291DA0" w:rsidR="00BA555C" w:rsidP="00BA555C" w:rsidRDefault="00733388" w14:paraId="35F55749" w14:textId="74DE5E5A">
            <w:pPr>
              <w:widowControl/>
              <w:jc w:val="center"/>
              <w:rPr>
                <w:rFonts w:ascii="Calibri" w:hAnsi="Calibri" w:eastAsia="Calibri" w:cs="Calibri"/>
                <w:color w:val="000000"/>
                <w:sz w:val="18"/>
                <w:szCs w:val="18"/>
              </w:rPr>
            </w:pPr>
            <w:r>
              <w:rPr>
                <w:rFonts w:ascii="Calibri" w:hAnsi="Calibri" w:eastAsia="Calibri" w:cs="Calibri"/>
                <w:color w:val="000000"/>
                <w:sz w:val="18"/>
                <w:szCs w:val="18"/>
              </w:rPr>
              <w:t>102</w:t>
            </w:r>
          </w:p>
        </w:tc>
        <w:tc>
          <w:tcPr>
            <w:tcW w:w="720" w:type="dxa"/>
            <w:tcBorders>
              <w:top w:val="single" w:color="000000" w:sz="8" w:space="0"/>
              <w:left w:val="nil"/>
              <w:bottom w:val="single" w:color="000000" w:sz="8" w:space="0"/>
              <w:right w:val="single" w:color="000000" w:sz="8" w:space="0"/>
            </w:tcBorders>
            <w:shd w:val="clear" w:color="auto" w:fill="auto"/>
            <w:vAlign w:val="center"/>
          </w:tcPr>
          <w:p w:rsidRPr="00291DA0" w:rsidR="00BA555C" w:rsidP="00BA555C" w:rsidRDefault="00A46690" w14:paraId="20225D7E" w14:textId="57049B53">
            <w:pPr>
              <w:widowControl/>
              <w:jc w:val="center"/>
              <w:rPr>
                <w:rFonts w:ascii="Calibri" w:hAnsi="Calibri" w:eastAsia="Calibri" w:cs="Calibri"/>
                <w:color w:val="000000"/>
                <w:sz w:val="18"/>
                <w:szCs w:val="18"/>
              </w:rPr>
            </w:pPr>
            <w:r w:rsidRPr="00291DA0">
              <w:rPr>
                <w:rFonts w:ascii="Calibri" w:hAnsi="Calibri" w:eastAsia="Calibri" w:cs="Calibri"/>
                <w:color w:val="000000"/>
                <w:sz w:val="18"/>
                <w:szCs w:val="18"/>
              </w:rPr>
              <w:t>107</w:t>
            </w:r>
          </w:p>
        </w:tc>
        <w:tc>
          <w:tcPr>
            <w:tcW w:w="630" w:type="dxa"/>
            <w:tcBorders>
              <w:top w:val="single" w:color="000000" w:sz="8" w:space="0"/>
              <w:left w:val="nil"/>
              <w:bottom w:val="single" w:color="000000" w:sz="8" w:space="0"/>
              <w:right w:val="dashed" w:color="000000" w:sz="8" w:space="0"/>
            </w:tcBorders>
            <w:shd w:val="clear" w:color="auto" w:fill="auto"/>
            <w:vAlign w:val="center"/>
          </w:tcPr>
          <w:p w:rsidRPr="00291DA0" w:rsidR="00BA555C" w:rsidP="00BA555C" w:rsidRDefault="0000390A" w14:paraId="616979AC" w14:textId="1BD3464F">
            <w:pPr>
              <w:widowControl/>
              <w:jc w:val="center"/>
              <w:rPr>
                <w:rFonts w:ascii="Calibri" w:hAnsi="Calibri" w:eastAsia="Calibri" w:cs="Calibri"/>
                <w:color w:val="000000"/>
                <w:sz w:val="18"/>
                <w:szCs w:val="18"/>
              </w:rPr>
            </w:pPr>
            <w:r>
              <w:rPr>
                <w:rFonts w:ascii="Calibri" w:hAnsi="Calibri" w:eastAsia="Calibri" w:cs="Calibri"/>
                <w:color w:val="000000"/>
                <w:sz w:val="18"/>
                <w:szCs w:val="18"/>
              </w:rPr>
              <w:t>2</w:t>
            </w:r>
          </w:p>
        </w:tc>
        <w:tc>
          <w:tcPr>
            <w:tcW w:w="810" w:type="dxa"/>
            <w:tcBorders>
              <w:top w:val="single" w:color="000000" w:sz="8" w:space="0"/>
              <w:left w:val="nil"/>
              <w:bottom w:val="single" w:color="000000" w:sz="8" w:space="0"/>
              <w:right w:val="single" w:color="000000" w:sz="8" w:space="0"/>
            </w:tcBorders>
            <w:shd w:val="clear" w:color="auto" w:fill="auto"/>
            <w:vAlign w:val="center"/>
          </w:tcPr>
          <w:p w:rsidRPr="00291DA0" w:rsidR="00BA555C" w:rsidP="00BA555C" w:rsidRDefault="00A46690" w14:paraId="266D9F97" w14:textId="5C211501">
            <w:pPr>
              <w:widowControl/>
              <w:jc w:val="center"/>
              <w:rPr>
                <w:rFonts w:ascii="Calibri" w:hAnsi="Calibri" w:eastAsia="Calibri" w:cs="Calibri"/>
                <w:color w:val="000000"/>
                <w:sz w:val="18"/>
                <w:szCs w:val="18"/>
              </w:rPr>
            </w:pPr>
            <w:r w:rsidRPr="00291DA0">
              <w:rPr>
                <w:rFonts w:ascii="Calibri" w:hAnsi="Calibri" w:eastAsia="Calibri" w:cs="Calibri"/>
                <w:color w:val="000000"/>
                <w:sz w:val="18"/>
                <w:szCs w:val="18"/>
              </w:rPr>
              <w:t>2</w:t>
            </w:r>
          </w:p>
        </w:tc>
        <w:tc>
          <w:tcPr>
            <w:tcW w:w="3214" w:type="dxa"/>
            <w:tcBorders>
              <w:top w:val="single" w:color="000000" w:sz="8" w:space="0"/>
              <w:left w:val="nil"/>
              <w:bottom w:val="single" w:color="000000" w:sz="8" w:space="0"/>
              <w:right w:val="single" w:color="000000" w:sz="8" w:space="0"/>
            </w:tcBorders>
            <w:shd w:val="clear" w:color="auto" w:fill="auto"/>
            <w:vAlign w:val="center"/>
          </w:tcPr>
          <w:p w:rsidRPr="00291DA0" w:rsidR="00BA555C" w:rsidP="00B06355" w:rsidRDefault="00B06355" w14:paraId="5690311B" w14:textId="333CFF15">
            <w:pPr>
              <w:widowControl/>
              <w:jc w:val="center"/>
              <w:rPr>
                <w:rFonts w:ascii="Calibri" w:hAnsi="Calibri" w:eastAsia="Calibri" w:cs="Calibri"/>
                <w:color w:val="000000"/>
                <w:sz w:val="18"/>
                <w:szCs w:val="18"/>
              </w:rPr>
            </w:pPr>
            <w:r w:rsidRPr="00291DA0">
              <w:rPr>
                <w:rFonts w:ascii="Calibri" w:hAnsi="Calibri" w:eastAsia="Calibri" w:cs="Calibri"/>
                <w:color w:val="000000"/>
                <w:sz w:val="18"/>
                <w:szCs w:val="18"/>
              </w:rPr>
              <w:t>—</w:t>
            </w:r>
          </w:p>
        </w:tc>
      </w:tr>
      <w:tr w:rsidRPr="00291DA0" w:rsidR="0000390A" w:rsidTr="00CA270E" w14:paraId="51D526DF" w14:textId="77777777">
        <w:trPr>
          <w:trHeight w:val="535"/>
          <w:jc w:val="center"/>
        </w:trPr>
        <w:tc>
          <w:tcPr>
            <w:tcW w:w="215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291DA0" w:rsidR="0000390A" w:rsidP="0000390A" w:rsidRDefault="00820E35" w14:paraId="480B19DF" w14:textId="020D0428">
            <w:pPr>
              <w:widowControl/>
              <w:rPr>
                <w:rFonts w:asciiTheme="minorHAnsi" w:hAnsiTheme="minorHAnsi" w:cstheme="minorHAnsi"/>
                <w:sz w:val="18"/>
                <w:szCs w:val="18"/>
              </w:rPr>
            </w:pPr>
            <w:r>
              <w:rPr>
                <w:rFonts w:asciiTheme="minorHAnsi" w:hAnsiTheme="minorHAnsi" w:cstheme="minorHAnsi"/>
                <w:sz w:val="18"/>
                <w:szCs w:val="18"/>
              </w:rPr>
              <w:t>Cost Recovery Fee Payments</w:t>
            </w:r>
          </w:p>
        </w:tc>
        <w:tc>
          <w:tcPr>
            <w:tcW w:w="720" w:type="dxa"/>
            <w:tcBorders>
              <w:top w:val="single" w:color="000000" w:sz="8" w:space="0"/>
              <w:left w:val="nil"/>
              <w:bottom w:val="single" w:color="000000" w:sz="8" w:space="0"/>
              <w:right w:val="dashed" w:color="000000" w:sz="8" w:space="0"/>
            </w:tcBorders>
            <w:shd w:val="clear" w:color="auto" w:fill="auto"/>
            <w:vAlign w:val="center"/>
          </w:tcPr>
          <w:p w:rsidRPr="006C3ACE" w:rsidR="0000390A" w:rsidP="0000390A" w:rsidRDefault="0000390A" w14:paraId="6CEC5B0C" w14:textId="1AF477DB">
            <w:pPr>
              <w:widowControl/>
              <w:jc w:val="center"/>
              <w:rPr>
                <w:rFonts w:eastAsia="Calibri" w:asciiTheme="minorHAnsi" w:hAnsiTheme="minorHAnsi" w:cstheme="minorHAnsi"/>
                <w:color w:val="000000"/>
                <w:sz w:val="18"/>
                <w:szCs w:val="18"/>
              </w:rPr>
            </w:pPr>
            <w:r w:rsidRPr="006C3ACE">
              <w:rPr>
                <w:rFonts w:asciiTheme="minorHAnsi" w:hAnsiTheme="minorHAnsi" w:cstheme="minorHAnsi"/>
                <w:sz w:val="18"/>
                <w:szCs w:val="18"/>
              </w:rPr>
              <w:t>1,620</w:t>
            </w:r>
          </w:p>
        </w:tc>
        <w:tc>
          <w:tcPr>
            <w:tcW w:w="720" w:type="dxa"/>
            <w:tcBorders>
              <w:top w:val="single" w:color="000000" w:sz="8" w:space="0"/>
              <w:left w:val="nil"/>
              <w:bottom w:val="single" w:color="000000" w:sz="8" w:space="0"/>
              <w:right w:val="single" w:color="000000" w:sz="8" w:space="0"/>
            </w:tcBorders>
            <w:shd w:val="clear" w:color="auto" w:fill="auto"/>
            <w:vAlign w:val="center"/>
          </w:tcPr>
          <w:p w:rsidRPr="006C3ACE" w:rsidR="0000390A" w:rsidP="00820E35" w:rsidRDefault="0000390A" w14:paraId="426DCFCC" w14:textId="276F5079">
            <w:pPr>
              <w:widowControl/>
              <w:jc w:val="center"/>
              <w:rPr>
                <w:rFonts w:eastAsia="Calibri" w:asciiTheme="minorHAnsi" w:hAnsiTheme="minorHAnsi" w:cstheme="minorHAnsi"/>
                <w:color w:val="000000"/>
                <w:sz w:val="18"/>
                <w:szCs w:val="18"/>
              </w:rPr>
            </w:pPr>
            <w:r w:rsidRPr="00F40188">
              <w:rPr>
                <w:rFonts w:eastAsia="Calibri" w:asciiTheme="minorHAnsi" w:hAnsiTheme="minorHAnsi" w:cstheme="minorHAnsi"/>
                <w:color w:val="000000"/>
                <w:sz w:val="18"/>
                <w:szCs w:val="18"/>
              </w:rPr>
              <w:t>1,940</w:t>
            </w:r>
          </w:p>
        </w:tc>
        <w:tc>
          <w:tcPr>
            <w:tcW w:w="720" w:type="dxa"/>
            <w:tcBorders>
              <w:top w:val="single" w:color="000000" w:sz="8" w:space="0"/>
              <w:left w:val="nil"/>
              <w:bottom w:val="single" w:color="000000" w:sz="8" w:space="0"/>
              <w:right w:val="dashed" w:color="000000" w:sz="8" w:space="0"/>
            </w:tcBorders>
            <w:shd w:val="clear" w:color="auto" w:fill="auto"/>
            <w:vAlign w:val="center"/>
          </w:tcPr>
          <w:p w:rsidRPr="006C3ACE" w:rsidR="0000390A" w:rsidP="0000390A" w:rsidRDefault="0000390A" w14:paraId="09C9A971" w14:textId="616A8FFD">
            <w:pPr>
              <w:widowControl/>
              <w:jc w:val="center"/>
              <w:rPr>
                <w:rFonts w:eastAsia="Calibri" w:asciiTheme="minorHAnsi" w:hAnsiTheme="minorHAnsi" w:cstheme="minorHAnsi"/>
                <w:color w:val="000000"/>
                <w:sz w:val="18"/>
                <w:szCs w:val="18"/>
              </w:rPr>
            </w:pPr>
            <w:r w:rsidRPr="006C3ACE">
              <w:rPr>
                <w:rFonts w:asciiTheme="minorHAnsi" w:hAnsiTheme="minorHAnsi" w:cstheme="minorHAnsi"/>
                <w:sz w:val="18"/>
                <w:szCs w:val="18"/>
              </w:rPr>
              <w:t>1,620</w:t>
            </w:r>
          </w:p>
        </w:tc>
        <w:tc>
          <w:tcPr>
            <w:tcW w:w="720" w:type="dxa"/>
            <w:tcBorders>
              <w:top w:val="single" w:color="000000" w:sz="8" w:space="0"/>
              <w:left w:val="nil"/>
              <w:bottom w:val="single" w:color="000000" w:sz="8" w:space="0"/>
              <w:right w:val="single" w:color="000000" w:sz="8" w:space="0"/>
            </w:tcBorders>
            <w:shd w:val="clear" w:color="auto" w:fill="auto"/>
            <w:vAlign w:val="center"/>
          </w:tcPr>
          <w:p w:rsidRPr="00291DA0" w:rsidR="0000390A" w:rsidP="00820E35" w:rsidRDefault="0000390A" w14:paraId="18760FD9" w14:textId="7626BD9E">
            <w:pPr>
              <w:widowControl/>
              <w:jc w:val="center"/>
              <w:rPr>
                <w:rFonts w:ascii="Calibri" w:hAnsi="Calibri" w:eastAsia="Calibri" w:cs="Calibri"/>
                <w:color w:val="000000"/>
                <w:sz w:val="18"/>
                <w:szCs w:val="18"/>
              </w:rPr>
            </w:pPr>
            <w:r w:rsidRPr="00F40188">
              <w:rPr>
                <w:rFonts w:ascii="Calibri" w:hAnsi="Calibri" w:eastAsia="Calibri" w:cs="Calibri"/>
                <w:color w:val="000000"/>
                <w:sz w:val="18"/>
                <w:szCs w:val="18"/>
              </w:rPr>
              <w:t>1,940</w:t>
            </w:r>
          </w:p>
        </w:tc>
        <w:tc>
          <w:tcPr>
            <w:tcW w:w="630" w:type="dxa"/>
            <w:tcBorders>
              <w:top w:val="single" w:color="000000" w:sz="8" w:space="0"/>
              <w:left w:val="nil"/>
              <w:bottom w:val="single" w:color="000000" w:sz="8" w:space="0"/>
              <w:right w:val="dashed" w:color="000000" w:sz="8" w:space="0"/>
            </w:tcBorders>
            <w:shd w:val="clear" w:color="auto" w:fill="auto"/>
            <w:vAlign w:val="center"/>
          </w:tcPr>
          <w:p w:rsidRPr="00291DA0" w:rsidR="0000390A" w:rsidP="0000390A" w:rsidRDefault="0000390A" w14:paraId="044AA95D" w14:textId="742F8538">
            <w:pPr>
              <w:widowControl/>
              <w:jc w:val="center"/>
              <w:rPr>
                <w:rFonts w:ascii="Calibri" w:hAnsi="Calibri" w:eastAsia="Calibri" w:cs="Calibri"/>
                <w:color w:val="000000"/>
                <w:sz w:val="18"/>
                <w:szCs w:val="18"/>
              </w:rPr>
            </w:pPr>
            <w:r>
              <w:rPr>
                <w:rFonts w:ascii="Calibri" w:hAnsi="Calibri" w:eastAsia="Calibri" w:cs="Calibri"/>
                <w:color w:val="000000"/>
                <w:sz w:val="18"/>
                <w:szCs w:val="18"/>
              </w:rPr>
              <w:t>26</w:t>
            </w:r>
          </w:p>
        </w:tc>
        <w:tc>
          <w:tcPr>
            <w:tcW w:w="810" w:type="dxa"/>
            <w:tcBorders>
              <w:top w:val="single" w:color="000000" w:sz="8" w:space="0"/>
              <w:left w:val="nil"/>
              <w:bottom w:val="single" w:color="000000" w:sz="8" w:space="0"/>
              <w:right w:val="single" w:color="000000" w:sz="8" w:space="0"/>
            </w:tcBorders>
            <w:shd w:val="clear" w:color="auto" w:fill="auto"/>
            <w:vAlign w:val="center"/>
          </w:tcPr>
          <w:p w:rsidRPr="00291DA0" w:rsidR="0000390A" w:rsidP="00820E35" w:rsidRDefault="0000390A" w14:paraId="3F500ABC" w14:textId="4D1404C2">
            <w:pPr>
              <w:widowControl/>
              <w:jc w:val="center"/>
              <w:rPr>
                <w:rFonts w:ascii="Calibri" w:hAnsi="Calibri" w:eastAsia="Calibri" w:cs="Calibri"/>
                <w:color w:val="000000"/>
                <w:sz w:val="18"/>
                <w:szCs w:val="18"/>
              </w:rPr>
            </w:pPr>
            <w:r w:rsidRPr="00291DA0">
              <w:rPr>
                <w:rFonts w:ascii="Calibri" w:hAnsi="Calibri" w:eastAsia="Calibri" w:cs="Calibri"/>
                <w:color w:val="000000"/>
                <w:sz w:val="18"/>
                <w:szCs w:val="18"/>
              </w:rPr>
              <w:t>85</w:t>
            </w:r>
          </w:p>
        </w:tc>
        <w:tc>
          <w:tcPr>
            <w:tcW w:w="3214" w:type="dxa"/>
            <w:tcBorders>
              <w:top w:val="single" w:color="000000" w:sz="8" w:space="0"/>
              <w:left w:val="nil"/>
              <w:bottom w:val="single" w:color="000000" w:sz="8" w:space="0"/>
              <w:right w:val="single" w:color="000000" w:sz="8" w:space="0"/>
            </w:tcBorders>
            <w:shd w:val="clear" w:color="auto" w:fill="auto"/>
            <w:vAlign w:val="center"/>
          </w:tcPr>
          <w:p w:rsidRPr="006F36AB" w:rsidR="0000390A" w:rsidP="00820E35" w:rsidRDefault="00820E35" w14:paraId="7CB89FBE" w14:textId="5E2B2D72">
            <w:pPr>
              <w:widowControl/>
              <w:rPr>
                <w:rFonts w:ascii="Calibri" w:hAnsi="Calibri" w:eastAsia="Calibri" w:cs="Calibri"/>
                <w:color w:val="000000"/>
                <w:sz w:val="18"/>
                <w:szCs w:val="18"/>
                <w:highlight w:val="cyan"/>
              </w:rPr>
            </w:pPr>
            <w:r w:rsidRPr="00820E35">
              <w:rPr>
                <w:rFonts w:ascii="Calibri" w:hAnsi="Calibri" w:eastAsia="Calibri" w:cs="Calibri"/>
                <w:color w:val="000000"/>
                <w:sz w:val="18"/>
                <w:szCs w:val="18"/>
              </w:rPr>
              <w:t xml:space="preserve">The </w:t>
            </w:r>
            <w:r w:rsidR="005E51C7">
              <w:rPr>
                <w:rFonts w:ascii="Calibri" w:hAnsi="Calibri" w:eastAsia="Calibri" w:cs="Calibri"/>
                <w:color w:val="000000"/>
                <w:sz w:val="18"/>
                <w:szCs w:val="18"/>
              </w:rPr>
              <w:t>previous totals include</w:t>
            </w:r>
            <w:r w:rsidRPr="00820E35">
              <w:rPr>
                <w:rFonts w:ascii="Calibri" w:hAnsi="Calibri" w:eastAsia="Calibri" w:cs="Calibri"/>
                <w:color w:val="000000"/>
                <w:sz w:val="18"/>
                <w:szCs w:val="18"/>
              </w:rPr>
              <w:t xml:space="preserve"> the </w:t>
            </w:r>
            <w:r w:rsidR="005E51C7">
              <w:rPr>
                <w:rFonts w:ascii="Calibri" w:hAnsi="Calibri" w:eastAsia="Calibri" w:cs="Calibri"/>
                <w:color w:val="000000"/>
                <w:sz w:val="18"/>
                <w:szCs w:val="18"/>
              </w:rPr>
              <w:t xml:space="preserve">two </w:t>
            </w:r>
            <w:r w:rsidRPr="00820E35">
              <w:rPr>
                <w:rFonts w:ascii="Calibri" w:hAnsi="Calibri" w:eastAsia="Calibri" w:cs="Calibri"/>
                <w:color w:val="000000"/>
                <w:sz w:val="18"/>
                <w:szCs w:val="18"/>
              </w:rPr>
              <w:t xml:space="preserve">fee </w:t>
            </w:r>
            <w:proofErr w:type="gramStart"/>
            <w:r w:rsidRPr="00820E35">
              <w:rPr>
                <w:rFonts w:ascii="Calibri" w:hAnsi="Calibri" w:eastAsia="Calibri" w:cs="Calibri"/>
                <w:color w:val="000000"/>
                <w:sz w:val="18"/>
                <w:szCs w:val="18"/>
              </w:rPr>
              <w:t>forms which</w:t>
            </w:r>
            <w:proofErr w:type="gramEnd"/>
            <w:r w:rsidRPr="00820E35">
              <w:rPr>
                <w:rFonts w:ascii="Calibri" w:hAnsi="Calibri" w:eastAsia="Calibri" w:cs="Calibri"/>
                <w:color w:val="000000"/>
                <w:sz w:val="18"/>
                <w:szCs w:val="18"/>
              </w:rPr>
              <w:t xml:space="preserve"> have been separated from cost recovery fee payments. </w:t>
            </w:r>
          </w:p>
        </w:tc>
      </w:tr>
      <w:tr w:rsidRPr="00291DA0" w:rsidR="0000390A" w:rsidTr="00CA270E" w14:paraId="6619B389" w14:textId="77777777">
        <w:trPr>
          <w:trHeight w:val="535"/>
          <w:jc w:val="center"/>
        </w:trPr>
        <w:tc>
          <w:tcPr>
            <w:tcW w:w="215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955984" w:rsidR="0000390A" w:rsidP="0000390A" w:rsidRDefault="0000390A" w14:paraId="7C8795C4" w14:textId="15629AC6">
            <w:pPr>
              <w:widowControl/>
              <w:rPr>
                <w:rFonts w:asciiTheme="minorHAnsi" w:hAnsiTheme="minorHAnsi" w:cstheme="minorHAnsi"/>
                <w:sz w:val="18"/>
                <w:szCs w:val="18"/>
              </w:rPr>
            </w:pPr>
            <w:r w:rsidRPr="00955984">
              <w:rPr>
                <w:rFonts w:asciiTheme="minorHAnsi" w:hAnsiTheme="minorHAnsi" w:cstheme="minorHAnsi"/>
                <w:sz w:val="18"/>
                <w:szCs w:val="18"/>
              </w:rPr>
              <w:lastRenderedPageBreak/>
              <w:t>IFQ Permit Holder Fee Calculation Form</w:t>
            </w:r>
          </w:p>
        </w:tc>
        <w:tc>
          <w:tcPr>
            <w:tcW w:w="720" w:type="dxa"/>
            <w:tcBorders>
              <w:top w:val="single" w:color="000000" w:sz="8" w:space="0"/>
              <w:left w:val="nil"/>
              <w:bottom w:val="single" w:color="000000" w:sz="8" w:space="0"/>
              <w:right w:val="dashed" w:color="000000" w:sz="8" w:space="0"/>
            </w:tcBorders>
            <w:shd w:val="clear" w:color="auto" w:fill="auto"/>
            <w:vAlign w:val="center"/>
          </w:tcPr>
          <w:p w:rsidRPr="006C3ACE" w:rsidR="0000390A" w:rsidP="0000390A" w:rsidRDefault="0000390A" w14:paraId="78898D97" w14:textId="2FA6C80E">
            <w:pPr>
              <w:widowControl/>
              <w:jc w:val="center"/>
              <w:rPr>
                <w:rFonts w:eastAsia="Calibri" w:asciiTheme="minorHAnsi" w:hAnsiTheme="minorHAnsi" w:cstheme="minorHAnsi"/>
                <w:color w:val="000000"/>
                <w:sz w:val="18"/>
                <w:szCs w:val="18"/>
              </w:rPr>
            </w:pPr>
            <w:r w:rsidRPr="006C3ACE">
              <w:rPr>
                <w:rFonts w:asciiTheme="minorHAnsi" w:hAnsiTheme="minorHAnsi" w:cstheme="minorHAnsi"/>
                <w:sz w:val="18"/>
                <w:szCs w:val="18"/>
              </w:rPr>
              <w:t>66</w:t>
            </w:r>
          </w:p>
        </w:tc>
        <w:tc>
          <w:tcPr>
            <w:tcW w:w="720" w:type="dxa"/>
            <w:tcBorders>
              <w:top w:val="single" w:color="000000" w:sz="8" w:space="0"/>
              <w:left w:val="nil"/>
              <w:bottom w:val="single" w:color="000000" w:sz="8" w:space="0"/>
              <w:right w:val="single" w:color="000000" w:sz="8" w:space="0"/>
            </w:tcBorders>
            <w:shd w:val="clear" w:color="auto" w:fill="auto"/>
            <w:vAlign w:val="center"/>
          </w:tcPr>
          <w:p w:rsidRPr="00820E35" w:rsidR="0000390A" w:rsidP="0000390A" w:rsidRDefault="00820E35" w14:paraId="5009D0C4" w14:textId="1D0A09EC">
            <w:pPr>
              <w:widowControl/>
              <w:jc w:val="center"/>
              <w:rPr>
                <w:rFonts w:eastAsia="Calibri" w:asciiTheme="minorHAnsi" w:hAnsiTheme="minorHAnsi" w:cstheme="minorHAnsi"/>
                <w:color w:val="000000"/>
                <w:sz w:val="18"/>
                <w:szCs w:val="18"/>
              </w:rPr>
            </w:pPr>
            <w:r w:rsidRPr="00820E35">
              <w:rPr>
                <w:rFonts w:eastAsia="Calibri" w:asciiTheme="minorHAnsi" w:hAnsiTheme="minorHAnsi" w:cstheme="minorHAnsi"/>
                <w:color w:val="000000"/>
                <w:sz w:val="18"/>
                <w:szCs w:val="18"/>
              </w:rPr>
              <w:t>–</w:t>
            </w:r>
          </w:p>
        </w:tc>
        <w:tc>
          <w:tcPr>
            <w:tcW w:w="720" w:type="dxa"/>
            <w:tcBorders>
              <w:top w:val="single" w:color="000000" w:sz="8" w:space="0"/>
              <w:left w:val="nil"/>
              <w:bottom w:val="single" w:color="000000" w:sz="8" w:space="0"/>
              <w:right w:val="dashed" w:color="000000" w:sz="8" w:space="0"/>
            </w:tcBorders>
            <w:shd w:val="clear" w:color="auto" w:fill="auto"/>
            <w:vAlign w:val="center"/>
          </w:tcPr>
          <w:p w:rsidRPr="00820E35" w:rsidR="0000390A" w:rsidP="0000390A" w:rsidRDefault="0000390A" w14:paraId="239AD33C" w14:textId="5022CFC7">
            <w:pPr>
              <w:widowControl/>
              <w:jc w:val="center"/>
              <w:rPr>
                <w:rFonts w:eastAsia="Calibri" w:asciiTheme="minorHAnsi" w:hAnsiTheme="minorHAnsi" w:cstheme="minorHAnsi"/>
                <w:color w:val="000000"/>
                <w:sz w:val="18"/>
                <w:szCs w:val="18"/>
              </w:rPr>
            </w:pPr>
            <w:r w:rsidRPr="00820E35">
              <w:rPr>
                <w:rFonts w:asciiTheme="minorHAnsi" w:hAnsiTheme="minorHAnsi" w:cstheme="minorHAnsi"/>
                <w:sz w:val="18"/>
                <w:szCs w:val="18"/>
              </w:rPr>
              <w:t>66</w:t>
            </w:r>
          </w:p>
        </w:tc>
        <w:tc>
          <w:tcPr>
            <w:tcW w:w="720" w:type="dxa"/>
            <w:tcBorders>
              <w:top w:val="single" w:color="000000" w:sz="8" w:space="0"/>
              <w:left w:val="nil"/>
              <w:bottom w:val="single" w:color="000000" w:sz="8" w:space="0"/>
              <w:right w:val="single" w:color="000000" w:sz="8" w:space="0"/>
            </w:tcBorders>
            <w:shd w:val="clear" w:color="auto" w:fill="auto"/>
            <w:vAlign w:val="center"/>
          </w:tcPr>
          <w:p w:rsidRPr="00820E35" w:rsidR="0000390A" w:rsidP="0000390A" w:rsidRDefault="00820E35" w14:paraId="05A66B15" w14:textId="074CFE10">
            <w:pPr>
              <w:widowControl/>
              <w:jc w:val="center"/>
              <w:rPr>
                <w:rFonts w:eastAsia="Calibri" w:asciiTheme="minorHAnsi" w:hAnsiTheme="minorHAnsi" w:cstheme="minorHAnsi"/>
                <w:color w:val="000000"/>
                <w:sz w:val="18"/>
                <w:szCs w:val="18"/>
              </w:rPr>
            </w:pPr>
            <w:r w:rsidRPr="00820E35">
              <w:rPr>
                <w:rFonts w:eastAsia="Calibri" w:asciiTheme="minorHAnsi" w:hAnsiTheme="minorHAnsi" w:cstheme="minorHAnsi"/>
                <w:color w:val="000000"/>
                <w:sz w:val="18"/>
                <w:szCs w:val="18"/>
              </w:rPr>
              <w:t>–</w:t>
            </w:r>
          </w:p>
        </w:tc>
        <w:tc>
          <w:tcPr>
            <w:tcW w:w="630" w:type="dxa"/>
            <w:tcBorders>
              <w:top w:val="single" w:color="000000" w:sz="8" w:space="0"/>
              <w:left w:val="nil"/>
              <w:bottom w:val="single" w:color="000000" w:sz="8" w:space="0"/>
              <w:right w:val="dashed" w:color="000000" w:sz="8" w:space="0"/>
            </w:tcBorders>
            <w:shd w:val="clear" w:color="auto" w:fill="auto"/>
            <w:vAlign w:val="center"/>
          </w:tcPr>
          <w:p w:rsidRPr="00820E35" w:rsidR="0000390A" w:rsidP="0000390A" w:rsidRDefault="006C3ACE" w14:paraId="5C66C6A4" w14:textId="40730F83">
            <w:pPr>
              <w:widowControl/>
              <w:jc w:val="center"/>
              <w:rPr>
                <w:rFonts w:eastAsia="Calibri" w:asciiTheme="minorHAnsi" w:hAnsiTheme="minorHAnsi" w:cstheme="minorHAnsi"/>
                <w:color w:val="000000"/>
                <w:sz w:val="18"/>
                <w:szCs w:val="18"/>
              </w:rPr>
            </w:pPr>
            <w:r w:rsidRPr="00820E35">
              <w:rPr>
                <w:rFonts w:eastAsia="Calibri" w:asciiTheme="minorHAnsi" w:hAnsiTheme="minorHAnsi" w:cstheme="minorHAnsi"/>
                <w:color w:val="000000"/>
                <w:sz w:val="18"/>
                <w:szCs w:val="18"/>
              </w:rPr>
              <w:t>33</w:t>
            </w:r>
          </w:p>
        </w:tc>
        <w:tc>
          <w:tcPr>
            <w:tcW w:w="810" w:type="dxa"/>
            <w:tcBorders>
              <w:top w:val="single" w:color="000000" w:sz="8" w:space="0"/>
              <w:left w:val="nil"/>
              <w:bottom w:val="single" w:color="000000" w:sz="8" w:space="0"/>
              <w:right w:val="single" w:color="000000" w:sz="8" w:space="0"/>
            </w:tcBorders>
            <w:shd w:val="clear" w:color="auto" w:fill="auto"/>
            <w:vAlign w:val="center"/>
          </w:tcPr>
          <w:p w:rsidRPr="00820E35" w:rsidR="0000390A" w:rsidP="0000390A" w:rsidRDefault="00820E35" w14:paraId="6DDF5C64" w14:textId="23B1237E">
            <w:pPr>
              <w:widowControl/>
              <w:jc w:val="center"/>
              <w:rPr>
                <w:rFonts w:eastAsia="Calibri" w:asciiTheme="minorHAnsi" w:hAnsiTheme="minorHAnsi" w:cstheme="minorHAnsi"/>
                <w:color w:val="000000"/>
                <w:sz w:val="18"/>
                <w:szCs w:val="18"/>
              </w:rPr>
            </w:pPr>
            <w:r w:rsidRPr="00820E35">
              <w:rPr>
                <w:rFonts w:eastAsia="Calibri" w:asciiTheme="minorHAnsi" w:hAnsiTheme="minorHAnsi" w:cstheme="minorHAnsi"/>
                <w:color w:val="000000"/>
                <w:sz w:val="18"/>
                <w:szCs w:val="18"/>
              </w:rPr>
              <w:t>–</w:t>
            </w:r>
          </w:p>
        </w:tc>
        <w:tc>
          <w:tcPr>
            <w:tcW w:w="3214" w:type="dxa"/>
            <w:tcBorders>
              <w:top w:val="single" w:color="000000" w:sz="8" w:space="0"/>
              <w:left w:val="nil"/>
              <w:bottom w:val="single" w:color="000000" w:sz="8" w:space="0"/>
              <w:right w:val="single" w:color="000000" w:sz="8" w:space="0"/>
            </w:tcBorders>
            <w:shd w:val="clear" w:color="auto" w:fill="auto"/>
            <w:vAlign w:val="center"/>
          </w:tcPr>
          <w:p w:rsidRPr="006F36AB" w:rsidR="0000390A" w:rsidP="00820E35" w:rsidRDefault="005E51C7" w14:paraId="2CE847DD" w14:textId="0B77D8F6">
            <w:pPr>
              <w:widowControl/>
              <w:rPr>
                <w:rFonts w:eastAsia="Calibri" w:asciiTheme="minorHAnsi" w:hAnsiTheme="minorHAnsi" w:cstheme="minorHAnsi"/>
                <w:color w:val="000000"/>
                <w:sz w:val="18"/>
                <w:szCs w:val="18"/>
                <w:highlight w:val="cyan"/>
              </w:rPr>
            </w:pPr>
            <w:r w:rsidRPr="005E51C7">
              <w:rPr>
                <w:rFonts w:eastAsia="Calibri" w:asciiTheme="minorHAnsi" w:hAnsiTheme="minorHAnsi" w:cstheme="minorHAnsi"/>
                <w:color w:val="000000"/>
                <w:sz w:val="18"/>
                <w:szCs w:val="18"/>
              </w:rPr>
              <w:t xml:space="preserve">This form has been renamed, revised, and is now reported individually in the tables to reflect its current use. Previously it was included with totals for </w:t>
            </w:r>
            <w:proofErr w:type="gramStart"/>
            <w:r w:rsidRPr="005E51C7">
              <w:rPr>
                <w:rFonts w:eastAsia="Calibri" w:asciiTheme="minorHAnsi" w:hAnsiTheme="minorHAnsi" w:cstheme="minorHAnsi"/>
                <w:color w:val="000000"/>
                <w:sz w:val="18"/>
                <w:szCs w:val="18"/>
              </w:rPr>
              <w:t>cost recovery fee payments</w:t>
            </w:r>
            <w:proofErr w:type="gramEnd"/>
            <w:r w:rsidRPr="005E51C7">
              <w:rPr>
                <w:rFonts w:eastAsia="Calibri" w:asciiTheme="minorHAnsi" w:hAnsiTheme="minorHAnsi" w:cstheme="minorHAnsi"/>
                <w:color w:val="000000"/>
                <w:sz w:val="18"/>
                <w:szCs w:val="18"/>
              </w:rPr>
              <w:t>.</w:t>
            </w:r>
          </w:p>
        </w:tc>
      </w:tr>
      <w:tr w:rsidRPr="00291DA0" w:rsidR="0000390A" w:rsidTr="00CA270E" w14:paraId="10D3125D" w14:textId="77777777">
        <w:trPr>
          <w:trHeight w:val="535"/>
          <w:jc w:val="center"/>
        </w:trPr>
        <w:tc>
          <w:tcPr>
            <w:tcW w:w="215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955984" w:rsidR="0000390A" w:rsidP="0000390A" w:rsidRDefault="0000390A" w14:paraId="2671D10B" w14:textId="02D857DA">
            <w:pPr>
              <w:widowControl/>
              <w:rPr>
                <w:rFonts w:asciiTheme="minorHAnsi" w:hAnsiTheme="minorHAnsi" w:cstheme="minorHAnsi"/>
                <w:sz w:val="18"/>
                <w:szCs w:val="18"/>
              </w:rPr>
            </w:pPr>
            <w:r w:rsidRPr="00955984">
              <w:rPr>
                <w:rFonts w:asciiTheme="minorHAnsi" w:hAnsiTheme="minorHAnsi" w:cstheme="minorHAnsi"/>
                <w:sz w:val="18"/>
                <w:szCs w:val="18"/>
              </w:rPr>
              <w:t>Registered Crab Receiver Fee Calculation Form</w:t>
            </w:r>
          </w:p>
        </w:tc>
        <w:tc>
          <w:tcPr>
            <w:tcW w:w="720" w:type="dxa"/>
            <w:tcBorders>
              <w:top w:val="single" w:color="000000" w:sz="8" w:space="0"/>
              <w:left w:val="nil"/>
              <w:bottom w:val="single" w:color="000000" w:sz="8" w:space="0"/>
              <w:right w:val="dashed" w:color="000000" w:sz="8" w:space="0"/>
            </w:tcBorders>
            <w:shd w:val="clear" w:color="auto" w:fill="auto"/>
            <w:vAlign w:val="center"/>
          </w:tcPr>
          <w:p w:rsidRPr="006C3ACE" w:rsidR="0000390A" w:rsidP="0000390A" w:rsidRDefault="0000390A" w14:paraId="776D4A24" w14:textId="2C557D1B">
            <w:pPr>
              <w:widowControl/>
              <w:jc w:val="center"/>
              <w:rPr>
                <w:rFonts w:eastAsia="Calibri" w:asciiTheme="minorHAnsi" w:hAnsiTheme="minorHAnsi" w:cstheme="minorHAnsi"/>
                <w:color w:val="000000"/>
                <w:sz w:val="18"/>
                <w:szCs w:val="18"/>
              </w:rPr>
            </w:pPr>
            <w:r w:rsidRPr="006C3ACE">
              <w:rPr>
                <w:rFonts w:asciiTheme="minorHAnsi" w:hAnsiTheme="minorHAnsi" w:cstheme="minorHAnsi"/>
                <w:sz w:val="18"/>
                <w:szCs w:val="18"/>
              </w:rPr>
              <w:t>7</w:t>
            </w:r>
          </w:p>
        </w:tc>
        <w:tc>
          <w:tcPr>
            <w:tcW w:w="720" w:type="dxa"/>
            <w:tcBorders>
              <w:top w:val="single" w:color="000000" w:sz="8" w:space="0"/>
              <w:left w:val="nil"/>
              <w:bottom w:val="single" w:color="000000" w:sz="8" w:space="0"/>
              <w:right w:val="single" w:color="000000" w:sz="8" w:space="0"/>
            </w:tcBorders>
            <w:shd w:val="clear" w:color="auto" w:fill="auto"/>
            <w:vAlign w:val="center"/>
          </w:tcPr>
          <w:p w:rsidRPr="00820E35" w:rsidR="0000390A" w:rsidP="0000390A" w:rsidRDefault="00820E35" w14:paraId="36C23B4B" w14:textId="6FEF21F7">
            <w:pPr>
              <w:widowControl/>
              <w:jc w:val="center"/>
              <w:rPr>
                <w:rFonts w:eastAsia="Calibri" w:asciiTheme="minorHAnsi" w:hAnsiTheme="minorHAnsi" w:cstheme="minorHAnsi"/>
                <w:color w:val="000000"/>
                <w:sz w:val="18"/>
                <w:szCs w:val="18"/>
              </w:rPr>
            </w:pPr>
            <w:r w:rsidRPr="00820E35">
              <w:rPr>
                <w:rFonts w:eastAsia="Calibri" w:asciiTheme="minorHAnsi" w:hAnsiTheme="minorHAnsi" w:cstheme="minorHAnsi"/>
                <w:color w:val="000000"/>
                <w:sz w:val="18"/>
                <w:szCs w:val="18"/>
              </w:rPr>
              <w:t>–</w:t>
            </w:r>
          </w:p>
        </w:tc>
        <w:tc>
          <w:tcPr>
            <w:tcW w:w="720" w:type="dxa"/>
            <w:tcBorders>
              <w:top w:val="single" w:color="000000" w:sz="8" w:space="0"/>
              <w:left w:val="nil"/>
              <w:bottom w:val="single" w:color="000000" w:sz="8" w:space="0"/>
              <w:right w:val="dashed" w:color="000000" w:sz="8" w:space="0"/>
            </w:tcBorders>
            <w:shd w:val="clear" w:color="auto" w:fill="auto"/>
            <w:vAlign w:val="center"/>
          </w:tcPr>
          <w:p w:rsidRPr="00820E35" w:rsidR="0000390A" w:rsidP="0000390A" w:rsidRDefault="0000390A" w14:paraId="54697B98" w14:textId="6289D5B0">
            <w:pPr>
              <w:widowControl/>
              <w:jc w:val="center"/>
              <w:rPr>
                <w:rFonts w:eastAsia="Calibri" w:asciiTheme="minorHAnsi" w:hAnsiTheme="minorHAnsi" w:cstheme="minorHAnsi"/>
                <w:color w:val="000000"/>
                <w:sz w:val="18"/>
                <w:szCs w:val="18"/>
              </w:rPr>
            </w:pPr>
            <w:r w:rsidRPr="00820E35">
              <w:rPr>
                <w:rFonts w:asciiTheme="minorHAnsi" w:hAnsiTheme="minorHAnsi" w:cstheme="minorHAnsi"/>
                <w:sz w:val="18"/>
                <w:szCs w:val="18"/>
              </w:rPr>
              <w:t>7</w:t>
            </w:r>
          </w:p>
        </w:tc>
        <w:tc>
          <w:tcPr>
            <w:tcW w:w="720" w:type="dxa"/>
            <w:tcBorders>
              <w:top w:val="single" w:color="000000" w:sz="8" w:space="0"/>
              <w:left w:val="nil"/>
              <w:bottom w:val="single" w:color="000000" w:sz="8" w:space="0"/>
              <w:right w:val="single" w:color="000000" w:sz="8" w:space="0"/>
            </w:tcBorders>
            <w:shd w:val="clear" w:color="auto" w:fill="auto"/>
            <w:vAlign w:val="center"/>
          </w:tcPr>
          <w:p w:rsidRPr="00820E35" w:rsidR="0000390A" w:rsidP="0000390A" w:rsidRDefault="00820E35" w14:paraId="6DB75DC4" w14:textId="4B143E1E">
            <w:pPr>
              <w:widowControl/>
              <w:jc w:val="center"/>
              <w:rPr>
                <w:rFonts w:eastAsia="Calibri" w:asciiTheme="minorHAnsi" w:hAnsiTheme="minorHAnsi" w:cstheme="minorHAnsi"/>
                <w:color w:val="000000"/>
                <w:sz w:val="18"/>
                <w:szCs w:val="18"/>
              </w:rPr>
            </w:pPr>
            <w:r w:rsidRPr="00820E35">
              <w:rPr>
                <w:rFonts w:eastAsia="Calibri" w:asciiTheme="minorHAnsi" w:hAnsiTheme="minorHAnsi" w:cstheme="minorHAnsi"/>
                <w:color w:val="000000"/>
                <w:sz w:val="18"/>
                <w:szCs w:val="18"/>
              </w:rPr>
              <w:t>–</w:t>
            </w:r>
          </w:p>
        </w:tc>
        <w:tc>
          <w:tcPr>
            <w:tcW w:w="630" w:type="dxa"/>
            <w:tcBorders>
              <w:top w:val="single" w:color="000000" w:sz="8" w:space="0"/>
              <w:left w:val="nil"/>
              <w:bottom w:val="single" w:color="000000" w:sz="8" w:space="0"/>
              <w:right w:val="dashed" w:color="000000" w:sz="8" w:space="0"/>
            </w:tcBorders>
            <w:shd w:val="clear" w:color="auto" w:fill="auto"/>
            <w:vAlign w:val="center"/>
          </w:tcPr>
          <w:p w:rsidRPr="00820E35" w:rsidR="0000390A" w:rsidP="0000390A" w:rsidRDefault="006C3ACE" w14:paraId="2E952975" w14:textId="4C187C1A">
            <w:pPr>
              <w:widowControl/>
              <w:jc w:val="center"/>
              <w:rPr>
                <w:rFonts w:eastAsia="Calibri" w:asciiTheme="minorHAnsi" w:hAnsiTheme="minorHAnsi" w:cstheme="minorHAnsi"/>
                <w:color w:val="000000"/>
                <w:sz w:val="18"/>
                <w:szCs w:val="18"/>
              </w:rPr>
            </w:pPr>
            <w:r w:rsidRPr="00820E35">
              <w:rPr>
                <w:rFonts w:eastAsia="Calibri" w:asciiTheme="minorHAnsi" w:hAnsiTheme="minorHAnsi" w:cstheme="minorHAnsi"/>
                <w:color w:val="000000"/>
                <w:sz w:val="18"/>
                <w:szCs w:val="18"/>
              </w:rPr>
              <w:t>4</w:t>
            </w:r>
          </w:p>
        </w:tc>
        <w:tc>
          <w:tcPr>
            <w:tcW w:w="810" w:type="dxa"/>
            <w:tcBorders>
              <w:top w:val="single" w:color="000000" w:sz="8" w:space="0"/>
              <w:left w:val="nil"/>
              <w:bottom w:val="single" w:color="000000" w:sz="8" w:space="0"/>
              <w:right w:val="single" w:color="000000" w:sz="8" w:space="0"/>
            </w:tcBorders>
            <w:shd w:val="clear" w:color="auto" w:fill="auto"/>
            <w:vAlign w:val="center"/>
          </w:tcPr>
          <w:p w:rsidRPr="00820E35" w:rsidR="0000390A" w:rsidP="0000390A" w:rsidRDefault="00820E35" w14:paraId="2B642DB8" w14:textId="3FF9D969">
            <w:pPr>
              <w:widowControl/>
              <w:jc w:val="center"/>
              <w:rPr>
                <w:rFonts w:eastAsia="Calibri" w:asciiTheme="minorHAnsi" w:hAnsiTheme="minorHAnsi" w:cstheme="minorHAnsi"/>
                <w:color w:val="000000"/>
                <w:sz w:val="18"/>
                <w:szCs w:val="18"/>
              </w:rPr>
            </w:pPr>
            <w:r w:rsidRPr="00820E35">
              <w:rPr>
                <w:rFonts w:eastAsia="Calibri" w:asciiTheme="minorHAnsi" w:hAnsiTheme="minorHAnsi" w:cstheme="minorHAnsi"/>
                <w:color w:val="000000"/>
                <w:sz w:val="18"/>
                <w:szCs w:val="18"/>
              </w:rPr>
              <w:t>–</w:t>
            </w:r>
          </w:p>
        </w:tc>
        <w:tc>
          <w:tcPr>
            <w:tcW w:w="3214" w:type="dxa"/>
            <w:tcBorders>
              <w:top w:val="single" w:color="000000" w:sz="8" w:space="0"/>
              <w:left w:val="nil"/>
              <w:bottom w:val="single" w:color="000000" w:sz="8" w:space="0"/>
              <w:right w:val="single" w:color="000000" w:sz="8" w:space="0"/>
            </w:tcBorders>
            <w:shd w:val="clear" w:color="auto" w:fill="auto"/>
            <w:vAlign w:val="center"/>
          </w:tcPr>
          <w:p w:rsidRPr="006F36AB" w:rsidR="0000390A" w:rsidP="005E51C7" w:rsidRDefault="00820E35" w14:paraId="3D3AB8DF" w14:textId="3D74195F">
            <w:pPr>
              <w:widowControl/>
              <w:rPr>
                <w:rFonts w:eastAsia="Calibri" w:asciiTheme="minorHAnsi" w:hAnsiTheme="minorHAnsi" w:cstheme="minorHAnsi"/>
                <w:color w:val="000000"/>
                <w:sz w:val="18"/>
                <w:szCs w:val="18"/>
                <w:highlight w:val="cyan"/>
              </w:rPr>
            </w:pPr>
            <w:bookmarkStart w:name="_GoBack" w:id="0"/>
            <w:r>
              <w:rPr>
                <w:rFonts w:eastAsia="Calibri" w:asciiTheme="minorHAnsi" w:hAnsiTheme="minorHAnsi" w:cstheme="minorHAnsi"/>
                <w:color w:val="000000"/>
                <w:sz w:val="18"/>
                <w:szCs w:val="18"/>
              </w:rPr>
              <w:t xml:space="preserve">This form </w:t>
            </w:r>
            <w:r w:rsidR="005E51C7">
              <w:rPr>
                <w:rFonts w:eastAsia="Calibri" w:asciiTheme="minorHAnsi" w:hAnsiTheme="minorHAnsi" w:cstheme="minorHAnsi"/>
                <w:color w:val="000000"/>
                <w:sz w:val="18"/>
                <w:szCs w:val="18"/>
              </w:rPr>
              <w:t xml:space="preserve">has been renamed, revised, and is now reported individually in the tables to reflect its current use. </w:t>
            </w:r>
            <w:r>
              <w:rPr>
                <w:rFonts w:eastAsia="Calibri" w:asciiTheme="minorHAnsi" w:hAnsiTheme="minorHAnsi" w:cstheme="minorHAnsi"/>
                <w:color w:val="000000"/>
                <w:sz w:val="18"/>
                <w:szCs w:val="18"/>
              </w:rPr>
              <w:t xml:space="preserve">Previously it was included with </w:t>
            </w:r>
            <w:r w:rsidR="005E51C7">
              <w:rPr>
                <w:rFonts w:eastAsia="Calibri" w:asciiTheme="minorHAnsi" w:hAnsiTheme="minorHAnsi" w:cstheme="minorHAnsi"/>
                <w:color w:val="000000"/>
                <w:sz w:val="18"/>
                <w:szCs w:val="18"/>
              </w:rPr>
              <w:t xml:space="preserve">totals for </w:t>
            </w:r>
            <w:proofErr w:type="gramStart"/>
            <w:r>
              <w:rPr>
                <w:rFonts w:eastAsia="Calibri" w:asciiTheme="minorHAnsi" w:hAnsiTheme="minorHAnsi" w:cstheme="minorHAnsi"/>
                <w:color w:val="000000"/>
                <w:sz w:val="18"/>
                <w:szCs w:val="18"/>
              </w:rPr>
              <w:t>c</w:t>
            </w:r>
            <w:r w:rsidRPr="00820E35">
              <w:rPr>
                <w:rFonts w:eastAsia="Calibri" w:asciiTheme="minorHAnsi" w:hAnsiTheme="minorHAnsi" w:cstheme="minorHAnsi"/>
                <w:color w:val="000000"/>
                <w:sz w:val="18"/>
                <w:szCs w:val="18"/>
              </w:rPr>
              <w:t>ost</w:t>
            </w:r>
            <w:r w:rsidR="005E51C7">
              <w:rPr>
                <w:rFonts w:eastAsia="Calibri" w:asciiTheme="minorHAnsi" w:hAnsiTheme="minorHAnsi" w:cstheme="minorHAnsi"/>
                <w:color w:val="000000"/>
                <w:sz w:val="18"/>
                <w:szCs w:val="18"/>
              </w:rPr>
              <w:t xml:space="preserve"> recovery fee payments</w:t>
            </w:r>
            <w:proofErr w:type="gramEnd"/>
            <w:r w:rsidR="005E51C7">
              <w:rPr>
                <w:rFonts w:eastAsia="Calibri" w:asciiTheme="minorHAnsi" w:hAnsiTheme="minorHAnsi" w:cstheme="minorHAnsi"/>
                <w:color w:val="000000"/>
                <w:sz w:val="18"/>
                <w:szCs w:val="18"/>
              </w:rPr>
              <w:t>.</w:t>
            </w:r>
            <w:bookmarkEnd w:id="0"/>
          </w:p>
        </w:tc>
      </w:tr>
      <w:tr w:rsidRPr="00291DA0" w:rsidR="00960106" w:rsidTr="00CA270E" w14:paraId="6C97ACB9" w14:textId="77777777">
        <w:trPr>
          <w:trHeight w:val="535"/>
          <w:jc w:val="center"/>
        </w:trPr>
        <w:tc>
          <w:tcPr>
            <w:tcW w:w="215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291DA0" w:rsidR="00960106" w:rsidP="00BA555C" w:rsidRDefault="00960106" w14:paraId="36DB39FF" w14:textId="16EB22AD">
            <w:pPr>
              <w:widowControl/>
              <w:rPr>
                <w:rFonts w:asciiTheme="minorHAnsi" w:hAnsiTheme="minorHAnsi" w:cstheme="minorHAnsi"/>
                <w:sz w:val="18"/>
                <w:szCs w:val="18"/>
              </w:rPr>
            </w:pPr>
            <w:r w:rsidRPr="00291DA0">
              <w:rPr>
                <w:rFonts w:asciiTheme="minorHAnsi" w:hAnsiTheme="minorHAnsi" w:cstheme="minorHAnsi"/>
                <w:sz w:val="18"/>
                <w:szCs w:val="18"/>
              </w:rPr>
              <w:t>Volume and Value Reports</w:t>
            </w:r>
          </w:p>
        </w:tc>
        <w:tc>
          <w:tcPr>
            <w:tcW w:w="720" w:type="dxa"/>
            <w:tcBorders>
              <w:top w:val="single" w:color="000000" w:sz="8" w:space="0"/>
              <w:left w:val="nil"/>
              <w:bottom w:val="single" w:color="000000" w:sz="8" w:space="0"/>
              <w:right w:val="dashed" w:color="000000" w:sz="8" w:space="0"/>
            </w:tcBorders>
            <w:shd w:val="clear" w:color="auto" w:fill="auto"/>
            <w:vAlign w:val="center"/>
          </w:tcPr>
          <w:p w:rsidRPr="00291DA0" w:rsidR="00960106" w:rsidP="00BA555C" w:rsidRDefault="0000390A" w14:paraId="134CB96A" w14:textId="3FF779AA">
            <w:pPr>
              <w:widowControl/>
              <w:jc w:val="center"/>
              <w:rPr>
                <w:rFonts w:ascii="Calibri" w:hAnsi="Calibri" w:eastAsia="Calibri" w:cs="Calibri"/>
                <w:color w:val="000000"/>
                <w:sz w:val="18"/>
                <w:szCs w:val="18"/>
              </w:rPr>
            </w:pPr>
            <w:r>
              <w:rPr>
                <w:rFonts w:ascii="Calibri" w:hAnsi="Calibri" w:eastAsia="Calibri" w:cs="Calibri"/>
                <w:color w:val="000000"/>
                <w:sz w:val="18"/>
                <w:szCs w:val="18"/>
              </w:rPr>
              <w:t>113</w:t>
            </w:r>
          </w:p>
        </w:tc>
        <w:tc>
          <w:tcPr>
            <w:tcW w:w="720" w:type="dxa"/>
            <w:tcBorders>
              <w:top w:val="single" w:color="000000" w:sz="8" w:space="0"/>
              <w:left w:val="nil"/>
              <w:bottom w:val="single" w:color="000000" w:sz="8" w:space="0"/>
              <w:right w:val="single" w:color="000000" w:sz="8" w:space="0"/>
            </w:tcBorders>
            <w:shd w:val="clear" w:color="auto" w:fill="auto"/>
            <w:vAlign w:val="center"/>
          </w:tcPr>
          <w:p w:rsidRPr="00291DA0" w:rsidR="00960106" w:rsidP="00BA555C" w:rsidRDefault="0042251A" w14:paraId="0171DFD1" w14:textId="4BD1E7E8">
            <w:pPr>
              <w:widowControl/>
              <w:jc w:val="center"/>
              <w:rPr>
                <w:rFonts w:ascii="Calibri" w:hAnsi="Calibri" w:eastAsia="Calibri" w:cs="Calibri"/>
                <w:color w:val="000000"/>
                <w:sz w:val="18"/>
                <w:szCs w:val="18"/>
              </w:rPr>
            </w:pPr>
            <w:r w:rsidRPr="00291DA0">
              <w:rPr>
                <w:rFonts w:ascii="Calibri" w:hAnsi="Calibri" w:eastAsia="Calibri" w:cs="Calibri"/>
                <w:color w:val="000000"/>
                <w:sz w:val="18"/>
                <w:szCs w:val="18"/>
              </w:rPr>
              <w:t>118</w:t>
            </w:r>
          </w:p>
        </w:tc>
        <w:tc>
          <w:tcPr>
            <w:tcW w:w="720" w:type="dxa"/>
            <w:tcBorders>
              <w:top w:val="single" w:color="000000" w:sz="8" w:space="0"/>
              <w:left w:val="nil"/>
              <w:bottom w:val="single" w:color="000000" w:sz="8" w:space="0"/>
              <w:right w:val="dashed" w:color="000000" w:sz="8" w:space="0"/>
            </w:tcBorders>
            <w:shd w:val="clear" w:color="auto" w:fill="auto"/>
            <w:vAlign w:val="center"/>
          </w:tcPr>
          <w:p w:rsidRPr="00291DA0" w:rsidR="00960106" w:rsidP="00BA555C" w:rsidRDefault="0000390A" w14:paraId="08A41345" w14:textId="08ABF90C">
            <w:pPr>
              <w:widowControl/>
              <w:jc w:val="center"/>
              <w:rPr>
                <w:rFonts w:ascii="Calibri" w:hAnsi="Calibri" w:eastAsia="Calibri" w:cs="Calibri"/>
                <w:color w:val="000000"/>
                <w:sz w:val="18"/>
                <w:szCs w:val="18"/>
              </w:rPr>
            </w:pPr>
            <w:r>
              <w:rPr>
                <w:rFonts w:ascii="Calibri" w:hAnsi="Calibri" w:eastAsia="Calibri" w:cs="Calibri"/>
                <w:color w:val="000000"/>
                <w:sz w:val="18"/>
                <w:szCs w:val="18"/>
              </w:rPr>
              <w:t>113</w:t>
            </w:r>
          </w:p>
        </w:tc>
        <w:tc>
          <w:tcPr>
            <w:tcW w:w="720" w:type="dxa"/>
            <w:tcBorders>
              <w:top w:val="single" w:color="000000" w:sz="8" w:space="0"/>
              <w:left w:val="nil"/>
              <w:bottom w:val="single" w:color="000000" w:sz="8" w:space="0"/>
              <w:right w:val="single" w:color="000000" w:sz="8" w:space="0"/>
            </w:tcBorders>
            <w:shd w:val="clear" w:color="auto" w:fill="auto"/>
            <w:vAlign w:val="center"/>
          </w:tcPr>
          <w:p w:rsidRPr="00291DA0" w:rsidR="00960106" w:rsidP="00BA555C" w:rsidRDefault="0042251A" w14:paraId="1983F657" w14:textId="6E4B7330">
            <w:pPr>
              <w:widowControl/>
              <w:jc w:val="center"/>
              <w:rPr>
                <w:rFonts w:ascii="Calibri" w:hAnsi="Calibri" w:eastAsia="Calibri" w:cs="Calibri"/>
                <w:color w:val="000000"/>
                <w:sz w:val="18"/>
                <w:szCs w:val="18"/>
              </w:rPr>
            </w:pPr>
            <w:r w:rsidRPr="00291DA0">
              <w:rPr>
                <w:rFonts w:ascii="Calibri" w:hAnsi="Calibri" w:eastAsia="Calibri" w:cs="Calibri"/>
                <w:color w:val="000000"/>
                <w:sz w:val="18"/>
                <w:szCs w:val="18"/>
              </w:rPr>
              <w:t>123</w:t>
            </w:r>
          </w:p>
        </w:tc>
        <w:tc>
          <w:tcPr>
            <w:tcW w:w="630" w:type="dxa"/>
            <w:tcBorders>
              <w:top w:val="single" w:color="000000" w:sz="8" w:space="0"/>
              <w:left w:val="nil"/>
              <w:bottom w:val="single" w:color="000000" w:sz="8" w:space="0"/>
              <w:right w:val="dashed" w:color="000000" w:sz="8" w:space="0"/>
            </w:tcBorders>
            <w:shd w:val="clear" w:color="auto" w:fill="auto"/>
            <w:vAlign w:val="center"/>
          </w:tcPr>
          <w:p w:rsidRPr="00291DA0" w:rsidR="00960106" w:rsidP="00BA555C" w:rsidRDefault="0000390A" w14:paraId="768E3664" w14:textId="52EF0E55">
            <w:pPr>
              <w:widowControl/>
              <w:jc w:val="center"/>
              <w:rPr>
                <w:rFonts w:ascii="Calibri" w:hAnsi="Calibri" w:eastAsia="Calibri" w:cs="Calibri"/>
                <w:color w:val="000000"/>
                <w:sz w:val="18"/>
                <w:szCs w:val="18"/>
              </w:rPr>
            </w:pPr>
            <w:r>
              <w:rPr>
                <w:rFonts w:ascii="Calibri" w:hAnsi="Calibri" w:eastAsia="Calibri" w:cs="Calibri"/>
                <w:color w:val="000000"/>
                <w:sz w:val="18"/>
                <w:szCs w:val="18"/>
              </w:rPr>
              <w:t>12</w:t>
            </w:r>
          </w:p>
        </w:tc>
        <w:tc>
          <w:tcPr>
            <w:tcW w:w="810" w:type="dxa"/>
            <w:tcBorders>
              <w:top w:val="single" w:color="000000" w:sz="8" w:space="0"/>
              <w:left w:val="nil"/>
              <w:bottom w:val="single" w:color="000000" w:sz="8" w:space="0"/>
              <w:right w:val="single" w:color="000000" w:sz="8" w:space="0"/>
            </w:tcBorders>
            <w:shd w:val="clear" w:color="auto" w:fill="auto"/>
            <w:vAlign w:val="center"/>
          </w:tcPr>
          <w:p w:rsidRPr="00291DA0" w:rsidR="00960106" w:rsidP="00BA555C" w:rsidRDefault="0042251A" w14:paraId="48C98729" w14:textId="613A5501">
            <w:pPr>
              <w:widowControl/>
              <w:jc w:val="center"/>
              <w:rPr>
                <w:rFonts w:ascii="Calibri" w:hAnsi="Calibri" w:eastAsia="Calibri" w:cs="Calibri"/>
                <w:color w:val="000000"/>
                <w:sz w:val="18"/>
                <w:szCs w:val="18"/>
              </w:rPr>
            </w:pPr>
            <w:r w:rsidRPr="00291DA0">
              <w:rPr>
                <w:rFonts w:ascii="Calibri" w:hAnsi="Calibri" w:eastAsia="Calibri" w:cs="Calibri"/>
                <w:color w:val="000000"/>
                <w:sz w:val="18"/>
                <w:szCs w:val="18"/>
              </w:rPr>
              <w:t>6</w:t>
            </w:r>
          </w:p>
        </w:tc>
        <w:tc>
          <w:tcPr>
            <w:tcW w:w="3214" w:type="dxa"/>
            <w:tcBorders>
              <w:top w:val="single" w:color="000000" w:sz="8" w:space="0"/>
              <w:left w:val="nil"/>
              <w:bottom w:val="single" w:color="000000" w:sz="8" w:space="0"/>
              <w:right w:val="single" w:color="000000" w:sz="8" w:space="0"/>
            </w:tcBorders>
            <w:shd w:val="clear" w:color="auto" w:fill="auto"/>
            <w:vAlign w:val="center"/>
          </w:tcPr>
          <w:p w:rsidRPr="00291DA0" w:rsidR="00960106" w:rsidP="00B06355" w:rsidRDefault="00B06355" w14:paraId="7653169E" w14:textId="7FAF249D">
            <w:pPr>
              <w:widowControl/>
              <w:jc w:val="center"/>
              <w:rPr>
                <w:rFonts w:ascii="Calibri" w:hAnsi="Calibri" w:eastAsia="Calibri" w:cs="Calibri"/>
                <w:color w:val="000000"/>
                <w:sz w:val="18"/>
                <w:szCs w:val="18"/>
              </w:rPr>
            </w:pPr>
            <w:r w:rsidRPr="00291DA0">
              <w:rPr>
                <w:rFonts w:ascii="Calibri" w:hAnsi="Calibri" w:eastAsia="Calibri" w:cs="Calibri"/>
                <w:color w:val="000000"/>
                <w:sz w:val="18"/>
                <w:szCs w:val="18"/>
              </w:rPr>
              <w:t>—</w:t>
            </w:r>
          </w:p>
        </w:tc>
      </w:tr>
      <w:tr w:rsidRPr="00291DA0" w:rsidR="00BA555C" w:rsidTr="00CA270E" w14:paraId="39884BEF" w14:textId="77777777">
        <w:trPr>
          <w:trHeight w:val="535"/>
          <w:jc w:val="center"/>
        </w:trPr>
        <w:tc>
          <w:tcPr>
            <w:tcW w:w="2150" w:type="dxa"/>
            <w:tcBorders>
              <w:top w:val="single" w:color="000000" w:sz="8" w:space="0"/>
              <w:left w:val="single" w:color="000000" w:sz="8" w:space="0"/>
              <w:bottom w:val="single" w:color="000000" w:sz="18" w:space="0"/>
              <w:right w:val="single" w:color="000000" w:sz="8" w:space="0"/>
            </w:tcBorders>
            <w:shd w:val="clear" w:color="auto" w:fill="auto"/>
            <w:vAlign w:val="center"/>
          </w:tcPr>
          <w:p w:rsidRPr="00291DA0" w:rsidR="00BA555C" w:rsidP="00BA555C" w:rsidRDefault="00BA555C" w14:paraId="405ECFD6" w14:textId="14FA1BB4">
            <w:pPr>
              <w:widowControl/>
              <w:rPr>
                <w:rFonts w:eastAsia="Calibri" w:asciiTheme="minorHAnsi" w:hAnsiTheme="minorHAnsi" w:cstheme="minorHAnsi"/>
                <w:color w:val="000000"/>
                <w:sz w:val="18"/>
                <w:szCs w:val="18"/>
              </w:rPr>
            </w:pPr>
            <w:r w:rsidRPr="00291DA0">
              <w:rPr>
                <w:rFonts w:asciiTheme="minorHAnsi" w:hAnsiTheme="minorHAnsi" w:cstheme="minorHAnsi"/>
                <w:sz w:val="18"/>
                <w:szCs w:val="18"/>
              </w:rPr>
              <w:t>Appeals</w:t>
            </w:r>
          </w:p>
        </w:tc>
        <w:tc>
          <w:tcPr>
            <w:tcW w:w="720" w:type="dxa"/>
            <w:tcBorders>
              <w:top w:val="single" w:color="000000" w:sz="8" w:space="0"/>
              <w:left w:val="nil"/>
              <w:bottom w:val="single" w:color="000000" w:sz="18" w:space="0"/>
              <w:right w:val="dashed" w:color="000000" w:sz="8" w:space="0"/>
            </w:tcBorders>
            <w:shd w:val="clear" w:color="auto" w:fill="auto"/>
            <w:vAlign w:val="center"/>
          </w:tcPr>
          <w:p w:rsidRPr="00291DA0" w:rsidR="00BA555C" w:rsidP="00BA555C" w:rsidRDefault="0000390A" w14:paraId="10581B70" w14:textId="70573287">
            <w:pPr>
              <w:widowControl/>
              <w:jc w:val="center"/>
              <w:rPr>
                <w:rFonts w:ascii="Calibri" w:hAnsi="Calibri" w:eastAsia="Calibri" w:cs="Calibri"/>
                <w:color w:val="000000"/>
                <w:sz w:val="18"/>
                <w:szCs w:val="18"/>
              </w:rPr>
            </w:pPr>
            <w:r>
              <w:rPr>
                <w:rFonts w:ascii="Calibri" w:hAnsi="Calibri" w:eastAsia="Calibri" w:cs="Calibri"/>
                <w:color w:val="000000"/>
                <w:sz w:val="18"/>
                <w:szCs w:val="18"/>
              </w:rPr>
              <w:t>1</w:t>
            </w:r>
            <w:r w:rsidRPr="00291DA0" w:rsidR="00BA555C">
              <w:rPr>
                <w:rFonts w:ascii="Calibri" w:hAnsi="Calibri" w:eastAsia="Calibri" w:cs="Calibri"/>
                <w:color w:val="000000"/>
                <w:sz w:val="18"/>
                <w:szCs w:val="18"/>
              </w:rPr>
              <w:t> </w:t>
            </w:r>
          </w:p>
        </w:tc>
        <w:tc>
          <w:tcPr>
            <w:tcW w:w="720" w:type="dxa"/>
            <w:tcBorders>
              <w:top w:val="single" w:color="000000" w:sz="8" w:space="0"/>
              <w:left w:val="nil"/>
              <w:bottom w:val="single" w:color="000000" w:sz="18" w:space="0"/>
              <w:right w:val="single" w:color="000000" w:sz="8" w:space="0"/>
            </w:tcBorders>
            <w:shd w:val="clear" w:color="auto" w:fill="auto"/>
            <w:vAlign w:val="center"/>
          </w:tcPr>
          <w:p w:rsidRPr="00291DA0" w:rsidR="00BA555C" w:rsidP="00BA555C" w:rsidRDefault="00BA555C" w14:paraId="1F21513C" w14:textId="1CDD20FB">
            <w:pPr>
              <w:widowControl/>
              <w:jc w:val="center"/>
              <w:rPr>
                <w:rFonts w:ascii="Calibri" w:hAnsi="Calibri" w:eastAsia="Calibri" w:cs="Calibri"/>
                <w:color w:val="000000"/>
                <w:sz w:val="18"/>
                <w:szCs w:val="18"/>
              </w:rPr>
            </w:pPr>
            <w:r w:rsidRPr="00291DA0">
              <w:rPr>
                <w:rFonts w:ascii="Calibri" w:hAnsi="Calibri" w:eastAsia="Calibri" w:cs="Calibri"/>
                <w:color w:val="000000"/>
                <w:sz w:val="18"/>
                <w:szCs w:val="18"/>
              </w:rPr>
              <w:t> </w:t>
            </w:r>
            <w:r w:rsidRPr="00291DA0" w:rsidR="00A46690">
              <w:rPr>
                <w:rFonts w:ascii="Calibri" w:hAnsi="Calibri" w:eastAsia="Calibri" w:cs="Calibri"/>
                <w:color w:val="000000"/>
                <w:sz w:val="18"/>
                <w:szCs w:val="18"/>
              </w:rPr>
              <w:t>1</w:t>
            </w:r>
          </w:p>
        </w:tc>
        <w:tc>
          <w:tcPr>
            <w:tcW w:w="720" w:type="dxa"/>
            <w:tcBorders>
              <w:top w:val="single" w:color="000000" w:sz="8" w:space="0"/>
              <w:left w:val="nil"/>
              <w:bottom w:val="single" w:color="000000" w:sz="18" w:space="0"/>
              <w:right w:val="dashed" w:color="000000" w:sz="8" w:space="0"/>
            </w:tcBorders>
            <w:shd w:val="clear" w:color="auto" w:fill="auto"/>
            <w:vAlign w:val="center"/>
          </w:tcPr>
          <w:p w:rsidRPr="00291DA0" w:rsidR="00BA555C" w:rsidP="00BA555C" w:rsidRDefault="0000390A" w14:paraId="5C363174" w14:textId="08CA89B0">
            <w:pPr>
              <w:widowControl/>
              <w:jc w:val="center"/>
              <w:rPr>
                <w:rFonts w:ascii="Calibri" w:hAnsi="Calibri" w:eastAsia="Calibri" w:cs="Calibri"/>
                <w:color w:val="000000"/>
                <w:sz w:val="18"/>
                <w:szCs w:val="18"/>
              </w:rPr>
            </w:pPr>
            <w:r>
              <w:rPr>
                <w:rFonts w:ascii="Calibri" w:hAnsi="Calibri" w:eastAsia="Calibri" w:cs="Calibri"/>
                <w:color w:val="000000"/>
                <w:sz w:val="18"/>
                <w:szCs w:val="18"/>
              </w:rPr>
              <w:t>1</w:t>
            </w:r>
            <w:r w:rsidRPr="00291DA0" w:rsidR="00BA555C">
              <w:rPr>
                <w:rFonts w:ascii="Calibri" w:hAnsi="Calibri" w:eastAsia="Calibri" w:cs="Calibri"/>
                <w:color w:val="000000"/>
                <w:sz w:val="18"/>
                <w:szCs w:val="18"/>
              </w:rPr>
              <w:t> </w:t>
            </w:r>
          </w:p>
        </w:tc>
        <w:tc>
          <w:tcPr>
            <w:tcW w:w="720" w:type="dxa"/>
            <w:tcBorders>
              <w:top w:val="single" w:color="000000" w:sz="8" w:space="0"/>
              <w:left w:val="nil"/>
              <w:bottom w:val="single" w:color="000000" w:sz="18" w:space="0"/>
              <w:right w:val="single" w:color="000000" w:sz="8" w:space="0"/>
            </w:tcBorders>
            <w:shd w:val="clear" w:color="auto" w:fill="auto"/>
            <w:vAlign w:val="center"/>
          </w:tcPr>
          <w:p w:rsidRPr="00291DA0" w:rsidR="00BA555C" w:rsidP="00BA555C" w:rsidRDefault="00BA555C" w14:paraId="261413FF" w14:textId="37C8B5D9">
            <w:pPr>
              <w:widowControl/>
              <w:jc w:val="center"/>
              <w:rPr>
                <w:rFonts w:ascii="Calibri" w:hAnsi="Calibri" w:eastAsia="Calibri" w:cs="Calibri"/>
                <w:color w:val="000000"/>
                <w:sz w:val="18"/>
                <w:szCs w:val="18"/>
              </w:rPr>
            </w:pPr>
            <w:r w:rsidRPr="00291DA0">
              <w:rPr>
                <w:rFonts w:ascii="Calibri" w:hAnsi="Calibri" w:eastAsia="Calibri" w:cs="Calibri"/>
                <w:color w:val="000000"/>
                <w:sz w:val="18"/>
                <w:szCs w:val="18"/>
              </w:rPr>
              <w:t> </w:t>
            </w:r>
            <w:r w:rsidRPr="00291DA0" w:rsidR="00A46690">
              <w:rPr>
                <w:rFonts w:ascii="Calibri" w:hAnsi="Calibri" w:eastAsia="Calibri" w:cs="Calibri"/>
                <w:color w:val="000000"/>
                <w:sz w:val="18"/>
                <w:szCs w:val="18"/>
              </w:rPr>
              <w:t>1</w:t>
            </w:r>
          </w:p>
        </w:tc>
        <w:tc>
          <w:tcPr>
            <w:tcW w:w="630" w:type="dxa"/>
            <w:tcBorders>
              <w:top w:val="single" w:color="000000" w:sz="8" w:space="0"/>
              <w:left w:val="nil"/>
              <w:bottom w:val="single" w:color="000000" w:sz="18" w:space="0"/>
              <w:right w:val="dashed" w:color="000000" w:sz="8" w:space="0"/>
            </w:tcBorders>
            <w:shd w:val="clear" w:color="auto" w:fill="auto"/>
            <w:vAlign w:val="center"/>
          </w:tcPr>
          <w:p w:rsidRPr="00291DA0" w:rsidR="00BA555C" w:rsidP="00BA555C" w:rsidRDefault="00BA555C" w14:paraId="6B4FE3D8" w14:textId="2FBB43C8">
            <w:pPr>
              <w:widowControl/>
              <w:jc w:val="center"/>
              <w:rPr>
                <w:rFonts w:ascii="Calibri" w:hAnsi="Calibri" w:eastAsia="Calibri" w:cs="Calibri"/>
                <w:color w:val="000000"/>
                <w:sz w:val="18"/>
                <w:szCs w:val="18"/>
              </w:rPr>
            </w:pPr>
            <w:r w:rsidRPr="00291DA0">
              <w:rPr>
                <w:rFonts w:ascii="Calibri" w:hAnsi="Calibri" w:eastAsia="Calibri" w:cs="Calibri"/>
                <w:color w:val="000000"/>
                <w:sz w:val="18"/>
                <w:szCs w:val="18"/>
              </w:rPr>
              <w:t> </w:t>
            </w:r>
            <w:r w:rsidR="0000390A">
              <w:rPr>
                <w:rFonts w:ascii="Calibri" w:hAnsi="Calibri" w:eastAsia="Calibri" w:cs="Calibri"/>
                <w:color w:val="000000"/>
                <w:sz w:val="18"/>
                <w:szCs w:val="18"/>
              </w:rPr>
              <w:t>4</w:t>
            </w:r>
          </w:p>
        </w:tc>
        <w:tc>
          <w:tcPr>
            <w:tcW w:w="810" w:type="dxa"/>
            <w:tcBorders>
              <w:top w:val="single" w:color="000000" w:sz="8" w:space="0"/>
              <w:left w:val="nil"/>
              <w:bottom w:val="single" w:color="000000" w:sz="18" w:space="0"/>
              <w:right w:val="single" w:color="000000" w:sz="8" w:space="0"/>
            </w:tcBorders>
            <w:shd w:val="clear" w:color="auto" w:fill="auto"/>
            <w:vAlign w:val="center"/>
          </w:tcPr>
          <w:p w:rsidRPr="00291DA0" w:rsidR="00BA555C" w:rsidP="00BA555C" w:rsidRDefault="00BA555C" w14:paraId="72E4B6DF" w14:textId="2DB67D74">
            <w:pPr>
              <w:widowControl/>
              <w:jc w:val="center"/>
              <w:rPr>
                <w:rFonts w:ascii="Calibri" w:hAnsi="Calibri" w:eastAsia="Calibri" w:cs="Calibri"/>
                <w:color w:val="000000"/>
                <w:sz w:val="18"/>
                <w:szCs w:val="18"/>
              </w:rPr>
            </w:pPr>
            <w:r w:rsidRPr="00291DA0">
              <w:rPr>
                <w:rFonts w:ascii="Calibri" w:hAnsi="Calibri" w:eastAsia="Calibri" w:cs="Calibri"/>
                <w:color w:val="000000"/>
                <w:sz w:val="18"/>
                <w:szCs w:val="18"/>
              </w:rPr>
              <w:t> </w:t>
            </w:r>
            <w:r w:rsidRPr="00291DA0" w:rsidR="00A46690">
              <w:rPr>
                <w:rFonts w:ascii="Calibri" w:hAnsi="Calibri" w:eastAsia="Calibri" w:cs="Calibri"/>
                <w:color w:val="000000"/>
                <w:sz w:val="18"/>
                <w:szCs w:val="18"/>
              </w:rPr>
              <w:t>4</w:t>
            </w:r>
          </w:p>
        </w:tc>
        <w:tc>
          <w:tcPr>
            <w:tcW w:w="3214" w:type="dxa"/>
            <w:tcBorders>
              <w:top w:val="single" w:color="000000" w:sz="8" w:space="0"/>
              <w:left w:val="nil"/>
              <w:bottom w:val="single" w:color="000000" w:sz="18" w:space="0"/>
              <w:right w:val="single" w:color="000000" w:sz="8" w:space="0"/>
            </w:tcBorders>
            <w:shd w:val="clear" w:color="auto" w:fill="auto"/>
            <w:vAlign w:val="center"/>
          </w:tcPr>
          <w:p w:rsidRPr="00291DA0" w:rsidR="00BA555C" w:rsidP="00B06355" w:rsidRDefault="00B06355" w14:paraId="4B488E4F" w14:textId="20663BD7">
            <w:pPr>
              <w:widowControl/>
              <w:jc w:val="center"/>
              <w:rPr>
                <w:rFonts w:ascii="Calibri" w:hAnsi="Calibri" w:eastAsia="Calibri" w:cs="Calibri"/>
                <w:color w:val="000000"/>
                <w:sz w:val="18"/>
                <w:szCs w:val="18"/>
              </w:rPr>
            </w:pPr>
            <w:r w:rsidRPr="00291DA0">
              <w:rPr>
                <w:rFonts w:ascii="Calibri" w:hAnsi="Calibri" w:eastAsia="Calibri" w:cs="Calibri"/>
                <w:color w:val="000000"/>
                <w:sz w:val="18"/>
                <w:szCs w:val="18"/>
              </w:rPr>
              <w:t>—</w:t>
            </w:r>
          </w:p>
        </w:tc>
      </w:tr>
      <w:tr w:rsidRPr="00291DA0" w:rsidR="00CA270E" w:rsidTr="00CA270E" w14:paraId="756B0FA7" w14:textId="77777777">
        <w:trPr>
          <w:trHeight w:val="791"/>
          <w:jc w:val="center"/>
        </w:trPr>
        <w:tc>
          <w:tcPr>
            <w:tcW w:w="2150" w:type="dxa"/>
            <w:tcBorders>
              <w:top w:val="single" w:color="000000" w:sz="18" w:space="0"/>
              <w:left w:val="single" w:color="000000" w:sz="8" w:space="0"/>
              <w:bottom w:val="nil"/>
              <w:right w:val="single" w:color="000000" w:sz="8" w:space="0"/>
            </w:tcBorders>
            <w:shd w:val="clear" w:color="auto" w:fill="BDD6EE"/>
            <w:vAlign w:val="center"/>
          </w:tcPr>
          <w:p w:rsidRPr="00291DA0" w:rsidR="00BD2A55" w:rsidRDefault="00333FBA" w14:paraId="3CD5E47E" w14:textId="77777777">
            <w:pPr>
              <w:widowControl/>
              <w:jc w:val="center"/>
              <w:rPr>
                <w:rFonts w:ascii="Calibri" w:hAnsi="Calibri" w:eastAsia="Calibri" w:cs="Calibri"/>
                <w:b/>
                <w:color w:val="000000"/>
                <w:sz w:val="18"/>
                <w:szCs w:val="18"/>
              </w:rPr>
            </w:pPr>
            <w:r w:rsidRPr="00291DA0">
              <w:rPr>
                <w:rFonts w:ascii="Calibri" w:hAnsi="Calibri" w:eastAsia="Calibri" w:cs="Calibri"/>
                <w:b/>
                <w:color w:val="000000"/>
                <w:sz w:val="18"/>
                <w:szCs w:val="18"/>
              </w:rPr>
              <w:t>Total for Collection</w:t>
            </w:r>
          </w:p>
        </w:tc>
        <w:tc>
          <w:tcPr>
            <w:tcW w:w="720" w:type="dxa"/>
            <w:tcBorders>
              <w:top w:val="single" w:color="000000" w:sz="18" w:space="0"/>
              <w:left w:val="nil"/>
              <w:bottom w:val="nil"/>
              <w:right w:val="dashed" w:color="000000" w:sz="8" w:space="0"/>
            </w:tcBorders>
            <w:shd w:val="clear" w:color="auto" w:fill="BDD6EE"/>
            <w:vAlign w:val="center"/>
          </w:tcPr>
          <w:p w:rsidRPr="00291DA0" w:rsidR="00BD2A55" w:rsidRDefault="00A422E3" w14:paraId="74AB995A" w14:textId="58E4A844">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1,722*</w:t>
            </w:r>
            <w:r w:rsidRPr="00291DA0" w:rsidR="00333FBA">
              <w:rPr>
                <w:rFonts w:ascii="Calibri" w:hAnsi="Calibri" w:eastAsia="Calibri" w:cs="Calibri"/>
                <w:b/>
                <w:color w:val="000000"/>
                <w:sz w:val="18"/>
                <w:szCs w:val="18"/>
              </w:rPr>
              <w:t> </w:t>
            </w:r>
          </w:p>
        </w:tc>
        <w:tc>
          <w:tcPr>
            <w:tcW w:w="720" w:type="dxa"/>
            <w:tcBorders>
              <w:top w:val="single" w:color="000000" w:sz="18" w:space="0"/>
              <w:left w:val="nil"/>
              <w:bottom w:val="nil"/>
              <w:right w:val="single" w:color="000000" w:sz="8" w:space="0"/>
            </w:tcBorders>
            <w:shd w:val="clear" w:color="auto" w:fill="BDD6EE"/>
            <w:vAlign w:val="center"/>
          </w:tcPr>
          <w:p w:rsidRPr="00291DA0" w:rsidR="00BD2A55" w:rsidRDefault="00333FBA" w14:paraId="7626FAE4" w14:textId="7C2BA300">
            <w:pPr>
              <w:widowControl/>
              <w:jc w:val="center"/>
              <w:rPr>
                <w:rFonts w:ascii="Calibri" w:hAnsi="Calibri" w:eastAsia="Calibri" w:cs="Calibri"/>
                <w:b/>
                <w:color w:val="000000"/>
                <w:sz w:val="18"/>
                <w:szCs w:val="18"/>
              </w:rPr>
            </w:pPr>
            <w:r w:rsidRPr="00291DA0">
              <w:rPr>
                <w:rFonts w:ascii="Calibri" w:hAnsi="Calibri" w:eastAsia="Calibri" w:cs="Calibri"/>
                <w:b/>
                <w:color w:val="000000"/>
                <w:sz w:val="18"/>
                <w:szCs w:val="18"/>
              </w:rPr>
              <w:t> </w:t>
            </w:r>
            <w:r w:rsidRPr="00291DA0" w:rsidR="0042251A">
              <w:rPr>
                <w:rFonts w:ascii="Calibri" w:hAnsi="Calibri" w:eastAsia="Calibri" w:cs="Calibri"/>
                <w:b/>
                <w:color w:val="000000"/>
                <w:sz w:val="18"/>
                <w:szCs w:val="18"/>
              </w:rPr>
              <w:t>2,047*</w:t>
            </w:r>
          </w:p>
        </w:tc>
        <w:tc>
          <w:tcPr>
            <w:tcW w:w="720" w:type="dxa"/>
            <w:tcBorders>
              <w:top w:val="single" w:color="000000" w:sz="18" w:space="0"/>
              <w:left w:val="nil"/>
              <w:bottom w:val="nil"/>
              <w:right w:val="dashed" w:color="000000" w:sz="8" w:space="0"/>
            </w:tcBorders>
            <w:shd w:val="clear" w:color="auto" w:fill="BDD6EE"/>
            <w:vAlign w:val="center"/>
          </w:tcPr>
          <w:p w:rsidRPr="00291DA0" w:rsidR="00BD2A55" w:rsidRDefault="00333FBA" w14:paraId="5073FDEE" w14:textId="5E3CD784">
            <w:pPr>
              <w:widowControl/>
              <w:jc w:val="center"/>
              <w:rPr>
                <w:rFonts w:ascii="Calibri" w:hAnsi="Calibri" w:eastAsia="Calibri" w:cs="Calibri"/>
                <w:b/>
                <w:color w:val="000000"/>
                <w:sz w:val="18"/>
                <w:szCs w:val="18"/>
              </w:rPr>
            </w:pPr>
            <w:r w:rsidRPr="00291DA0">
              <w:rPr>
                <w:rFonts w:ascii="Calibri" w:hAnsi="Calibri" w:eastAsia="Calibri" w:cs="Calibri"/>
                <w:b/>
                <w:color w:val="000000"/>
                <w:sz w:val="18"/>
                <w:szCs w:val="18"/>
              </w:rPr>
              <w:t> </w:t>
            </w:r>
            <w:r w:rsidR="00ED6CB6">
              <w:rPr>
                <w:rFonts w:ascii="Calibri" w:hAnsi="Calibri" w:eastAsia="Calibri" w:cs="Calibri"/>
                <w:b/>
                <w:color w:val="000000"/>
                <w:sz w:val="18"/>
                <w:szCs w:val="18"/>
              </w:rPr>
              <w:t>1,909</w:t>
            </w:r>
          </w:p>
        </w:tc>
        <w:tc>
          <w:tcPr>
            <w:tcW w:w="720" w:type="dxa"/>
            <w:tcBorders>
              <w:top w:val="single" w:color="000000" w:sz="18" w:space="0"/>
              <w:left w:val="nil"/>
              <w:bottom w:val="nil"/>
              <w:right w:val="single" w:color="000000" w:sz="8" w:space="0"/>
            </w:tcBorders>
            <w:shd w:val="clear" w:color="auto" w:fill="BDD6EE"/>
            <w:vAlign w:val="center"/>
          </w:tcPr>
          <w:p w:rsidRPr="00291DA0" w:rsidR="00BD2A55" w:rsidRDefault="00333FBA" w14:paraId="0CE16C1B" w14:textId="0ACE0971">
            <w:pPr>
              <w:widowControl/>
              <w:jc w:val="center"/>
              <w:rPr>
                <w:rFonts w:ascii="Calibri" w:hAnsi="Calibri" w:eastAsia="Calibri" w:cs="Calibri"/>
                <w:b/>
                <w:color w:val="000000"/>
                <w:sz w:val="18"/>
                <w:szCs w:val="18"/>
              </w:rPr>
            </w:pPr>
            <w:r w:rsidRPr="00291DA0">
              <w:rPr>
                <w:rFonts w:ascii="Calibri" w:hAnsi="Calibri" w:eastAsia="Calibri" w:cs="Calibri"/>
                <w:b/>
                <w:color w:val="000000"/>
                <w:sz w:val="18"/>
                <w:szCs w:val="18"/>
              </w:rPr>
              <w:t> </w:t>
            </w:r>
            <w:r w:rsidRPr="00291DA0" w:rsidR="0042251A">
              <w:rPr>
                <w:rFonts w:ascii="Calibri" w:hAnsi="Calibri" w:eastAsia="Calibri" w:cs="Calibri"/>
                <w:b/>
                <w:color w:val="000000"/>
                <w:sz w:val="18"/>
                <w:szCs w:val="18"/>
              </w:rPr>
              <w:t>2,171</w:t>
            </w:r>
          </w:p>
        </w:tc>
        <w:tc>
          <w:tcPr>
            <w:tcW w:w="630" w:type="dxa"/>
            <w:tcBorders>
              <w:top w:val="single" w:color="000000" w:sz="18" w:space="0"/>
              <w:left w:val="nil"/>
              <w:bottom w:val="nil"/>
              <w:right w:val="dashed" w:color="000000" w:sz="8" w:space="0"/>
            </w:tcBorders>
            <w:shd w:val="clear" w:color="auto" w:fill="BDD6EE"/>
            <w:vAlign w:val="center"/>
          </w:tcPr>
          <w:p w:rsidRPr="00291DA0" w:rsidR="00BD2A55" w:rsidRDefault="00333FBA" w14:paraId="3EFCF6B7" w14:textId="61A544E1">
            <w:pPr>
              <w:widowControl/>
              <w:jc w:val="center"/>
              <w:rPr>
                <w:rFonts w:ascii="Calibri" w:hAnsi="Calibri" w:eastAsia="Calibri" w:cs="Calibri"/>
                <w:b/>
                <w:color w:val="000000"/>
                <w:sz w:val="18"/>
                <w:szCs w:val="18"/>
              </w:rPr>
            </w:pPr>
            <w:r w:rsidRPr="00291DA0">
              <w:rPr>
                <w:rFonts w:ascii="Calibri" w:hAnsi="Calibri" w:eastAsia="Calibri" w:cs="Calibri"/>
                <w:b/>
                <w:color w:val="000000"/>
                <w:sz w:val="18"/>
                <w:szCs w:val="18"/>
              </w:rPr>
              <w:t> </w:t>
            </w:r>
            <w:r w:rsidR="006E7070">
              <w:rPr>
                <w:rFonts w:ascii="Calibri" w:hAnsi="Calibri" w:eastAsia="Calibri" w:cs="Calibri"/>
                <w:b/>
                <w:color w:val="000000"/>
                <w:sz w:val="18"/>
                <w:szCs w:val="18"/>
              </w:rPr>
              <w:t>82</w:t>
            </w:r>
          </w:p>
        </w:tc>
        <w:tc>
          <w:tcPr>
            <w:tcW w:w="810" w:type="dxa"/>
            <w:tcBorders>
              <w:top w:val="single" w:color="000000" w:sz="18" w:space="0"/>
              <w:left w:val="nil"/>
              <w:bottom w:val="nil"/>
              <w:right w:val="single" w:color="000000" w:sz="8" w:space="0"/>
            </w:tcBorders>
            <w:shd w:val="clear" w:color="auto" w:fill="BDD6EE"/>
            <w:vAlign w:val="center"/>
          </w:tcPr>
          <w:p w:rsidRPr="00291DA0" w:rsidR="00BD2A55" w:rsidP="006E7070" w:rsidRDefault="00333FBA" w14:paraId="09919915" w14:textId="50E5D320">
            <w:pPr>
              <w:widowControl/>
              <w:jc w:val="center"/>
              <w:rPr>
                <w:rFonts w:ascii="Calibri" w:hAnsi="Calibri" w:eastAsia="Calibri" w:cs="Calibri"/>
                <w:b/>
                <w:color w:val="000000"/>
                <w:sz w:val="18"/>
                <w:szCs w:val="18"/>
              </w:rPr>
            </w:pPr>
            <w:r w:rsidRPr="00291DA0">
              <w:rPr>
                <w:rFonts w:ascii="Calibri" w:hAnsi="Calibri" w:eastAsia="Calibri" w:cs="Calibri"/>
                <w:b/>
                <w:color w:val="000000"/>
                <w:sz w:val="18"/>
                <w:szCs w:val="18"/>
              </w:rPr>
              <w:t> </w:t>
            </w:r>
            <w:r w:rsidRPr="00291DA0" w:rsidR="0042251A">
              <w:rPr>
                <w:rFonts w:ascii="Calibri" w:hAnsi="Calibri" w:eastAsia="Calibri" w:cs="Calibri"/>
                <w:b/>
                <w:color w:val="000000"/>
                <w:sz w:val="18"/>
                <w:szCs w:val="18"/>
              </w:rPr>
              <w:t xml:space="preserve">97 </w:t>
            </w:r>
          </w:p>
        </w:tc>
        <w:tc>
          <w:tcPr>
            <w:tcW w:w="3214" w:type="dxa"/>
            <w:tcBorders>
              <w:top w:val="single" w:color="000000" w:sz="18" w:space="0"/>
              <w:left w:val="nil"/>
              <w:bottom w:val="nil"/>
              <w:right w:val="single" w:color="000000" w:sz="8" w:space="0"/>
            </w:tcBorders>
            <w:shd w:val="clear" w:color="auto" w:fill="000000"/>
            <w:vAlign w:val="center"/>
          </w:tcPr>
          <w:p w:rsidRPr="00291DA0" w:rsidR="00BD2A55" w:rsidRDefault="00333FBA" w14:paraId="31AA82DC" w14:textId="77777777">
            <w:pPr>
              <w:widowControl/>
              <w:jc w:val="center"/>
              <w:rPr>
                <w:rFonts w:ascii="Calibri" w:hAnsi="Calibri" w:eastAsia="Calibri" w:cs="Calibri"/>
                <w:b/>
                <w:color w:val="000000"/>
                <w:sz w:val="18"/>
                <w:szCs w:val="18"/>
              </w:rPr>
            </w:pPr>
            <w:r w:rsidRPr="00291DA0">
              <w:rPr>
                <w:rFonts w:ascii="Calibri" w:hAnsi="Calibri" w:eastAsia="Calibri" w:cs="Calibri"/>
                <w:b/>
                <w:color w:val="000000"/>
                <w:sz w:val="18"/>
                <w:szCs w:val="18"/>
              </w:rPr>
              <w:t> </w:t>
            </w:r>
          </w:p>
        </w:tc>
      </w:tr>
      <w:tr w:rsidRPr="00291DA0" w:rsidR="00BD2A55" w:rsidTr="00CA270E" w14:paraId="2A9D550F" w14:textId="77777777">
        <w:trPr>
          <w:trHeight w:val="535"/>
          <w:jc w:val="center"/>
        </w:trPr>
        <w:tc>
          <w:tcPr>
            <w:tcW w:w="2150" w:type="dxa"/>
            <w:tcBorders>
              <w:top w:val="single" w:color="000000" w:sz="8" w:space="0"/>
              <w:left w:val="single" w:color="000000" w:sz="8" w:space="0"/>
              <w:bottom w:val="single" w:color="000000" w:sz="8" w:space="0"/>
              <w:right w:val="nil"/>
            </w:tcBorders>
            <w:shd w:val="clear" w:color="auto" w:fill="FCE4D6"/>
            <w:vAlign w:val="center"/>
          </w:tcPr>
          <w:p w:rsidRPr="00291DA0" w:rsidR="00BD2A55" w:rsidRDefault="00333FBA" w14:paraId="274482CA" w14:textId="77777777">
            <w:pPr>
              <w:widowControl/>
              <w:jc w:val="center"/>
              <w:rPr>
                <w:rFonts w:ascii="Calibri" w:hAnsi="Calibri" w:eastAsia="Calibri" w:cs="Calibri"/>
                <w:b/>
                <w:color w:val="000000"/>
                <w:sz w:val="18"/>
                <w:szCs w:val="18"/>
              </w:rPr>
            </w:pPr>
            <w:r w:rsidRPr="00291DA0">
              <w:rPr>
                <w:rFonts w:ascii="Calibri" w:hAnsi="Calibri" w:eastAsia="Calibri" w:cs="Calibri"/>
                <w:b/>
                <w:color w:val="000000"/>
                <w:sz w:val="18"/>
                <w:szCs w:val="18"/>
              </w:rPr>
              <w:t>Difference</w:t>
            </w:r>
          </w:p>
        </w:tc>
        <w:tc>
          <w:tcPr>
            <w:tcW w:w="1440"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Pr="00291DA0" w:rsidR="00BD2A55" w:rsidRDefault="00333FBA" w14:paraId="0A5A4272" w14:textId="63085A56">
            <w:pPr>
              <w:widowControl/>
              <w:jc w:val="center"/>
              <w:rPr>
                <w:rFonts w:ascii="Calibri" w:hAnsi="Calibri" w:eastAsia="Calibri" w:cs="Calibri"/>
                <w:color w:val="000000"/>
                <w:sz w:val="18"/>
                <w:szCs w:val="18"/>
              </w:rPr>
            </w:pPr>
            <w:r w:rsidRPr="00291DA0">
              <w:rPr>
                <w:rFonts w:ascii="Calibri" w:hAnsi="Calibri" w:eastAsia="Calibri" w:cs="Calibri"/>
                <w:color w:val="000000"/>
                <w:sz w:val="18"/>
                <w:szCs w:val="18"/>
              </w:rPr>
              <w:t> </w:t>
            </w:r>
            <w:r w:rsidR="006607FF">
              <w:rPr>
                <w:rFonts w:ascii="Calibri" w:hAnsi="Calibri" w:eastAsia="Calibri" w:cs="Calibri"/>
                <w:color w:val="000000"/>
                <w:sz w:val="18"/>
                <w:szCs w:val="18"/>
              </w:rPr>
              <w:t>- 325</w:t>
            </w:r>
          </w:p>
        </w:tc>
        <w:tc>
          <w:tcPr>
            <w:tcW w:w="1440" w:type="dxa"/>
            <w:gridSpan w:val="2"/>
            <w:tcBorders>
              <w:top w:val="single" w:color="000000" w:sz="8" w:space="0"/>
              <w:left w:val="nil"/>
              <w:bottom w:val="single" w:color="000000" w:sz="8" w:space="0"/>
              <w:right w:val="single" w:color="000000" w:sz="8" w:space="0"/>
            </w:tcBorders>
            <w:shd w:val="clear" w:color="auto" w:fill="FCE4D6"/>
            <w:vAlign w:val="center"/>
          </w:tcPr>
          <w:p w:rsidRPr="00291DA0" w:rsidR="00BD2A55" w:rsidRDefault="00333FBA" w14:paraId="43B3D8B2" w14:textId="2D10DDA3">
            <w:pPr>
              <w:widowControl/>
              <w:jc w:val="center"/>
              <w:rPr>
                <w:rFonts w:ascii="Calibri" w:hAnsi="Calibri" w:eastAsia="Calibri" w:cs="Calibri"/>
                <w:color w:val="000000"/>
                <w:sz w:val="18"/>
                <w:szCs w:val="18"/>
              </w:rPr>
            </w:pPr>
            <w:r w:rsidRPr="00291DA0">
              <w:rPr>
                <w:rFonts w:ascii="Calibri" w:hAnsi="Calibri" w:eastAsia="Calibri" w:cs="Calibri"/>
                <w:color w:val="000000"/>
                <w:sz w:val="18"/>
                <w:szCs w:val="18"/>
              </w:rPr>
              <w:t> </w:t>
            </w:r>
            <w:r w:rsidR="006E7070">
              <w:rPr>
                <w:rFonts w:ascii="Calibri" w:hAnsi="Calibri" w:eastAsia="Calibri" w:cs="Calibri"/>
                <w:color w:val="000000"/>
                <w:sz w:val="18"/>
                <w:szCs w:val="18"/>
              </w:rPr>
              <w:t>- 262</w:t>
            </w:r>
          </w:p>
        </w:tc>
        <w:tc>
          <w:tcPr>
            <w:tcW w:w="1440" w:type="dxa"/>
            <w:gridSpan w:val="2"/>
            <w:tcBorders>
              <w:top w:val="single" w:color="000000" w:sz="8" w:space="0"/>
              <w:left w:val="nil"/>
              <w:bottom w:val="single" w:color="000000" w:sz="8" w:space="0"/>
              <w:right w:val="single" w:color="000000" w:sz="4" w:space="0"/>
            </w:tcBorders>
            <w:shd w:val="clear" w:color="auto" w:fill="FCE4D6"/>
            <w:vAlign w:val="center"/>
          </w:tcPr>
          <w:p w:rsidRPr="00291DA0" w:rsidR="00BD2A55" w:rsidRDefault="00333FBA" w14:paraId="658CF0DD" w14:textId="21D782EC">
            <w:pPr>
              <w:widowControl/>
              <w:jc w:val="center"/>
              <w:rPr>
                <w:rFonts w:ascii="Calibri" w:hAnsi="Calibri" w:eastAsia="Calibri" w:cs="Calibri"/>
                <w:color w:val="000000"/>
                <w:sz w:val="18"/>
                <w:szCs w:val="18"/>
              </w:rPr>
            </w:pPr>
            <w:r w:rsidRPr="00291DA0">
              <w:rPr>
                <w:rFonts w:ascii="Calibri" w:hAnsi="Calibri" w:eastAsia="Calibri" w:cs="Calibri"/>
                <w:color w:val="000000"/>
                <w:sz w:val="18"/>
                <w:szCs w:val="18"/>
              </w:rPr>
              <w:t> </w:t>
            </w:r>
            <w:r w:rsidR="006E7070">
              <w:rPr>
                <w:rFonts w:ascii="Calibri" w:hAnsi="Calibri" w:eastAsia="Calibri" w:cs="Calibri"/>
                <w:color w:val="000000"/>
                <w:sz w:val="18"/>
                <w:szCs w:val="18"/>
              </w:rPr>
              <w:t>- 15</w:t>
            </w:r>
          </w:p>
        </w:tc>
        <w:tc>
          <w:tcPr>
            <w:tcW w:w="3214" w:type="dxa"/>
            <w:tcBorders>
              <w:top w:val="single" w:color="000000" w:sz="8" w:space="0"/>
              <w:left w:val="nil"/>
              <w:bottom w:val="single" w:color="000000" w:sz="8" w:space="0"/>
              <w:right w:val="single" w:color="000000" w:sz="8" w:space="0"/>
            </w:tcBorders>
            <w:shd w:val="clear" w:color="auto" w:fill="000000"/>
            <w:vAlign w:val="bottom"/>
          </w:tcPr>
          <w:p w:rsidRPr="00291DA0" w:rsidR="00BD2A55" w:rsidRDefault="00333FBA" w14:paraId="6B014412" w14:textId="77777777">
            <w:pPr>
              <w:widowControl/>
              <w:rPr>
                <w:rFonts w:ascii="Calibri" w:hAnsi="Calibri" w:eastAsia="Calibri" w:cs="Calibri"/>
                <w:color w:val="000000"/>
                <w:sz w:val="18"/>
                <w:szCs w:val="18"/>
              </w:rPr>
            </w:pPr>
            <w:r w:rsidRPr="00291DA0">
              <w:rPr>
                <w:rFonts w:ascii="Calibri" w:hAnsi="Calibri" w:eastAsia="Calibri" w:cs="Calibri"/>
                <w:color w:val="000000"/>
                <w:sz w:val="18"/>
                <w:szCs w:val="18"/>
              </w:rPr>
              <w:t> </w:t>
            </w:r>
          </w:p>
        </w:tc>
      </w:tr>
    </w:tbl>
    <w:p w:rsidR="00BD2A55" w:rsidP="0042251A" w:rsidRDefault="0042251A" w14:paraId="351FBFBB" w14:textId="4085B4A1">
      <w:pPr>
        <w:pBdr>
          <w:top w:val="nil"/>
          <w:left w:val="nil"/>
          <w:bottom w:val="nil"/>
          <w:right w:val="nil"/>
          <w:between w:val="nil"/>
        </w:pBdr>
        <w:spacing w:before="120"/>
        <w:rPr>
          <w:rFonts w:asciiTheme="minorHAnsi" w:hAnsiTheme="minorHAnsi" w:cstheme="minorHAnsi"/>
          <w:color w:val="000000"/>
          <w:sz w:val="20"/>
          <w:szCs w:val="20"/>
        </w:rPr>
      </w:pPr>
      <w:r w:rsidRPr="0042251A">
        <w:rPr>
          <w:rFonts w:asciiTheme="minorHAnsi" w:hAnsiTheme="minorHAnsi" w:cstheme="minorHAnsi"/>
          <w:color w:val="000000"/>
          <w:sz w:val="20"/>
          <w:szCs w:val="20"/>
        </w:rPr>
        <w:t>*Unique respondents</w:t>
      </w:r>
    </w:p>
    <w:p w:rsidRPr="0042251A" w:rsidR="00F40188" w:rsidP="0042251A" w:rsidRDefault="00F40188" w14:paraId="646F581B" w14:textId="77777777">
      <w:pPr>
        <w:pBdr>
          <w:top w:val="nil"/>
          <w:left w:val="nil"/>
          <w:bottom w:val="nil"/>
          <w:right w:val="nil"/>
          <w:between w:val="nil"/>
        </w:pBdr>
        <w:spacing w:before="120"/>
        <w:rPr>
          <w:rFonts w:asciiTheme="minorHAnsi" w:hAnsiTheme="minorHAnsi" w:cstheme="minorHAnsi"/>
          <w:color w:val="000000"/>
          <w:sz w:val="20"/>
          <w:szCs w:val="20"/>
        </w:rPr>
      </w:pPr>
    </w:p>
    <w:p w:rsidR="00BD2A55" w:rsidRDefault="00BD2A55" w14:paraId="1E0B2780" w14:textId="77777777">
      <w:pPr>
        <w:pBdr>
          <w:top w:val="nil"/>
          <w:left w:val="nil"/>
          <w:bottom w:val="nil"/>
          <w:right w:val="nil"/>
          <w:between w:val="nil"/>
        </w:pBdr>
        <w:spacing w:before="7"/>
        <w:rPr>
          <w:b/>
          <w:color w:val="000000"/>
        </w:rPr>
      </w:pPr>
    </w:p>
    <w:p w:rsidR="00BD2A55" w:rsidRDefault="00BD2A55" w14:paraId="2CF726AD" w14:textId="77777777">
      <w:pPr>
        <w:pBdr>
          <w:top w:val="nil"/>
          <w:left w:val="nil"/>
          <w:bottom w:val="nil"/>
          <w:right w:val="nil"/>
          <w:between w:val="nil"/>
        </w:pBdr>
        <w:spacing w:before="7"/>
        <w:rPr>
          <w:b/>
          <w:color w:val="000000"/>
        </w:rPr>
      </w:pPr>
    </w:p>
    <w:tbl>
      <w:tblPr>
        <w:tblStyle w:val="a4"/>
        <w:tblW w:w="10076" w:type="dxa"/>
        <w:jc w:val="center"/>
        <w:tblLayout w:type="fixed"/>
        <w:tblLook w:val="0400" w:firstRow="0" w:lastRow="0" w:firstColumn="0" w:lastColumn="0" w:noHBand="0" w:noVBand="1"/>
      </w:tblPr>
      <w:tblGrid>
        <w:gridCol w:w="2607"/>
        <w:gridCol w:w="764"/>
        <w:gridCol w:w="766"/>
        <w:gridCol w:w="764"/>
        <w:gridCol w:w="829"/>
        <w:gridCol w:w="4346"/>
      </w:tblGrid>
      <w:tr w:rsidRPr="00291DA0" w:rsidR="00291DA0" w:rsidTr="004B5496" w14:paraId="388A355C" w14:textId="77777777">
        <w:trPr>
          <w:trHeight w:val="320"/>
          <w:jc w:val="center"/>
        </w:trPr>
        <w:tc>
          <w:tcPr>
            <w:tcW w:w="2607"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Pr="00291DA0" w:rsidR="00BD2A55" w:rsidRDefault="00333FBA" w14:paraId="20939823" w14:textId="77777777">
            <w:pPr>
              <w:widowControl/>
              <w:jc w:val="center"/>
              <w:rPr>
                <w:rFonts w:ascii="Calibri" w:hAnsi="Calibri" w:eastAsia="Calibri" w:cs="Calibri"/>
                <w:b/>
                <w:color w:val="000000"/>
                <w:sz w:val="18"/>
                <w:szCs w:val="18"/>
              </w:rPr>
            </w:pPr>
            <w:r w:rsidRPr="00291DA0">
              <w:rPr>
                <w:rFonts w:ascii="Calibri" w:hAnsi="Calibri" w:eastAsia="Calibri" w:cs="Calibri"/>
                <w:b/>
                <w:color w:val="000000"/>
                <w:sz w:val="18"/>
                <w:szCs w:val="18"/>
              </w:rPr>
              <w:t>Information Collection</w:t>
            </w:r>
          </w:p>
        </w:tc>
        <w:tc>
          <w:tcPr>
            <w:tcW w:w="1530" w:type="dxa"/>
            <w:gridSpan w:val="2"/>
            <w:tcBorders>
              <w:top w:val="single" w:color="000000" w:sz="8" w:space="0"/>
              <w:left w:val="nil"/>
              <w:bottom w:val="single" w:color="000000" w:sz="8" w:space="0"/>
              <w:right w:val="single" w:color="000000" w:sz="8" w:space="0"/>
            </w:tcBorders>
            <w:shd w:val="clear" w:color="auto" w:fill="5B9BD5"/>
            <w:vAlign w:val="center"/>
          </w:tcPr>
          <w:p w:rsidRPr="00291DA0" w:rsidR="00BD2A55" w:rsidRDefault="00333FBA" w14:paraId="59402FA9" w14:textId="77777777">
            <w:pPr>
              <w:widowControl/>
              <w:jc w:val="center"/>
              <w:rPr>
                <w:rFonts w:ascii="Calibri" w:hAnsi="Calibri" w:eastAsia="Calibri" w:cs="Calibri"/>
                <w:b/>
                <w:color w:val="000000"/>
                <w:sz w:val="18"/>
                <w:szCs w:val="18"/>
              </w:rPr>
            </w:pPr>
            <w:r w:rsidRPr="00291DA0">
              <w:rPr>
                <w:rFonts w:ascii="Calibri" w:hAnsi="Calibri" w:eastAsia="Calibri" w:cs="Calibri"/>
                <w:b/>
                <w:color w:val="000000"/>
                <w:sz w:val="18"/>
                <w:szCs w:val="18"/>
              </w:rPr>
              <w:t>Labor Costs</w:t>
            </w:r>
          </w:p>
        </w:tc>
        <w:tc>
          <w:tcPr>
            <w:tcW w:w="1593" w:type="dxa"/>
            <w:gridSpan w:val="2"/>
            <w:tcBorders>
              <w:top w:val="single" w:color="000000" w:sz="8" w:space="0"/>
              <w:left w:val="nil"/>
              <w:bottom w:val="single" w:color="000000" w:sz="8" w:space="0"/>
              <w:right w:val="single" w:color="000000" w:sz="8" w:space="0"/>
            </w:tcBorders>
            <w:shd w:val="clear" w:color="auto" w:fill="5B9BD5"/>
            <w:vAlign w:val="center"/>
          </w:tcPr>
          <w:p w:rsidRPr="00291DA0" w:rsidR="00BD2A55" w:rsidRDefault="00333FBA" w14:paraId="0E714209" w14:textId="77777777">
            <w:pPr>
              <w:widowControl/>
              <w:jc w:val="center"/>
              <w:rPr>
                <w:rFonts w:ascii="Calibri" w:hAnsi="Calibri" w:eastAsia="Calibri" w:cs="Calibri"/>
                <w:b/>
                <w:color w:val="000000"/>
                <w:sz w:val="18"/>
                <w:szCs w:val="18"/>
              </w:rPr>
            </w:pPr>
            <w:r w:rsidRPr="00291DA0">
              <w:rPr>
                <w:rFonts w:ascii="Calibri" w:hAnsi="Calibri" w:eastAsia="Calibri" w:cs="Calibri"/>
                <w:b/>
                <w:color w:val="000000"/>
                <w:sz w:val="18"/>
                <w:szCs w:val="18"/>
              </w:rPr>
              <w:t>Miscellaneous Costs</w:t>
            </w:r>
          </w:p>
        </w:tc>
        <w:tc>
          <w:tcPr>
            <w:tcW w:w="4346"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Pr="00291DA0" w:rsidR="00BD2A55" w:rsidRDefault="00333FBA" w14:paraId="29FF0C5E" w14:textId="77777777">
            <w:pPr>
              <w:widowControl/>
              <w:jc w:val="center"/>
              <w:rPr>
                <w:rFonts w:ascii="Calibri" w:hAnsi="Calibri" w:eastAsia="Calibri" w:cs="Calibri"/>
                <w:b/>
                <w:color w:val="000000"/>
                <w:sz w:val="18"/>
                <w:szCs w:val="18"/>
              </w:rPr>
            </w:pPr>
            <w:r w:rsidRPr="00291DA0">
              <w:rPr>
                <w:rFonts w:ascii="Calibri" w:hAnsi="Calibri" w:eastAsia="Calibri" w:cs="Calibri"/>
                <w:b/>
                <w:color w:val="000000"/>
                <w:sz w:val="18"/>
                <w:szCs w:val="18"/>
              </w:rPr>
              <w:t>Reason for change or adjustment</w:t>
            </w:r>
          </w:p>
        </w:tc>
      </w:tr>
      <w:tr w:rsidR="00291DA0" w:rsidTr="004B5496" w14:paraId="21BD7D62" w14:textId="77777777">
        <w:trPr>
          <w:trHeight w:val="706"/>
          <w:jc w:val="center"/>
        </w:trPr>
        <w:tc>
          <w:tcPr>
            <w:tcW w:w="2607"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RDefault="00BD2A55" w14:paraId="292DE1A4"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764" w:type="dxa"/>
            <w:tcBorders>
              <w:top w:val="nil"/>
              <w:left w:val="nil"/>
              <w:bottom w:val="single" w:color="000000" w:sz="8" w:space="0"/>
              <w:right w:val="dashed" w:color="000000" w:sz="8" w:space="0"/>
            </w:tcBorders>
            <w:shd w:val="clear" w:color="auto" w:fill="FBE4D5"/>
            <w:vAlign w:val="center"/>
          </w:tcPr>
          <w:p w:rsidR="00BD2A55" w:rsidRDefault="00333FBA" w14:paraId="6036148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765" w:type="dxa"/>
            <w:tcBorders>
              <w:top w:val="nil"/>
              <w:left w:val="nil"/>
              <w:bottom w:val="single" w:color="000000" w:sz="8" w:space="0"/>
              <w:right w:val="single" w:color="000000" w:sz="8" w:space="0"/>
            </w:tcBorders>
            <w:shd w:val="clear" w:color="auto" w:fill="FBE4D5"/>
            <w:vAlign w:val="center"/>
          </w:tcPr>
          <w:p w:rsidR="00BD2A55" w:rsidRDefault="00333FBA" w14:paraId="15BEC24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764" w:type="dxa"/>
            <w:tcBorders>
              <w:top w:val="nil"/>
              <w:left w:val="nil"/>
              <w:bottom w:val="single" w:color="000000" w:sz="8" w:space="0"/>
              <w:right w:val="dashed" w:color="000000" w:sz="8" w:space="0"/>
            </w:tcBorders>
            <w:shd w:val="clear" w:color="auto" w:fill="FBE4D5"/>
            <w:vAlign w:val="center"/>
          </w:tcPr>
          <w:p w:rsidR="00BD2A55" w:rsidRDefault="00333FBA" w14:paraId="523111D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828" w:type="dxa"/>
            <w:tcBorders>
              <w:top w:val="nil"/>
              <w:left w:val="nil"/>
              <w:bottom w:val="single" w:color="000000" w:sz="8" w:space="0"/>
              <w:right w:val="single" w:color="000000" w:sz="8" w:space="0"/>
            </w:tcBorders>
            <w:shd w:val="clear" w:color="auto" w:fill="FBE4D5"/>
            <w:vAlign w:val="center"/>
          </w:tcPr>
          <w:p w:rsidR="00BD2A55" w:rsidRDefault="00333FBA" w14:paraId="3F852C7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4346"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RDefault="00BD2A55" w14:paraId="7308554E"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Pr="00291DA0" w:rsidR="00291DA0" w:rsidTr="004B5496" w14:paraId="5F53D9D0" w14:textId="77777777">
        <w:trPr>
          <w:trHeight w:val="320"/>
          <w:jc w:val="center"/>
        </w:trPr>
        <w:tc>
          <w:tcPr>
            <w:tcW w:w="2607"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291DA0" w:rsidR="00BA555C" w:rsidP="00BA555C" w:rsidRDefault="00BA555C" w14:paraId="521B0870" w14:textId="69B4F469">
            <w:pPr>
              <w:widowControl/>
              <w:rPr>
                <w:rFonts w:eastAsia="Calibri" w:asciiTheme="minorHAnsi" w:hAnsiTheme="minorHAnsi" w:cstheme="minorHAnsi"/>
                <w:color w:val="000000"/>
                <w:sz w:val="18"/>
                <w:szCs w:val="18"/>
              </w:rPr>
            </w:pPr>
            <w:r w:rsidRPr="00291DA0">
              <w:rPr>
                <w:rFonts w:asciiTheme="minorHAnsi" w:hAnsiTheme="minorHAnsi" w:cstheme="minorHAnsi"/>
                <w:sz w:val="18"/>
                <w:szCs w:val="18"/>
              </w:rPr>
              <w:t>Observer Coverage Fee Payment</w:t>
            </w:r>
          </w:p>
        </w:tc>
        <w:tc>
          <w:tcPr>
            <w:tcW w:w="764" w:type="dxa"/>
            <w:tcBorders>
              <w:top w:val="single" w:color="000000" w:sz="8" w:space="0"/>
              <w:left w:val="nil"/>
              <w:bottom w:val="single" w:color="000000" w:sz="8" w:space="0"/>
              <w:right w:val="dashed" w:color="000000" w:sz="8" w:space="0"/>
            </w:tcBorders>
            <w:shd w:val="clear" w:color="auto" w:fill="auto"/>
            <w:vAlign w:val="center"/>
          </w:tcPr>
          <w:p w:rsidRPr="00291DA0" w:rsidR="00BA555C" w:rsidP="00BA555C" w:rsidRDefault="009D0D6E" w14:paraId="721F832F" w14:textId="42AA0C8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55</w:t>
            </w:r>
          </w:p>
        </w:tc>
        <w:tc>
          <w:tcPr>
            <w:tcW w:w="765" w:type="dxa"/>
            <w:tcBorders>
              <w:top w:val="single" w:color="000000" w:sz="8" w:space="0"/>
              <w:left w:val="nil"/>
              <w:bottom w:val="single" w:color="000000" w:sz="8" w:space="0"/>
              <w:right w:val="single" w:color="000000" w:sz="8" w:space="0"/>
            </w:tcBorders>
            <w:shd w:val="clear" w:color="auto" w:fill="auto"/>
            <w:vAlign w:val="center"/>
          </w:tcPr>
          <w:p w:rsidRPr="00291DA0" w:rsidR="00BA555C" w:rsidP="00BA555C" w:rsidRDefault="004567FF" w14:paraId="3DF886DA" w14:textId="5D81EE06">
            <w:pPr>
              <w:widowControl/>
              <w:jc w:val="center"/>
              <w:rPr>
                <w:rFonts w:eastAsia="Calibri" w:asciiTheme="minorHAnsi" w:hAnsiTheme="minorHAnsi" w:cstheme="minorHAnsi"/>
                <w:color w:val="000000"/>
                <w:sz w:val="18"/>
                <w:szCs w:val="18"/>
              </w:rPr>
            </w:pPr>
            <w:r w:rsidRPr="00291DA0">
              <w:rPr>
                <w:rFonts w:eastAsia="Calibri" w:asciiTheme="minorHAnsi" w:hAnsiTheme="minorHAnsi" w:cstheme="minorHAnsi"/>
                <w:color w:val="000000"/>
                <w:sz w:val="18"/>
                <w:szCs w:val="18"/>
              </w:rPr>
              <w:t>74</w:t>
            </w:r>
          </w:p>
        </w:tc>
        <w:tc>
          <w:tcPr>
            <w:tcW w:w="764" w:type="dxa"/>
            <w:tcBorders>
              <w:top w:val="single" w:color="000000" w:sz="8" w:space="0"/>
              <w:left w:val="nil"/>
              <w:bottom w:val="single" w:color="000000" w:sz="8" w:space="0"/>
              <w:right w:val="dashed" w:color="000000" w:sz="8" w:space="0"/>
            </w:tcBorders>
            <w:shd w:val="clear" w:color="auto" w:fill="auto"/>
            <w:vAlign w:val="center"/>
          </w:tcPr>
          <w:p w:rsidRPr="00291DA0" w:rsidR="00BA555C" w:rsidP="00BA555C" w:rsidRDefault="00070B52" w14:paraId="025A3EE1" w14:textId="3C05559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828" w:type="dxa"/>
            <w:tcBorders>
              <w:top w:val="single" w:color="000000" w:sz="8" w:space="0"/>
              <w:left w:val="nil"/>
              <w:bottom w:val="single" w:color="000000" w:sz="8" w:space="0"/>
              <w:right w:val="single" w:color="000000" w:sz="8" w:space="0"/>
            </w:tcBorders>
            <w:shd w:val="clear" w:color="auto" w:fill="auto"/>
            <w:vAlign w:val="center"/>
          </w:tcPr>
          <w:p w:rsidRPr="00291DA0" w:rsidR="00BA555C" w:rsidP="00BA555C" w:rsidRDefault="004567FF" w14:paraId="5B2ADD82" w14:textId="7E2085E4">
            <w:pPr>
              <w:widowControl/>
              <w:jc w:val="center"/>
              <w:rPr>
                <w:rFonts w:eastAsia="Calibri" w:asciiTheme="minorHAnsi" w:hAnsiTheme="minorHAnsi" w:cstheme="minorHAnsi"/>
                <w:color w:val="000000"/>
                <w:sz w:val="18"/>
                <w:szCs w:val="18"/>
              </w:rPr>
            </w:pPr>
            <w:r w:rsidRPr="00291DA0">
              <w:rPr>
                <w:rFonts w:eastAsia="Calibri" w:asciiTheme="minorHAnsi" w:hAnsiTheme="minorHAnsi" w:cstheme="minorHAnsi"/>
                <w:color w:val="000000"/>
                <w:sz w:val="18"/>
                <w:szCs w:val="18"/>
              </w:rPr>
              <w:t>0</w:t>
            </w:r>
          </w:p>
        </w:tc>
        <w:tc>
          <w:tcPr>
            <w:tcW w:w="4346" w:type="dxa"/>
            <w:tcBorders>
              <w:top w:val="single" w:color="000000" w:sz="8" w:space="0"/>
              <w:left w:val="nil"/>
              <w:bottom w:val="single" w:color="000000" w:sz="8" w:space="0"/>
              <w:right w:val="single" w:color="000000" w:sz="8" w:space="0"/>
            </w:tcBorders>
            <w:shd w:val="clear" w:color="auto" w:fill="auto"/>
            <w:vAlign w:val="center"/>
          </w:tcPr>
          <w:p w:rsidRPr="00291DA0" w:rsidR="00960106" w:rsidP="00BA555C" w:rsidRDefault="00411825" w14:paraId="16809EAC" w14:textId="440EAAAE">
            <w:pPr>
              <w:widowControl/>
              <w:rPr>
                <w:rFonts w:eastAsia="Calibri" w:asciiTheme="minorHAnsi" w:hAnsiTheme="minorHAnsi" w:cstheme="minorHAnsi"/>
                <w:color w:val="000000"/>
                <w:sz w:val="18"/>
                <w:szCs w:val="18"/>
              </w:rPr>
            </w:pPr>
            <w:r w:rsidRPr="00070B52">
              <w:rPr>
                <w:rFonts w:eastAsia="Calibri" w:asciiTheme="minorHAnsi" w:hAnsiTheme="minorHAnsi" w:cstheme="minorHAnsi"/>
                <w:color w:val="000000"/>
                <w:sz w:val="18"/>
                <w:szCs w:val="18"/>
              </w:rPr>
              <w:t>Labor costs: Is now based on BLS hourly wage rate</w:t>
            </w:r>
          </w:p>
        </w:tc>
      </w:tr>
      <w:tr w:rsidRPr="00291DA0" w:rsidR="009D0D6E" w:rsidTr="004B5496" w14:paraId="6B1D6E0B" w14:textId="00C82B3D">
        <w:trPr>
          <w:trHeight w:val="320"/>
          <w:jc w:val="center"/>
        </w:trPr>
        <w:tc>
          <w:tcPr>
            <w:tcW w:w="2607"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291DA0" w:rsidR="009D0D6E" w:rsidP="009D0D6E" w:rsidRDefault="009D0D6E" w14:paraId="0B5643D0" w14:textId="60235FB1">
            <w:pPr>
              <w:widowControl/>
              <w:rPr>
                <w:rFonts w:eastAsia="Calibri" w:asciiTheme="minorHAnsi" w:hAnsiTheme="minorHAnsi" w:cstheme="minorHAnsi"/>
                <w:color w:val="000000"/>
                <w:sz w:val="18"/>
                <w:szCs w:val="18"/>
              </w:rPr>
            </w:pPr>
            <w:r w:rsidRPr="00291DA0">
              <w:rPr>
                <w:rFonts w:asciiTheme="minorHAnsi" w:hAnsiTheme="minorHAnsi" w:cstheme="minorHAnsi"/>
                <w:sz w:val="18"/>
                <w:szCs w:val="18"/>
              </w:rPr>
              <w:t>Cost Recovery Fee Payments</w:t>
            </w:r>
          </w:p>
        </w:tc>
        <w:tc>
          <w:tcPr>
            <w:tcW w:w="764" w:type="dxa"/>
            <w:tcBorders>
              <w:top w:val="single" w:color="000000" w:sz="8" w:space="0"/>
              <w:left w:val="nil"/>
              <w:bottom w:val="single" w:color="000000" w:sz="8" w:space="0"/>
              <w:right w:val="dashed" w:color="000000" w:sz="8" w:space="0"/>
            </w:tcBorders>
            <w:shd w:val="clear" w:color="auto" w:fill="auto"/>
            <w:vAlign w:val="center"/>
          </w:tcPr>
          <w:p w:rsidRPr="009D0D6E" w:rsidR="009D0D6E" w:rsidP="009D0D6E" w:rsidRDefault="009D0D6E" w14:paraId="0774458D" w14:textId="08E20AD8">
            <w:pPr>
              <w:widowControl/>
              <w:jc w:val="center"/>
              <w:rPr>
                <w:rFonts w:eastAsia="Calibri" w:asciiTheme="minorHAnsi" w:hAnsiTheme="minorHAnsi" w:cstheme="minorHAnsi"/>
                <w:color w:val="000000"/>
                <w:sz w:val="18"/>
                <w:szCs w:val="18"/>
              </w:rPr>
            </w:pPr>
            <w:r w:rsidRPr="009D0D6E">
              <w:rPr>
                <w:rFonts w:asciiTheme="minorHAnsi" w:hAnsiTheme="minorHAnsi" w:cstheme="minorHAnsi"/>
                <w:sz w:val="18"/>
                <w:szCs w:val="18"/>
              </w:rPr>
              <w:t>1,074</w:t>
            </w:r>
          </w:p>
        </w:tc>
        <w:tc>
          <w:tcPr>
            <w:tcW w:w="765" w:type="dxa"/>
            <w:tcBorders>
              <w:top w:val="single" w:color="000000" w:sz="8" w:space="0"/>
              <w:left w:val="nil"/>
              <w:bottom w:val="single" w:color="000000" w:sz="8" w:space="0"/>
              <w:right w:val="single" w:color="000000" w:sz="8" w:space="0"/>
            </w:tcBorders>
            <w:shd w:val="clear" w:color="auto" w:fill="auto"/>
            <w:vAlign w:val="center"/>
          </w:tcPr>
          <w:p w:rsidRPr="00291DA0" w:rsidR="009D0D6E" w:rsidP="009D0D6E" w:rsidRDefault="009D0D6E" w14:paraId="129CF48A" w14:textId="00027173">
            <w:pPr>
              <w:widowControl/>
              <w:jc w:val="center"/>
              <w:rPr>
                <w:rFonts w:eastAsia="Calibri" w:asciiTheme="minorHAnsi" w:hAnsiTheme="minorHAnsi" w:cstheme="minorHAnsi"/>
                <w:color w:val="000000"/>
                <w:sz w:val="18"/>
                <w:szCs w:val="18"/>
              </w:rPr>
            </w:pPr>
            <w:r w:rsidRPr="00291DA0">
              <w:rPr>
                <w:rFonts w:eastAsia="Calibri" w:asciiTheme="minorHAnsi" w:hAnsiTheme="minorHAnsi" w:cstheme="minorHAnsi"/>
                <w:color w:val="000000"/>
                <w:sz w:val="18"/>
                <w:szCs w:val="18"/>
              </w:rPr>
              <w:t>3,145</w:t>
            </w:r>
          </w:p>
        </w:tc>
        <w:tc>
          <w:tcPr>
            <w:tcW w:w="764" w:type="dxa"/>
            <w:tcBorders>
              <w:top w:val="single" w:color="000000" w:sz="8" w:space="0"/>
              <w:left w:val="nil"/>
              <w:bottom w:val="single" w:color="000000" w:sz="8" w:space="0"/>
              <w:right w:val="dashed" w:color="000000" w:sz="8" w:space="0"/>
            </w:tcBorders>
            <w:shd w:val="clear" w:color="auto" w:fill="auto"/>
            <w:vAlign w:val="center"/>
          </w:tcPr>
          <w:p w:rsidRPr="00291DA0" w:rsidR="009D0D6E" w:rsidP="009D0D6E" w:rsidRDefault="00070B52" w14:paraId="2A5DFC18" w14:textId="2681990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828" w:type="dxa"/>
            <w:tcBorders>
              <w:top w:val="single" w:color="000000" w:sz="8" w:space="0"/>
              <w:left w:val="nil"/>
              <w:bottom w:val="single" w:color="000000" w:sz="8" w:space="0"/>
              <w:right w:val="single" w:color="000000" w:sz="8" w:space="0"/>
            </w:tcBorders>
            <w:shd w:val="clear" w:color="auto" w:fill="auto"/>
            <w:vAlign w:val="center"/>
          </w:tcPr>
          <w:p w:rsidRPr="00291DA0" w:rsidR="009D0D6E" w:rsidP="009D0D6E" w:rsidRDefault="009D0D6E" w14:paraId="729CF3C4" w14:textId="797AB288">
            <w:pPr>
              <w:widowControl/>
              <w:jc w:val="center"/>
              <w:rPr>
                <w:rFonts w:eastAsia="Calibri" w:asciiTheme="minorHAnsi" w:hAnsiTheme="minorHAnsi" w:cstheme="minorHAnsi"/>
                <w:color w:val="000000"/>
                <w:sz w:val="18"/>
                <w:szCs w:val="18"/>
              </w:rPr>
            </w:pPr>
            <w:r w:rsidRPr="00291DA0">
              <w:rPr>
                <w:rFonts w:eastAsia="Calibri" w:asciiTheme="minorHAnsi" w:hAnsiTheme="minorHAnsi" w:cstheme="minorHAnsi"/>
                <w:color w:val="000000"/>
                <w:sz w:val="18"/>
                <w:szCs w:val="18"/>
              </w:rPr>
              <w:t>11</w:t>
            </w:r>
          </w:p>
        </w:tc>
        <w:tc>
          <w:tcPr>
            <w:tcW w:w="4346" w:type="dxa"/>
            <w:tcBorders>
              <w:top w:val="single" w:color="000000" w:sz="8" w:space="0"/>
              <w:left w:val="nil"/>
              <w:bottom w:val="single" w:color="000000" w:sz="8" w:space="0"/>
              <w:right w:val="single" w:color="000000" w:sz="8" w:space="0"/>
            </w:tcBorders>
            <w:shd w:val="clear" w:color="auto" w:fill="auto"/>
            <w:vAlign w:val="center"/>
          </w:tcPr>
          <w:p w:rsidR="00070B52" w:rsidP="00070B52" w:rsidRDefault="009D0D6E" w14:paraId="767F23C3" w14:textId="017BC61C">
            <w:pPr>
              <w:widowControl/>
              <w:rPr>
                <w:rFonts w:asciiTheme="minorHAnsi" w:hAnsiTheme="minorHAnsi" w:cstheme="minorHAnsi"/>
                <w:sz w:val="18"/>
                <w:szCs w:val="18"/>
              </w:rPr>
            </w:pPr>
            <w:r w:rsidRPr="00291DA0">
              <w:rPr>
                <w:rFonts w:eastAsia="Calibri" w:asciiTheme="minorHAnsi" w:hAnsiTheme="minorHAnsi" w:cstheme="minorHAnsi"/>
                <w:color w:val="000000"/>
                <w:sz w:val="18"/>
                <w:szCs w:val="18"/>
              </w:rPr>
              <w:t>Labor costs:</w:t>
            </w:r>
            <w:r w:rsidRPr="00291DA0">
              <w:rPr>
                <w:rFonts w:asciiTheme="minorHAnsi" w:hAnsiTheme="minorHAnsi" w:cstheme="minorHAnsi"/>
                <w:sz w:val="18"/>
                <w:szCs w:val="18"/>
              </w:rPr>
              <w:t xml:space="preserve"> </w:t>
            </w:r>
            <w:r w:rsidR="00070B52">
              <w:rPr>
                <w:rFonts w:asciiTheme="minorHAnsi" w:hAnsiTheme="minorHAnsi" w:cstheme="minorHAnsi"/>
                <w:sz w:val="18"/>
                <w:szCs w:val="18"/>
              </w:rPr>
              <w:t xml:space="preserve">The wage rates </w:t>
            </w:r>
            <w:proofErr w:type="gramStart"/>
            <w:r w:rsidR="00070B52">
              <w:rPr>
                <w:rFonts w:asciiTheme="minorHAnsi" w:hAnsiTheme="minorHAnsi" w:cstheme="minorHAnsi"/>
                <w:sz w:val="18"/>
                <w:szCs w:val="18"/>
              </w:rPr>
              <w:t>were adjusted</w:t>
            </w:r>
            <w:proofErr w:type="gramEnd"/>
            <w:r w:rsidR="00070B52">
              <w:rPr>
                <w:rFonts w:asciiTheme="minorHAnsi" w:hAnsiTheme="minorHAnsi" w:cstheme="minorHAnsi"/>
                <w:sz w:val="18"/>
                <w:szCs w:val="18"/>
              </w:rPr>
              <w:t xml:space="preserve"> to match rates used in other NMFS AKR OMB control numbers for the same respondents. The previous labor cost total included the fee forms, which </w:t>
            </w:r>
            <w:proofErr w:type="gramStart"/>
            <w:r w:rsidR="00070B52">
              <w:rPr>
                <w:rFonts w:asciiTheme="minorHAnsi" w:hAnsiTheme="minorHAnsi" w:cstheme="minorHAnsi"/>
                <w:sz w:val="18"/>
                <w:szCs w:val="18"/>
              </w:rPr>
              <w:t>have been separated</w:t>
            </w:r>
            <w:proofErr w:type="gramEnd"/>
            <w:r w:rsidR="00070B52">
              <w:rPr>
                <w:rFonts w:asciiTheme="minorHAnsi" w:hAnsiTheme="minorHAnsi" w:cstheme="minorHAnsi"/>
                <w:sz w:val="18"/>
                <w:szCs w:val="18"/>
              </w:rPr>
              <w:t xml:space="preserve"> from cost recovery fee payments.  </w:t>
            </w:r>
          </w:p>
          <w:p w:rsidRPr="00291DA0" w:rsidR="009D0D6E" w:rsidP="00070B52" w:rsidRDefault="009D0D6E" w14:paraId="0A40983F" w14:textId="4CDC8C52">
            <w:pPr>
              <w:widowControl/>
              <w:rPr>
                <w:rFonts w:eastAsia="Calibri" w:asciiTheme="minorHAnsi" w:hAnsiTheme="minorHAnsi" w:cstheme="minorHAnsi"/>
                <w:color w:val="000000"/>
                <w:sz w:val="18"/>
                <w:szCs w:val="18"/>
              </w:rPr>
            </w:pPr>
            <w:r w:rsidRPr="00291DA0">
              <w:rPr>
                <w:rFonts w:asciiTheme="minorHAnsi" w:hAnsiTheme="minorHAnsi" w:cstheme="minorHAnsi"/>
                <w:sz w:val="18"/>
                <w:szCs w:val="18"/>
              </w:rPr>
              <w:t xml:space="preserve">Misc. costs: </w:t>
            </w:r>
            <w:r w:rsidR="00070B52">
              <w:rPr>
                <w:rFonts w:asciiTheme="minorHAnsi" w:hAnsiTheme="minorHAnsi" w:cstheme="minorHAnsi"/>
                <w:sz w:val="18"/>
                <w:szCs w:val="18"/>
              </w:rPr>
              <w:t xml:space="preserve">The previous cost total included the two fee forms, which </w:t>
            </w:r>
            <w:proofErr w:type="gramStart"/>
            <w:r w:rsidR="00070B52">
              <w:rPr>
                <w:rFonts w:asciiTheme="minorHAnsi" w:hAnsiTheme="minorHAnsi" w:cstheme="minorHAnsi"/>
                <w:sz w:val="18"/>
                <w:szCs w:val="18"/>
              </w:rPr>
              <w:t>have been separated</w:t>
            </w:r>
            <w:proofErr w:type="gramEnd"/>
            <w:r w:rsidR="00070B52">
              <w:rPr>
                <w:rFonts w:asciiTheme="minorHAnsi" w:hAnsiTheme="minorHAnsi" w:cstheme="minorHAnsi"/>
                <w:sz w:val="18"/>
                <w:szCs w:val="18"/>
              </w:rPr>
              <w:t xml:space="preserve"> from cost recovery fee payments.</w:t>
            </w:r>
          </w:p>
        </w:tc>
      </w:tr>
      <w:tr w:rsidRPr="00291DA0" w:rsidR="0097724A" w:rsidTr="004B5496" w14:paraId="089A35D5" w14:textId="77777777">
        <w:trPr>
          <w:trHeight w:val="320"/>
          <w:jc w:val="center"/>
        </w:trPr>
        <w:tc>
          <w:tcPr>
            <w:tcW w:w="2607" w:type="dxa"/>
            <w:tcBorders>
              <w:top w:val="single" w:color="000000" w:sz="8" w:space="0"/>
              <w:left w:val="single" w:color="000000" w:sz="8" w:space="0"/>
              <w:bottom w:val="single" w:color="000000" w:sz="8" w:space="0"/>
              <w:right w:val="single" w:color="000000" w:sz="8" w:space="0"/>
            </w:tcBorders>
            <w:shd w:val="clear" w:color="auto" w:fill="auto"/>
          </w:tcPr>
          <w:p w:rsidRPr="00411825" w:rsidR="0097724A" w:rsidP="0097724A" w:rsidRDefault="0097724A" w14:paraId="1FFDBCA5" w14:textId="1F14F5C4">
            <w:pPr>
              <w:widowControl/>
              <w:rPr>
                <w:rFonts w:asciiTheme="minorHAnsi" w:hAnsiTheme="minorHAnsi" w:cstheme="minorHAnsi"/>
                <w:sz w:val="18"/>
                <w:szCs w:val="18"/>
              </w:rPr>
            </w:pPr>
            <w:r w:rsidRPr="00411825">
              <w:rPr>
                <w:rFonts w:asciiTheme="minorHAnsi" w:hAnsiTheme="minorHAnsi" w:cstheme="minorHAnsi"/>
                <w:sz w:val="18"/>
                <w:szCs w:val="18"/>
              </w:rPr>
              <w:t>IFQ Permit Holder Fee Calculation Form</w:t>
            </w:r>
          </w:p>
        </w:tc>
        <w:tc>
          <w:tcPr>
            <w:tcW w:w="764" w:type="dxa"/>
            <w:tcBorders>
              <w:top w:val="single" w:color="000000" w:sz="8" w:space="0"/>
              <w:left w:val="nil"/>
              <w:bottom w:val="single" w:color="000000" w:sz="8" w:space="0"/>
              <w:right w:val="dashed" w:color="000000" w:sz="8" w:space="0"/>
            </w:tcBorders>
            <w:shd w:val="clear" w:color="auto" w:fill="auto"/>
            <w:vAlign w:val="center"/>
          </w:tcPr>
          <w:p w:rsidRPr="009D0D6E" w:rsidR="0097724A" w:rsidP="0097724A" w:rsidRDefault="0097724A" w14:paraId="643AD73D" w14:textId="281FC434">
            <w:pPr>
              <w:widowControl/>
              <w:jc w:val="center"/>
              <w:rPr>
                <w:rFonts w:eastAsia="Calibri" w:asciiTheme="minorHAnsi" w:hAnsiTheme="minorHAnsi" w:cstheme="minorHAnsi"/>
                <w:color w:val="000000"/>
                <w:sz w:val="18"/>
                <w:szCs w:val="18"/>
              </w:rPr>
            </w:pPr>
            <w:r w:rsidRPr="009D0D6E">
              <w:rPr>
                <w:rFonts w:asciiTheme="minorHAnsi" w:hAnsiTheme="minorHAnsi" w:cstheme="minorHAnsi"/>
                <w:sz w:val="18"/>
                <w:szCs w:val="18"/>
              </w:rPr>
              <w:t>905</w:t>
            </w:r>
          </w:p>
        </w:tc>
        <w:tc>
          <w:tcPr>
            <w:tcW w:w="765" w:type="dxa"/>
            <w:tcBorders>
              <w:top w:val="single" w:color="000000" w:sz="8" w:space="0"/>
              <w:left w:val="nil"/>
              <w:bottom w:val="single" w:color="000000" w:sz="8" w:space="0"/>
              <w:right w:val="single" w:color="000000" w:sz="8" w:space="0"/>
            </w:tcBorders>
            <w:shd w:val="clear" w:color="auto" w:fill="auto"/>
            <w:vAlign w:val="center"/>
          </w:tcPr>
          <w:p w:rsidRPr="00D539DB" w:rsidR="0097724A" w:rsidP="0097724A" w:rsidRDefault="0097724A" w14:paraId="40601C12" w14:textId="525AAB41">
            <w:pPr>
              <w:widowControl/>
              <w:jc w:val="center"/>
              <w:rPr>
                <w:rFonts w:eastAsia="Calibri" w:asciiTheme="minorHAnsi" w:hAnsiTheme="minorHAnsi" w:cstheme="minorHAnsi"/>
                <w:color w:val="000000"/>
                <w:sz w:val="18"/>
                <w:szCs w:val="18"/>
              </w:rPr>
            </w:pPr>
            <w:r w:rsidRPr="00D539DB">
              <w:rPr>
                <w:rFonts w:eastAsia="Calibri" w:asciiTheme="minorHAnsi" w:hAnsiTheme="minorHAnsi" w:cstheme="minorHAnsi"/>
                <w:color w:val="000000"/>
                <w:sz w:val="18"/>
                <w:szCs w:val="18"/>
              </w:rPr>
              <w:t>–</w:t>
            </w:r>
          </w:p>
        </w:tc>
        <w:tc>
          <w:tcPr>
            <w:tcW w:w="764" w:type="dxa"/>
            <w:tcBorders>
              <w:top w:val="single" w:color="000000" w:sz="8" w:space="0"/>
              <w:left w:val="nil"/>
              <w:bottom w:val="single" w:color="000000" w:sz="8" w:space="0"/>
              <w:right w:val="dashed" w:color="000000" w:sz="8" w:space="0"/>
            </w:tcBorders>
            <w:shd w:val="clear" w:color="auto" w:fill="auto"/>
            <w:vAlign w:val="center"/>
          </w:tcPr>
          <w:p w:rsidRPr="00D539DB" w:rsidR="0097724A" w:rsidP="0097724A" w:rsidRDefault="0097724A" w14:paraId="4221C15F" w14:textId="1C0C6D1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330</w:t>
            </w:r>
          </w:p>
        </w:tc>
        <w:tc>
          <w:tcPr>
            <w:tcW w:w="828" w:type="dxa"/>
            <w:tcBorders>
              <w:top w:val="single" w:color="000000" w:sz="8" w:space="0"/>
              <w:left w:val="nil"/>
              <w:bottom w:val="single" w:color="000000" w:sz="8" w:space="0"/>
              <w:right w:val="single" w:color="000000" w:sz="8" w:space="0"/>
            </w:tcBorders>
            <w:shd w:val="clear" w:color="auto" w:fill="auto"/>
            <w:vAlign w:val="center"/>
          </w:tcPr>
          <w:p w:rsidRPr="00D539DB" w:rsidR="0097724A" w:rsidP="0097724A" w:rsidRDefault="0097724A" w14:paraId="24042365" w14:textId="210597B0">
            <w:pPr>
              <w:widowControl/>
              <w:jc w:val="center"/>
              <w:rPr>
                <w:rFonts w:eastAsia="Calibri" w:asciiTheme="minorHAnsi" w:hAnsiTheme="minorHAnsi" w:cstheme="minorHAnsi"/>
                <w:color w:val="000000"/>
                <w:sz w:val="18"/>
                <w:szCs w:val="18"/>
              </w:rPr>
            </w:pPr>
            <w:r w:rsidRPr="00D539DB">
              <w:rPr>
                <w:rFonts w:eastAsia="Calibri" w:asciiTheme="minorHAnsi" w:hAnsiTheme="minorHAnsi" w:cstheme="minorHAnsi"/>
                <w:color w:val="000000"/>
                <w:sz w:val="18"/>
                <w:szCs w:val="18"/>
              </w:rPr>
              <w:t>–</w:t>
            </w:r>
          </w:p>
        </w:tc>
        <w:tc>
          <w:tcPr>
            <w:tcW w:w="4346" w:type="dxa"/>
            <w:tcBorders>
              <w:top w:val="single" w:color="000000" w:sz="8" w:space="0"/>
              <w:left w:val="nil"/>
              <w:bottom w:val="single" w:color="000000" w:sz="8" w:space="0"/>
              <w:right w:val="single" w:color="000000" w:sz="8" w:space="0"/>
            </w:tcBorders>
            <w:shd w:val="clear" w:color="auto" w:fill="auto"/>
            <w:vAlign w:val="center"/>
          </w:tcPr>
          <w:p w:rsidR="0097724A" w:rsidP="0097724A" w:rsidRDefault="0097724A" w14:paraId="49B7BEEC" w14:textId="77777777">
            <w:pPr>
              <w:widowControl/>
              <w:rPr>
                <w:rFonts w:eastAsia="Calibri" w:asciiTheme="minorHAnsi" w:hAnsiTheme="minorHAnsi" w:cstheme="minorHAnsi"/>
                <w:color w:val="000000"/>
                <w:sz w:val="18"/>
                <w:szCs w:val="18"/>
              </w:rPr>
            </w:pPr>
            <w:r w:rsidRPr="00070B52">
              <w:rPr>
                <w:rFonts w:eastAsia="Calibri" w:asciiTheme="minorHAnsi" w:hAnsiTheme="minorHAnsi" w:cstheme="minorHAnsi"/>
                <w:color w:val="000000"/>
                <w:sz w:val="18"/>
                <w:szCs w:val="18"/>
              </w:rPr>
              <w:t xml:space="preserve">Labor costs: </w:t>
            </w:r>
            <w:proofErr w:type="gramStart"/>
            <w:r w:rsidRPr="00070B52">
              <w:rPr>
                <w:rFonts w:eastAsia="Calibri" w:asciiTheme="minorHAnsi" w:hAnsiTheme="minorHAnsi" w:cstheme="minorHAnsi"/>
                <w:color w:val="000000"/>
                <w:sz w:val="18"/>
                <w:szCs w:val="18"/>
              </w:rPr>
              <w:t>Is now based</w:t>
            </w:r>
            <w:proofErr w:type="gramEnd"/>
            <w:r w:rsidRPr="00070B52">
              <w:rPr>
                <w:rFonts w:eastAsia="Calibri" w:asciiTheme="minorHAnsi" w:hAnsiTheme="minorHAnsi" w:cstheme="minorHAnsi"/>
                <w:color w:val="000000"/>
                <w:sz w:val="18"/>
                <w:szCs w:val="18"/>
              </w:rPr>
              <w:t xml:space="preserve"> on BLS hourly wage rate</w:t>
            </w:r>
            <w:r>
              <w:rPr>
                <w:rFonts w:eastAsia="Calibri" w:asciiTheme="minorHAnsi" w:hAnsiTheme="minorHAnsi" w:cstheme="minorHAnsi"/>
                <w:color w:val="000000"/>
                <w:sz w:val="18"/>
                <w:szCs w:val="18"/>
              </w:rPr>
              <w:t xml:space="preserve">. Previously was included in </w:t>
            </w:r>
            <w:proofErr w:type="gramStart"/>
            <w:r>
              <w:rPr>
                <w:rFonts w:eastAsia="Calibri" w:asciiTheme="minorHAnsi" w:hAnsiTheme="minorHAnsi" w:cstheme="minorHAnsi"/>
                <w:color w:val="000000"/>
                <w:sz w:val="18"/>
                <w:szCs w:val="18"/>
              </w:rPr>
              <w:t>cost recovery fee payment total</w:t>
            </w:r>
            <w:proofErr w:type="gramEnd"/>
            <w:r>
              <w:rPr>
                <w:rFonts w:eastAsia="Calibri" w:asciiTheme="minorHAnsi" w:hAnsiTheme="minorHAnsi" w:cstheme="minorHAnsi"/>
                <w:color w:val="000000"/>
                <w:sz w:val="18"/>
                <w:szCs w:val="18"/>
              </w:rPr>
              <w:t>.</w:t>
            </w:r>
          </w:p>
          <w:p w:rsidRPr="00291DA0" w:rsidR="0097724A" w:rsidP="0097724A" w:rsidRDefault="0097724A" w14:paraId="4DCE90EA" w14:textId="212C7B86">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 xml:space="preserve">Misc. Costs: </w:t>
            </w:r>
            <w:r w:rsidRPr="00F35507" w:rsidR="00F35507">
              <w:rPr>
                <w:rFonts w:eastAsia="Calibri" w:asciiTheme="minorHAnsi" w:hAnsiTheme="minorHAnsi" w:cstheme="minorHAnsi"/>
                <w:color w:val="000000"/>
                <w:sz w:val="18"/>
                <w:szCs w:val="18"/>
              </w:rPr>
              <w:t>Adjusted amount to account for typical inclusive general office services packages.</w:t>
            </w:r>
            <w:r w:rsidR="00F35507">
              <w:rPr>
                <w:rFonts w:eastAsia="Calibri" w:asciiTheme="minorHAnsi" w:hAnsiTheme="minorHAnsi" w:cstheme="minorHAnsi"/>
                <w:color w:val="000000"/>
                <w:sz w:val="18"/>
                <w:szCs w:val="18"/>
              </w:rPr>
              <w:t xml:space="preserve"> Previously was included </w:t>
            </w:r>
            <w:r w:rsidRPr="00F35507" w:rsidR="00F35507">
              <w:rPr>
                <w:rFonts w:eastAsia="Calibri" w:asciiTheme="minorHAnsi" w:hAnsiTheme="minorHAnsi" w:cstheme="minorHAnsi"/>
                <w:color w:val="000000"/>
                <w:sz w:val="18"/>
                <w:szCs w:val="18"/>
              </w:rPr>
              <w:t xml:space="preserve">in </w:t>
            </w:r>
            <w:proofErr w:type="gramStart"/>
            <w:r w:rsidRPr="00F35507" w:rsidR="00F35507">
              <w:rPr>
                <w:rFonts w:eastAsia="Calibri" w:asciiTheme="minorHAnsi" w:hAnsiTheme="minorHAnsi" w:cstheme="minorHAnsi"/>
                <w:color w:val="000000"/>
                <w:sz w:val="18"/>
                <w:szCs w:val="18"/>
              </w:rPr>
              <w:t>cost recovery fee payment total</w:t>
            </w:r>
            <w:proofErr w:type="gramEnd"/>
            <w:r w:rsidRPr="00F35507" w:rsidR="00F35507">
              <w:rPr>
                <w:rFonts w:eastAsia="Calibri" w:asciiTheme="minorHAnsi" w:hAnsiTheme="minorHAnsi" w:cstheme="minorHAnsi"/>
                <w:color w:val="000000"/>
                <w:sz w:val="18"/>
                <w:szCs w:val="18"/>
              </w:rPr>
              <w:t>.</w:t>
            </w:r>
          </w:p>
        </w:tc>
      </w:tr>
      <w:tr w:rsidRPr="00291DA0" w:rsidR="0097724A" w:rsidTr="004B5496" w14:paraId="1384C3D9" w14:textId="77777777">
        <w:trPr>
          <w:trHeight w:val="320"/>
          <w:jc w:val="center"/>
        </w:trPr>
        <w:tc>
          <w:tcPr>
            <w:tcW w:w="2607" w:type="dxa"/>
            <w:tcBorders>
              <w:top w:val="single" w:color="000000" w:sz="8" w:space="0"/>
              <w:left w:val="single" w:color="000000" w:sz="8" w:space="0"/>
              <w:bottom w:val="single" w:color="000000" w:sz="8" w:space="0"/>
              <w:right w:val="single" w:color="000000" w:sz="8" w:space="0"/>
            </w:tcBorders>
            <w:shd w:val="clear" w:color="auto" w:fill="auto"/>
          </w:tcPr>
          <w:p w:rsidRPr="00411825" w:rsidR="0097724A" w:rsidP="0097724A" w:rsidRDefault="0097724A" w14:paraId="745C7289" w14:textId="022510B0">
            <w:pPr>
              <w:widowControl/>
              <w:rPr>
                <w:rFonts w:asciiTheme="minorHAnsi" w:hAnsiTheme="minorHAnsi" w:cstheme="minorHAnsi"/>
                <w:sz w:val="18"/>
                <w:szCs w:val="18"/>
              </w:rPr>
            </w:pPr>
            <w:r w:rsidRPr="00411825">
              <w:rPr>
                <w:rFonts w:asciiTheme="minorHAnsi" w:hAnsiTheme="minorHAnsi" w:cstheme="minorHAnsi"/>
                <w:sz w:val="18"/>
                <w:szCs w:val="18"/>
              </w:rPr>
              <w:t>Registered Crab Receiver Fee Calculation Form</w:t>
            </w:r>
          </w:p>
        </w:tc>
        <w:tc>
          <w:tcPr>
            <w:tcW w:w="764" w:type="dxa"/>
            <w:tcBorders>
              <w:top w:val="single" w:color="000000" w:sz="8" w:space="0"/>
              <w:left w:val="nil"/>
              <w:bottom w:val="single" w:color="000000" w:sz="8" w:space="0"/>
              <w:right w:val="dashed" w:color="000000" w:sz="8" w:space="0"/>
            </w:tcBorders>
            <w:shd w:val="clear" w:color="auto" w:fill="auto"/>
            <w:vAlign w:val="center"/>
          </w:tcPr>
          <w:p w:rsidRPr="009D0D6E" w:rsidR="0097724A" w:rsidP="0097724A" w:rsidRDefault="0097724A" w14:paraId="19A2DECB" w14:textId="7F37ADBC">
            <w:pPr>
              <w:widowControl/>
              <w:jc w:val="center"/>
              <w:rPr>
                <w:rFonts w:eastAsia="Calibri" w:asciiTheme="minorHAnsi" w:hAnsiTheme="minorHAnsi" w:cstheme="minorHAnsi"/>
                <w:color w:val="000000"/>
                <w:sz w:val="18"/>
                <w:szCs w:val="18"/>
              </w:rPr>
            </w:pPr>
            <w:r w:rsidRPr="009D0D6E">
              <w:rPr>
                <w:rFonts w:asciiTheme="minorHAnsi" w:hAnsiTheme="minorHAnsi" w:cstheme="minorHAnsi"/>
                <w:sz w:val="18"/>
                <w:szCs w:val="18"/>
              </w:rPr>
              <w:t>110</w:t>
            </w:r>
          </w:p>
        </w:tc>
        <w:tc>
          <w:tcPr>
            <w:tcW w:w="765" w:type="dxa"/>
            <w:tcBorders>
              <w:top w:val="single" w:color="000000" w:sz="8" w:space="0"/>
              <w:left w:val="nil"/>
              <w:bottom w:val="single" w:color="000000" w:sz="8" w:space="0"/>
              <w:right w:val="single" w:color="000000" w:sz="8" w:space="0"/>
            </w:tcBorders>
            <w:shd w:val="clear" w:color="auto" w:fill="auto"/>
            <w:vAlign w:val="center"/>
          </w:tcPr>
          <w:p w:rsidRPr="00D539DB" w:rsidR="0097724A" w:rsidP="0097724A" w:rsidRDefault="0097724A" w14:paraId="1849D050" w14:textId="7204F2CD">
            <w:pPr>
              <w:widowControl/>
              <w:jc w:val="center"/>
              <w:rPr>
                <w:rFonts w:eastAsia="Calibri" w:asciiTheme="minorHAnsi" w:hAnsiTheme="minorHAnsi" w:cstheme="minorHAnsi"/>
                <w:color w:val="000000"/>
                <w:sz w:val="18"/>
                <w:szCs w:val="18"/>
              </w:rPr>
            </w:pPr>
            <w:r w:rsidRPr="00D539DB">
              <w:rPr>
                <w:rFonts w:eastAsia="Calibri" w:asciiTheme="minorHAnsi" w:hAnsiTheme="minorHAnsi" w:cstheme="minorHAnsi"/>
                <w:color w:val="000000"/>
                <w:sz w:val="18"/>
                <w:szCs w:val="18"/>
              </w:rPr>
              <w:t>–</w:t>
            </w:r>
          </w:p>
        </w:tc>
        <w:tc>
          <w:tcPr>
            <w:tcW w:w="764" w:type="dxa"/>
            <w:tcBorders>
              <w:top w:val="single" w:color="000000" w:sz="8" w:space="0"/>
              <w:left w:val="nil"/>
              <w:bottom w:val="single" w:color="000000" w:sz="8" w:space="0"/>
              <w:right w:val="dashed" w:color="000000" w:sz="8" w:space="0"/>
            </w:tcBorders>
            <w:shd w:val="clear" w:color="auto" w:fill="auto"/>
            <w:vAlign w:val="center"/>
          </w:tcPr>
          <w:p w:rsidRPr="00D539DB" w:rsidR="0097724A" w:rsidP="0097724A" w:rsidRDefault="0097724A" w14:paraId="62C95A3D" w14:textId="7509D18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35</w:t>
            </w:r>
          </w:p>
        </w:tc>
        <w:tc>
          <w:tcPr>
            <w:tcW w:w="828" w:type="dxa"/>
            <w:tcBorders>
              <w:top w:val="single" w:color="000000" w:sz="8" w:space="0"/>
              <w:left w:val="nil"/>
              <w:bottom w:val="single" w:color="000000" w:sz="8" w:space="0"/>
              <w:right w:val="single" w:color="000000" w:sz="8" w:space="0"/>
            </w:tcBorders>
            <w:shd w:val="clear" w:color="auto" w:fill="auto"/>
            <w:vAlign w:val="center"/>
          </w:tcPr>
          <w:p w:rsidRPr="00D539DB" w:rsidR="0097724A" w:rsidP="0097724A" w:rsidRDefault="0097724A" w14:paraId="6197B372" w14:textId="2E08EACE">
            <w:pPr>
              <w:widowControl/>
              <w:jc w:val="center"/>
              <w:rPr>
                <w:rFonts w:eastAsia="Calibri" w:asciiTheme="minorHAnsi" w:hAnsiTheme="minorHAnsi" w:cstheme="minorHAnsi"/>
                <w:color w:val="000000"/>
                <w:sz w:val="18"/>
                <w:szCs w:val="18"/>
              </w:rPr>
            </w:pPr>
            <w:r w:rsidRPr="00D539DB">
              <w:rPr>
                <w:rFonts w:eastAsia="Calibri" w:asciiTheme="minorHAnsi" w:hAnsiTheme="minorHAnsi" w:cstheme="minorHAnsi"/>
                <w:color w:val="000000"/>
                <w:sz w:val="18"/>
                <w:szCs w:val="18"/>
              </w:rPr>
              <w:t>–</w:t>
            </w:r>
          </w:p>
        </w:tc>
        <w:tc>
          <w:tcPr>
            <w:tcW w:w="4346" w:type="dxa"/>
            <w:tcBorders>
              <w:top w:val="single" w:color="000000" w:sz="8" w:space="0"/>
              <w:left w:val="nil"/>
              <w:bottom w:val="single" w:color="000000" w:sz="8" w:space="0"/>
              <w:right w:val="single" w:color="000000" w:sz="8" w:space="0"/>
            </w:tcBorders>
            <w:shd w:val="clear" w:color="auto" w:fill="auto"/>
            <w:vAlign w:val="center"/>
          </w:tcPr>
          <w:p w:rsidR="0097724A" w:rsidP="0097724A" w:rsidRDefault="0097724A" w14:paraId="6B9B1E5E" w14:textId="4FC3CCED">
            <w:pPr>
              <w:widowControl/>
              <w:rPr>
                <w:rFonts w:eastAsia="Calibri" w:asciiTheme="minorHAnsi" w:hAnsiTheme="minorHAnsi" w:cstheme="minorHAnsi"/>
                <w:color w:val="000000"/>
                <w:sz w:val="18"/>
                <w:szCs w:val="18"/>
              </w:rPr>
            </w:pPr>
            <w:r w:rsidRPr="0097724A">
              <w:rPr>
                <w:rFonts w:eastAsia="Calibri" w:asciiTheme="minorHAnsi" w:hAnsiTheme="minorHAnsi" w:cstheme="minorHAnsi"/>
                <w:color w:val="000000"/>
                <w:sz w:val="18"/>
                <w:szCs w:val="18"/>
              </w:rPr>
              <w:t xml:space="preserve">Labor costs: </w:t>
            </w:r>
            <w:proofErr w:type="gramStart"/>
            <w:r w:rsidRPr="0097724A">
              <w:rPr>
                <w:rFonts w:eastAsia="Calibri" w:asciiTheme="minorHAnsi" w:hAnsiTheme="minorHAnsi" w:cstheme="minorHAnsi"/>
                <w:color w:val="000000"/>
                <w:sz w:val="18"/>
                <w:szCs w:val="18"/>
              </w:rPr>
              <w:t>Is now based</w:t>
            </w:r>
            <w:proofErr w:type="gramEnd"/>
            <w:r w:rsidRPr="0097724A">
              <w:rPr>
                <w:rFonts w:eastAsia="Calibri" w:asciiTheme="minorHAnsi" w:hAnsiTheme="minorHAnsi" w:cstheme="minorHAnsi"/>
                <w:color w:val="000000"/>
                <w:sz w:val="18"/>
                <w:szCs w:val="18"/>
              </w:rPr>
              <w:t xml:space="preserve"> on BLS hourly wage rate</w:t>
            </w:r>
            <w:r>
              <w:rPr>
                <w:rFonts w:eastAsia="Calibri" w:asciiTheme="minorHAnsi" w:hAnsiTheme="minorHAnsi" w:cstheme="minorHAnsi"/>
                <w:color w:val="000000"/>
                <w:sz w:val="18"/>
                <w:szCs w:val="18"/>
              </w:rPr>
              <w:t>.</w:t>
            </w:r>
            <w:r>
              <w:t xml:space="preserve"> </w:t>
            </w:r>
            <w:r w:rsidRPr="0097724A">
              <w:rPr>
                <w:rFonts w:eastAsia="Calibri" w:asciiTheme="minorHAnsi" w:hAnsiTheme="minorHAnsi" w:cstheme="minorHAnsi"/>
                <w:color w:val="000000"/>
                <w:sz w:val="18"/>
                <w:szCs w:val="18"/>
              </w:rPr>
              <w:t xml:space="preserve">Previously was included in </w:t>
            </w:r>
            <w:proofErr w:type="gramStart"/>
            <w:r w:rsidRPr="0097724A">
              <w:rPr>
                <w:rFonts w:eastAsia="Calibri" w:asciiTheme="minorHAnsi" w:hAnsiTheme="minorHAnsi" w:cstheme="minorHAnsi"/>
                <w:color w:val="000000"/>
                <w:sz w:val="18"/>
                <w:szCs w:val="18"/>
              </w:rPr>
              <w:t>cost recovery fee payment total</w:t>
            </w:r>
            <w:proofErr w:type="gramEnd"/>
            <w:r w:rsidRPr="0097724A">
              <w:rPr>
                <w:rFonts w:eastAsia="Calibri" w:asciiTheme="minorHAnsi" w:hAnsiTheme="minorHAnsi" w:cstheme="minorHAnsi"/>
                <w:color w:val="000000"/>
                <w:sz w:val="18"/>
                <w:szCs w:val="18"/>
              </w:rPr>
              <w:t>.</w:t>
            </w:r>
          </w:p>
          <w:p w:rsidRPr="00291DA0" w:rsidR="0097724A" w:rsidP="0097724A" w:rsidRDefault="00F35507" w14:paraId="13CBFBBA" w14:textId="0D18B986">
            <w:pPr>
              <w:widowControl/>
              <w:rPr>
                <w:rFonts w:eastAsia="Calibri" w:asciiTheme="minorHAnsi" w:hAnsiTheme="minorHAnsi" w:cstheme="minorHAnsi"/>
                <w:color w:val="000000"/>
                <w:sz w:val="18"/>
                <w:szCs w:val="18"/>
              </w:rPr>
            </w:pPr>
            <w:r w:rsidRPr="00F35507">
              <w:rPr>
                <w:rFonts w:eastAsia="Calibri" w:asciiTheme="minorHAnsi" w:hAnsiTheme="minorHAnsi" w:cstheme="minorHAnsi"/>
                <w:color w:val="000000"/>
                <w:sz w:val="18"/>
                <w:szCs w:val="18"/>
              </w:rPr>
              <w:t xml:space="preserve">Misc. Costs: Adjusted amount to account for typical inclusive general office services packages. Previously was included in </w:t>
            </w:r>
            <w:proofErr w:type="gramStart"/>
            <w:r w:rsidRPr="00F35507">
              <w:rPr>
                <w:rFonts w:eastAsia="Calibri" w:asciiTheme="minorHAnsi" w:hAnsiTheme="minorHAnsi" w:cstheme="minorHAnsi"/>
                <w:color w:val="000000"/>
                <w:sz w:val="18"/>
                <w:szCs w:val="18"/>
              </w:rPr>
              <w:t>cost recovery fee payment total</w:t>
            </w:r>
            <w:proofErr w:type="gramEnd"/>
            <w:r w:rsidRPr="00F35507">
              <w:rPr>
                <w:rFonts w:eastAsia="Calibri" w:asciiTheme="minorHAnsi" w:hAnsiTheme="minorHAnsi" w:cstheme="minorHAnsi"/>
                <w:color w:val="000000"/>
                <w:sz w:val="18"/>
                <w:szCs w:val="18"/>
              </w:rPr>
              <w:t>.</w:t>
            </w:r>
          </w:p>
        </w:tc>
      </w:tr>
      <w:tr w:rsidRPr="00291DA0" w:rsidR="0097724A" w:rsidTr="004B5496" w14:paraId="3E68CEB5" w14:textId="3F2C1F0F">
        <w:trPr>
          <w:trHeight w:val="320"/>
          <w:jc w:val="center"/>
        </w:trPr>
        <w:tc>
          <w:tcPr>
            <w:tcW w:w="2607"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291DA0" w:rsidR="0097724A" w:rsidP="0097724A" w:rsidRDefault="0097724A" w14:paraId="63138EEF" w14:textId="55AAE4DB">
            <w:pPr>
              <w:widowControl/>
              <w:rPr>
                <w:rFonts w:eastAsia="Calibri" w:asciiTheme="minorHAnsi" w:hAnsiTheme="minorHAnsi" w:cstheme="minorHAnsi"/>
                <w:color w:val="000000"/>
                <w:sz w:val="18"/>
                <w:szCs w:val="18"/>
              </w:rPr>
            </w:pPr>
            <w:r w:rsidRPr="00291DA0">
              <w:rPr>
                <w:rFonts w:asciiTheme="minorHAnsi" w:hAnsiTheme="minorHAnsi" w:cstheme="minorHAnsi"/>
                <w:sz w:val="18"/>
                <w:szCs w:val="18"/>
              </w:rPr>
              <w:t>Volume and Value Reports</w:t>
            </w:r>
          </w:p>
        </w:tc>
        <w:tc>
          <w:tcPr>
            <w:tcW w:w="764" w:type="dxa"/>
            <w:tcBorders>
              <w:top w:val="single" w:color="000000" w:sz="8" w:space="0"/>
              <w:left w:val="nil"/>
              <w:bottom w:val="single" w:color="000000" w:sz="8" w:space="0"/>
              <w:right w:val="dashed" w:color="000000" w:sz="8" w:space="0"/>
            </w:tcBorders>
            <w:shd w:val="clear" w:color="auto" w:fill="auto"/>
            <w:vAlign w:val="center"/>
          </w:tcPr>
          <w:p w:rsidRPr="00291DA0" w:rsidR="0097724A" w:rsidP="0097724A" w:rsidRDefault="0097724A" w14:paraId="005F593E" w14:textId="1871991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322</w:t>
            </w:r>
          </w:p>
        </w:tc>
        <w:tc>
          <w:tcPr>
            <w:tcW w:w="765" w:type="dxa"/>
            <w:tcBorders>
              <w:top w:val="single" w:color="000000" w:sz="8" w:space="0"/>
              <w:left w:val="nil"/>
              <w:bottom w:val="single" w:color="000000" w:sz="8" w:space="0"/>
              <w:right w:val="single" w:color="000000" w:sz="8" w:space="0"/>
            </w:tcBorders>
            <w:shd w:val="clear" w:color="auto" w:fill="auto"/>
            <w:vAlign w:val="center"/>
          </w:tcPr>
          <w:p w:rsidRPr="00291DA0" w:rsidR="0097724A" w:rsidP="0097724A" w:rsidRDefault="0097724A" w14:paraId="64EF6102" w14:textId="2D554FBB">
            <w:pPr>
              <w:widowControl/>
              <w:jc w:val="center"/>
              <w:rPr>
                <w:rFonts w:eastAsia="Calibri" w:asciiTheme="minorHAnsi" w:hAnsiTheme="minorHAnsi" w:cstheme="minorHAnsi"/>
                <w:color w:val="000000"/>
                <w:sz w:val="18"/>
                <w:szCs w:val="18"/>
              </w:rPr>
            </w:pPr>
            <w:r w:rsidRPr="00291DA0">
              <w:rPr>
                <w:rFonts w:eastAsia="Calibri" w:asciiTheme="minorHAnsi" w:hAnsiTheme="minorHAnsi" w:cstheme="minorHAnsi"/>
                <w:color w:val="000000"/>
                <w:sz w:val="18"/>
                <w:szCs w:val="18"/>
              </w:rPr>
              <w:t>222</w:t>
            </w:r>
          </w:p>
        </w:tc>
        <w:tc>
          <w:tcPr>
            <w:tcW w:w="764" w:type="dxa"/>
            <w:tcBorders>
              <w:top w:val="single" w:color="000000" w:sz="8" w:space="0"/>
              <w:left w:val="nil"/>
              <w:bottom w:val="single" w:color="000000" w:sz="8" w:space="0"/>
              <w:right w:val="dashed" w:color="000000" w:sz="8" w:space="0"/>
            </w:tcBorders>
            <w:shd w:val="clear" w:color="auto" w:fill="auto"/>
            <w:vAlign w:val="center"/>
          </w:tcPr>
          <w:p w:rsidRPr="00291DA0" w:rsidR="0097724A" w:rsidP="0097724A" w:rsidRDefault="0048121D" w14:paraId="4E69807D" w14:textId="69A44F8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25</w:t>
            </w:r>
          </w:p>
        </w:tc>
        <w:tc>
          <w:tcPr>
            <w:tcW w:w="828" w:type="dxa"/>
            <w:tcBorders>
              <w:top w:val="single" w:color="000000" w:sz="8" w:space="0"/>
              <w:left w:val="nil"/>
              <w:bottom w:val="single" w:color="000000" w:sz="8" w:space="0"/>
              <w:right w:val="single" w:color="000000" w:sz="8" w:space="0"/>
            </w:tcBorders>
            <w:shd w:val="clear" w:color="auto" w:fill="auto"/>
            <w:vAlign w:val="center"/>
          </w:tcPr>
          <w:p w:rsidRPr="00291DA0" w:rsidR="0097724A" w:rsidP="0097724A" w:rsidRDefault="0097724A" w14:paraId="40731FD0" w14:textId="5B60792E">
            <w:pPr>
              <w:widowControl/>
              <w:jc w:val="center"/>
              <w:rPr>
                <w:rFonts w:eastAsia="Calibri" w:asciiTheme="minorHAnsi" w:hAnsiTheme="minorHAnsi" w:cstheme="minorHAnsi"/>
                <w:color w:val="000000"/>
                <w:sz w:val="18"/>
                <w:szCs w:val="18"/>
              </w:rPr>
            </w:pPr>
            <w:r w:rsidRPr="00291DA0">
              <w:rPr>
                <w:rFonts w:eastAsia="Calibri" w:asciiTheme="minorHAnsi" w:hAnsiTheme="minorHAnsi" w:cstheme="minorHAnsi"/>
                <w:color w:val="000000"/>
                <w:sz w:val="18"/>
                <w:szCs w:val="18"/>
              </w:rPr>
              <w:t>3</w:t>
            </w:r>
          </w:p>
        </w:tc>
        <w:tc>
          <w:tcPr>
            <w:tcW w:w="4346" w:type="dxa"/>
            <w:tcBorders>
              <w:top w:val="single" w:color="000000" w:sz="8" w:space="0"/>
              <w:left w:val="nil"/>
              <w:bottom w:val="single" w:color="000000" w:sz="8" w:space="0"/>
              <w:right w:val="single" w:color="000000" w:sz="8" w:space="0"/>
            </w:tcBorders>
            <w:shd w:val="clear" w:color="auto" w:fill="auto"/>
            <w:vAlign w:val="center"/>
          </w:tcPr>
          <w:p w:rsidRPr="00291DA0" w:rsidR="0097724A" w:rsidP="0097724A" w:rsidRDefault="0097724A" w14:paraId="7C3CC54C" w14:textId="6E0D4007">
            <w:pPr>
              <w:widowControl/>
              <w:rPr>
                <w:rFonts w:eastAsia="Calibri" w:asciiTheme="minorHAnsi" w:hAnsiTheme="minorHAnsi" w:cstheme="minorHAnsi"/>
                <w:color w:val="000000"/>
                <w:sz w:val="18"/>
                <w:szCs w:val="18"/>
              </w:rPr>
            </w:pPr>
            <w:r w:rsidRPr="0048121D">
              <w:rPr>
                <w:rFonts w:eastAsia="Calibri" w:asciiTheme="minorHAnsi" w:hAnsiTheme="minorHAnsi" w:cstheme="minorHAnsi"/>
                <w:color w:val="000000"/>
                <w:sz w:val="18"/>
                <w:szCs w:val="18"/>
              </w:rPr>
              <w:t xml:space="preserve">Labor costs: </w:t>
            </w:r>
            <w:proofErr w:type="gramStart"/>
            <w:r w:rsidRPr="0048121D">
              <w:rPr>
                <w:rFonts w:eastAsia="Calibri" w:asciiTheme="minorHAnsi" w:hAnsiTheme="minorHAnsi" w:cstheme="minorHAnsi"/>
                <w:color w:val="000000"/>
                <w:sz w:val="18"/>
                <w:szCs w:val="18"/>
              </w:rPr>
              <w:t>Is now based</w:t>
            </w:r>
            <w:proofErr w:type="gramEnd"/>
            <w:r w:rsidRPr="0048121D">
              <w:rPr>
                <w:rFonts w:eastAsia="Calibri" w:asciiTheme="minorHAnsi" w:hAnsiTheme="minorHAnsi" w:cstheme="minorHAnsi"/>
                <w:color w:val="000000"/>
                <w:sz w:val="18"/>
                <w:szCs w:val="18"/>
              </w:rPr>
              <w:t xml:space="preserve"> on BLS hourly wage rate.</w:t>
            </w:r>
          </w:p>
          <w:p w:rsidRPr="00291DA0" w:rsidR="0097724A" w:rsidP="0097724A" w:rsidRDefault="0097724A" w14:paraId="1B9857B0" w14:textId="4269E574">
            <w:pPr>
              <w:widowControl/>
              <w:rPr>
                <w:rFonts w:eastAsia="Calibri" w:asciiTheme="minorHAnsi" w:hAnsiTheme="minorHAnsi" w:cstheme="minorHAnsi"/>
                <w:color w:val="000000"/>
                <w:sz w:val="18"/>
                <w:szCs w:val="18"/>
              </w:rPr>
            </w:pPr>
            <w:r w:rsidRPr="00291DA0">
              <w:rPr>
                <w:rFonts w:asciiTheme="minorHAnsi" w:hAnsiTheme="minorHAnsi" w:cstheme="minorHAnsi"/>
                <w:sz w:val="18"/>
                <w:szCs w:val="18"/>
              </w:rPr>
              <w:t>Misc. costs: Revised amount to account for typical inclusive general office services packages.</w:t>
            </w:r>
          </w:p>
        </w:tc>
      </w:tr>
      <w:tr w:rsidRPr="00291DA0" w:rsidR="0097724A" w:rsidTr="004B5496" w14:paraId="7377F645" w14:textId="77777777">
        <w:trPr>
          <w:trHeight w:val="320"/>
          <w:jc w:val="center"/>
        </w:trPr>
        <w:tc>
          <w:tcPr>
            <w:tcW w:w="2607" w:type="dxa"/>
            <w:tcBorders>
              <w:top w:val="single" w:color="000000" w:sz="8" w:space="0"/>
              <w:left w:val="single" w:color="000000" w:sz="8" w:space="0"/>
              <w:bottom w:val="single" w:color="000000" w:sz="18" w:space="0"/>
              <w:right w:val="single" w:color="000000" w:sz="8" w:space="0"/>
            </w:tcBorders>
            <w:shd w:val="clear" w:color="auto" w:fill="auto"/>
            <w:vAlign w:val="center"/>
          </w:tcPr>
          <w:p w:rsidRPr="00291DA0" w:rsidR="0097724A" w:rsidP="0097724A" w:rsidRDefault="0097724A" w14:paraId="2FD4B5E9" w14:textId="0CAA0DD7">
            <w:pPr>
              <w:widowControl/>
              <w:rPr>
                <w:rFonts w:eastAsia="Calibri" w:asciiTheme="minorHAnsi" w:hAnsiTheme="minorHAnsi" w:cstheme="minorHAnsi"/>
                <w:color w:val="000000"/>
                <w:sz w:val="18"/>
                <w:szCs w:val="18"/>
              </w:rPr>
            </w:pPr>
            <w:r w:rsidRPr="00291DA0">
              <w:rPr>
                <w:rFonts w:asciiTheme="minorHAnsi" w:hAnsiTheme="minorHAnsi" w:cstheme="minorHAnsi"/>
                <w:sz w:val="18"/>
                <w:szCs w:val="18"/>
              </w:rPr>
              <w:lastRenderedPageBreak/>
              <w:t>Appeals</w:t>
            </w:r>
          </w:p>
        </w:tc>
        <w:tc>
          <w:tcPr>
            <w:tcW w:w="764" w:type="dxa"/>
            <w:tcBorders>
              <w:top w:val="single" w:color="000000" w:sz="8" w:space="0"/>
              <w:left w:val="nil"/>
              <w:bottom w:val="single" w:color="000000" w:sz="18" w:space="0"/>
              <w:right w:val="dashed" w:color="000000" w:sz="8" w:space="0"/>
            </w:tcBorders>
            <w:shd w:val="clear" w:color="auto" w:fill="auto"/>
            <w:vAlign w:val="center"/>
          </w:tcPr>
          <w:p w:rsidRPr="00291DA0" w:rsidR="0097724A" w:rsidP="0097724A" w:rsidRDefault="0097724A" w14:paraId="0E537AB2" w14:textId="5201E7C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110</w:t>
            </w:r>
          </w:p>
        </w:tc>
        <w:tc>
          <w:tcPr>
            <w:tcW w:w="765" w:type="dxa"/>
            <w:tcBorders>
              <w:top w:val="single" w:color="000000" w:sz="8" w:space="0"/>
              <w:left w:val="nil"/>
              <w:bottom w:val="single" w:color="000000" w:sz="18" w:space="0"/>
              <w:right w:val="single" w:color="000000" w:sz="8" w:space="0"/>
            </w:tcBorders>
            <w:shd w:val="clear" w:color="auto" w:fill="auto"/>
            <w:vAlign w:val="center"/>
          </w:tcPr>
          <w:p w:rsidRPr="00291DA0" w:rsidR="0097724A" w:rsidP="0097724A" w:rsidRDefault="0097724A" w14:paraId="3396CA58" w14:textId="025241EA">
            <w:pPr>
              <w:widowControl/>
              <w:jc w:val="center"/>
              <w:rPr>
                <w:rFonts w:eastAsia="Calibri" w:asciiTheme="minorHAnsi" w:hAnsiTheme="minorHAnsi" w:cstheme="minorHAnsi"/>
                <w:color w:val="000000"/>
                <w:sz w:val="18"/>
                <w:szCs w:val="18"/>
              </w:rPr>
            </w:pPr>
            <w:r w:rsidRPr="00291DA0">
              <w:rPr>
                <w:rFonts w:eastAsia="Calibri" w:asciiTheme="minorHAnsi" w:hAnsiTheme="minorHAnsi" w:cstheme="minorHAnsi"/>
                <w:color w:val="000000"/>
                <w:sz w:val="18"/>
                <w:szCs w:val="18"/>
              </w:rPr>
              <w:t>148</w:t>
            </w:r>
          </w:p>
        </w:tc>
        <w:tc>
          <w:tcPr>
            <w:tcW w:w="764" w:type="dxa"/>
            <w:tcBorders>
              <w:top w:val="single" w:color="000000" w:sz="8" w:space="0"/>
              <w:left w:val="nil"/>
              <w:bottom w:val="single" w:color="000000" w:sz="18" w:space="0"/>
              <w:right w:val="dashed" w:color="000000" w:sz="8" w:space="0"/>
            </w:tcBorders>
            <w:shd w:val="clear" w:color="auto" w:fill="auto"/>
            <w:vAlign w:val="center"/>
          </w:tcPr>
          <w:p w:rsidRPr="00291DA0" w:rsidR="0097724A" w:rsidP="0097724A" w:rsidRDefault="00ED2036" w14:paraId="3ADD56FA" w14:textId="533181A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505</w:t>
            </w:r>
          </w:p>
        </w:tc>
        <w:tc>
          <w:tcPr>
            <w:tcW w:w="828" w:type="dxa"/>
            <w:tcBorders>
              <w:top w:val="single" w:color="000000" w:sz="8" w:space="0"/>
              <w:left w:val="nil"/>
              <w:bottom w:val="single" w:color="000000" w:sz="18" w:space="0"/>
              <w:right w:val="single" w:color="000000" w:sz="8" w:space="0"/>
            </w:tcBorders>
            <w:shd w:val="clear" w:color="auto" w:fill="auto"/>
            <w:vAlign w:val="center"/>
          </w:tcPr>
          <w:p w:rsidRPr="00291DA0" w:rsidR="0097724A" w:rsidP="0097724A" w:rsidRDefault="0097724A" w14:paraId="585E99D3" w14:textId="0B30EC8F">
            <w:pPr>
              <w:widowControl/>
              <w:jc w:val="center"/>
              <w:rPr>
                <w:rFonts w:eastAsia="Calibri" w:asciiTheme="minorHAnsi" w:hAnsiTheme="minorHAnsi" w:cstheme="minorHAnsi"/>
                <w:color w:val="000000"/>
                <w:sz w:val="18"/>
                <w:szCs w:val="18"/>
              </w:rPr>
            </w:pPr>
            <w:r w:rsidRPr="00291DA0">
              <w:rPr>
                <w:rFonts w:eastAsia="Calibri" w:asciiTheme="minorHAnsi" w:hAnsiTheme="minorHAnsi" w:cstheme="minorHAnsi"/>
                <w:color w:val="000000"/>
                <w:sz w:val="18"/>
                <w:szCs w:val="18"/>
              </w:rPr>
              <w:t>502</w:t>
            </w:r>
          </w:p>
        </w:tc>
        <w:tc>
          <w:tcPr>
            <w:tcW w:w="4346" w:type="dxa"/>
            <w:tcBorders>
              <w:top w:val="single" w:color="000000" w:sz="8" w:space="0"/>
              <w:left w:val="nil"/>
              <w:bottom w:val="single" w:color="000000" w:sz="8" w:space="0"/>
              <w:right w:val="single" w:color="000000" w:sz="8" w:space="0"/>
            </w:tcBorders>
            <w:shd w:val="clear" w:color="auto" w:fill="auto"/>
            <w:vAlign w:val="center"/>
          </w:tcPr>
          <w:p w:rsidR="0048121D" w:rsidP="0097724A" w:rsidRDefault="0048121D" w14:paraId="469F34C7" w14:textId="5A048BBE">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 xml:space="preserve">Labor costs: </w:t>
            </w:r>
            <w:proofErr w:type="gramStart"/>
            <w:r w:rsidRPr="0048121D">
              <w:rPr>
                <w:rFonts w:eastAsia="Calibri" w:asciiTheme="minorHAnsi" w:hAnsiTheme="minorHAnsi" w:cstheme="minorHAnsi"/>
                <w:color w:val="000000"/>
                <w:sz w:val="18"/>
                <w:szCs w:val="18"/>
              </w:rPr>
              <w:t>Is now based</w:t>
            </w:r>
            <w:proofErr w:type="gramEnd"/>
            <w:r w:rsidRPr="0048121D">
              <w:rPr>
                <w:rFonts w:eastAsia="Calibri" w:asciiTheme="minorHAnsi" w:hAnsiTheme="minorHAnsi" w:cstheme="minorHAnsi"/>
                <w:color w:val="000000"/>
                <w:sz w:val="18"/>
                <w:szCs w:val="18"/>
              </w:rPr>
              <w:t xml:space="preserve"> on BLS hourly wage </w:t>
            </w:r>
            <w:r>
              <w:rPr>
                <w:rFonts w:eastAsia="Calibri" w:asciiTheme="minorHAnsi" w:hAnsiTheme="minorHAnsi" w:cstheme="minorHAnsi"/>
                <w:color w:val="000000"/>
                <w:sz w:val="18"/>
                <w:szCs w:val="18"/>
              </w:rPr>
              <w:t>rate.</w:t>
            </w:r>
            <w:r w:rsidRPr="0048121D">
              <w:rPr>
                <w:rFonts w:eastAsia="Calibri" w:asciiTheme="minorHAnsi" w:hAnsiTheme="minorHAnsi" w:cstheme="minorHAnsi"/>
                <w:color w:val="000000"/>
                <w:sz w:val="18"/>
                <w:szCs w:val="18"/>
              </w:rPr>
              <w:t xml:space="preserve"> </w:t>
            </w:r>
          </w:p>
          <w:p w:rsidRPr="00291DA0" w:rsidR="0097724A" w:rsidP="0048121D" w:rsidRDefault="0048121D" w14:paraId="404007CC" w14:textId="608AC9FB">
            <w:pPr>
              <w:widowControl/>
              <w:rPr>
                <w:rFonts w:eastAsia="Calibri" w:asciiTheme="minorHAnsi" w:hAnsiTheme="minorHAnsi" w:cstheme="minorHAnsi"/>
                <w:color w:val="000000"/>
                <w:sz w:val="18"/>
                <w:szCs w:val="18"/>
              </w:rPr>
            </w:pPr>
            <w:r>
              <w:rPr>
                <w:rFonts w:asciiTheme="minorHAnsi" w:hAnsiTheme="minorHAnsi" w:cstheme="minorHAnsi"/>
                <w:sz w:val="18"/>
                <w:szCs w:val="18"/>
              </w:rPr>
              <w:t xml:space="preserve">Misc. Costs: </w:t>
            </w:r>
            <w:r w:rsidRPr="0048121D">
              <w:rPr>
                <w:rFonts w:asciiTheme="minorHAnsi" w:hAnsiTheme="minorHAnsi" w:cstheme="minorHAnsi"/>
                <w:sz w:val="18"/>
                <w:szCs w:val="18"/>
              </w:rPr>
              <w:t>Adjusted amount to account for typical inclusive g</w:t>
            </w:r>
            <w:r>
              <w:rPr>
                <w:rFonts w:asciiTheme="minorHAnsi" w:hAnsiTheme="minorHAnsi" w:cstheme="minorHAnsi"/>
                <w:sz w:val="18"/>
                <w:szCs w:val="18"/>
              </w:rPr>
              <w:t>eneral office services packages.</w:t>
            </w:r>
          </w:p>
        </w:tc>
      </w:tr>
      <w:tr w:rsidRPr="00291DA0" w:rsidR="0097724A" w:rsidTr="004B5496" w14:paraId="215D135F" w14:textId="77777777">
        <w:trPr>
          <w:trHeight w:val="474"/>
          <w:jc w:val="center"/>
        </w:trPr>
        <w:tc>
          <w:tcPr>
            <w:tcW w:w="2607" w:type="dxa"/>
            <w:tcBorders>
              <w:top w:val="single" w:color="000000" w:sz="18" w:space="0"/>
              <w:left w:val="single" w:color="000000" w:sz="8" w:space="0"/>
              <w:bottom w:val="nil"/>
              <w:right w:val="single" w:color="000000" w:sz="8" w:space="0"/>
            </w:tcBorders>
            <w:shd w:val="clear" w:color="auto" w:fill="BDD6EE"/>
            <w:vAlign w:val="center"/>
          </w:tcPr>
          <w:p w:rsidRPr="00291DA0" w:rsidR="0097724A" w:rsidP="0097724A" w:rsidRDefault="0097724A" w14:paraId="46D66A38" w14:textId="77777777">
            <w:pPr>
              <w:widowControl/>
              <w:jc w:val="center"/>
              <w:rPr>
                <w:rFonts w:eastAsia="Calibri" w:asciiTheme="minorHAnsi" w:hAnsiTheme="minorHAnsi" w:cstheme="minorHAnsi"/>
                <w:b/>
                <w:color w:val="000000"/>
                <w:sz w:val="18"/>
                <w:szCs w:val="18"/>
              </w:rPr>
            </w:pPr>
            <w:r w:rsidRPr="00291DA0">
              <w:rPr>
                <w:rFonts w:eastAsia="Calibri" w:asciiTheme="minorHAnsi" w:hAnsiTheme="minorHAnsi" w:cstheme="minorHAnsi"/>
                <w:b/>
                <w:color w:val="000000"/>
                <w:sz w:val="18"/>
                <w:szCs w:val="18"/>
              </w:rPr>
              <w:t>Total for Collection</w:t>
            </w:r>
          </w:p>
        </w:tc>
        <w:tc>
          <w:tcPr>
            <w:tcW w:w="764" w:type="dxa"/>
            <w:tcBorders>
              <w:top w:val="single" w:color="000000" w:sz="18" w:space="0"/>
              <w:left w:val="nil"/>
              <w:bottom w:val="nil"/>
              <w:right w:val="dashed" w:color="000000" w:sz="8" w:space="0"/>
            </w:tcBorders>
            <w:shd w:val="clear" w:color="auto" w:fill="BDD6EE"/>
            <w:vAlign w:val="center"/>
          </w:tcPr>
          <w:p w:rsidRPr="00291DA0" w:rsidR="0097724A" w:rsidP="0097724A" w:rsidRDefault="0097724A" w14:paraId="2AB5B77E" w14:textId="4DCFB582">
            <w:pPr>
              <w:widowControl/>
              <w:jc w:val="center"/>
              <w:rPr>
                <w:rFonts w:eastAsia="Calibri" w:asciiTheme="minorHAnsi" w:hAnsiTheme="minorHAnsi" w:cstheme="minorHAnsi"/>
                <w:b/>
                <w:color w:val="000000"/>
                <w:sz w:val="18"/>
                <w:szCs w:val="18"/>
              </w:rPr>
            </w:pPr>
            <w:r w:rsidRPr="00291DA0">
              <w:rPr>
                <w:rFonts w:eastAsia="Calibri" w:asciiTheme="minorHAnsi" w:hAnsiTheme="minorHAnsi" w:cstheme="minorHAnsi"/>
                <w:b/>
                <w:color w:val="000000"/>
                <w:sz w:val="18"/>
                <w:szCs w:val="18"/>
              </w:rPr>
              <w:t> </w:t>
            </w:r>
            <w:r>
              <w:rPr>
                <w:rFonts w:eastAsia="Calibri" w:asciiTheme="minorHAnsi" w:hAnsiTheme="minorHAnsi" w:cstheme="minorHAnsi"/>
                <w:b/>
                <w:color w:val="000000"/>
                <w:sz w:val="18"/>
                <w:szCs w:val="18"/>
              </w:rPr>
              <w:t>$2,576</w:t>
            </w:r>
          </w:p>
        </w:tc>
        <w:tc>
          <w:tcPr>
            <w:tcW w:w="765" w:type="dxa"/>
            <w:tcBorders>
              <w:top w:val="single" w:color="000000" w:sz="18" w:space="0"/>
              <w:left w:val="nil"/>
              <w:bottom w:val="nil"/>
              <w:right w:val="single" w:color="000000" w:sz="8" w:space="0"/>
            </w:tcBorders>
            <w:shd w:val="clear" w:color="auto" w:fill="BDD6EE"/>
            <w:vAlign w:val="center"/>
          </w:tcPr>
          <w:p w:rsidRPr="00291DA0" w:rsidR="0097724A" w:rsidP="0097724A" w:rsidRDefault="0097724A" w14:paraId="184D2BC0" w14:textId="638B86BB">
            <w:pPr>
              <w:widowControl/>
              <w:jc w:val="center"/>
              <w:rPr>
                <w:rFonts w:eastAsia="Calibri" w:asciiTheme="minorHAnsi" w:hAnsiTheme="minorHAnsi" w:cstheme="minorHAnsi"/>
                <w:b/>
                <w:color w:val="000000"/>
                <w:sz w:val="18"/>
                <w:szCs w:val="18"/>
              </w:rPr>
            </w:pPr>
            <w:r w:rsidRPr="00291DA0">
              <w:rPr>
                <w:rFonts w:eastAsia="Calibri" w:asciiTheme="minorHAnsi" w:hAnsiTheme="minorHAnsi" w:cstheme="minorHAnsi"/>
                <w:b/>
                <w:color w:val="000000"/>
                <w:sz w:val="18"/>
                <w:szCs w:val="18"/>
              </w:rPr>
              <w:t> $3,589</w:t>
            </w:r>
          </w:p>
        </w:tc>
        <w:tc>
          <w:tcPr>
            <w:tcW w:w="764" w:type="dxa"/>
            <w:tcBorders>
              <w:top w:val="single" w:color="000000" w:sz="18" w:space="0"/>
              <w:left w:val="nil"/>
              <w:bottom w:val="nil"/>
              <w:right w:val="dashed" w:color="000000" w:sz="8" w:space="0"/>
            </w:tcBorders>
            <w:shd w:val="clear" w:color="auto" w:fill="BDD6EE"/>
            <w:vAlign w:val="center"/>
          </w:tcPr>
          <w:p w:rsidRPr="00291DA0" w:rsidR="0097724A" w:rsidP="0097724A" w:rsidRDefault="00A5510A" w14:paraId="63942975" w14:textId="46DC9274">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$895</w:t>
            </w:r>
            <w:r w:rsidRPr="00291DA0" w:rsidR="0097724A">
              <w:rPr>
                <w:rFonts w:eastAsia="Calibri" w:asciiTheme="minorHAnsi" w:hAnsiTheme="minorHAnsi" w:cstheme="minorHAnsi"/>
                <w:b/>
                <w:color w:val="000000"/>
                <w:sz w:val="18"/>
                <w:szCs w:val="18"/>
              </w:rPr>
              <w:t> </w:t>
            </w:r>
          </w:p>
        </w:tc>
        <w:tc>
          <w:tcPr>
            <w:tcW w:w="828" w:type="dxa"/>
            <w:tcBorders>
              <w:top w:val="single" w:color="000000" w:sz="18" w:space="0"/>
              <w:left w:val="nil"/>
              <w:bottom w:val="nil"/>
              <w:right w:val="single" w:color="000000" w:sz="8" w:space="0"/>
            </w:tcBorders>
            <w:shd w:val="clear" w:color="auto" w:fill="BDD6EE"/>
            <w:vAlign w:val="center"/>
          </w:tcPr>
          <w:p w:rsidRPr="00291DA0" w:rsidR="0097724A" w:rsidP="0097724A" w:rsidRDefault="0097724A" w14:paraId="46075CFF" w14:textId="3B2E4EAC">
            <w:pPr>
              <w:widowControl/>
              <w:jc w:val="center"/>
              <w:rPr>
                <w:rFonts w:eastAsia="Calibri" w:asciiTheme="minorHAnsi" w:hAnsiTheme="minorHAnsi" w:cstheme="minorHAnsi"/>
                <w:b/>
                <w:color w:val="000000"/>
                <w:sz w:val="18"/>
                <w:szCs w:val="18"/>
              </w:rPr>
            </w:pPr>
            <w:r w:rsidRPr="00291DA0">
              <w:rPr>
                <w:rFonts w:eastAsia="Calibri" w:asciiTheme="minorHAnsi" w:hAnsiTheme="minorHAnsi" w:cstheme="minorHAnsi"/>
                <w:b/>
                <w:color w:val="000000"/>
                <w:sz w:val="18"/>
                <w:szCs w:val="18"/>
              </w:rPr>
              <w:t>$516</w:t>
            </w:r>
          </w:p>
        </w:tc>
        <w:tc>
          <w:tcPr>
            <w:tcW w:w="4346" w:type="dxa"/>
            <w:tcBorders>
              <w:top w:val="single" w:color="000000" w:sz="18" w:space="0"/>
              <w:left w:val="nil"/>
              <w:bottom w:val="nil"/>
              <w:right w:val="single" w:color="000000" w:sz="8" w:space="0"/>
            </w:tcBorders>
            <w:shd w:val="clear" w:color="auto" w:fill="000000"/>
            <w:vAlign w:val="center"/>
          </w:tcPr>
          <w:p w:rsidRPr="00291DA0" w:rsidR="0097724A" w:rsidP="0097724A" w:rsidRDefault="0097724A" w14:paraId="23878744" w14:textId="77777777">
            <w:pPr>
              <w:widowControl/>
              <w:jc w:val="center"/>
              <w:rPr>
                <w:rFonts w:eastAsia="Calibri" w:asciiTheme="minorHAnsi" w:hAnsiTheme="minorHAnsi" w:cstheme="minorHAnsi"/>
                <w:b/>
                <w:color w:val="000000"/>
                <w:sz w:val="18"/>
                <w:szCs w:val="18"/>
              </w:rPr>
            </w:pPr>
            <w:r w:rsidRPr="00291DA0">
              <w:rPr>
                <w:rFonts w:eastAsia="Calibri" w:asciiTheme="minorHAnsi" w:hAnsiTheme="minorHAnsi" w:cstheme="minorHAnsi"/>
                <w:b/>
                <w:color w:val="000000"/>
                <w:sz w:val="18"/>
                <w:szCs w:val="18"/>
              </w:rPr>
              <w:t> </w:t>
            </w:r>
          </w:p>
        </w:tc>
      </w:tr>
      <w:tr w:rsidRPr="00291DA0" w:rsidR="0097724A" w:rsidTr="004B5496" w14:paraId="583F6666" w14:textId="77777777">
        <w:trPr>
          <w:trHeight w:val="320"/>
          <w:jc w:val="center"/>
        </w:trPr>
        <w:tc>
          <w:tcPr>
            <w:tcW w:w="2607" w:type="dxa"/>
            <w:tcBorders>
              <w:top w:val="single" w:color="000000" w:sz="8" w:space="0"/>
              <w:left w:val="single" w:color="000000" w:sz="8" w:space="0"/>
              <w:bottom w:val="single" w:color="000000" w:sz="8" w:space="0"/>
              <w:right w:val="nil"/>
            </w:tcBorders>
            <w:shd w:val="clear" w:color="auto" w:fill="FCE4D6"/>
            <w:vAlign w:val="center"/>
          </w:tcPr>
          <w:p w:rsidRPr="00291DA0" w:rsidR="0097724A" w:rsidP="0097724A" w:rsidRDefault="0097724A" w14:paraId="0ABCEAEC" w14:textId="77777777">
            <w:pPr>
              <w:widowControl/>
              <w:jc w:val="center"/>
              <w:rPr>
                <w:rFonts w:eastAsia="Calibri" w:asciiTheme="minorHAnsi" w:hAnsiTheme="minorHAnsi" w:cstheme="minorHAnsi"/>
                <w:b/>
                <w:color w:val="000000"/>
                <w:sz w:val="18"/>
                <w:szCs w:val="18"/>
              </w:rPr>
            </w:pPr>
            <w:r w:rsidRPr="00291DA0">
              <w:rPr>
                <w:rFonts w:eastAsia="Calibri" w:asciiTheme="minorHAnsi" w:hAnsiTheme="minorHAnsi" w:cstheme="minorHAnsi"/>
                <w:b/>
                <w:color w:val="000000"/>
                <w:sz w:val="18"/>
                <w:szCs w:val="18"/>
              </w:rPr>
              <w:t>Difference</w:t>
            </w:r>
          </w:p>
        </w:tc>
        <w:tc>
          <w:tcPr>
            <w:tcW w:w="1530"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Pr="00291DA0" w:rsidR="0097724A" w:rsidP="0097724A" w:rsidRDefault="0097724A" w14:paraId="0C8D172F" w14:textId="5102D70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-$1,013</w:t>
            </w:r>
            <w:r w:rsidRPr="00291DA0">
              <w:rPr>
                <w:rFonts w:eastAsia="Calibri" w:asciiTheme="minorHAnsi" w:hAnsiTheme="minorHAnsi" w:cstheme="minorHAnsi"/>
                <w:color w:val="000000"/>
                <w:sz w:val="18"/>
                <w:szCs w:val="18"/>
              </w:rPr>
              <w:t> </w:t>
            </w:r>
          </w:p>
        </w:tc>
        <w:tc>
          <w:tcPr>
            <w:tcW w:w="1593" w:type="dxa"/>
            <w:gridSpan w:val="2"/>
            <w:tcBorders>
              <w:top w:val="single" w:color="000000" w:sz="8" w:space="0"/>
              <w:left w:val="nil"/>
              <w:bottom w:val="single" w:color="000000" w:sz="8" w:space="0"/>
              <w:right w:val="single" w:color="000000" w:sz="4" w:space="0"/>
            </w:tcBorders>
            <w:shd w:val="clear" w:color="auto" w:fill="FCE4D6"/>
            <w:vAlign w:val="center"/>
          </w:tcPr>
          <w:p w:rsidRPr="00291DA0" w:rsidR="0097724A" w:rsidP="0097724A" w:rsidRDefault="00A5510A" w14:paraId="1BBF2970" w14:textId="00A78A1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$379</w:t>
            </w:r>
            <w:r w:rsidRPr="00291DA0" w:rsidR="0097724A">
              <w:rPr>
                <w:rFonts w:eastAsia="Calibri" w:asciiTheme="minorHAnsi" w:hAnsiTheme="minorHAnsi" w:cstheme="minorHAnsi"/>
                <w:color w:val="000000"/>
                <w:sz w:val="18"/>
                <w:szCs w:val="18"/>
              </w:rPr>
              <w:t> </w:t>
            </w:r>
          </w:p>
        </w:tc>
        <w:tc>
          <w:tcPr>
            <w:tcW w:w="4346" w:type="dxa"/>
            <w:tcBorders>
              <w:top w:val="single" w:color="000000" w:sz="8" w:space="0"/>
              <w:left w:val="nil"/>
              <w:bottom w:val="single" w:color="000000" w:sz="8" w:space="0"/>
              <w:right w:val="single" w:color="000000" w:sz="8" w:space="0"/>
            </w:tcBorders>
            <w:shd w:val="clear" w:color="auto" w:fill="000000"/>
            <w:vAlign w:val="bottom"/>
          </w:tcPr>
          <w:p w:rsidRPr="00291DA0" w:rsidR="0097724A" w:rsidP="0097724A" w:rsidRDefault="0097724A" w14:paraId="0FA56C7B" w14:textId="77777777">
            <w:pPr>
              <w:widowControl/>
              <w:rPr>
                <w:rFonts w:eastAsia="Calibri" w:asciiTheme="minorHAnsi" w:hAnsiTheme="minorHAnsi" w:cstheme="minorHAnsi"/>
                <w:color w:val="000000"/>
                <w:sz w:val="18"/>
                <w:szCs w:val="18"/>
              </w:rPr>
            </w:pPr>
            <w:r w:rsidRPr="00291DA0">
              <w:rPr>
                <w:rFonts w:eastAsia="Calibri" w:asciiTheme="minorHAnsi" w:hAnsiTheme="minorHAnsi" w:cstheme="minorHAnsi"/>
                <w:color w:val="000000"/>
                <w:sz w:val="18"/>
                <w:szCs w:val="18"/>
              </w:rPr>
              <w:t> </w:t>
            </w:r>
          </w:p>
        </w:tc>
      </w:tr>
    </w:tbl>
    <w:p w:rsidR="004B5496" w:rsidP="00F37DA1" w:rsidRDefault="004B5496" w14:paraId="2BD5580E" w14:textId="76B20EF6">
      <w:pPr>
        <w:pBdr>
          <w:top w:val="nil"/>
          <w:left w:val="nil"/>
          <w:bottom w:val="nil"/>
          <w:right w:val="nil"/>
          <w:between w:val="nil"/>
        </w:pBdr>
        <w:spacing w:before="60"/>
        <w:rPr>
          <w:rFonts w:asciiTheme="minorHAnsi" w:hAnsiTheme="minorHAnsi" w:cstheme="minorHAnsi"/>
          <w:color w:val="000000"/>
          <w:sz w:val="20"/>
          <w:szCs w:val="20"/>
        </w:rPr>
      </w:pPr>
    </w:p>
    <w:p w:rsidR="00BD2A55" w:rsidP="00DC6F01" w:rsidRDefault="003C0E80" w14:paraId="038F90B6" w14:textId="306F93D8">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For collections of information whose results </w:t>
      </w:r>
      <w:proofErr w:type="gramStart"/>
      <w:r w:rsidR="00333FBA">
        <w:rPr>
          <w:b/>
          <w:color w:val="000000"/>
        </w:rPr>
        <w:t>will be published</w:t>
      </w:r>
      <w:proofErr w:type="gramEnd"/>
      <w:r w:rsidR="00333FBA">
        <w:rPr>
          <w:b/>
          <w:color w:val="000000"/>
        </w:rPr>
        <w:t xml:space="preserve">, outline plans for tabulation and publication. Address any complex analytical techniques that </w:t>
      </w:r>
      <w:proofErr w:type="gramStart"/>
      <w:r w:rsidR="00333FBA">
        <w:rPr>
          <w:b/>
          <w:color w:val="000000"/>
        </w:rPr>
        <w:t>will be used</w:t>
      </w:r>
      <w:proofErr w:type="gramEnd"/>
      <w:r w:rsidR="00333FBA">
        <w:rPr>
          <w:b/>
          <w:color w:val="000000"/>
        </w:rPr>
        <w:t>. Provide the time schedule for the entire project, including beginning and ending dates of the collection of information, completion of report, publication dates, and other actions.</w:t>
      </w:r>
    </w:p>
    <w:p w:rsidRPr="003C0E80" w:rsidR="003C0E80" w:rsidP="00DC6F01" w:rsidRDefault="003C0E80" w14:paraId="47419F09" w14:textId="5ECCD35C">
      <w:pPr>
        <w:pBdr>
          <w:top w:val="nil"/>
          <w:left w:val="nil"/>
          <w:bottom w:val="nil"/>
          <w:right w:val="nil"/>
          <w:between w:val="nil"/>
        </w:pBdr>
      </w:pPr>
    </w:p>
    <w:p w:rsidRPr="000864CE" w:rsidR="000864CE" w:rsidP="000864CE" w:rsidRDefault="000864CE" w14:paraId="5D37ECDD" w14:textId="7564C24D">
      <w:pPr>
        <w:widowControl/>
        <w:rPr>
          <w:color w:val="0000FF"/>
          <w:u w:val="single"/>
        </w:rPr>
      </w:pPr>
      <w:r w:rsidRPr="000864CE">
        <w:rPr>
          <w:color w:val="000000"/>
        </w:rPr>
        <w:t xml:space="preserve">Final administrative appeal decisions with redactions </w:t>
      </w:r>
      <w:proofErr w:type="gramStart"/>
      <w:r w:rsidRPr="000864CE">
        <w:rPr>
          <w:color w:val="000000"/>
        </w:rPr>
        <w:t>are posted</w:t>
      </w:r>
      <w:proofErr w:type="gramEnd"/>
      <w:r w:rsidRPr="000864CE">
        <w:rPr>
          <w:color w:val="000000"/>
        </w:rPr>
        <w:t xml:space="preserve"> on the </w:t>
      </w:r>
      <w:hyperlink w:history="1" r:id="rId54">
        <w:r w:rsidRPr="008A7A77">
          <w:rPr>
            <w:rStyle w:val="Hyperlink"/>
          </w:rPr>
          <w:t xml:space="preserve">NMFS </w:t>
        </w:r>
        <w:r w:rsidRPr="008A7A77">
          <w:rPr>
            <w:rStyle w:val="Hyperlink"/>
            <w:rFonts w:eastAsia="Calibri"/>
          </w:rPr>
          <w:t>National Appeals Office</w:t>
        </w:r>
        <w:r w:rsidRPr="008A7A77">
          <w:rPr>
            <w:rStyle w:val="Hyperlink"/>
          </w:rPr>
          <w:t xml:space="preserve"> website</w:t>
        </w:r>
      </w:hyperlink>
      <w:r w:rsidR="008A7A77">
        <w:rPr>
          <w:color w:val="000000"/>
        </w:rPr>
        <w:t>.</w:t>
      </w:r>
      <w:r w:rsidRPr="000864CE">
        <w:rPr>
          <w:rFonts w:eastAsiaTheme="minorHAnsi" w:cstheme="minorBidi"/>
        </w:rPr>
        <w:t xml:space="preserve"> </w:t>
      </w:r>
      <w:proofErr w:type="gramStart"/>
      <w:r w:rsidRPr="000864CE">
        <w:rPr>
          <w:rFonts w:eastAsiaTheme="minorHAnsi" w:cstheme="minorBidi"/>
        </w:rPr>
        <w:t>Personally</w:t>
      </w:r>
      <w:proofErr w:type="gramEnd"/>
      <w:r w:rsidRPr="000864CE">
        <w:rPr>
          <w:rFonts w:eastAsiaTheme="minorHAnsi" w:cstheme="minorBidi"/>
        </w:rPr>
        <w:t xml:space="preserve"> identifiable information and confidential business information submitted in an administrative appeal are not released to the public.</w:t>
      </w:r>
    </w:p>
    <w:p w:rsidR="000864CE" w:rsidP="00857811" w:rsidRDefault="000864CE" w14:paraId="3615B9DC" w14:textId="77777777">
      <w:pPr>
        <w:autoSpaceDE w:val="0"/>
        <w:autoSpaceDN w:val="0"/>
        <w:adjustRightInd w:val="0"/>
      </w:pPr>
    </w:p>
    <w:p w:rsidRPr="00857811" w:rsidR="00857811" w:rsidP="00857811" w:rsidRDefault="00857811" w14:paraId="2B0E75F6" w14:textId="623F6BC1">
      <w:pPr>
        <w:autoSpaceDE w:val="0"/>
        <w:autoSpaceDN w:val="0"/>
        <w:adjustRightInd w:val="0"/>
      </w:pPr>
      <w:r w:rsidRPr="00857811">
        <w:t xml:space="preserve">No other information collected </w:t>
      </w:r>
      <w:proofErr w:type="gramStart"/>
      <w:r w:rsidRPr="00857811">
        <w:t>will be published</w:t>
      </w:r>
      <w:proofErr w:type="gramEnd"/>
      <w:r w:rsidRPr="00857811">
        <w:t xml:space="preserve">. </w:t>
      </w:r>
    </w:p>
    <w:p w:rsidRPr="00857811" w:rsidR="00857811" w:rsidP="00857811" w:rsidRDefault="00857811" w14:paraId="64D01E21" w14:textId="77777777">
      <w:pPr>
        <w:autoSpaceDE w:val="0"/>
        <w:autoSpaceDN w:val="0"/>
        <w:adjustRightInd w:val="0"/>
      </w:pPr>
    </w:p>
    <w:p w:rsidRPr="003C0E80" w:rsidR="003C0E80" w:rsidP="00DC6F01" w:rsidRDefault="003C0E80" w14:paraId="3DBA7CF9" w14:textId="77777777">
      <w:pPr>
        <w:pBdr>
          <w:top w:val="nil"/>
          <w:left w:val="nil"/>
          <w:bottom w:val="nil"/>
          <w:right w:val="nil"/>
          <w:between w:val="nil"/>
        </w:pBdr>
      </w:pPr>
    </w:p>
    <w:p w:rsidR="00BD2A55" w:rsidP="00DC6F01" w:rsidRDefault="003C0E80" w14:paraId="1DFAFCAC" w14:textId="47BF6AA3">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If seeking approval </w:t>
      </w:r>
      <w:proofErr w:type="gramStart"/>
      <w:r w:rsidR="00333FBA">
        <w:rPr>
          <w:b/>
          <w:color w:val="000000"/>
        </w:rPr>
        <w:t>to not display</w:t>
      </w:r>
      <w:proofErr w:type="gramEnd"/>
      <w:r w:rsidR="00333FBA">
        <w:rPr>
          <w:b/>
          <w:color w:val="000000"/>
        </w:rPr>
        <w:t xml:space="preserve"> the expiration date for OMB approval of the information collection, explain the reasons that display would be inappropriate.</w:t>
      </w:r>
    </w:p>
    <w:p w:rsidRPr="003C0E80" w:rsidR="00BD2A55" w:rsidP="00DC6F01" w:rsidRDefault="00BD2A55" w14:paraId="34745B2D" w14:textId="52183E21"/>
    <w:p w:rsidRPr="003C0E80" w:rsidR="003C0E80" w:rsidP="00DC6F01" w:rsidRDefault="009B3139" w14:paraId="0714695C" w14:textId="3854BB0C">
      <w:r w:rsidRPr="009B3139">
        <w:t>The agency plans to display the expiration date for OMB approval of the information</w:t>
      </w:r>
      <w:r>
        <w:t xml:space="preserve"> collection on all instruments.</w:t>
      </w:r>
    </w:p>
    <w:p w:rsidRPr="003C0E80" w:rsidR="003C0E80" w:rsidP="00DC6F01" w:rsidRDefault="003C0E80" w14:paraId="49E2F673" w14:textId="0E29DE23"/>
    <w:p w:rsidRPr="003C0E80" w:rsidR="003C0E80" w:rsidP="00DC6F01" w:rsidRDefault="003C0E80" w14:paraId="773B9497" w14:textId="77777777"/>
    <w:p w:rsidR="00BD2A55" w:rsidP="00DC6F01" w:rsidRDefault="003C0E80" w14:paraId="6EDAA922" w14:textId="01FDDB42">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Explain each exception to the certification statement identified in “Certification for Paperwork Reduction Act Submissions."</w:t>
      </w:r>
    </w:p>
    <w:p w:rsidR="00BD2A55" w:rsidP="00DC6F01" w:rsidRDefault="00BD2A55" w14:paraId="4B9F2214" w14:textId="581587B0">
      <w:pPr>
        <w:spacing w:line="259" w:lineRule="auto"/>
        <w:jc w:val="both"/>
      </w:pPr>
    </w:p>
    <w:p w:rsidR="00D72886" w:rsidP="00D72886" w:rsidRDefault="00D72886" w14:paraId="7E2A1F1B" w14:textId="77777777">
      <w:pPr>
        <w:spacing w:line="259" w:lineRule="auto"/>
        <w:jc w:val="both"/>
      </w:pPr>
      <w:r>
        <w:t xml:space="preserve">The agency certifies compliance with </w:t>
      </w:r>
      <w:hyperlink r:id="rId55">
        <w:r>
          <w:rPr>
            <w:color w:val="0563C1"/>
            <w:u w:val="single"/>
          </w:rPr>
          <w:t>5 CFR 1320.9</w:t>
        </w:r>
      </w:hyperlink>
      <w:hyperlink r:id="rId56">
        <w:r>
          <w:rPr>
            <w:color w:val="0563C1"/>
          </w:rPr>
          <w:t xml:space="preserve"> </w:t>
        </w:r>
      </w:hyperlink>
      <w:r>
        <w:t xml:space="preserve">and the related provisions of </w:t>
      </w:r>
      <w:hyperlink r:id="rId57">
        <w:r>
          <w:rPr>
            <w:color w:val="0563C1"/>
            <w:u w:val="single"/>
          </w:rPr>
          <w:t>5 CFR</w:t>
        </w:r>
      </w:hyperlink>
      <w:r>
        <w:rPr>
          <w:color w:val="0563C1"/>
        </w:rPr>
        <w:t xml:space="preserve"> </w:t>
      </w:r>
      <w:hyperlink r:id="rId58">
        <w:r>
          <w:rPr>
            <w:color w:val="0563C1"/>
            <w:u w:val="single"/>
          </w:rPr>
          <w:t>1320.8(b)(3)</w:t>
        </w:r>
      </w:hyperlink>
      <w:r>
        <w:t>.</w:t>
      </w:r>
    </w:p>
    <w:p w:rsidRPr="003C0E80" w:rsidR="003C0E80" w:rsidP="00DC6F01" w:rsidRDefault="003C0E80" w14:paraId="4D034B72" w14:textId="0E85ED89">
      <w:pPr>
        <w:spacing w:line="259" w:lineRule="auto"/>
        <w:jc w:val="both"/>
      </w:pPr>
    </w:p>
    <w:p w:rsidRPr="003C0E80" w:rsidR="003C0E80" w:rsidP="00DC6F01" w:rsidRDefault="003C0E80" w14:paraId="42F66601" w14:textId="086158E4">
      <w:pPr>
        <w:spacing w:line="259" w:lineRule="auto"/>
        <w:jc w:val="both"/>
      </w:pPr>
    </w:p>
    <w:p w:rsidRPr="003C0E80" w:rsidR="003C0E80" w:rsidP="00DC6F01" w:rsidRDefault="003C0E80" w14:paraId="199BE897" w14:textId="04ABCC9A">
      <w:pPr>
        <w:spacing w:line="259" w:lineRule="auto"/>
        <w:jc w:val="both"/>
      </w:pPr>
    </w:p>
    <w:p w:rsidRPr="003C0E80" w:rsidR="003C0E80" w:rsidP="00DC6F01" w:rsidRDefault="003C0E80" w14:paraId="4DD4EC69" w14:textId="77777777">
      <w:pPr>
        <w:spacing w:line="259" w:lineRule="auto"/>
        <w:jc w:val="both"/>
      </w:pPr>
    </w:p>
    <w:sectPr w:rsidRPr="003C0E80" w:rsidR="003C0E80" w:rsidSect="00DC6F01">
      <w:pgSz w:w="12240" w:h="15840"/>
      <w:pgMar w:top="1440" w:right="1440" w:bottom="1440" w:left="1440" w:header="0" w:footer="10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3D742" w14:textId="77777777" w:rsidR="00267206" w:rsidRDefault="00267206">
      <w:r>
        <w:separator/>
      </w:r>
    </w:p>
  </w:endnote>
  <w:endnote w:type="continuationSeparator" w:id="0">
    <w:p w14:paraId="2E9A3704" w14:textId="77777777" w:rsidR="00267206" w:rsidRDefault="0026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9321"/>
      <w:docPartObj>
        <w:docPartGallery w:val="Page Numbers (Bottom of Page)"/>
        <w:docPartUnique/>
      </w:docPartObj>
    </w:sdtPr>
    <w:sdtEndPr>
      <w:rPr>
        <w:noProof/>
        <w:sz w:val="22"/>
        <w:szCs w:val="22"/>
      </w:rPr>
    </w:sdtEndPr>
    <w:sdtContent>
      <w:p w14:paraId="0F02E0C3" w14:textId="57F0AF1F" w:rsidR="00CA270E" w:rsidRPr="00DC6F01" w:rsidRDefault="00CA270E">
        <w:pPr>
          <w:pStyle w:val="Footer"/>
          <w:jc w:val="center"/>
          <w:rPr>
            <w:sz w:val="22"/>
            <w:szCs w:val="22"/>
          </w:rPr>
        </w:pPr>
        <w:r w:rsidRPr="00DC6F01">
          <w:rPr>
            <w:sz w:val="22"/>
            <w:szCs w:val="22"/>
          </w:rPr>
          <w:fldChar w:fldCharType="begin"/>
        </w:r>
        <w:r w:rsidRPr="00DC6F01">
          <w:rPr>
            <w:sz w:val="22"/>
            <w:szCs w:val="22"/>
          </w:rPr>
          <w:instrText xml:space="preserve"> PAGE   \* MERGEFORMAT </w:instrText>
        </w:r>
        <w:r w:rsidRPr="00DC6F01">
          <w:rPr>
            <w:sz w:val="22"/>
            <w:szCs w:val="22"/>
          </w:rPr>
          <w:fldChar w:fldCharType="separate"/>
        </w:r>
        <w:r w:rsidR="0048602D">
          <w:rPr>
            <w:noProof/>
            <w:sz w:val="22"/>
            <w:szCs w:val="22"/>
          </w:rPr>
          <w:t>19</w:t>
        </w:r>
        <w:r w:rsidRPr="00DC6F01">
          <w:rPr>
            <w:noProof/>
            <w:sz w:val="22"/>
            <w:szCs w:val="22"/>
          </w:rPr>
          <w:fldChar w:fldCharType="end"/>
        </w:r>
      </w:p>
    </w:sdtContent>
  </w:sdt>
  <w:p w14:paraId="7C754F89" w14:textId="77777777" w:rsidR="00CA270E" w:rsidRDefault="00CA270E">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DB597" w14:textId="77777777" w:rsidR="00267206" w:rsidRDefault="00267206">
      <w:r>
        <w:separator/>
      </w:r>
    </w:p>
  </w:footnote>
  <w:footnote w:type="continuationSeparator" w:id="0">
    <w:p w14:paraId="177600FF" w14:textId="77777777" w:rsidR="00267206" w:rsidRDefault="00267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51560"/>
    <w:multiLevelType w:val="hybridMultilevel"/>
    <w:tmpl w:val="78DE5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060E02"/>
    <w:multiLevelType w:val="multilevel"/>
    <w:tmpl w:val="2B68977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15:restartNumberingAfterBreak="0">
    <w:nsid w:val="1F542179"/>
    <w:multiLevelType w:val="multilevel"/>
    <w:tmpl w:val="CD34FF0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15:restartNumberingAfterBreak="0">
    <w:nsid w:val="21031DC4"/>
    <w:multiLevelType w:val="hybridMultilevel"/>
    <w:tmpl w:val="CAC69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FF1423"/>
    <w:multiLevelType w:val="multilevel"/>
    <w:tmpl w:val="7A0A72D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15:restartNumberingAfterBreak="0">
    <w:nsid w:val="26FA6F26"/>
    <w:multiLevelType w:val="multilevel"/>
    <w:tmpl w:val="B0F2C5E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15:restartNumberingAfterBreak="0">
    <w:nsid w:val="2E6221EE"/>
    <w:multiLevelType w:val="hybridMultilevel"/>
    <w:tmpl w:val="AC525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2A7D34"/>
    <w:multiLevelType w:val="hybridMultilevel"/>
    <w:tmpl w:val="D78EEFC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70693F"/>
    <w:multiLevelType w:val="multilevel"/>
    <w:tmpl w:val="B232955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9" w15:restartNumberingAfterBreak="0">
    <w:nsid w:val="347654F0"/>
    <w:multiLevelType w:val="multilevel"/>
    <w:tmpl w:val="8C9A7B1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0" w15:restartNumberingAfterBreak="0">
    <w:nsid w:val="34CD4992"/>
    <w:multiLevelType w:val="multilevel"/>
    <w:tmpl w:val="3BDE20B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1" w15:restartNumberingAfterBreak="0">
    <w:nsid w:val="3DFD4551"/>
    <w:multiLevelType w:val="hybridMultilevel"/>
    <w:tmpl w:val="0A12C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A40C9D"/>
    <w:multiLevelType w:val="hybridMultilevel"/>
    <w:tmpl w:val="86222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4B3EE8"/>
    <w:multiLevelType w:val="multilevel"/>
    <w:tmpl w:val="0A40874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4" w15:restartNumberingAfterBreak="0">
    <w:nsid w:val="515C025B"/>
    <w:multiLevelType w:val="multilevel"/>
    <w:tmpl w:val="35567D10"/>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5" w15:restartNumberingAfterBreak="0">
    <w:nsid w:val="536F00A8"/>
    <w:multiLevelType w:val="hybridMultilevel"/>
    <w:tmpl w:val="A9ACA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8C47EE"/>
    <w:multiLevelType w:val="multilevel"/>
    <w:tmpl w:val="6264027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7" w15:restartNumberingAfterBreak="0">
    <w:nsid w:val="6F64194D"/>
    <w:multiLevelType w:val="hybridMultilevel"/>
    <w:tmpl w:val="CA5CC014"/>
    <w:lvl w:ilvl="0" w:tplc="021AF8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B256C9"/>
    <w:multiLevelType w:val="multilevel"/>
    <w:tmpl w:val="35C4F82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9" w15:restartNumberingAfterBreak="0">
    <w:nsid w:val="726F66D1"/>
    <w:multiLevelType w:val="hybridMultilevel"/>
    <w:tmpl w:val="4D72A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952220"/>
    <w:multiLevelType w:val="hybridMultilevel"/>
    <w:tmpl w:val="77986AD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D9D323B"/>
    <w:multiLevelType w:val="hybridMultilevel"/>
    <w:tmpl w:val="628A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3"/>
  </w:num>
  <w:num w:numId="3">
    <w:abstractNumId w:val="16"/>
  </w:num>
  <w:num w:numId="4">
    <w:abstractNumId w:val="2"/>
  </w:num>
  <w:num w:numId="5">
    <w:abstractNumId w:val="10"/>
  </w:num>
  <w:num w:numId="6">
    <w:abstractNumId w:val="1"/>
  </w:num>
  <w:num w:numId="7">
    <w:abstractNumId w:val="5"/>
  </w:num>
  <w:num w:numId="8">
    <w:abstractNumId w:val="18"/>
  </w:num>
  <w:num w:numId="9">
    <w:abstractNumId w:val="8"/>
  </w:num>
  <w:num w:numId="10">
    <w:abstractNumId w:val="4"/>
  </w:num>
  <w:num w:numId="11">
    <w:abstractNumId w:val="14"/>
  </w:num>
  <w:num w:numId="12">
    <w:abstractNumId w:val="17"/>
  </w:num>
  <w:num w:numId="13">
    <w:abstractNumId w:val="7"/>
  </w:num>
  <w:num w:numId="14">
    <w:abstractNumId w:val="20"/>
  </w:num>
  <w:num w:numId="15">
    <w:abstractNumId w:val="11"/>
  </w:num>
  <w:num w:numId="16">
    <w:abstractNumId w:val="0"/>
  </w:num>
  <w:num w:numId="17">
    <w:abstractNumId w:val="15"/>
  </w:num>
  <w:num w:numId="18">
    <w:abstractNumId w:val="3"/>
  </w:num>
  <w:num w:numId="19">
    <w:abstractNumId w:val="6"/>
  </w:num>
  <w:num w:numId="20">
    <w:abstractNumId w:val="12"/>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55"/>
    <w:rsid w:val="0000390A"/>
    <w:rsid w:val="00015717"/>
    <w:rsid w:val="00020066"/>
    <w:rsid w:val="00023BA5"/>
    <w:rsid w:val="0002673B"/>
    <w:rsid w:val="00027B0A"/>
    <w:rsid w:val="0003220C"/>
    <w:rsid w:val="00032AD5"/>
    <w:rsid w:val="000340B8"/>
    <w:rsid w:val="000361EE"/>
    <w:rsid w:val="0004345B"/>
    <w:rsid w:val="00043481"/>
    <w:rsid w:val="000510E9"/>
    <w:rsid w:val="00055A17"/>
    <w:rsid w:val="000569E4"/>
    <w:rsid w:val="00056EAF"/>
    <w:rsid w:val="00060055"/>
    <w:rsid w:val="00060C31"/>
    <w:rsid w:val="00062DB2"/>
    <w:rsid w:val="00066A44"/>
    <w:rsid w:val="00066CA2"/>
    <w:rsid w:val="00070B52"/>
    <w:rsid w:val="00074603"/>
    <w:rsid w:val="00080D1B"/>
    <w:rsid w:val="000816C7"/>
    <w:rsid w:val="00085136"/>
    <w:rsid w:val="000864CE"/>
    <w:rsid w:val="0009453E"/>
    <w:rsid w:val="00096A54"/>
    <w:rsid w:val="00097158"/>
    <w:rsid w:val="000A1CB7"/>
    <w:rsid w:val="000A367D"/>
    <w:rsid w:val="000A3749"/>
    <w:rsid w:val="000C5555"/>
    <w:rsid w:val="000C55E4"/>
    <w:rsid w:val="000C57B1"/>
    <w:rsid w:val="000C7DB8"/>
    <w:rsid w:val="000D0917"/>
    <w:rsid w:val="000D4C7B"/>
    <w:rsid w:val="000E0EB2"/>
    <w:rsid w:val="000E1C45"/>
    <w:rsid w:val="000E3902"/>
    <w:rsid w:val="000E3D91"/>
    <w:rsid w:val="000F43E8"/>
    <w:rsid w:val="00100BDD"/>
    <w:rsid w:val="00102D6B"/>
    <w:rsid w:val="0010369F"/>
    <w:rsid w:val="00103B9E"/>
    <w:rsid w:val="00106D70"/>
    <w:rsid w:val="0011267E"/>
    <w:rsid w:val="00112D5D"/>
    <w:rsid w:val="001160D7"/>
    <w:rsid w:val="00120FEB"/>
    <w:rsid w:val="00125BFA"/>
    <w:rsid w:val="00126EFF"/>
    <w:rsid w:val="00126F7A"/>
    <w:rsid w:val="00127895"/>
    <w:rsid w:val="00131874"/>
    <w:rsid w:val="00132021"/>
    <w:rsid w:val="00141D2A"/>
    <w:rsid w:val="00144F97"/>
    <w:rsid w:val="00145667"/>
    <w:rsid w:val="00146DA2"/>
    <w:rsid w:val="00147D1E"/>
    <w:rsid w:val="00151363"/>
    <w:rsid w:val="00156F7B"/>
    <w:rsid w:val="00162253"/>
    <w:rsid w:val="00162D22"/>
    <w:rsid w:val="00164F5E"/>
    <w:rsid w:val="00177178"/>
    <w:rsid w:val="0018088B"/>
    <w:rsid w:val="0018303A"/>
    <w:rsid w:val="00185F7E"/>
    <w:rsid w:val="00187748"/>
    <w:rsid w:val="00195C9C"/>
    <w:rsid w:val="001A2780"/>
    <w:rsid w:val="001A4121"/>
    <w:rsid w:val="001A43A7"/>
    <w:rsid w:val="001C539B"/>
    <w:rsid w:val="001D110D"/>
    <w:rsid w:val="001D12C5"/>
    <w:rsid w:val="001D1353"/>
    <w:rsid w:val="001D3A50"/>
    <w:rsid w:val="001D54CD"/>
    <w:rsid w:val="001D54E9"/>
    <w:rsid w:val="001D6C5E"/>
    <w:rsid w:val="001D7A5A"/>
    <w:rsid w:val="001E12E5"/>
    <w:rsid w:val="001E1F74"/>
    <w:rsid w:val="001E746E"/>
    <w:rsid w:val="001F6A3A"/>
    <w:rsid w:val="001F6CF2"/>
    <w:rsid w:val="0020640B"/>
    <w:rsid w:val="002073D9"/>
    <w:rsid w:val="0021327F"/>
    <w:rsid w:val="00220B8C"/>
    <w:rsid w:val="00226A10"/>
    <w:rsid w:val="00226BDE"/>
    <w:rsid w:val="002328D9"/>
    <w:rsid w:val="00233B6D"/>
    <w:rsid w:val="00253A66"/>
    <w:rsid w:val="0025543B"/>
    <w:rsid w:val="002626E1"/>
    <w:rsid w:val="00262AFA"/>
    <w:rsid w:val="00264851"/>
    <w:rsid w:val="002659CF"/>
    <w:rsid w:val="00265A64"/>
    <w:rsid w:val="00266621"/>
    <w:rsid w:val="00266A8B"/>
    <w:rsid w:val="00266C5F"/>
    <w:rsid w:val="00267206"/>
    <w:rsid w:val="002752E7"/>
    <w:rsid w:val="002760BC"/>
    <w:rsid w:val="00277A2F"/>
    <w:rsid w:val="00280BE0"/>
    <w:rsid w:val="00284ED3"/>
    <w:rsid w:val="00285A65"/>
    <w:rsid w:val="00286C37"/>
    <w:rsid w:val="002905A4"/>
    <w:rsid w:val="00291DA0"/>
    <w:rsid w:val="00296388"/>
    <w:rsid w:val="002A1C1E"/>
    <w:rsid w:val="002A2A60"/>
    <w:rsid w:val="002A3095"/>
    <w:rsid w:val="002B1393"/>
    <w:rsid w:val="002B30E2"/>
    <w:rsid w:val="002B5998"/>
    <w:rsid w:val="002B726D"/>
    <w:rsid w:val="002C0B9C"/>
    <w:rsid w:val="002C29E3"/>
    <w:rsid w:val="002D32BD"/>
    <w:rsid w:val="002D37D5"/>
    <w:rsid w:val="002D4A12"/>
    <w:rsid w:val="002E11E7"/>
    <w:rsid w:val="002E2DD0"/>
    <w:rsid w:val="002E7D66"/>
    <w:rsid w:val="002F293C"/>
    <w:rsid w:val="002F2B72"/>
    <w:rsid w:val="003010DE"/>
    <w:rsid w:val="00306EBF"/>
    <w:rsid w:val="003113A7"/>
    <w:rsid w:val="00314572"/>
    <w:rsid w:val="00320CC7"/>
    <w:rsid w:val="00320E5C"/>
    <w:rsid w:val="003270EF"/>
    <w:rsid w:val="0033017F"/>
    <w:rsid w:val="00331981"/>
    <w:rsid w:val="00333767"/>
    <w:rsid w:val="00333FBA"/>
    <w:rsid w:val="00336DBF"/>
    <w:rsid w:val="00337ABE"/>
    <w:rsid w:val="003471DB"/>
    <w:rsid w:val="00353E56"/>
    <w:rsid w:val="0035626C"/>
    <w:rsid w:val="00357E7D"/>
    <w:rsid w:val="0036084C"/>
    <w:rsid w:val="003673C9"/>
    <w:rsid w:val="003673E3"/>
    <w:rsid w:val="00367EA3"/>
    <w:rsid w:val="003733DD"/>
    <w:rsid w:val="00373F36"/>
    <w:rsid w:val="00376C78"/>
    <w:rsid w:val="00377089"/>
    <w:rsid w:val="003861A2"/>
    <w:rsid w:val="00397258"/>
    <w:rsid w:val="003A1ECA"/>
    <w:rsid w:val="003A3717"/>
    <w:rsid w:val="003A48BB"/>
    <w:rsid w:val="003C0E80"/>
    <w:rsid w:val="003C4484"/>
    <w:rsid w:val="003D349A"/>
    <w:rsid w:val="003D49B2"/>
    <w:rsid w:val="003D6376"/>
    <w:rsid w:val="003D6D52"/>
    <w:rsid w:val="003E1737"/>
    <w:rsid w:val="003E374E"/>
    <w:rsid w:val="003E481F"/>
    <w:rsid w:val="00406C76"/>
    <w:rsid w:val="00411825"/>
    <w:rsid w:val="00420A31"/>
    <w:rsid w:val="0042251A"/>
    <w:rsid w:val="004229ED"/>
    <w:rsid w:val="00424973"/>
    <w:rsid w:val="00426FE1"/>
    <w:rsid w:val="00427BC2"/>
    <w:rsid w:val="00431D8B"/>
    <w:rsid w:val="00432A25"/>
    <w:rsid w:val="00432B8E"/>
    <w:rsid w:val="00434849"/>
    <w:rsid w:val="00440310"/>
    <w:rsid w:val="00441FB1"/>
    <w:rsid w:val="0044502B"/>
    <w:rsid w:val="00445557"/>
    <w:rsid w:val="00454223"/>
    <w:rsid w:val="004567FF"/>
    <w:rsid w:val="00460225"/>
    <w:rsid w:val="0046102A"/>
    <w:rsid w:val="00461BB2"/>
    <w:rsid w:val="00463BE4"/>
    <w:rsid w:val="00467BFF"/>
    <w:rsid w:val="00470C55"/>
    <w:rsid w:val="0047165B"/>
    <w:rsid w:val="004758E0"/>
    <w:rsid w:val="004760CF"/>
    <w:rsid w:val="00477820"/>
    <w:rsid w:val="0048121D"/>
    <w:rsid w:val="0048222B"/>
    <w:rsid w:val="00483CA9"/>
    <w:rsid w:val="00484E4E"/>
    <w:rsid w:val="004854CD"/>
    <w:rsid w:val="0048602D"/>
    <w:rsid w:val="004861EB"/>
    <w:rsid w:val="00487C53"/>
    <w:rsid w:val="00487C7F"/>
    <w:rsid w:val="00493812"/>
    <w:rsid w:val="004A053A"/>
    <w:rsid w:val="004A07D1"/>
    <w:rsid w:val="004A15F2"/>
    <w:rsid w:val="004A4694"/>
    <w:rsid w:val="004B0F67"/>
    <w:rsid w:val="004B2CCD"/>
    <w:rsid w:val="004B311E"/>
    <w:rsid w:val="004B5496"/>
    <w:rsid w:val="004C13EA"/>
    <w:rsid w:val="004C5275"/>
    <w:rsid w:val="004C6D7F"/>
    <w:rsid w:val="004D05EA"/>
    <w:rsid w:val="004D090D"/>
    <w:rsid w:val="004D2966"/>
    <w:rsid w:val="004D32B6"/>
    <w:rsid w:val="004D5DBE"/>
    <w:rsid w:val="004E25FE"/>
    <w:rsid w:val="004E2862"/>
    <w:rsid w:val="004E3BDE"/>
    <w:rsid w:val="004E4138"/>
    <w:rsid w:val="004E6E09"/>
    <w:rsid w:val="004F36E8"/>
    <w:rsid w:val="004F609E"/>
    <w:rsid w:val="0050521A"/>
    <w:rsid w:val="0051601C"/>
    <w:rsid w:val="00521DA9"/>
    <w:rsid w:val="00522A3B"/>
    <w:rsid w:val="00523867"/>
    <w:rsid w:val="00524F33"/>
    <w:rsid w:val="00527354"/>
    <w:rsid w:val="00530A3C"/>
    <w:rsid w:val="00536E6E"/>
    <w:rsid w:val="005372AA"/>
    <w:rsid w:val="005374F1"/>
    <w:rsid w:val="00537577"/>
    <w:rsid w:val="00540C69"/>
    <w:rsid w:val="00542A04"/>
    <w:rsid w:val="00554C30"/>
    <w:rsid w:val="00563EBC"/>
    <w:rsid w:val="00570915"/>
    <w:rsid w:val="005767F0"/>
    <w:rsid w:val="00580958"/>
    <w:rsid w:val="00580C3B"/>
    <w:rsid w:val="005836DD"/>
    <w:rsid w:val="0058533B"/>
    <w:rsid w:val="00593B95"/>
    <w:rsid w:val="005940F1"/>
    <w:rsid w:val="005A4E69"/>
    <w:rsid w:val="005B06B8"/>
    <w:rsid w:val="005B1F8F"/>
    <w:rsid w:val="005B3891"/>
    <w:rsid w:val="005B5ACF"/>
    <w:rsid w:val="005C0646"/>
    <w:rsid w:val="005C1649"/>
    <w:rsid w:val="005C492E"/>
    <w:rsid w:val="005D012C"/>
    <w:rsid w:val="005D2E30"/>
    <w:rsid w:val="005D49E7"/>
    <w:rsid w:val="005D52F1"/>
    <w:rsid w:val="005E4089"/>
    <w:rsid w:val="005E4CE3"/>
    <w:rsid w:val="005E51C7"/>
    <w:rsid w:val="005E52AC"/>
    <w:rsid w:val="005E7952"/>
    <w:rsid w:val="005F75B4"/>
    <w:rsid w:val="00600FB4"/>
    <w:rsid w:val="00602D4E"/>
    <w:rsid w:val="00603E99"/>
    <w:rsid w:val="00604396"/>
    <w:rsid w:val="006065DF"/>
    <w:rsid w:val="00610586"/>
    <w:rsid w:val="006245FA"/>
    <w:rsid w:val="00625350"/>
    <w:rsid w:val="0062550F"/>
    <w:rsid w:val="00626012"/>
    <w:rsid w:val="006325D5"/>
    <w:rsid w:val="00634B9D"/>
    <w:rsid w:val="00634EEC"/>
    <w:rsid w:val="00635114"/>
    <w:rsid w:val="006353AB"/>
    <w:rsid w:val="00642B37"/>
    <w:rsid w:val="00644AB0"/>
    <w:rsid w:val="0064680B"/>
    <w:rsid w:val="00650CE1"/>
    <w:rsid w:val="00653971"/>
    <w:rsid w:val="00660137"/>
    <w:rsid w:val="006607FF"/>
    <w:rsid w:val="0066107C"/>
    <w:rsid w:val="00661362"/>
    <w:rsid w:val="00663AAF"/>
    <w:rsid w:val="00663B36"/>
    <w:rsid w:val="00665A73"/>
    <w:rsid w:val="0066740F"/>
    <w:rsid w:val="00671B06"/>
    <w:rsid w:val="00672E7C"/>
    <w:rsid w:val="0067306D"/>
    <w:rsid w:val="00673257"/>
    <w:rsid w:val="0067602E"/>
    <w:rsid w:val="00677B23"/>
    <w:rsid w:val="00682341"/>
    <w:rsid w:val="006825D8"/>
    <w:rsid w:val="006B0C07"/>
    <w:rsid w:val="006B0DEF"/>
    <w:rsid w:val="006C0EB8"/>
    <w:rsid w:val="006C30BA"/>
    <w:rsid w:val="006C3ACE"/>
    <w:rsid w:val="006C4729"/>
    <w:rsid w:val="006E0984"/>
    <w:rsid w:val="006E33E8"/>
    <w:rsid w:val="006E5E05"/>
    <w:rsid w:val="006E7070"/>
    <w:rsid w:val="006F36AB"/>
    <w:rsid w:val="006F6658"/>
    <w:rsid w:val="006F6C82"/>
    <w:rsid w:val="00702578"/>
    <w:rsid w:val="007034AB"/>
    <w:rsid w:val="00733388"/>
    <w:rsid w:val="0074061C"/>
    <w:rsid w:val="0075076B"/>
    <w:rsid w:val="007516BE"/>
    <w:rsid w:val="007549C6"/>
    <w:rsid w:val="00755168"/>
    <w:rsid w:val="007623F5"/>
    <w:rsid w:val="00764D61"/>
    <w:rsid w:val="00765781"/>
    <w:rsid w:val="00766B04"/>
    <w:rsid w:val="00766F8D"/>
    <w:rsid w:val="00771498"/>
    <w:rsid w:val="007724D5"/>
    <w:rsid w:val="007756E0"/>
    <w:rsid w:val="0078298F"/>
    <w:rsid w:val="00795D7C"/>
    <w:rsid w:val="00795DD9"/>
    <w:rsid w:val="007A0B96"/>
    <w:rsid w:val="007A17FD"/>
    <w:rsid w:val="007A3FA5"/>
    <w:rsid w:val="007A4B59"/>
    <w:rsid w:val="007B0517"/>
    <w:rsid w:val="007B0A67"/>
    <w:rsid w:val="007B7B02"/>
    <w:rsid w:val="007B7C1C"/>
    <w:rsid w:val="007C07FD"/>
    <w:rsid w:val="007C26A0"/>
    <w:rsid w:val="007C2903"/>
    <w:rsid w:val="007C3331"/>
    <w:rsid w:val="007C641A"/>
    <w:rsid w:val="007C7B23"/>
    <w:rsid w:val="007D09CB"/>
    <w:rsid w:val="007D197A"/>
    <w:rsid w:val="007D7438"/>
    <w:rsid w:val="007E379F"/>
    <w:rsid w:val="007E3B0B"/>
    <w:rsid w:val="007F2F57"/>
    <w:rsid w:val="007F31F1"/>
    <w:rsid w:val="0080431C"/>
    <w:rsid w:val="00807BB1"/>
    <w:rsid w:val="00811CC5"/>
    <w:rsid w:val="00820CA3"/>
    <w:rsid w:val="00820E35"/>
    <w:rsid w:val="0082119B"/>
    <w:rsid w:val="00821795"/>
    <w:rsid w:val="00830AD6"/>
    <w:rsid w:val="00833A87"/>
    <w:rsid w:val="008346F6"/>
    <w:rsid w:val="00842843"/>
    <w:rsid w:val="00842CEF"/>
    <w:rsid w:val="00845D99"/>
    <w:rsid w:val="008507DD"/>
    <w:rsid w:val="0085303A"/>
    <w:rsid w:val="00857811"/>
    <w:rsid w:val="00860AE8"/>
    <w:rsid w:val="00863378"/>
    <w:rsid w:val="008634C2"/>
    <w:rsid w:val="00870125"/>
    <w:rsid w:val="00877462"/>
    <w:rsid w:val="008806A3"/>
    <w:rsid w:val="00893ECE"/>
    <w:rsid w:val="008961CB"/>
    <w:rsid w:val="008A01F3"/>
    <w:rsid w:val="008A5737"/>
    <w:rsid w:val="008A7A77"/>
    <w:rsid w:val="008B05D1"/>
    <w:rsid w:val="008B51D8"/>
    <w:rsid w:val="008C0B8F"/>
    <w:rsid w:val="008C1B68"/>
    <w:rsid w:val="008C2D50"/>
    <w:rsid w:val="008C33E1"/>
    <w:rsid w:val="008C52A6"/>
    <w:rsid w:val="008C6036"/>
    <w:rsid w:val="008C7476"/>
    <w:rsid w:val="008D7DDB"/>
    <w:rsid w:val="008E16EB"/>
    <w:rsid w:val="008E34CA"/>
    <w:rsid w:val="008E71CC"/>
    <w:rsid w:val="008E768C"/>
    <w:rsid w:val="008F1EF7"/>
    <w:rsid w:val="008F298C"/>
    <w:rsid w:val="008F3231"/>
    <w:rsid w:val="008F64D8"/>
    <w:rsid w:val="008F6FD5"/>
    <w:rsid w:val="00901EAC"/>
    <w:rsid w:val="00902092"/>
    <w:rsid w:val="009027DA"/>
    <w:rsid w:val="00906270"/>
    <w:rsid w:val="0091223E"/>
    <w:rsid w:val="00912DAB"/>
    <w:rsid w:val="00914802"/>
    <w:rsid w:val="00916A65"/>
    <w:rsid w:val="009313E2"/>
    <w:rsid w:val="00932ECC"/>
    <w:rsid w:val="009357B5"/>
    <w:rsid w:val="00935DE1"/>
    <w:rsid w:val="009430D6"/>
    <w:rsid w:val="00943D76"/>
    <w:rsid w:val="00947557"/>
    <w:rsid w:val="00955984"/>
    <w:rsid w:val="00960106"/>
    <w:rsid w:val="00965325"/>
    <w:rsid w:val="009657CA"/>
    <w:rsid w:val="009671BA"/>
    <w:rsid w:val="009725B2"/>
    <w:rsid w:val="00972D66"/>
    <w:rsid w:val="0097724A"/>
    <w:rsid w:val="009802EC"/>
    <w:rsid w:val="0098268D"/>
    <w:rsid w:val="00987705"/>
    <w:rsid w:val="009878E0"/>
    <w:rsid w:val="00991FBC"/>
    <w:rsid w:val="00996C61"/>
    <w:rsid w:val="009A34EA"/>
    <w:rsid w:val="009A6DEF"/>
    <w:rsid w:val="009B0E9E"/>
    <w:rsid w:val="009B191F"/>
    <w:rsid w:val="009B2377"/>
    <w:rsid w:val="009B3139"/>
    <w:rsid w:val="009B3B7D"/>
    <w:rsid w:val="009B645B"/>
    <w:rsid w:val="009B70A2"/>
    <w:rsid w:val="009C1110"/>
    <w:rsid w:val="009C2814"/>
    <w:rsid w:val="009C5CA3"/>
    <w:rsid w:val="009C78C3"/>
    <w:rsid w:val="009D0D6E"/>
    <w:rsid w:val="009D31A7"/>
    <w:rsid w:val="009E015E"/>
    <w:rsid w:val="009E3603"/>
    <w:rsid w:val="009E39B6"/>
    <w:rsid w:val="009E453D"/>
    <w:rsid w:val="009E5C77"/>
    <w:rsid w:val="009F41E2"/>
    <w:rsid w:val="009F7C74"/>
    <w:rsid w:val="00A0317A"/>
    <w:rsid w:val="00A04187"/>
    <w:rsid w:val="00A0611D"/>
    <w:rsid w:val="00A104ED"/>
    <w:rsid w:val="00A11047"/>
    <w:rsid w:val="00A11407"/>
    <w:rsid w:val="00A12C3B"/>
    <w:rsid w:val="00A1495E"/>
    <w:rsid w:val="00A15A01"/>
    <w:rsid w:val="00A16E81"/>
    <w:rsid w:val="00A206CC"/>
    <w:rsid w:val="00A2160B"/>
    <w:rsid w:val="00A31A0A"/>
    <w:rsid w:val="00A336D2"/>
    <w:rsid w:val="00A34E3E"/>
    <w:rsid w:val="00A37141"/>
    <w:rsid w:val="00A3787C"/>
    <w:rsid w:val="00A37972"/>
    <w:rsid w:val="00A402A1"/>
    <w:rsid w:val="00A4147F"/>
    <w:rsid w:val="00A422E3"/>
    <w:rsid w:val="00A454D3"/>
    <w:rsid w:val="00A46690"/>
    <w:rsid w:val="00A53D37"/>
    <w:rsid w:val="00A53E58"/>
    <w:rsid w:val="00A5510A"/>
    <w:rsid w:val="00A60060"/>
    <w:rsid w:val="00A604C3"/>
    <w:rsid w:val="00A637EF"/>
    <w:rsid w:val="00A65E7C"/>
    <w:rsid w:val="00A66204"/>
    <w:rsid w:val="00A705E3"/>
    <w:rsid w:val="00A82504"/>
    <w:rsid w:val="00A84A01"/>
    <w:rsid w:val="00A856E6"/>
    <w:rsid w:val="00A85CD3"/>
    <w:rsid w:val="00A91C97"/>
    <w:rsid w:val="00A932BC"/>
    <w:rsid w:val="00A95886"/>
    <w:rsid w:val="00AA1714"/>
    <w:rsid w:val="00AA35D0"/>
    <w:rsid w:val="00AA510F"/>
    <w:rsid w:val="00AB15C3"/>
    <w:rsid w:val="00AC1794"/>
    <w:rsid w:val="00AD1CC4"/>
    <w:rsid w:val="00AD7329"/>
    <w:rsid w:val="00AF2613"/>
    <w:rsid w:val="00AF4528"/>
    <w:rsid w:val="00AF5296"/>
    <w:rsid w:val="00AF59D3"/>
    <w:rsid w:val="00B028A0"/>
    <w:rsid w:val="00B06355"/>
    <w:rsid w:val="00B130A3"/>
    <w:rsid w:val="00B13855"/>
    <w:rsid w:val="00B1471A"/>
    <w:rsid w:val="00B14D23"/>
    <w:rsid w:val="00B17E2B"/>
    <w:rsid w:val="00B21BA9"/>
    <w:rsid w:val="00B22F98"/>
    <w:rsid w:val="00B251AD"/>
    <w:rsid w:val="00B2558F"/>
    <w:rsid w:val="00B274DD"/>
    <w:rsid w:val="00B308E6"/>
    <w:rsid w:val="00B3095A"/>
    <w:rsid w:val="00B3469F"/>
    <w:rsid w:val="00B41980"/>
    <w:rsid w:val="00B4270D"/>
    <w:rsid w:val="00B50F8D"/>
    <w:rsid w:val="00B513FD"/>
    <w:rsid w:val="00B5481F"/>
    <w:rsid w:val="00B54E59"/>
    <w:rsid w:val="00B56D02"/>
    <w:rsid w:val="00B63930"/>
    <w:rsid w:val="00B654EC"/>
    <w:rsid w:val="00B73D8D"/>
    <w:rsid w:val="00B74018"/>
    <w:rsid w:val="00B81C1A"/>
    <w:rsid w:val="00B835D1"/>
    <w:rsid w:val="00B84CB4"/>
    <w:rsid w:val="00B90893"/>
    <w:rsid w:val="00B93835"/>
    <w:rsid w:val="00B93A17"/>
    <w:rsid w:val="00B9684F"/>
    <w:rsid w:val="00B978D5"/>
    <w:rsid w:val="00B97C86"/>
    <w:rsid w:val="00BA0799"/>
    <w:rsid w:val="00BA3BEF"/>
    <w:rsid w:val="00BA5189"/>
    <w:rsid w:val="00BA555C"/>
    <w:rsid w:val="00BB0091"/>
    <w:rsid w:val="00BB4534"/>
    <w:rsid w:val="00BB7C0F"/>
    <w:rsid w:val="00BC0F31"/>
    <w:rsid w:val="00BC468D"/>
    <w:rsid w:val="00BC5C4F"/>
    <w:rsid w:val="00BD057D"/>
    <w:rsid w:val="00BD1EA6"/>
    <w:rsid w:val="00BD2A55"/>
    <w:rsid w:val="00BD356A"/>
    <w:rsid w:val="00BD3609"/>
    <w:rsid w:val="00BD62F5"/>
    <w:rsid w:val="00BD676F"/>
    <w:rsid w:val="00BD7324"/>
    <w:rsid w:val="00BE0B01"/>
    <w:rsid w:val="00BE396D"/>
    <w:rsid w:val="00BE397A"/>
    <w:rsid w:val="00BE3D77"/>
    <w:rsid w:val="00BE4625"/>
    <w:rsid w:val="00BE56B9"/>
    <w:rsid w:val="00BF13EF"/>
    <w:rsid w:val="00BF2ABF"/>
    <w:rsid w:val="00BF5075"/>
    <w:rsid w:val="00C0319B"/>
    <w:rsid w:val="00C11782"/>
    <w:rsid w:val="00C117B9"/>
    <w:rsid w:val="00C128B2"/>
    <w:rsid w:val="00C12D05"/>
    <w:rsid w:val="00C15781"/>
    <w:rsid w:val="00C17B49"/>
    <w:rsid w:val="00C23E24"/>
    <w:rsid w:val="00C3189B"/>
    <w:rsid w:val="00C31E74"/>
    <w:rsid w:val="00C34542"/>
    <w:rsid w:val="00C4069E"/>
    <w:rsid w:val="00C42FF4"/>
    <w:rsid w:val="00C520E9"/>
    <w:rsid w:val="00C7265C"/>
    <w:rsid w:val="00C7269F"/>
    <w:rsid w:val="00C77AC4"/>
    <w:rsid w:val="00C83143"/>
    <w:rsid w:val="00C90F62"/>
    <w:rsid w:val="00C91B1C"/>
    <w:rsid w:val="00C9782F"/>
    <w:rsid w:val="00CA270E"/>
    <w:rsid w:val="00CA393E"/>
    <w:rsid w:val="00CA5F62"/>
    <w:rsid w:val="00CB7826"/>
    <w:rsid w:val="00CB7E9E"/>
    <w:rsid w:val="00CC2945"/>
    <w:rsid w:val="00CD21BD"/>
    <w:rsid w:val="00CD2484"/>
    <w:rsid w:val="00CE03BC"/>
    <w:rsid w:val="00CE1FED"/>
    <w:rsid w:val="00CE2344"/>
    <w:rsid w:val="00CE2943"/>
    <w:rsid w:val="00CE7DC2"/>
    <w:rsid w:val="00CF23DD"/>
    <w:rsid w:val="00D029D6"/>
    <w:rsid w:val="00D0572B"/>
    <w:rsid w:val="00D05A39"/>
    <w:rsid w:val="00D06D01"/>
    <w:rsid w:val="00D07847"/>
    <w:rsid w:val="00D11657"/>
    <w:rsid w:val="00D1417D"/>
    <w:rsid w:val="00D21E4B"/>
    <w:rsid w:val="00D22B45"/>
    <w:rsid w:val="00D336BA"/>
    <w:rsid w:val="00D35039"/>
    <w:rsid w:val="00D351A3"/>
    <w:rsid w:val="00D351C7"/>
    <w:rsid w:val="00D3748D"/>
    <w:rsid w:val="00D460A5"/>
    <w:rsid w:val="00D539DB"/>
    <w:rsid w:val="00D53C14"/>
    <w:rsid w:val="00D55CBF"/>
    <w:rsid w:val="00D64ECA"/>
    <w:rsid w:val="00D65046"/>
    <w:rsid w:val="00D65F14"/>
    <w:rsid w:val="00D702AC"/>
    <w:rsid w:val="00D72886"/>
    <w:rsid w:val="00D738AC"/>
    <w:rsid w:val="00D74D56"/>
    <w:rsid w:val="00D75CDB"/>
    <w:rsid w:val="00D806E8"/>
    <w:rsid w:val="00D87F43"/>
    <w:rsid w:val="00D9215C"/>
    <w:rsid w:val="00D979C3"/>
    <w:rsid w:val="00DA6459"/>
    <w:rsid w:val="00DA7077"/>
    <w:rsid w:val="00DB2868"/>
    <w:rsid w:val="00DB4767"/>
    <w:rsid w:val="00DC40A2"/>
    <w:rsid w:val="00DC6AAB"/>
    <w:rsid w:val="00DC6F01"/>
    <w:rsid w:val="00DC7956"/>
    <w:rsid w:val="00DD3B75"/>
    <w:rsid w:val="00DD528B"/>
    <w:rsid w:val="00DD6C7A"/>
    <w:rsid w:val="00DE33DA"/>
    <w:rsid w:val="00DE4935"/>
    <w:rsid w:val="00DE5D11"/>
    <w:rsid w:val="00DF2A51"/>
    <w:rsid w:val="00DF34C8"/>
    <w:rsid w:val="00E012E7"/>
    <w:rsid w:val="00E024ED"/>
    <w:rsid w:val="00E04936"/>
    <w:rsid w:val="00E13865"/>
    <w:rsid w:val="00E13FE4"/>
    <w:rsid w:val="00E163F4"/>
    <w:rsid w:val="00E169A2"/>
    <w:rsid w:val="00E22991"/>
    <w:rsid w:val="00E229EC"/>
    <w:rsid w:val="00E24E29"/>
    <w:rsid w:val="00E32C75"/>
    <w:rsid w:val="00E33EC6"/>
    <w:rsid w:val="00E47429"/>
    <w:rsid w:val="00E52887"/>
    <w:rsid w:val="00E55A91"/>
    <w:rsid w:val="00E67CA1"/>
    <w:rsid w:val="00E76108"/>
    <w:rsid w:val="00E7772A"/>
    <w:rsid w:val="00E856E3"/>
    <w:rsid w:val="00E97B5C"/>
    <w:rsid w:val="00EA2320"/>
    <w:rsid w:val="00EA4D89"/>
    <w:rsid w:val="00EA7805"/>
    <w:rsid w:val="00EB51E9"/>
    <w:rsid w:val="00EB780F"/>
    <w:rsid w:val="00EC0B60"/>
    <w:rsid w:val="00EC1409"/>
    <w:rsid w:val="00EC43C6"/>
    <w:rsid w:val="00EC5880"/>
    <w:rsid w:val="00EC680E"/>
    <w:rsid w:val="00ED1D10"/>
    <w:rsid w:val="00ED2036"/>
    <w:rsid w:val="00ED29A4"/>
    <w:rsid w:val="00ED6CB6"/>
    <w:rsid w:val="00EE0A5C"/>
    <w:rsid w:val="00EE3C71"/>
    <w:rsid w:val="00EE642F"/>
    <w:rsid w:val="00EF1A49"/>
    <w:rsid w:val="00EF4F0A"/>
    <w:rsid w:val="00EF5EEF"/>
    <w:rsid w:val="00EF7FE1"/>
    <w:rsid w:val="00F02B78"/>
    <w:rsid w:val="00F0534E"/>
    <w:rsid w:val="00F06FA3"/>
    <w:rsid w:val="00F111C8"/>
    <w:rsid w:val="00F140F9"/>
    <w:rsid w:val="00F14C4E"/>
    <w:rsid w:val="00F17AF4"/>
    <w:rsid w:val="00F21EA9"/>
    <w:rsid w:val="00F22B62"/>
    <w:rsid w:val="00F2598B"/>
    <w:rsid w:val="00F31F9B"/>
    <w:rsid w:val="00F3219D"/>
    <w:rsid w:val="00F3319B"/>
    <w:rsid w:val="00F35507"/>
    <w:rsid w:val="00F3659E"/>
    <w:rsid w:val="00F371AB"/>
    <w:rsid w:val="00F375B4"/>
    <w:rsid w:val="00F37DA1"/>
    <w:rsid w:val="00F40188"/>
    <w:rsid w:val="00F459BF"/>
    <w:rsid w:val="00F45F2D"/>
    <w:rsid w:val="00F52848"/>
    <w:rsid w:val="00F53D22"/>
    <w:rsid w:val="00F56885"/>
    <w:rsid w:val="00F56A10"/>
    <w:rsid w:val="00F61207"/>
    <w:rsid w:val="00F6352E"/>
    <w:rsid w:val="00F64C55"/>
    <w:rsid w:val="00F70FE6"/>
    <w:rsid w:val="00F721D4"/>
    <w:rsid w:val="00F7490A"/>
    <w:rsid w:val="00F75951"/>
    <w:rsid w:val="00F77722"/>
    <w:rsid w:val="00F81E40"/>
    <w:rsid w:val="00F8369A"/>
    <w:rsid w:val="00F85DFF"/>
    <w:rsid w:val="00F86873"/>
    <w:rsid w:val="00F87A3B"/>
    <w:rsid w:val="00F87F31"/>
    <w:rsid w:val="00F953A1"/>
    <w:rsid w:val="00FA3F29"/>
    <w:rsid w:val="00FA61B8"/>
    <w:rsid w:val="00FB0092"/>
    <w:rsid w:val="00FB07FB"/>
    <w:rsid w:val="00FB37A4"/>
    <w:rsid w:val="00FB39D1"/>
    <w:rsid w:val="00FB5E45"/>
    <w:rsid w:val="00FC07BD"/>
    <w:rsid w:val="00FC251F"/>
    <w:rsid w:val="00FD1DD3"/>
    <w:rsid w:val="00FD2AA9"/>
    <w:rsid w:val="00FD523D"/>
    <w:rsid w:val="00FD5DC5"/>
    <w:rsid w:val="00FD6FAD"/>
    <w:rsid w:val="00FE3B3B"/>
    <w:rsid w:val="00FE6BF9"/>
    <w:rsid w:val="00FE6D30"/>
    <w:rsid w:val="00FF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84B37"/>
  <w15:docId w15:val="{F667FCC9-CF44-4639-9D7B-34934E32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702AC"/>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DC6F01"/>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DC6F01"/>
    <w:rPr>
      <w:rFonts w:ascii="Arial" w:eastAsia="Arial" w:hAnsi="Arial" w:cs="Arial"/>
      <w:b/>
      <w:bCs/>
      <w:color w:val="2E5395"/>
      <w:sz w:val="20"/>
      <w:szCs w:val="20"/>
    </w:rPr>
  </w:style>
  <w:style w:type="paragraph" w:styleId="Revision">
    <w:name w:val="Revision"/>
    <w:hidden/>
    <w:uiPriority w:val="99"/>
    <w:semiHidden/>
    <w:rsid w:val="00A31A0A"/>
    <w:pPr>
      <w:widowControl/>
    </w:pPr>
  </w:style>
  <w:style w:type="paragraph" w:styleId="NormalWeb">
    <w:name w:val="Normal (Web)"/>
    <w:basedOn w:val="Normal"/>
    <w:uiPriority w:val="99"/>
    <w:semiHidden/>
    <w:unhideWhenUsed/>
    <w:rsid w:val="007E3B0B"/>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1932">
      <w:bodyDiv w:val="1"/>
      <w:marLeft w:val="0"/>
      <w:marRight w:val="0"/>
      <w:marTop w:val="0"/>
      <w:marBottom w:val="0"/>
      <w:divBdr>
        <w:top w:val="none" w:sz="0" w:space="0" w:color="auto"/>
        <w:left w:val="none" w:sz="0" w:space="0" w:color="auto"/>
        <w:bottom w:val="none" w:sz="0" w:space="0" w:color="auto"/>
        <w:right w:val="none" w:sz="0" w:space="0" w:color="auto"/>
      </w:divBdr>
    </w:div>
    <w:div w:id="626551474">
      <w:bodyDiv w:val="1"/>
      <w:marLeft w:val="0"/>
      <w:marRight w:val="0"/>
      <w:marTop w:val="0"/>
      <w:marBottom w:val="0"/>
      <w:divBdr>
        <w:top w:val="none" w:sz="0" w:space="0" w:color="auto"/>
        <w:left w:val="none" w:sz="0" w:space="0" w:color="auto"/>
        <w:bottom w:val="none" w:sz="0" w:space="0" w:color="auto"/>
        <w:right w:val="none" w:sz="0" w:space="0" w:color="auto"/>
      </w:divBdr>
      <w:divsChild>
        <w:div w:id="1381633210">
          <w:marLeft w:val="0"/>
          <w:marRight w:val="0"/>
          <w:marTop w:val="0"/>
          <w:marBottom w:val="0"/>
          <w:divBdr>
            <w:top w:val="none" w:sz="0" w:space="0" w:color="auto"/>
            <w:left w:val="none" w:sz="0" w:space="0" w:color="auto"/>
            <w:bottom w:val="none" w:sz="0" w:space="0" w:color="auto"/>
            <w:right w:val="none" w:sz="0" w:space="0" w:color="auto"/>
          </w:divBdr>
          <w:divsChild>
            <w:div w:id="8605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48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fr.federalregister.gov/current/title-50/chapter-VI/part-679/subpart-E/section-679.55" TargetMode="External"/><Relationship Id="rId18" Type="http://schemas.openxmlformats.org/officeDocument/2006/relationships/hyperlink" Target="https://ecfr.federalregister.gov/current/title-50/chapter-VI/part-679/subpart-G/section-679.85" TargetMode="External"/><Relationship Id="rId26" Type="http://schemas.openxmlformats.org/officeDocument/2006/relationships/hyperlink" Target="https://ecfr.federalregister.gov/current/title-50/chapter-VI/part-679/subpart-A/section-679.5" TargetMode="External"/><Relationship Id="rId39" Type="http://schemas.openxmlformats.org/officeDocument/2006/relationships/hyperlink" Target="https://www.fisheries.noaa.gov/alaska/commercial-fishing/cost-recovery-programs-fee-collection-and-fee-payment-alaska" TargetMode="External"/><Relationship Id="rId21" Type="http://schemas.openxmlformats.org/officeDocument/2006/relationships/hyperlink" Target="https://ecfr.federalregister.gov/current/title-50/chapter-VI/part-679/subpart-F/section-679.67" TargetMode="External"/><Relationship Id="rId34" Type="http://schemas.openxmlformats.org/officeDocument/2006/relationships/hyperlink" Target="https://alaskafisheries.noaa.gov/webapps/efish/login" TargetMode="External"/><Relationship Id="rId42" Type="http://schemas.openxmlformats.org/officeDocument/2006/relationships/hyperlink" Target="https://media.fisheries.noaa.gov/dam-migration/ifq-registered-buyer-ex-vessel-value-and-volume-report.pdf" TargetMode="External"/><Relationship Id="rId47" Type="http://schemas.openxmlformats.org/officeDocument/2006/relationships/hyperlink" Target="https://elandings.atlassian.net/wiki/spaces/doc/pages/31096857/eFISH+Web+Application" TargetMode="External"/><Relationship Id="rId50" Type="http://schemas.openxmlformats.org/officeDocument/2006/relationships/hyperlink" Target="http://www.osec.doc.gov/opog/PrivacyAct/SORNs/noaa-19.html" TargetMode="External"/><Relationship Id="rId55" Type="http://schemas.openxmlformats.org/officeDocument/2006/relationships/hyperlink" Target="http://www.gpo.gov/fdsys/pkg/CFR-2014-title5-vol3/pdf/CFR-2014-title5-vol3-sec1320-9.pdf" TargetMode="External"/><Relationship Id="rId7" Type="http://schemas.openxmlformats.org/officeDocument/2006/relationships/footnotes" Target="footnotes.xml"/><Relationship Id="rId12" Type="http://schemas.openxmlformats.org/officeDocument/2006/relationships/hyperlink" Target="https://www.fisheries.noaa.gov/alaska/fisheries-observers/north-pacific-observer-program" TargetMode="External"/><Relationship Id="rId17" Type="http://schemas.openxmlformats.org/officeDocument/2006/relationships/hyperlink" Target="https://ecfr.federalregister.gov/current/title-50/chapter-VI/part-680/subpart-C/section-680.44" TargetMode="External"/><Relationship Id="rId25" Type="http://schemas.openxmlformats.org/officeDocument/2006/relationships/hyperlink" Target="https://ecfr.federalregister.gov/current/title-50/chapter-VI/part-680/subpart-A/section-680.5" TargetMode="External"/><Relationship Id="rId33" Type="http://schemas.openxmlformats.org/officeDocument/2006/relationships/footer" Target="footer1.xml"/><Relationship Id="rId38" Type="http://schemas.openxmlformats.org/officeDocument/2006/relationships/hyperlink" Target="https://www.fisheries.noaa.gov/alaska/commercial-fishing/observer-fee-collection-and-payment-north-pacific-groundfish-and-halibut" TargetMode="External"/><Relationship Id="rId46" Type="http://schemas.openxmlformats.org/officeDocument/2006/relationships/hyperlink" Target="https://www.fisheries.noaa.gov/resource/document/user-guides-efish-online-services"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fr.federalregister.gov/current/title-50/chapter-VI/part-680/subpart-A/section-680.5" TargetMode="External"/><Relationship Id="rId20" Type="http://schemas.openxmlformats.org/officeDocument/2006/relationships/hyperlink" Target="https://ecfr.federalregister.gov/current/title-50/chapter-VI/part-679/subpart-F/section-679.66" TargetMode="External"/><Relationship Id="rId29" Type="http://schemas.openxmlformats.org/officeDocument/2006/relationships/hyperlink" Target="https://ecfr.federalregister.gov/current/title-50/chapter-VI/part-679/subpart-A/section-679.5" TargetMode="External"/><Relationship Id="rId41" Type="http://schemas.openxmlformats.org/officeDocument/2006/relationships/hyperlink" Target="https://www.fisheries.noaa.gov/alaska/commercial-fishing/cost-recovery-programs-fee-collection-and-fee-payment-alaska" TargetMode="External"/><Relationship Id="rId54" Type="http://schemas.openxmlformats.org/officeDocument/2006/relationships/hyperlink" Target="https://www.fisheries.noaa.gov/national/rules-and-regulations/appea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documents/2020/07/10/2020-13775/fisheries-of-the-exclusive-economic-zone-off-alaska-adjust-the-north-pacific-observer-program-fee" TargetMode="External"/><Relationship Id="rId24" Type="http://schemas.openxmlformats.org/officeDocument/2006/relationships/hyperlink" Target="https://ecfr.federalregister.gov/current/title-50/chapter-VI/part-679/subpart-A/section-679.5" TargetMode="External"/><Relationship Id="rId32" Type="http://schemas.openxmlformats.org/officeDocument/2006/relationships/hyperlink" Target="https://alaskafisheries.noaa.gov/webapps/efish/login" TargetMode="External"/><Relationship Id="rId37" Type="http://schemas.openxmlformats.org/officeDocument/2006/relationships/hyperlink" Target="https://www.cio.noaa.gov/services_programs/IQ_Guidelines_103014.html" TargetMode="External"/><Relationship Id="rId40" Type="http://schemas.openxmlformats.org/officeDocument/2006/relationships/hyperlink" Target="https://www.govinfo.gov/content/pkg/FR-2016-04-22/pdf/2016-09308.pdf" TargetMode="External"/><Relationship Id="rId45" Type="http://schemas.openxmlformats.org/officeDocument/2006/relationships/hyperlink" Target="https://www.fisheries.noaa.gov/resource/document/user-guides-efish-online-services" TargetMode="External"/><Relationship Id="rId53" Type="http://schemas.openxmlformats.org/officeDocument/2006/relationships/hyperlink" Target="https://www.bls.gov/oes/current/oes_ak.htm" TargetMode="External"/><Relationship Id="rId58" Type="http://schemas.openxmlformats.org/officeDocument/2006/relationships/hyperlink" Target="http://www.gpo.gov/fdsys/pkg/CFR-2014-title5-vol3/pdf/CFR-2014-title5-vol3-sec1320-8.pdf" TargetMode="External"/><Relationship Id="rId5" Type="http://schemas.openxmlformats.org/officeDocument/2006/relationships/settings" Target="settings.xml"/><Relationship Id="rId15" Type="http://schemas.openxmlformats.org/officeDocument/2006/relationships/hyperlink" Target="https://ecfr.federalregister.gov/current/title-50/chapter-VI/part-679/subpart-D/section-679.45" TargetMode="External"/><Relationship Id="rId23" Type="http://schemas.openxmlformats.org/officeDocument/2006/relationships/hyperlink" Target="https://ecfr.federalregister.gov/current/title-50/chapter-VI/part-679/subpart-H/section-679.95" TargetMode="External"/><Relationship Id="rId28" Type="http://schemas.openxmlformats.org/officeDocument/2006/relationships/hyperlink" Target="https://ecfr.federalregister.gov/current/title-50/chapter-VI/part-679/subpart-A/section-679.5" TargetMode="External"/><Relationship Id="rId36" Type="http://schemas.openxmlformats.org/officeDocument/2006/relationships/hyperlink" Target="http://www.fws.gov/informationquality/section515.html" TargetMode="External"/><Relationship Id="rId49" Type="http://schemas.openxmlformats.org/officeDocument/2006/relationships/hyperlink" Target="https://www.noaa.gov/organization/administration/nao-216-100-protection-of-confidential-fisheries-statistics" TargetMode="External"/><Relationship Id="rId57" Type="http://schemas.openxmlformats.org/officeDocument/2006/relationships/hyperlink" Target="http://www.gpo.gov/fdsys/pkg/CFR-2014-title5-vol3/pdf/CFR-2014-title5-vol3-sec1320-8.pdf" TargetMode="External"/><Relationship Id="rId10" Type="http://schemas.openxmlformats.org/officeDocument/2006/relationships/hyperlink" Target="https://www.fisheries.noaa.gov/alaska/commercial-fishing/cost-recovery-programs-fee-collection-and-fee-payment-alaska" TargetMode="External"/><Relationship Id="rId19" Type="http://schemas.openxmlformats.org/officeDocument/2006/relationships/hyperlink" Target="https://ecfr.federalregister.gov/current/title-50/chapter-VI/part-679/subpart-C/section-679.33" TargetMode="External"/><Relationship Id="rId31" Type="http://schemas.openxmlformats.org/officeDocument/2006/relationships/hyperlink" Target="https://ecfr.federalregister.gov/current/title-15/subtitle-B/chapter-IX/subchapter-A/part-906" TargetMode="External"/><Relationship Id="rId44" Type="http://schemas.openxmlformats.org/officeDocument/2006/relationships/hyperlink" Target="https://alaskafisheries.noaa.gov/webapps/efish/login" TargetMode="External"/><Relationship Id="rId52" Type="http://schemas.openxmlformats.org/officeDocument/2006/relationships/hyperlink" Target="https://www.bls.gov/oes/current/oes_research_estimates.htm" TargetMode="External"/><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fisheries.noaa.gov/resource/document/magnuson-stevens-fishery-conservation-and-management-act" TargetMode="External"/><Relationship Id="rId14" Type="http://schemas.openxmlformats.org/officeDocument/2006/relationships/hyperlink" Target="https://ecfr.federalregister.gov/current/title-50/chapter-VI/part-679/subpart-A/section-679.5" TargetMode="External"/><Relationship Id="rId22" Type="http://schemas.openxmlformats.org/officeDocument/2006/relationships/hyperlink" Target="https://ecfr.federalregister.gov/current/title-50/chapter-VI/part-679/subpart-A/section-679.5" TargetMode="External"/><Relationship Id="rId27" Type="http://schemas.openxmlformats.org/officeDocument/2006/relationships/hyperlink" Target="https://ecfr.federalregister.gov/current/title-50/chapter-VI/part-680/subpart-A/section-680.5" TargetMode="External"/><Relationship Id="rId30" Type="http://schemas.openxmlformats.org/officeDocument/2006/relationships/hyperlink" Target="https://ecfr.federalregister.gov/current/title-50/chapter-VI/part-679/subpart-A/section-679.5" TargetMode="External"/><Relationship Id="rId35" Type="http://schemas.openxmlformats.org/officeDocument/2006/relationships/hyperlink" Target="https://media.fisheries.noaa.gov/dam-migration/efish-how-to-pay-fees.pdf" TargetMode="External"/><Relationship Id="rId43" Type="http://schemas.openxmlformats.org/officeDocument/2006/relationships/hyperlink" Target="https://www.fisheries.noaa.gov/national/rules-and-regulations/appeals" TargetMode="External"/><Relationship Id="rId48" Type="http://schemas.openxmlformats.org/officeDocument/2006/relationships/hyperlink" Target="https://www.federalregister.gov/documents/2021/10/29/2021-23571/agency-information-collection-activities-submission-to-the-office-of-management-and-budget-omb-for" TargetMode="External"/><Relationship Id="rId56" Type="http://schemas.openxmlformats.org/officeDocument/2006/relationships/hyperlink" Target="http://www.gpo.gov/fdsys/pkg/CFR-2014-title5-vol3/pdf/CFR-2014-title5-vol3-sec1320-9.pdf" TargetMode="External"/><Relationship Id="rId8" Type="http://schemas.openxmlformats.org/officeDocument/2006/relationships/endnotes" Target="endnotes.xml"/><Relationship Id="rId51" Type="http://schemas.openxmlformats.org/officeDocument/2006/relationships/hyperlink" Target="https://www.osec.doc.gov/opog/privacy/noaa%20pias/noaa4700_pia_saop_approved.pdf"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BACF79-DA59-462F-9C46-9ADCFE672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1</Pages>
  <Words>7983</Words>
  <Characters>45504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53381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187</cp:revision>
  <dcterms:created xsi:type="dcterms:W3CDTF">2022-03-03T18:11:00Z</dcterms:created>
  <dcterms:modified xsi:type="dcterms:W3CDTF">2022-03-15T17:46:00Z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