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B29" w:rsidR="00C67B29" w:rsidP="00C67B29" w:rsidRDefault="00C67B29" w14:paraId="6C82D16B" w14:textId="77777777">
      <w:pPr>
        <w:widowControl w:val="0"/>
        <w:tabs>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Pr="00C67B29" w:rsidR="00C67B29" w:rsidP="00C67B29" w:rsidRDefault="00C67B29" w14:paraId="71A8E1D7" w14:textId="77777777">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Pr="00C67B29" w:rsidR="00C67B29" w:rsidP="00C67B29" w:rsidRDefault="00C67B29" w14:paraId="76ECEB90" w14:textId="77777777">
      <w:pPr>
        <w:widowControl w:val="0"/>
        <w:spacing w:after="0" w:line="240" w:lineRule="auto"/>
        <w:ind w:firstLine="2"/>
        <w:jc w:val="center"/>
        <w:rPr>
          <w:rFonts w:eastAsia="Times New Roman"/>
          <w:b/>
          <w:bCs/>
        </w:rPr>
      </w:pPr>
      <w:r w:rsidRPr="00C67B29">
        <w:rPr>
          <w:rFonts w:eastAsia="Times New Roman"/>
          <w:b/>
          <w:bCs/>
        </w:rPr>
        <w:t>Multipurpose Application</w:t>
      </w:r>
    </w:p>
    <w:p w:rsidRPr="00C67B29" w:rsidR="00C67B29" w:rsidP="00C67B29" w:rsidRDefault="00C67B29" w14:paraId="7A15FA41" w14:textId="77777777">
      <w:pPr>
        <w:widowControl w:val="0"/>
        <w:spacing w:after="0" w:line="240" w:lineRule="auto"/>
        <w:jc w:val="center"/>
        <w:rPr>
          <w:rFonts w:eastAsia="Times New Roman"/>
        </w:rPr>
      </w:pPr>
      <w:r w:rsidRPr="00C67B29">
        <w:rPr>
          <w:rFonts w:eastAsia="Times New Roman"/>
          <w:b/>
          <w:bCs/>
        </w:rPr>
        <w:t>OMB No. 0694-0088</w:t>
      </w:r>
    </w:p>
    <w:p w:rsidRPr="00C67B29" w:rsidR="00C67B29" w:rsidP="00C67B29" w:rsidRDefault="00C67B29" w14:paraId="382E9510" w14:textId="77777777">
      <w:pPr>
        <w:widowControl w:val="0"/>
        <w:spacing w:after="0" w:line="240" w:lineRule="auto"/>
        <w:rPr>
          <w:rFonts w:ascii="Calibri" w:hAnsi="Calibri" w:eastAsia="Calibri"/>
          <w:sz w:val="14"/>
          <w:szCs w:val="14"/>
        </w:rPr>
      </w:pPr>
    </w:p>
    <w:p w:rsidRPr="00C67B29" w:rsidR="00C67B29" w:rsidP="00C67B29" w:rsidRDefault="00C67B29" w14:paraId="6E194D9E" w14:textId="77777777">
      <w:pPr>
        <w:widowControl w:val="0"/>
        <w:spacing w:after="0" w:line="240" w:lineRule="auto"/>
        <w:rPr>
          <w:rFonts w:ascii="Calibri" w:hAnsi="Calibri" w:eastAsia="Calibri"/>
          <w:sz w:val="20"/>
          <w:szCs w:val="20"/>
        </w:rPr>
      </w:pPr>
    </w:p>
    <w:p w:rsidRPr="00C67B29" w:rsidR="00C67B29" w:rsidP="00C67B29" w:rsidRDefault="00C67B29" w14:paraId="5BC39930" w14:textId="3562263A">
      <w:pPr>
        <w:widowControl w:val="0"/>
        <w:spacing w:after="0" w:line="240" w:lineRule="auto"/>
        <w:rPr>
          <w:rFonts w:eastAsia="Times New Roman"/>
        </w:rPr>
      </w:pPr>
      <w:r w:rsidRPr="00C67B29">
        <w:rPr>
          <w:rFonts w:eastAsia="Times New Roman"/>
          <w:b/>
          <w:bCs/>
        </w:rPr>
        <w:t>A.  Justific</w:t>
      </w:r>
      <w:r w:rsidRPr="00C67B29">
        <w:rPr>
          <w:rFonts w:eastAsia="Times New Roman"/>
          <w:b/>
          <w:bCs/>
          <w:spacing w:val="-1"/>
        </w:rPr>
        <w:t>a</w:t>
      </w:r>
      <w:r w:rsidRPr="00C67B29">
        <w:rPr>
          <w:rFonts w:eastAsia="Times New Roman"/>
          <w:b/>
          <w:bCs/>
          <w:spacing w:val="1"/>
        </w:rPr>
        <w:t>t</w:t>
      </w:r>
      <w:r w:rsidRPr="00C67B29">
        <w:rPr>
          <w:rFonts w:eastAsia="Times New Roman"/>
          <w:b/>
          <w:bCs/>
        </w:rPr>
        <w:t xml:space="preserve">ion </w:t>
      </w:r>
      <w:r w:rsidR="004A2FB0">
        <w:rPr>
          <w:rFonts w:eastAsia="Times New Roman"/>
          <w:b/>
          <w:bCs/>
        </w:rPr>
        <w:t>for revision</w:t>
      </w:r>
      <w:r w:rsidR="00937ECA">
        <w:rPr>
          <w:rFonts w:eastAsia="Times New Roman"/>
          <w:b/>
          <w:bCs/>
        </w:rPr>
        <w:t>:</w:t>
      </w:r>
    </w:p>
    <w:p w:rsidRPr="00C67B29" w:rsidR="00C67B29" w:rsidP="00C67B29" w:rsidRDefault="00C67B29" w14:paraId="79D8AAC3" w14:textId="77777777">
      <w:pPr>
        <w:widowControl w:val="0"/>
        <w:spacing w:after="0" w:line="240" w:lineRule="auto"/>
        <w:rPr>
          <w:rFonts w:ascii="Calibri" w:hAnsi="Calibri" w:eastAsia="Calibri"/>
          <w:sz w:val="26"/>
          <w:szCs w:val="26"/>
        </w:rPr>
      </w:pPr>
    </w:p>
    <w:p w:rsidRPr="009603CD" w:rsidR="00C67B29" w:rsidP="009603CD" w:rsidRDefault="00C67B29" w14:paraId="081C035D" w14:textId="61193468">
      <w:pPr>
        <w:pStyle w:val="ListParagraph"/>
        <w:widowControl w:val="0"/>
        <w:numPr>
          <w:ilvl w:val="0"/>
          <w:numId w:val="2"/>
        </w:numPr>
        <w:tabs>
          <w:tab w:val="left" w:pos="840"/>
        </w:tabs>
        <w:spacing w:after="0" w:line="240" w:lineRule="auto"/>
        <w:ind w:left="360"/>
        <w:rPr>
          <w:rFonts w:eastAsia="Times New Roman"/>
        </w:rPr>
      </w:pPr>
      <w:r w:rsidRPr="009603CD">
        <w:rPr>
          <w:rFonts w:eastAsia="Times New Roman"/>
          <w:b/>
          <w:bCs/>
          <w:position w:val="-1"/>
          <w:u w:val="thick" w:color="000000"/>
        </w:rPr>
        <w:t>Explain the circum</w:t>
      </w:r>
      <w:r w:rsidRPr="009603CD">
        <w:rPr>
          <w:rFonts w:eastAsia="Times New Roman"/>
          <w:b/>
          <w:bCs/>
          <w:spacing w:val="-1"/>
          <w:position w:val="-1"/>
          <w:u w:val="thick" w:color="000000"/>
        </w:rPr>
        <w:t>s</w:t>
      </w:r>
      <w:r w:rsidRPr="009603CD">
        <w:rPr>
          <w:rFonts w:eastAsia="Times New Roman"/>
          <w:b/>
          <w:bCs/>
          <w:position w:val="-1"/>
          <w:u w:val="thick" w:color="000000"/>
        </w:rPr>
        <w:t>ta</w:t>
      </w:r>
      <w:r w:rsidRPr="009603CD">
        <w:rPr>
          <w:rFonts w:eastAsia="Times New Roman"/>
          <w:b/>
          <w:bCs/>
          <w:spacing w:val="-1"/>
          <w:position w:val="-1"/>
          <w:u w:val="thick" w:color="000000"/>
        </w:rPr>
        <w:t>n</w:t>
      </w:r>
      <w:r w:rsidRPr="009603CD">
        <w:rPr>
          <w:rFonts w:eastAsia="Times New Roman"/>
          <w:b/>
          <w:bCs/>
          <w:position w:val="-1"/>
          <w:u w:val="thick" w:color="000000"/>
        </w:rPr>
        <w:t>ces that m</w:t>
      </w:r>
      <w:r w:rsidRPr="009603CD">
        <w:rPr>
          <w:rFonts w:eastAsia="Times New Roman"/>
          <w:b/>
          <w:bCs/>
          <w:spacing w:val="-1"/>
          <w:position w:val="-1"/>
          <w:u w:val="thick" w:color="000000"/>
        </w:rPr>
        <w:t>a</w:t>
      </w:r>
      <w:r w:rsidRPr="009603CD">
        <w:rPr>
          <w:rFonts w:eastAsia="Times New Roman"/>
          <w:b/>
          <w:bCs/>
          <w:position w:val="-1"/>
          <w:u w:val="thick" w:color="000000"/>
        </w:rPr>
        <w:t>ke the</w:t>
      </w:r>
      <w:r w:rsidRPr="009603CD">
        <w:rPr>
          <w:rFonts w:eastAsia="Times New Roman"/>
          <w:b/>
          <w:bCs/>
          <w:spacing w:val="-1"/>
          <w:position w:val="-1"/>
          <w:u w:val="thick" w:color="000000"/>
        </w:rPr>
        <w:t xml:space="preserve"> </w:t>
      </w:r>
      <w:r w:rsidRPr="009603CD">
        <w:rPr>
          <w:rFonts w:eastAsia="Times New Roman"/>
          <w:b/>
          <w:bCs/>
          <w:position w:val="-1"/>
          <w:u w:val="thick" w:color="000000"/>
        </w:rPr>
        <w:t>collection</w:t>
      </w:r>
      <w:r w:rsidRPr="009603CD">
        <w:rPr>
          <w:rFonts w:eastAsia="Times New Roman"/>
          <w:b/>
          <w:bCs/>
          <w:spacing w:val="-1"/>
          <w:position w:val="-1"/>
          <w:u w:val="thick" w:color="000000"/>
        </w:rPr>
        <w:t xml:space="preserve"> </w:t>
      </w:r>
      <w:r w:rsidRPr="009603CD">
        <w:rPr>
          <w:rFonts w:eastAsia="Times New Roman"/>
          <w:b/>
          <w:bCs/>
          <w:position w:val="-1"/>
          <w:u w:val="thick" w:color="000000"/>
        </w:rPr>
        <w:t>of</w:t>
      </w:r>
      <w:r w:rsidRPr="009603CD">
        <w:rPr>
          <w:rFonts w:eastAsia="Times New Roman"/>
          <w:b/>
          <w:bCs/>
          <w:spacing w:val="-1"/>
          <w:position w:val="-1"/>
          <w:u w:val="thick" w:color="000000"/>
        </w:rPr>
        <w:t xml:space="preserve"> </w:t>
      </w:r>
      <w:r w:rsidRPr="009603CD">
        <w:rPr>
          <w:rFonts w:eastAsia="Times New Roman"/>
          <w:b/>
          <w:bCs/>
          <w:position w:val="-1"/>
          <w:u w:val="thick" w:color="000000"/>
        </w:rPr>
        <w:t>inf</w:t>
      </w:r>
      <w:r w:rsidRPr="009603CD">
        <w:rPr>
          <w:rFonts w:eastAsia="Times New Roman"/>
          <w:b/>
          <w:bCs/>
          <w:spacing w:val="-1"/>
          <w:position w:val="-1"/>
          <w:u w:val="thick" w:color="000000"/>
        </w:rPr>
        <w:t>o</w:t>
      </w:r>
      <w:r w:rsidRPr="009603CD">
        <w:rPr>
          <w:rFonts w:eastAsia="Times New Roman"/>
          <w:b/>
          <w:bCs/>
          <w:position w:val="-1"/>
          <w:u w:val="thick" w:color="000000"/>
        </w:rPr>
        <w:t>rmation</w:t>
      </w:r>
      <w:r w:rsidRPr="009603CD">
        <w:rPr>
          <w:rFonts w:eastAsia="Times New Roman"/>
          <w:b/>
          <w:bCs/>
          <w:spacing w:val="-1"/>
          <w:position w:val="-1"/>
          <w:u w:val="thick" w:color="000000"/>
        </w:rPr>
        <w:t xml:space="preserve"> </w:t>
      </w:r>
      <w:r w:rsidRPr="009603CD">
        <w:rPr>
          <w:rFonts w:eastAsia="Times New Roman"/>
          <w:b/>
          <w:bCs/>
          <w:position w:val="-1"/>
          <w:u w:val="thick" w:color="000000"/>
        </w:rPr>
        <w:t>necessary.</w:t>
      </w:r>
    </w:p>
    <w:p w:rsidR="00AF61C4" w:rsidP="00AF61C4" w:rsidRDefault="00FD0492" w14:paraId="7CA0AB46" w14:textId="67DDEC4F">
      <w:pPr>
        <w:spacing w:before="240" w:after="240" w:line="240" w:lineRule="auto"/>
        <w:rPr>
          <w:b/>
          <w:bCs/>
        </w:rPr>
      </w:pPr>
      <w:r w:rsidRPr="00AF4B91">
        <w:rPr>
          <w:rFonts w:eastAsia="Times New Roman"/>
        </w:rPr>
        <w:t xml:space="preserve">BIS is revising this information collection </w:t>
      </w:r>
      <w:r w:rsidRPr="00AF4B91" w:rsidR="00AB605F">
        <w:rPr>
          <w:rFonts w:eastAsia="Times New Roman"/>
        </w:rPr>
        <w:t>because</w:t>
      </w:r>
      <w:r w:rsidRPr="00AF4B91">
        <w:rPr>
          <w:rFonts w:eastAsia="Times New Roman"/>
        </w:rPr>
        <w:t xml:space="preserve"> of the estimated increase of license application submissions that will result from</w:t>
      </w:r>
      <w:r w:rsidRPr="00AF4B91" w:rsidR="00AB605F">
        <w:rPr>
          <w:rFonts w:eastAsia="Times New Roman"/>
        </w:rPr>
        <w:t xml:space="preserve"> the publication of </w:t>
      </w:r>
      <w:r w:rsidR="00C02A6B">
        <w:rPr>
          <w:rFonts w:eastAsia="Times New Roman"/>
        </w:rPr>
        <w:t>this</w:t>
      </w:r>
      <w:r w:rsidRPr="00AF4B91">
        <w:rPr>
          <w:rFonts w:eastAsia="Times New Roman"/>
        </w:rPr>
        <w:t xml:space="preserve"> rule entitled</w:t>
      </w:r>
      <w:r w:rsidRPr="00AF4B91" w:rsidR="004A2FB0">
        <w:rPr>
          <w:rFonts w:eastAsia="Times New Roman"/>
        </w:rPr>
        <w:t>, “</w:t>
      </w:r>
      <w:r w:rsidR="00AF61C4">
        <w:rPr>
          <w:b/>
          <w:bCs/>
        </w:rPr>
        <w:t xml:space="preserve">Imposition of Sanctions on Luxury Goods </w:t>
      </w:r>
      <w:r w:rsidR="002E1157">
        <w:rPr>
          <w:rFonts w:eastAsia="MS Mincho"/>
          <w:b/>
          <w:bCs/>
        </w:rPr>
        <w:t>Destined</w:t>
      </w:r>
      <w:r w:rsidR="002E1157">
        <w:rPr>
          <w:b/>
          <w:bCs/>
        </w:rPr>
        <w:t xml:space="preserve"> </w:t>
      </w:r>
      <w:r w:rsidR="00AF61C4">
        <w:rPr>
          <w:b/>
          <w:bCs/>
        </w:rPr>
        <w:t xml:space="preserve">for Russia </w:t>
      </w:r>
      <w:r w:rsidR="00C2620B">
        <w:rPr>
          <w:rFonts w:eastAsia="MS Mincho"/>
          <w:b/>
          <w:bCs/>
        </w:rPr>
        <w:t xml:space="preserve">and Belarus </w:t>
      </w:r>
      <w:r w:rsidR="00AF61C4">
        <w:rPr>
          <w:b/>
          <w:bCs/>
        </w:rPr>
        <w:t xml:space="preserve">and for Russian </w:t>
      </w:r>
      <w:r w:rsidR="00C2620B">
        <w:rPr>
          <w:b/>
          <w:bCs/>
        </w:rPr>
        <w:t xml:space="preserve">and </w:t>
      </w:r>
      <w:r w:rsidR="00C2620B">
        <w:rPr>
          <w:rFonts w:eastAsia="MS Mincho"/>
          <w:b/>
          <w:bCs/>
        </w:rPr>
        <w:t>Belarusian</w:t>
      </w:r>
      <w:r w:rsidR="00C2620B">
        <w:rPr>
          <w:b/>
          <w:bCs/>
        </w:rPr>
        <w:t xml:space="preserve"> </w:t>
      </w:r>
      <w:r w:rsidR="00AF61C4">
        <w:rPr>
          <w:b/>
          <w:bCs/>
        </w:rPr>
        <w:t>Oligarchs and Malign Actors Under the Export Administration Regulations (EAR).”</w:t>
      </w:r>
    </w:p>
    <w:p w:rsidRPr="00061FA4" w:rsidR="002E1157" w:rsidP="002E1157" w:rsidRDefault="002E1157" w14:paraId="5D56F99A" w14:textId="4F09C407">
      <w:pPr>
        <w:spacing w:before="240" w:after="240" w:line="240" w:lineRule="auto"/>
        <w:rPr>
          <w:color w:val="555555"/>
          <w:sz w:val="19"/>
          <w:szCs w:val="19"/>
        </w:rPr>
      </w:pPr>
      <w:r w:rsidRPr="00776977">
        <w:t xml:space="preserve">In response to the Russian Federation’s (Russia’s) </w:t>
      </w:r>
      <w:r>
        <w:t xml:space="preserve">further </w:t>
      </w:r>
      <w:r w:rsidRPr="00776977">
        <w:t>invasion of Ukraine,</w:t>
      </w:r>
      <w:r>
        <w:t xml:space="preserve"> and Belarus’s substantial enabling of Russia’s invasion,</w:t>
      </w:r>
      <w:r w:rsidRPr="00776977">
        <w:t xml:space="preserve"> the Department of Commerce is </w:t>
      </w:r>
      <w:r>
        <w:t xml:space="preserve">imposing restrictions on the export, reexport, or transfer (in-country) to or within Russia or Belarus of luxury goods under the </w:t>
      </w:r>
      <w:r w:rsidRPr="00776977">
        <w:t>Export Administration Regulations (EAR)</w:t>
      </w:r>
      <w:r>
        <w:t xml:space="preserve"> and for exports, reexports and transfers (in-country) worldwide to certain Russian or Belarus oligarchs and other malign actors supporting the Russian or Belarusian governments.  </w:t>
      </w:r>
      <w:r w:rsidRPr="00776977">
        <w:t>T</w:t>
      </w:r>
      <w:r>
        <w:t>aken together, t</w:t>
      </w:r>
      <w:r w:rsidRPr="00776977">
        <w:t>he</w:t>
      </w:r>
      <w:r>
        <w:t xml:space="preserve">se new </w:t>
      </w:r>
      <w:r w:rsidRPr="00776977">
        <w:t xml:space="preserve">export controls will </w:t>
      </w:r>
      <w:r>
        <w:t>impose additional costs on those persons and organizations that have the financial resources to purchase luxury goods in Russia, Belarus, and other countries</w:t>
      </w:r>
      <w:r w:rsidRPr="00776977">
        <w:t>.</w:t>
      </w:r>
      <w:r>
        <w:t xml:space="preserve">  These controls will impose additional costs on such persons and organizations. </w:t>
      </w:r>
      <w:r w:rsidRPr="00776977">
        <w:t xml:space="preserve">In response to Russia’s February 2022 </w:t>
      </w:r>
      <w:r>
        <w:t xml:space="preserve">further </w:t>
      </w:r>
      <w:r w:rsidRPr="00776977">
        <w:t>invasion of Ukraine</w:t>
      </w:r>
      <w:r>
        <w:t xml:space="preserve"> and Belarus’ substantial enabling of this invasion</w:t>
      </w:r>
      <w:r w:rsidRPr="00776977">
        <w:t xml:space="preserve">, the Bureau of Industry and Security (BIS) imposed extensive sanctions on Russia </w:t>
      </w:r>
      <w:r>
        <w:t xml:space="preserve">and Belarus </w:t>
      </w:r>
      <w:r w:rsidRPr="00776977">
        <w:t xml:space="preserve">under the Export Administration Regulations (15 CFR parts 730 – 774) (EAR) </w:t>
      </w:r>
      <w:r>
        <w:t xml:space="preserve">by implementing </w:t>
      </w:r>
      <w:r w:rsidRPr="00776977">
        <w:t>the final rule,</w:t>
      </w:r>
      <w:r w:rsidRPr="00776977">
        <w:rPr>
          <w:rFonts w:eastAsia="MS Mincho"/>
          <w:i/>
          <w:iCs/>
        </w:rPr>
        <w:t xml:space="preserve"> Implementation of Sanctions Against Russia </w:t>
      </w:r>
      <w:r w:rsidRPr="00776977">
        <w:rPr>
          <w:i/>
          <w:iCs/>
        </w:rPr>
        <w:t>Under the Export Administration Regulations (EAR)</w:t>
      </w:r>
      <w:r w:rsidRPr="00776977">
        <w:t>, effective February 24, 2022</w:t>
      </w:r>
      <w:r>
        <w:t xml:space="preserve"> </w:t>
      </w:r>
      <w:r w:rsidRPr="00776977">
        <w:t>(“Russia Sanctions rule”)</w:t>
      </w:r>
      <w:r>
        <w:rPr>
          <w:rStyle w:val="FootnoteReference"/>
        </w:rPr>
        <w:footnoteReference w:id="1"/>
      </w:r>
      <w:r>
        <w:t xml:space="preserve"> and subsequently in three </w:t>
      </w:r>
      <w:r w:rsidRPr="0040468C">
        <w:t xml:space="preserve">additional final rules published in March 2022 (“March 2022 rules”), </w:t>
      </w:r>
      <w:r w:rsidRPr="0040468C">
        <w:rPr>
          <w:rStyle w:val="normaltextrun"/>
          <w:i/>
          <w:iCs/>
        </w:rPr>
        <w:t xml:space="preserve">Imposition of Sanctions Against Belarus Under the Export Administration Regulations (EAR), </w:t>
      </w:r>
      <w:r w:rsidRPr="0040468C">
        <w:t>effective March 2, 2022 (“Belarus Sanctions rule”)</w:t>
      </w:r>
      <w:r w:rsidRPr="0040468C">
        <w:rPr>
          <w:rStyle w:val="FootnoteReference"/>
        </w:rPr>
        <w:footnoteReference w:id="2"/>
      </w:r>
      <w:r w:rsidRPr="0040468C">
        <w:t xml:space="preserve">; </w:t>
      </w:r>
      <w:r w:rsidRPr="0040468C">
        <w:rPr>
          <w:rStyle w:val="normaltextrun"/>
          <w:i/>
          <w:iCs/>
        </w:rPr>
        <w:t>Expansion of Sanctions Against the Russian Industry Sector Under the Export Administration Regulations (EAR)</w:t>
      </w:r>
      <w:r w:rsidRPr="0040468C">
        <w:rPr>
          <w:rStyle w:val="textrun"/>
        </w:rPr>
        <w:t xml:space="preserve">, </w:t>
      </w:r>
      <w:r w:rsidRPr="0040468C">
        <w:rPr>
          <w:rStyle w:val="normaltextrun"/>
        </w:rPr>
        <w:t>effective March 3, 2022 (“Industry Sector Sanctions rule”)</w:t>
      </w:r>
      <w:r w:rsidRPr="0040468C">
        <w:rPr>
          <w:rStyle w:val="FootnoteReference"/>
        </w:rPr>
        <w:footnoteReference w:id="3"/>
      </w:r>
      <w:r w:rsidRPr="0040468C">
        <w:rPr>
          <w:rStyle w:val="normaltextrun"/>
        </w:rPr>
        <w:t>; and</w:t>
      </w:r>
      <w:r w:rsidRPr="0040468C">
        <w:rPr>
          <w:rStyle w:val="normaltextrun"/>
          <w:i/>
          <w:iCs/>
        </w:rPr>
        <w:t xml:space="preserve"> Further Imposition of Sanctions Against Russia with the Addition of Certain Entities to the Entity List</w:t>
      </w:r>
      <w:r w:rsidRPr="0040468C">
        <w:rPr>
          <w:rStyle w:val="normaltextrun"/>
        </w:rPr>
        <w:t xml:space="preserve">, </w:t>
      </w:r>
      <w:r w:rsidRPr="0040468C">
        <w:rPr>
          <w:rStyle w:val="textrun"/>
        </w:rPr>
        <w:t>effective March 3, 2022 (“Russia Entity List rule”)</w:t>
      </w:r>
      <w:r w:rsidRPr="0040468C">
        <w:rPr>
          <w:rStyle w:val="FootnoteReference"/>
        </w:rPr>
        <w:footnoteReference w:id="4"/>
      </w:r>
      <w:r w:rsidRPr="0040468C">
        <w:rPr>
          <w:rStyle w:val="textrun"/>
          <w:rFonts w:eastAsiaTheme="majorEastAsia"/>
        </w:rPr>
        <w:t xml:space="preserve"> </w:t>
      </w:r>
      <w:r w:rsidRPr="0040468C">
        <w:t xml:space="preserve">that imposed sanctions on Russia and Belarus.  BIS also published </w:t>
      </w:r>
      <w:r>
        <w:t>an</w:t>
      </w:r>
      <w:r w:rsidRPr="0040468C">
        <w:t xml:space="preserve"> additional rule in March</w:t>
      </w:r>
      <w:r>
        <w:t xml:space="preserve"> 2022</w:t>
      </w:r>
      <w:r w:rsidRPr="0040468C">
        <w:t xml:space="preserve">, </w:t>
      </w:r>
      <w:r w:rsidRPr="0040468C">
        <w:rPr>
          <w:rStyle w:val="normaltextrun"/>
          <w:i/>
          <w:iCs/>
          <w:shd w:val="clear" w:color="auto" w:fill="FFFFFF"/>
        </w:rPr>
        <w:t>Addition to the List of Countries Excluded from Certain License Requirements under the Export Administration Regulations (EAR)</w:t>
      </w:r>
      <w:r w:rsidRPr="0040468C">
        <w:rPr>
          <w:rStyle w:val="normaltextrun"/>
          <w:shd w:val="clear" w:color="auto" w:fill="FFFFFF"/>
        </w:rPr>
        <w:t xml:space="preserve">, </w:t>
      </w:r>
      <w:r w:rsidRPr="0040468C">
        <w:rPr>
          <w:rStyle w:val="textrun"/>
          <w:shd w:val="clear" w:color="auto" w:fill="FFFFFF"/>
        </w:rPr>
        <w:t>effective March 4, 2022</w:t>
      </w:r>
      <w:r w:rsidRPr="0040468C">
        <w:rPr>
          <w:rStyle w:val="normaltextrun"/>
          <w:shd w:val="clear" w:color="auto" w:fill="FFFFFF"/>
        </w:rPr>
        <w:t xml:space="preserve"> (“South Korea exclusion rule”)</w:t>
      </w:r>
      <w:r w:rsidRPr="0040468C">
        <w:rPr>
          <w:rStyle w:val="FootnoteReference"/>
          <w:shd w:val="clear" w:color="auto" w:fill="FFFFFF"/>
        </w:rPr>
        <w:footnoteReference w:id="5"/>
      </w:r>
      <w:r w:rsidRPr="0040468C">
        <w:t xml:space="preserve"> that added South Korea to the list of countries in supplement no. 3 to part 746 that are excluded </w:t>
      </w:r>
      <w:r>
        <w:t>from</w:t>
      </w:r>
      <w:r w:rsidRPr="0040468C">
        <w:t xml:space="preserve"> certain § 74</w:t>
      </w:r>
      <w:r>
        <w:t>6</w:t>
      </w:r>
      <w:r w:rsidRPr="0040468C">
        <w:t>.8 license requirements</w:t>
      </w:r>
      <w:r>
        <w:t xml:space="preserve"> that pertain to items destined for Russia or </w:t>
      </w:r>
      <w:r>
        <w:lastRenderedPageBreak/>
        <w:t>Belarus</w:t>
      </w:r>
      <w:r w:rsidRPr="0040468C">
        <w:t xml:space="preserve">.  As described in the Russia Sanctions rule’s preamble, as well as the </w:t>
      </w:r>
      <w:r>
        <w:t xml:space="preserve">other </w:t>
      </w:r>
      <w:r w:rsidRPr="0040468C">
        <w:t xml:space="preserve">March 2022 rules, Russia’s invasion of </w:t>
      </w:r>
      <w:r w:rsidRPr="00776977">
        <w:t>Ukraine</w:t>
      </w:r>
      <w:r>
        <w:t xml:space="preserve">, and Belarus’s substantial enabling of Russia’s invasion of Ukraine, </w:t>
      </w:r>
      <w:r w:rsidRPr="00776977">
        <w:t xml:space="preserve">flagrantly violates international law, is contrary to U.S. national security and foreign policy interests, and undermines global order, peace, and security, and </w:t>
      </w:r>
      <w:r>
        <w:t xml:space="preserve">consequently </w:t>
      </w:r>
      <w:r w:rsidRPr="00776977">
        <w:t>necessitat</w:t>
      </w:r>
      <w:r>
        <w:t xml:space="preserve">es the imposition of </w:t>
      </w:r>
      <w:r w:rsidRPr="00776977">
        <w:t>stringent sanctions.</w:t>
      </w:r>
    </w:p>
    <w:p w:rsidR="002E1157" w:rsidP="002E1157" w:rsidRDefault="002E1157" w14:paraId="10CB1F4A" w14:textId="77777777">
      <w:pPr>
        <w:spacing w:line="240" w:lineRule="auto"/>
        <w:rPr>
          <w:shd w:val="clear" w:color="auto" w:fill="FFFFFF"/>
        </w:rPr>
      </w:pPr>
      <w:r w:rsidRPr="00776977">
        <w:rPr>
          <w:shd w:val="clear" w:color="auto" w:fill="FFFFFF"/>
        </w:rPr>
        <w:t xml:space="preserve">The export control measures implemented in this final rule </w:t>
      </w:r>
      <w:r>
        <w:rPr>
          <w:shd w:val="clear" w:color="auto" w:fill="FFFFFF"/>
        </w:rPr>
        <w:t xml:space="preserve">build upon the policy objectives set forth in the Russian Sanctions rule and in the Belarus Sanctions rule by </w:t>
      </w:r>
      <w:r w:rsidRPr="00776977">
        <w:rPr>
          <w:shd w:val="clear" w:color="auto" w:fill="FFFFFF"/>
        </w:rPr>
        <w:t>restricting Russia</w:t>
      </w:r>
      <w:r>
        <w:rPr>
          <w:shd w:val="clear" w:color="auto" w:fill="FFFFFF"/>
        </w:rPr>
        <w:t xml:space="preserve"> and Belarus</w:t>
      </w:r>
      <w:r w:rsidRPr="00776977">
        <w:rPr>
          <w:shd w:val="clear" w:color="auto" w:fill="FFFFFF"/>
        </w:rPr>
        <w:t xml:space="preserve">’ access to </w:t>
      </w:r>
      <w:r>
        <w:rPr>
          <w:shd w:val="clear" w:color="auto" w:fill="FFFFFF"/>
        </w:rPr>
        <w:t>luxury goods in order to increase the costs on Russian and Belarusian persons who support the government of Russia and its invasion of Ukraine</w:t>
      </w:r>
      <w:r w:rsidRPr="00776977">
        <w:rPr>
          <w:shd w:val="clear" w:color="auto" w:fill="FFFFFF"/>
        </w:rPr>
        <w:t>.</w:t>
      </w:r>
      <w:r>
        <w:rPr>
          <w:shd w:val="clear" w:color="auto" w:fill="FFFFFF"/>
        </w:rPr>
        <w:t xml:space="preserve">  These individuals include Russian persons (together, Russian oligarchs and malign actors), wherever located, who have been designated </w:t>
      </w:r>
      <w:r>
        <w:t>by</w:t>
      </w:r>
      <w:r w:rsidRPr="00794A94">
        <w:t xml:space="preserve"> the Department of the Treasury, Office of Foreign Assets Control</w:t>
      </w:r>
      <w:r>
        <w:t>’s</w:t>
      </w:r>
      <w:r w:rsidRPr="00794A94">
        <w:t xml:space="preserve"> (OFAC)</w:t>
      </w:r>
      <w:r>
        <w:t xml:space="preserve"> </w:t>
      </w:r>
      <w:r w:rsidRPr="00794A94">
        <w:t>under</w:t>
      </w:r>
      <w:r>
        <w:t xml:space="preserve"> or pursuant to certain Russia and Ukraine-related Executive Orders issued in response to Russia’s 2014 occupation of Crimea and related destabilizing conduct in Ukraine</w:t>
      </w:r>
      <w:r w:rsidRPr="00C74A84">
        <w:t xml:space="preserve"> </w:t>
      </w:r>
      <w:r>
        <w:t xml:space="preserve">and are listed on the List of </w:t>
      </w:r>
      <w:r w:rsidRPr="00794A94">
        <w:t xml:space="preserve">Specially Designated Nationals and Blocked Persons </w:t>
      </w:r>
      <w:r>
        <w:t>(SDN List) maintained by OFAC.</w:t>
      </w:r>
    </w:p>
    <w:p w:rsidR="00BD055C" w:rsidP="00BD055C" w:rsidRDefault="00BD055C" w14:paraId="2ED7CDD1" w14:textId="77777777">
      <w:pPr>
        <w:spacing w:line="240" w:lineRule="auto"/>
        <w:rPr>
          <w:shd w:val="clear" w:color="auto" w:fill="FFFFFF"/>
        </w:rPr>
      </w:pPr>
      <w:r w:rsidRPr="00881359">
        <w:t>Th</w:t>
      </w:r>
      <w:r>
        <w:t>e</w:t>
      </w:r>
      <w:r w:rsidRPr="00881359">
        <w:t xml:space="preserve"> change</w:t>
      </w:r>
      <w:r>
        <w:t xml:space="preserve">s made by this rule are </w:t>
      </w:r>
      <w:r w:rsidRPr="00881359">
        <w:t xml:space="preserve">intended to </w:t>
      </w:r>
      <w:r>
        <w:t xml:space="preserve">limit access to luxury goods </w:t>
      </w:r>
      <w:r w:rsidRPr="00881359">
        <w:t xml:space="preserve">by restricting the export, reexport and transfer (in-country) of </w:t>
      </w:r>
      <w:r>
        <w:t>certain</w:t>
      </w:r>
      <w:r w:rsidRPr="00881359">
        <w:t xml:space="preserve"> items</w:t>
      </w:r>
      <w:r>
        <w:t xml:space="preserve"> subject to the EAR that are desired by wealthy Russian and Belarusian citizens, including Russian and Belarus oligarchs </w:t>
      </w:r>
      <w:r w:rsidRPr="0012329E">
        <w:t xml:space="preserve">and </w:t>
      </w:r>
      <w:r w:rsidRPr="0012329E">
        <w:rPr>
          <w:rFonts w:eastAsia="MS Mincho"/>
        </w:rPr>
        <w:t>malign actors</w:t>
      </w:r>
      <w:r w:rsidRPr="0012329E">
        <w:t>.</w:t>
      </w:r>
      <w:r w:rsidRPr="00881359">
        <w:t xml:space="preserve">  </w:t>
      </w:r>
      <w:r>
        <w:t>Limiting the export, reexport, and transfer (in-country) of luxury goods will undermine the ability of these Russian and Belarusian individuals’ to acquire luxury items, thereby further highlighting to these influential individuals the financial consequences of Russia’s invasion of Ukraine to their lifestyle.  With respect to these Russian and Belarusian oligarchs and malign actors, these restrictions on access to luxury goods complement restrictions on their assets imposed by OFAC and by partner and allied countries.  The r</w:t>
      </w:r>
      <w:r w:rsidRPr="00044DF9">
        <w:t>estricti</w:t>
      </w:r>
      <w:r>
        <w:t>on of</w:t>
      </w:r>
      <w:r w:rsidRPr="00044DF9">
        <w:t xml:space="preserve"> access to luxury goods </w:t>
      </w:r>
      <w:r>
        <w:t>implemented also highlights</w:t>
      </w:r>
      <w:r w:rsidRPr="00044DF9">
        <w:t xml:space="preserve"> to th</w:t>
      </w:r>
      <w:r>
        <w:t>e Russian</w:t>
      </w:r>
      <w:r w:rsidRPr="00044DF9">
        <w:t xml:space="preserve"> </w:t>
      </w:r>
      <w:r>
        <w:t>and Belarusian elites</w:t>
      </w:r>
      <w:r w:rsidRPr="00044DF9">
        <w:t xml:space="preserve"> </w:t>
      </w:r>
      <w:r>
        <w:t>their</w:t>
      </w:r>
      <w:r w:rsidRPr="00044DF9">
        <w:t xml:space="preserve"> </w:t>
      </w:r>
      <w:r>
        <w:t xml:space="preserve">loss of </w:t>
      </w:r>
      <w:r w:rsidRPr="00044DF9">
        <w:t>the benefits of full participation in the international market.</w:t>
      </w:r>
    </w:p>
    <w:p w:rsidR="00BD055C" w:rsidP="003A6F01" w:rsidRDefault="00BD055C" w14:paraId="4F25E2DD" w14:textId="1C32937B">
      <w:pPr>
        <w:spacing w:line="240" w:lineRule="auto"/>
      </w:pPr>
      <w:r w:rsidRPr="00DD2A16">
        <w:t xml:space="preserve">The export controls in </w:t>
      </w:r>
      <w:r>
        <w:t xml:space="preserve">this rule </w:t>
      </w:r>
      <w:r w:rsidRPr="00776977">
        <w:t xml:space="preserve">target </w:t>
      </w:r>
      <w:r>
        <w:t>‘luxury goods’ for export or reexport to or transfer within Russia or Belarus, as well as to certain</w:t>
      </w:r>
      <w:r w:rsidRPr="001A36F3">
        <w:t xml:space="preserve"> </w:t>
      </w:r>
      <w:r w:rsidRPr="001A36F3">
        <w:rPr>
          <w:rFonts w:eastAsia="MS Mincho"/>
        </w:rPr>
        <w:t xml:space="preserve">Russian </w:t>
      </w:r>
      <w:r>
        <w:rPr>
          <w:rFonts w:eastAsia="MS Mincho"/>
        </w:rPr>
        <w:t>and Belarusian o</w:t>
      </w:r>
      <w:r w:rsidRPr="001A36F3">
        <w:rPr>
          <w:rFonts w:eastAsia="MS Mincho"/>
        </w:rPr>
        <w:t xml:space="preserve">ligarchs and </w:t>
      </w:r>
      <w:r>
        <w:rPr>
          <w:rFonts w:eastAsia="MS Mincho"/>
        </w:rPr>
        <w:t>m</w:t>
      </w:r>
      <w:r w:rsidRPr="001A36F3">
        <w:rPr>
          <w:rFonts w:eastAsia="MS Mincho"/>
        </w:rPr>
        <w:t xml:space="preserve">align </w:t>
      </w:r>
      <w:r>
        <w:rPr>
          <w:rFonts w:eastAsia="MS Mincho"/>
        </w:rPr>
        <w:t>a</w:t>
      </w:r>
      <w:r w:rsidRPr="001A36F3">
        <w:rPr>
          <w:rFonts w:eastAsia="MS Mincho"/>
        </w:rPr>
        <w:t>ctors</w:t>
      </w:r>
      <w:r>
        <w:rPr>
          <w:rFonts w:eastAsia="MS Mincho"/>
        </w:rPr>
        <w:t>, wherever they are located</w:t>
      </w:r>
      <w:r w:rsidRPr="001A36F3">
        <w:t>.</w:t>
      </w:r>
      <w:r>
        <w:t xml:space="preserve">  This rule is part of larger U.S. Government and partner and allied country actions intended to steadily increase the financial consequences</w:t>
      </w:r>
      <w:r w:rsidDel="00CF3A59">
        <w:t xml:space="preserve"> </w:t>
      </w:r>
      <w:r>
        <w:t xml:space="preserve">on Russia and Belarus as a result of Russia’s invasion of Ukraine and Belarus’s substantial enabling of Russia’s invasion, as well as on Russian individuals who have supported Russia’s destabilizing conduct since Russia’s 2014 occupation of the Crimea region of Ukraine. </w:t>
      </w:r>
    </w:p>
    <w:p w:rsidRPr="005642BE" w:rsidR="003A6F01" w:rsidP="003A6F01" w:rsidRDefault="003A6F01" w14:paraId="6E518C34" w14:textId="77777777">
      <w:pPr>
        <w:spacing w:line="240" w:lineRule="auto"/>
        <w:rPr>
          <w:b/>
          <w:bCs/>
          <w:shd w:val="clear" w:color="auto" w:fill="FFFFFF"/>
        </w:rPr>
      </w:pPr>
      <w:r w:rsidRPr="009664C1">
        <w:rPr>
          <w:b/>
          <w:bCs/>
          <w:shd w:val="clear" w:color="auto" w:fill="FFFFFF"/>
        </w:rPr>
        <w:t>II. Overview of New Controls</w:t>
      </w:r>
    </w:p>
    <w:p w:rsidR="00BD055C" w:rsidP="00BD055C" w:rsidRDefault="00BD055C" w14:paraId="72AF053F" w14:textId="77777777">
      <w:pPr>
        <w:spacing w:line="240" w:lineRule="auto"/>
      </w:pPr>
      <w:r>
        <w:rPr>
          <w:shd w:val="clear" w:color="auto" w:fill="FFFFFF"/>
        </w:rPr>
        <w:t xml:space="preserve">Through this rule, </w:t>
      </w:r>
      <w:r w:rsidRPr="009664C1">
        <w:rPr>
          <w:shd w:val="clear" w:color="auto" w:fill="FFFFFF"/>
        </w:rPr>
        <w:t xml:space="preserve">BIS is implementing </w:t>
      </w:r>
      <w:r>
        <w:rPr>
          <w:shd w:val="clear" w:color="auto" w:fill="FFFFFF"/>
        </w:rPr>
        <w:t>two</w:t>
      </w:r>
      <w:r w:rsidRPr="009664C1">
        <w:rPr>
          <w:shd w:val="clear" w:color="auto" w:fill="FFFFFF"/>
        </w:rPr>
        <w:t xml:space="preserve"> </w:t>
      </w:r>
      <w:r w:rsidRPr="009664C1">
        <w:t>new license requirement</w:t>
      </w:r>
      <w:r>
        <w:t>s:</w:t>
      </w:r>
      <w:r w:rsidRPr="009664C1">
        <w:t xml:space="preserve"> </w:t>
      </w:r>
      <w:r>
        <w:t xml:space="preserve"> one that applies to “luxury goods” subject to the EAR that are destined</w:t>
      </w:r>
      <w:r w:rsidRPr="009664C1">
        <w:t xml:space="preserve"> for </w:t>
      </w:r>
      <w:r>
        <w:t>Russia</w:t>
      </w:r>
      <w:r w:rsidRPr="009664C1">
        <w:t xml:space="preserve"> </w:t>
      </w:r>
      <w:r>
        <w:t>or Belarus and another that applies to such items that are destined for</w:t>
      </w:r>
      <w:r w:rsidRPr="00C47FEE">
        <w:t xml:space="preserve"> </w:t>
      </w:r>
      <w:r w:rsidRPr="00C47FEE">
        <w:rPr>
          <w:rFonts w:eastAsia="MS Mincho"/>
        </w:rPr>
        <w:t xml:space="preserve">Russian </w:t>
      </w:r>
      <w:r>
        <w:rPr>
          <w:rFonts w:eastAsia="MS Mincho"/>
        </w:rPr>
        <w:t xml:space="preserve">and Belarusian </w:t>
      </w:r>
      <w:r w:rsidRPr="00C47FEE">
        <w:rPr>
          <w:rFonts w:eastAsia="MS Mincho"/>
        </w:rPr>
        <w:t>oligarchs and malign</w:t>
      </w:r>
      <w:r w:rsidRPr="005A5F80">
        <w:rPr>
          <w:rFonts w:eastAsia="MS Mincho"/>
        </w:rPr>
        <w:t xml:space="preserve"> </w:t>
      </w:r>
      <w:r>
        <w:rPr>
          <w:rFonts w:eastAsia="MS Mincho"/>
        </w:rPr>
        <w:t>a</w:t>
      </w:r>
      <w:r w:rsidRPr="005A5F80">
        <w:rPr>
          <w:rFonts w:eastAsia="MS Mincho"/>
        </w:rPr>
        <w:t>ctors</w:t>
      </w:r>
      <w:r>
        <w:rPr>
          <w:rFonts w:eastAsia="MS Mincho"/>
        </w:rPr>
        <w:t xml:space="preserve">, regardless of their geographical location, who have been designated by OFAC under certain Russia- or Ukraine-related Executive Orders.  </w:t>
      </w:r>
      <w:r w:rsidRPr="007B75FC">
        <w:t>For purposes of these new license requirements, a ‘luxury good’</w:t>
      </w:r>
      <w:r>
        <w:t xml:space="preserve"> refers to</w:t>
      </w:r>
      <w:r w:rsidRPr="007B75FC">
        <w:t xml:space="preserve"> any item that is identified in </w:t>
      </w:r>
      <w:r>
        <w:t xml:space="preserve">new </w:t>
      </w:r>
      <w:r w:rsidRPr="007B75FC">
        <w:t>supplement no. 5 to part 746</w:t>
      </w:r>
      <w:r>
        <w:t xml:space="preserve"> of the EAR</w:t>
      </w:r>
      <w:r w:rsidRPr="007B75FC">
        <w:t xml:space="preserve">.  </w:t>
      </w:r>
      <w:r>
        <w:t xml:space="preserve">The license requirement specific to Russia and Belarus for ‘luxury goods’ </w:t>
      </w:r>
      <w:r w:rsidRPr="009664C1">
        <w:t>is added under new § 746.</w:t>
      </w:r>
      <w:r>
        <w:t>10</w:t>
      </w:r>
      <w:r w:rsidRPr="009664C1">
        <w:t>(a)(1</w:t>
      </w:r>
      <w:r w:rsidRPr="007B75FC">
        <w:t xml:space="preserve">) </w:t>
      </w:r>
      <w:r w:rsidRPr="009664C1">
        <w:t>of the EAR</w:t>
      </w:r>
      <w:r w:rsidRPr="007B75FC">
        <w:t xml:space="preserve"> (‘Luxury goods’ license requirements for Russia</w:t>
      </w:r>
      <w:r>
        <w:t xml:space="preserve"> and Belarus</w:t>
      </w:r>
      <w:r w:rsidRPr="007B75FC">
        <w:t>)</w:t>
      </w:r>
      <w:r w:rsidRPr="009664C1">
        <w:t xml:space="preserve"> (Embargoes and Other Special Controls).</w:t>
      </w:r>
      <w:r>
        <w:t xml:space="preserve">  The license requirement specific to the designated Russian and Belarusian oligarchs and malign actors for ‘luxury goods’ is added </w:t>
      </w:r>
      <w:r>
        <w:lastRenderedPageBreak/>
        <w:t xml:space="preserve">under new </w:t>
      </w:r>
      <w:r w:rsidRPr="007B75FC">
        <w:t xml:space="preserve">§ 746.10(a)(2) of the EAR (Worldwide license requirement for ‘luxury goods’ for </w:t>
      </w:r>
      <w:r>
        <w:t xml:space="preserve">designated </w:t>
      </w:r>
      <w:r w:rsidRPr="007B75FC">
        <w:t>Russian</w:t>
      </w:r>
      <w:r>
        <w:t xml:space="preserve"> and Belarusian</w:t>
      </w:r>
      <w:r w:rsidRPr="007B75FC">
        <w:t xml:space="preserve"> oligarch and malign actors).</w:t>
      </w:r>
    </w:p>
    <w:p w:rsidR="00BD055C" w:rsidP="00BD055C" w:rsidRDefault="00BD055C" w14:paraId="3F69495C" w14:textId="77777777">
      <w:pPr>
        <w:spacing w:line="240" w:lineRule="auto"/>
      </w:pPr>
      <w:r>
        <w:t xml:space="preserve">The new license requirements set forth in paragraphs (a)(1) and (2) apply to the ‘luxury goods’ identified in supplement no. 5 to part 746.  The difference between the two new license requirements is that while the license requirements under paragraph (a)(1) apply to exports and reexports to Russia and Belarus or transfers within Russia and Belarus, regardless of the end user, the license requirement under paragraph (a)(2) is a worldwide license requirement that applies to </w:t>
      </w:r>
      <w:r w:rsidRPr="005A5F80">
        <w:rPr>
          <w:rFonts w:eastAsia="MS Mincho"/>
        </w:rPr>
        <w:t xml:space="preserve">Russian </w:t>
      </w:r>
      <w:r>
        <w:rPr>
          <w:rFonts w:eastAsia="MS Mincho"/>
        </w:rPr>
        <w:t>and Belarusian o</w:t>
      </w:r>
      <w:r w:rsidRPr="005A5F80">
        <w:rPr>
          <w:rFonts w:eastAsia="MS Mincho"/>
        </w:rPr>
        <w:t xml:space="preserve">ligarchs and </w:t>
      </w:r>
      <w:r>
        <w:rPr>
          <w:rFonts w:eastAsia="MS Mincho"/>
        </w:rPr>
        <w:t>m</w:t>
      </w:r>
      <w:r w:rsidRPr="005A5F80">
        <w:rPr>
          <w:rFonts w:eastAsia="MS Mincho"/>
        </w:rPr>
        <w:t xml:space="preserve">align </w:t>
      </w:r>
      <w:r>
        <w:rPr>
          <w:rFonts w:eastAsia="MS Mincho"/>
        </w:rPr>
        <w:t>a</w:t>
      </w:r>
      <w:r w:rsidRPr="005A5F80">
        <w:rPr>
          <w:rFonts w:eastAsia="MS Mincho"/>
        </w:rPr>
        <w:t>ctors</w:t>
      </w:r>
      <w:r>
        <w:rPr>
          <w:rFonts w:eastAsia="MS Mincho"/>
        </w:rPr>
        <w:t xml:space="preserve"> designated by OFAC pursuant to certain specified Executive Orders, as described further below.</w:t>
      </w:r>
      <w:r>
        <w:t xml:space="preserve"> </w:t>
      </w:r>
    </w:p>
    <w:p w:rsidRPr="009664C1" w:rsidR="00BD055C" w:rsidP="00BD055C" w:rsidRDefault="00BD055C" w14:paraId="4530117C" w14:textId="77777777">
      <w:pPr>
        <w:spacing w:line="240" w:lineRule="auto"/>
      </w:pPr>
      <w:r>
        <w:t>A very limited number of l</w:t>
      </w:r>
      <w:r w:rsidRPr="009664C1">
        <w:t>icense exceptions described in § 746.</w:t>
      </w:r>
      <w:r>
        <w:t>10</w:t>
      </w:r>
      <w:r w:rsidRPr="009664C1">
        <w:t>(c)(1)</w:t>
      </w:r>
      <w:r>
        <w:t xml:space="preserve"> and </w:t>
      </w:r>
      <w:r w:rsidRPr="009664C1">
        <w:t>(</w:t>
      </w:r>
      <w:r>
        <w:t>2</w:t>
      </w:r>
      <w:r w:rsidRPr="009664C1">
        <w:t>) may be used to overcome the license requirement</w:t>
      </w:r>
      <w:r>
        <w:t xml:space="preserve">s </w:t>
      </w:r>
      <w:r w:rsidRPr="009664C1">
        <w:t>in § 746.</w:t>
      </w:r>
      <w:r>
        <w:t>10(a)(1) if all of the applicable requirements of the license exceptions can be met</w:t>
      </w:r>
      <w:r w:rsidRPr="009664C1">
        <w:t xml:space="preserve">.  </w:t>
      </w:r>
      <w:r>
        <w:t xml:space="preserve">No license exceptions are available to overcome the license requirements in </w:t>
      </w:r>
      <w:r w:rsidRPr="009664C1">
        <w:t>§ 746.</w:t>
      </w:r>
      <w:r>
        <w:t xml:space="preserve">10(a)(2).  </w:t>
      </w:r>
      <w:r w:rsidRPr="009664C1">
        <w:t>When a license is required, applications for such items will be subject to a policy of denial</w:t>
      </w:r>
      <w:r>
        <w:t>.</w:t>
      </w:r>
    </w:p>
    <w:p w:rsidRPr="009664C1" w:rsidR="003A6F01" w:rsidP="003A6F01" w:rsidRDefault="00BD7A41" w14:paraId="40E64C30" w14:textId="3860AAF4">
      <w:pPr>
        <w:spacing w:line="240" w:lineRule="auto"/>
      </w:pPr>
      <w:r w:rsidRPr="009664C1">
        <w:t xml:space="preserve">BIS estimates that these new controls </w:t>
      </w:r>
      <w:r>
        <w:t xml:space="preserve">in </w:t>
      </w:r>
      <w:r w:rsidRPr="009664C1">
        <w:t>§ 746.</w:t>
      </w:r>
      <w:r>
        <w:t xml:space="preserve">10(a)(1) and (2) </w:t>
      </w:r>
      <w:r w:rsidRPr="009664C1">
        <w:t xml:space="preserve">will result in an additional </w:t>
      </w:r>
      <w:r>
        <w:t>1,</w:t>
      </w:r>
      <w:r w:rsidR="00BD055C">
        <w:t>0</w:t>
      </w:r>
      <w:r>
        <w:t>00</w:t>
      </w:r>
      <w:r w:rsidRPr="009664C1">
        <w:t xml:space="preserve"> license applications being submitted to BIS annually</w:t>
      </w:r>
      <w:r>
        <w:t xml:space="preserve">, which </w:t>
      </w:r>
      <w:r w:rsidR="00A04320">
        <w:t>requires an increase in the collection burden hours under this collection</w:t>
      </w:r>
      <w:r w:rsidRPr="009664C1">
        <w:t>.</w:t>
      </w:r>
      <w:r w:rsidR="003A6F01">
        <w:t xml:space="preserve"> </w:t>
      </w:r>
    </w:p>
    <w:p w:rsidRPr="00A20C01" w:rsidR="00C67B29" w:rsidP="00A20C01" w:rsidRDefault="0061798F" w14:paraId="30E6711E" w14:textId="03BBE447">
      <w:pPr>
        <w:pStyle w:val="Heading1"/>
        <w:spacing w:line="240" w:lineRule="auto"/>
        <w:jc w:val="left"/>
        <w:rPr>
          <w:rFonts w:ascii="Calibri" w:hAnsi="Calibri" w:eastAsia="Calibri"/>
          <w:b w:val="0"/>
          <w:bCs w:val="0"/>
          <w:sz w:val="26"/>
          <w:szCs w:val="26"/>
        </w:rPr>
      </w:pPr>
      <w:r w:rsidRPr="00A20C01">
        <w:rPr>
          <w:b w:val="0"/>
          <w:bCs w:val="0"/>
        </w:rPr>
        <w:t xml:space="preserve">Section 1761(h) under </w:t>
      </w:r>
      <w:r w:rsidRPr="00A20C01">
        <w:rPr>
          <w:rFonts w:eastAsia="Times New Roman"/>
          <w:b w:val="0"/>
          <w:bCs w:val="0"/>
        </w:rPr>
        <w:t>t</w:t>
      </w:r>
      <w:r w:rsidRPr="00A20C01" w:rsidR="008C7666">
        <w:rPr>
          <w:rFonts w:eastAsia="Times New Roman"/>
          <w:b w:val="0"/>
          <w:bCs w:val="0"/>
        </w:rPr>
        <w:t>he Export Control Reform Act (ECRA) of 2018,</w:t>
      </w:r>
      <w:r w:rsidRPr="00A20C01" w:rsidR="00C67B29">
        <w:rPr>
          <w:rFonts w:eastAsia="Times New Roman"/>
          <w:b w:val="0"/>
          <w:bCs w:val="0"/>
        </w:rPr>
        <w:t xml:space="preserve"> authorizes the Preside</w:t>
      </w:r>
      <w:r w:rsidRPr="00A20C01" w:rsidR="00C67B29">
        <w:rPr>
          <w:rFonts w:eastAsia="Times New Roman"/>
          <w:b w:val="0"/>
          <w:bCs w:val="0"/>
          <w:spacing w:val="-1"/>
        </w:rPr>
        <w:t>n</w:t>
      </w:r>
      <w:r w:rsidRPr="00A20C01" w:rsidR="00C67B29">
        <w:rPr>
          <w:rFonts w:eastAsia="Times New Roman"/>
          <w:b w:val="0"/>
          <w:bCs w:val="0"/>
        </w:rPr>
        <w:t>t a</w:t>
      </w:r>
      <w:r w:rsidRPr="00A20C01" w:rsidR="00C67B29">
        <w:rPr>
          <w:rFonts w:eastAsia="Times New Roman"/>
          <w:b w:val="0"/>
          <w:bCs w:val="0"/>
          <w:spacing w:val="-1"/>
        </w:rPr>
        <w:t>n</w:t>
      </w:r>
      <w:r w:rsidRPr="00A20C01" w:rsidR="00C67B29">
        <w:rPr>
          <w:rFonts w:eastAsia="Times New Roman"/>
          <w:b w:val="0"/>
          <w:bCs w:val="0"/>
        </w:rPr>
        <w:t>d the Secretary of Com</w:t>
      </w:r>
      <w:r w:rsidRPr="00A20C01" w:rsidR="00C67B29">
        <w:rPr>
          <w:rFonts w:eastAsia="Times New Roman"/>
          <w:b w:val="0"/>
          <w:bCs w:val="0"/>
          <w:spacing w:val="-2"/>
        </w:rPr>
        <w:t>m</w:t>
      </w:r>
      <w:r w:rsidRPr="00A20C01" w:rsidR="00C67B29">
        <w:rPr>
          <w:rFonts w:eastAsia="Times New Roman"/>
          <w:b w:val="0"/>
          <w:bCs w:val="0"/>
        </w:rPr>
        <w:t>erce to i</w:t>
      </w:r>
      <w:r w:rsidRPr="00A20C01" w:rsidR="00C67B29">
        <w:rPr>
          <w:rFonts w:eastAsia="Times New Roman"/>
          <w:b w:val="0"/>
          <w:bCs w:val="0"/>
          <w:spacing w:val="-1"/>
        </w:rPr>
        <w:t>s</w:t>
      </w:r>
      <w:r w:rsidRPr="00A20C01" w:rsidR="00C67B29">
        <w:rPr>
          <w:rFonts w:eastAsia="Times New Roman"/>
          <w:b w:val="0"/>
          <w:bCs w:val="0"/>
        </w:rPr>
        <w:t>sue regulations to i</w:t>
      </w:r>
      <w:r w:rsidRPr="00A20C01" w:rsidR="00C67B29">
        <w:rPr>
          <w:rFonts w:eastAsia="Times New Roman"/>
          <w:b w:val="0"/>
          <w:bCs w:val="0"/>
          <w:spacing w:val="-2"/>
        </w:rPr>
        <w:t>m</w:t>
      </w:r>
      <w:r w:rsidRPr="00A20C01" w:rsidR="00C67B29">
        <w:rPr>
          <w:rFonts w:eastAsia="Times New Roman"/>
          <w:b w:val="0"/>
          <w:bCs w:val="0"/>
        </w:rPr>
        <w:t>ple</w:t>
      </w:r>
      <w:r w:rsidRPr="00A20C01" w:rsidR="00C67B29">
        <w:rPr>
          <w:rFonts w:eastAsia="Times New Roman"/>
          <w:b w:val="0"/>
          <w:bCs w:val="0"/>
          <w:spacing w:val="-2"/>
        </w:rPr>
        <w:t>m</w:t>
      </w:r>
      <w:r w:rsidRPr="00A20C01" w:rsidR="00C67B29">
        <w:rPr>
          <w:rFonts w:eastAsia="Times New Roman"/>
          <w:b w:val="0"/>
          <w:bCs w:val="0"/>
        </w:rPr>
        <w:t xml:space="preserve">ent the </w:t>
      </w:r>
      <w:r w:rsidRPr="00A20C01" w:rsidR="008C7666">
        <w:rPr>
          <w:rFonts w:eastAsia="Times New Roman"/>
          <w:b w:val="0"/>
          <w:bCs w:val="0"/>
        </w:rPr>
        <w:t>ECRA</w:t>
      </w:r>
      <w:r w:rsidRPr="00A20C01" w:rsidR="00C67B29">
        <w:rPr>
          <w:rFonts w:eastAsia="Times New Roman"/>
          <w:b w:val="0"/>
          <w:bCs w:val="0"/>
        </w:rPr>
        <w:t xml:space="preserve"> including those provisions authorizing the control of expo</w:t>
      </w:r>
      <w:r w:rsidRPr="00A20C01" w:rsidR="00C67B29">
        <w:rPr>
          <w:rFonts w:eastAsia="Times New Roman"/>
          <w:b w:val="0"/>
          <w:bCs w:val="0"/>
          <w:spacing w:val="-2"/>
        </w:rPr>
        <w:t>r</w:t>
      </w:r>
      <w:r w:rsidRPr="00A20C01" w:rsidR="00C67B29">
        <w:rPr>
          <w:rFonts w:eastAsia="Times New Roman"/>
          <w:b w:val="0"/>
          <w:bCs w:val="0"/>
        </w:rPr>
        <w:t>ts of U.S. goods and technology to all foreign desti</w:t>
      </w:r>
      <w:r w:rsidRPr="00A20C01" w:rsidR="00C67B29">
        <w:rPr>
          <w:rFonts w:eastAsia="Times New Roman"/>
          <w:b w:val="0"/>
          <w:bCs w:val="0"/>
          <w:spacing w:val="-1"/>
        </w:rPr>
        <w:t>n</w:t>
      </w:r>
      <w:r w:rsidRPr="00A20C01" w:rsidR="00C67B29">
        <w:rPr>
          <w:rFonts w:eastAsia="Times New Roman"/>
          <w:b w:val="0"/>
          <w:bCs w:val="0"/>
        </w:rPr>
        <w:t>atio</w:t>
      </w:r>
      <w:r w:rsidRPr="00A20C01" w:rsidR="00C67B29">
        <w:rPr>
          <w:rFonts w:eastAsia="Times New Roman"/>
          <w:b w:val="0"/>
          <w:bCs w:val="0"/>
          <w:spacing w:val="-1"/>
        </w:rPr>
        <w:t>n</w:t>
      </w:r>
      <w:r w:rsidRPr="00A20C01" w:rsidR="00C67B29">
        <w:rPr>
          <w:rFonts w:eastAsia="Times New Roman"/>
          <w:b w:val="0"/>
          <w:bCs w:val="0"/>
        </w:rPr>
        <w:t>s,</w:t>
      </w:r>
      <w:r w:rsidRPr="00A20C01" w:rsidR="00C67B29">
        <w:rPr>
          <w:rFonts w:eastAsia="Times New Roman"/>
          <w:b w:val="0"/>
          <w:bCs w:val="0"/>
          <w:spacing w:val="-1"/>
        </w:rPr>
        <w:t xml:space="preserve"> </w:t>
      </w:r>
      <w:r w:rsidRPr="00A20C01" w:rsidR="00C67B29">
        <w:rPr>
          <w:rFonts w:eastAsia="Times New Roman"/>
          <w:b w:val="0"/>
          <w:bCs w:val="0"/>
        </w:rPr>
        <w:t>as necessary for the purpose of n</w:t>
      </w:r>
      <w:r w:rsidRPr="00A20C01" w:rsidR="00C67B29">
        <w:rPr>
          <w:rFonts w:eastAsia="Times New Roman"/>
          <w:b w:val="0"/>
          <w:bCs w:val="0"/>
          <w:spacing w:val="-1"/>
        </w:rPr>
        <w:t>a</w:t>
      </w:r>
      <w:r w:rsidRPr="00A20C01" w:rsidR="00C67B29">
        <w:rPr>
          <w:rFonts w:eastAsia="Times New Roman"/>
          <w:b w:val="0"/>
          <w:bCs w:val="0"/>
        </w:rPr>
        <w:t>tional sec</w:t>
      </w:r>
      <w:r w:rsidRPr="00A20C01" w:rsidR="00C67B29">
        <w:rPr>
          <w:rFonts w:eastAsia="Times New Roman"/>
          <w:b w:val="0"/>
          <w:bCs w:val="0"/>
          <w:spacing w:val="-1"/>
        </w:rPr>
        <w:t>u</w:t>
      </w:r>
      <w:r w:rsidRPr="00A20C01" w:rsidR="00C67B29">
        <w:rPr>
          <w:rFonts w:eastAsia="Times New Roman"/>
          <w:b w:val="0"/>
          <w:bCs w:val="0"/>
        </w:rPr>
        <w:t>rity, foreign policy and s</w:t>
      </w:r>
      <w:r w:rsidRPr="00A20C01" w:rsidR="00C67B29">
        <w:rPr>
          <w:rFonts w:eastAsia="Times New Roman"/>
          <w:b w:val="0"/>
          <w:bCs w:val="0"/>
          <w:spacing w:val="-1"/>
        </w:rPr>
        <w:t>h</w:t>
      </w:r>
      <w:r w:rsidRPr="00A20C01" w:rsidR="00C67B29">
        <w:rPr>
          <w:rFonts w:eastAsia="Times New Roman"/>
          <w:b w:val="0"/>
          <w:bCs w:val="0"/>
        </w:rPr>
        <w:t>ort supply, and the provision prohibiting U.S. persons from</w:t>
      </w:r>
      <w:r w:rsidRPr="00A20C01" w:rsidR="00C67B29">
        <w:rPr>
          <w:rFonts w:eastAsia="Times New Roman"/>
          <w:b w:val="0"/>
          <w:bCs w:val="0"/>
          <w:spacing w:val="-2"/>
        </w:rPr>
        <w:t xml:space="preserve"> </w:t>
      </w:r>
      <w:r w:rsidRPr="00A20C01" w:rsidR="00C67B29">
        <w:rPr>
          <w:rFonts w:eastAsia="Times New Roman"/>
          <w:b w:val="0"/>
          <w:bCs w:val="0"/>
        </w:rPr>
        <w:t>participating in certain foreign boycotts.  Export control authority has been assigned directly</w:t>
      </w:r>
      <w:r w:rsidRPr="00A20C01" w:rsidR="00C67B29">
        <w:rPr>
          <w:rFonts w:eastAsia="Times New Roman"/>
          <w:b w:val="0"/>
          <w:bCs w:val="0"/>
          <w:spacing w:val="-2"/>
        </w:rPr>
        <w:t xml:space="preserve"> </w:t>
      </w:r>
      <w:r w:rsidRPr="00A20C01" w:rsidR="00C67B29">
        <w:rPr>
          <w:rFonts w:eastAsia="Times New Roman"/>
          <w:b w:val="0"/>
          <w:bCs w:val="0"/>
        </w:rPr>
        <w:t>to the Secretary of Com</w:t>
      </w:r>
      <w:r w:rsidRPr="00A20C01" w:rsidR="00C67B29">
        <w:rPr>
          <w:rFonts w:eastAsia="Times New Roman"/>
          <w:b w:val="0"/>
          <w:bCs w:val="0"/>
          <w:spacing w:val="-2"/>
        </w:rPr>
        <w:t>m</w:t>
      </w:r>
      <w:r w:rsidRPr="00A20C01" w:rsidR="00C67B29">
        <w:rPr>
          <w:rFonts w:eastAsia="Times New Roman"/>
          <w:b w:val="0"/>
          <w:bCs w:val="0"/>
        </w:rPr>
        <w:t xml:space="preserve">erce by the </w:t>
      </w:r>
      <w:r w:rsidRPr="00A20C01" w:rsidR="008C7666">
        <w:rPr>
          <w:rFonts w:eastAsia="Times New Roman"/>
          <w:b w:val="0"/>
          <w:bCs w:val="0"/>
        </w:rPr>
        <w:t>ECRA</w:t>
      </w:r>
      <w:r w:rsidRPr="00A20C01" w:rsidR="00C67B29">
        <w:rPr>
          <w:rFonts w:eastAsia="Times New Roman"/>
          <w:b w:val="0"/>
          <w:bCs w:val="0"/>
        </w:rPr>
        <w:t xml:space="preserve"> and deleg</w:t>
      </w:r>
      <w:r w:rsidRPr="00A20C01" w:rsidR="00C67B29">
        <w:rPr>
          <w:rFonts w:eastAsia="Times New Roman"/>
          <w:b w:val="0"/>
          <w:bCs w:val="0"/>
          <w:spacing w:val="-1"/>
        </w:rPr>
        <w:t>a</w:t>
      </w:r>
      <w:r w:rsidRPr="00A20C01" w:rsidR="00C67B29">
        <w:rPr>
          <w:rFonts w:eastAsia="Times New Roman"/>
          <w:b w:val="0"/>
          <w:bCs w:val="0"/>
        </w:rPr>
        <w:t>ted by</w:t>
      </w:r>
      <w:r w:rsidRPr="00A20C01" w:rsidR="00C67B29">
        <w:rPr>
          <w:rFonts w:eastAsia="Times New Roman"/>
          <w:b w:val="0"/>
          <w:bCs w:val="0"/>
          <w:spacing w:val="-1"/>
        </w:rPr>
        <w:t xml:space="preserve"> </w:t>
      </w:r>
      <w:r w:rsidRPr="00A20C01" w:rsidR="00C67B29">
        <w:rPr>
          <w:rFonts w:eastAsia="Times New Roman"/>
          <w:b w:val="0"/>
          <w:bCs w:val="0"/>
        </w:rPr>
        <w:t>the Pre</w:t>
      </w:r>
      <w:r w:rsidRPr="00A20C01" w:rsidR="00C67B29">
        <w:rPr>
          <w:rFonts w:eastAsia="Times New Roman"/>
          <w:b w:val="0"/>
          <w:bCs w:val="0"/>
          <w:spacing w:val="-1"/>
        </w:rPr>
        <w:t>s</w:t>
      </w:r>
      <w:r w:rsidRPr="00A20C01" w:rsidR="00C67B29">
        <w:rPr>
          <w:rFonts w:eastAsia="Times New Roman"/>
          <w:b w:val="0"/>
          <w:bCs w:val="0"/>
        </w:rPr>
        <w:t>id</w:t>
      </w:r>
      <w:r w:rsidRPr="00A20C01" w:rsidR="00C67B29">
        <w:rPr>
          <w:rFonts w:eastAsia="Times New Roman"/>
          <w:b w:val="0"/>
          <w:bCs w:val="0"/>
          <w:spacing w:val="-1"/>
        </w:rPr>
        <w:t>e</w:t>
      </w:r>
      <w:r w:rsidRPr="00A20C01" w:rsidR="00C67B29">
        <w:rPr>
          <w:rFonts w:eastAsia="Times New Roman"/>
          <w:b w:val="0"/>
          <w:bCs w:val="0"/>
        </w:rPr>
        <w:t>nt to t</w:t>
      </w:r>
      <w:r w:rsidRPr="00A20C01" w:rsidR="00C67B29">
        <w:rPr>
          <w:rFonts w:eastAsia="Times New Roman"/>
          <w:b w:val="0"/>
          <w:bCs w:val="0"/>
          <w:spacing w:val="-1"/>
        </w:rPr>
        <w:t>h</w:t>
      </w:r>
      <w:r w:rsidRPr="00A20C01" w:rsidR="00C67B29">
        <w:rPr>
          <w:rFonts w:eastAsia="Times New Roman"/>
          <w:b w:val="0"/>
          <w:bCs w:val="0"/>
        </w:rPr>
        <w:t>e Secretary of Commerce.  This authority is ad</w:t>
      </w:r>
      <w:r w:rsidRPr="00A20C01" w:rsidR="00C67B29">
        <w:rPr>
          <w:rFonts w:eastAsia="Times New Roman"/>
          <w:b w:val="0"/>
          <w:bCs w:val="0"/>
          <w:spacing w:val="-2"/>
        </w:rPr>
        <w:t>m</w:t>
      </w:r>
      <w:r w:rsidRPr="00A20C01" w:rsidR="00C67B29">
        <w:rPr>
          <w:rFonts w:eastAsia="Times New Roman"/>
          <w:b w:val="0"/>
          <w:bCs w:val="0"/>
          <w:spacing w:val="1"/>
        </w:rPr>
        <w:t>i</w:t>
      </w:r>
      <w:r w:rsidRPr="00A20C01" w:rsidR="00C67B29">
        <w:rPr>
          <w:rFonts w:eastAsia="Times New Roman"/>
          <w:b w:val="0"/>
          <w:bCs w:val="0"/>
        </w:rPr>
        <w:t xml:space="preserve">nistered by the Bureau of Industry and </w:t>
      </w:r>
      <w:r w:rsidRPr="00A20C01" w:rsidR="00C67B29">
        <w:rPr>
          <w:rFonts w:eastAsia="Times New Roman"/>
          <w:b w:val="0"/>
          <w:bCs w:val="0"/>
          <w:spacing w:val="-1"/>
        </w:rPr>
        <w:t>S</w:t>
      </w:r>
      <w:r w:rsidRPr="00A20C01" w:rsidR="00C67B29">
        <w:rPr>
          <w:rFonts w:eastAsia="Times New Roman"/>
          <w:b w:val="0"/>
          <w:bCs w:val="0"/>
        </w:rPr>
        <w:t>ecurity through the Export Ad</w:t>
      </w:r>
      <w:r w:rsidRPr="00A20C01" w:rsidR="00C67B29">
        <w:rPr>
          <w:rFonts w:eastAsia="Times New Roman"/>
          <w:b w:val="0"/>
          <w:bCs w:val="0"/>
          <w:spacing w:val="-2"/>
        </w:rPr>
        <w:t>m</w:t>
      </w:r>
      <w:r w:rsidRPr="00A20C01" w:rsidR="00C67B29">
        <w:rPr>
          <w:rFonts w:eastAsia="Times New Roman"/>
          <w:b w:val="0"/>
          <w:bCs w:val="0"/>
          <w:spacing w:val="1"/>
        </w:rPr>
        <w:t>i</w:t>
      </w:r>
      <w:r w:rsidRPr="00A20C01" w:rsidR="00C67B29">
        <w:rPr>
          <w:rFonts w:eastAsia="Times New Roman"/>
          <w:b w:val="0"/>
          <w:bCs w:val="0"/>
        </w:rPr>
        <w:t xml:space="preserve">nistration Regulations (EAR).  </w:t>
      </w:r>
    </w:p>
    <w:p w:rsidR="008A6F85" w:rsidP="00C67B29" w:rsidRDefault="008A6F85" w14:paraId="138E551B" w14:textId="77777777">
      <w:pPr>
        <w:widowControl w:val="0"/>
        <w:spacing w:after="0" w:line="240" w:lineRule="auto"/>
        <w:rPr>
          <w:rFonts w:eastAsia="Times New Roman"/>
        </w:rPr>
      </w:pPr>
    </w:p>
    <w:p w:rsidRPr="00C67B29" w:rsidR="00C67B29" w:rsidP="00C67B29" w:rsidRDefault="00C67B29" w14:paraId="49B2238A" w14:textId="5C092EB3">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nisters a system of export</w:t>
      </w:r>
      <w:r w:rsidR="00DF67F9">
        <w:rPr>
          <w:rFonts w:eastAsia="Times New Roman"/>
        </w:rPr>
        <w:t>,</w:t>
      </w:r>
      <w:r w:rsidRPr="00C67B29">
        <w:rPr>
          <w:rFonts w:eastAsia="Times New Roman"/>
        </w:rPr>
        <w:t xml:space="preserve"> </w:t>
      </w:r>
      <w:r w:rsidRPr="00C67B29" w:rsidR="00A7117E">
        <w:rPr>
          <w:rFonts w:eastAsia="Times New Roman"/>
        </w:rPr>
        <w:t>re</w:t>
      </w:r>
      <w:r w:rsidR="00A7117E">
        <w:rPr>
          <w:rFonts w:eastAsia="Times New Roman"/>
        </w:rPr>
        <w:t>-</w:t>
      </w:r>
      <w:r w:rsidRPr="00C67B29" w:rsidR="00A7117E">
        <w:rPr>
          <w:rFonts w:eastAsia="Times New Roman"/>
        </w:rPr>
        <w:t>exp</w:t>
      </w:r>
      <w:r w:rsidRPr="00C67B29" w:rsidR="00A7117E">
        <w:rPr>
          <w:rFonts w:eastAsia="Times New Roman"/>
          <w:spacing w:val="-1"/>
        </w:rPr>
        <w:t>o</w:t>
      </w:r>
      <w:r w:rsidRPr="00C67B29" w:rsidR="00A7117E">
        <w:rPr>
          <w:rFonts w:eastAsia="Times New Roman"/>
        </w:rPr>
        <w:t>rt</w:t>
      </w:r>
      <w:r w:rsidR="00DF67F9">
        <w:rPr>
          <w:rFonts w:eastAsia="Times New Roman"/>
        </w:rPr>
        <w:t>, and in-country transfer</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r w:rsidR="00A20C01">
        <w:rPr>
          <w:rFonts w:eastAsia="Times New Roman"/>
        </w:rPr>
        <w:t xml:space="preserve">  </w:t>
      </w: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r w:rsidRPr="00C67B29">
        <w:rPr>
          <w:rFonts w:eastAsia="Times New Roman"/>
        </w:rPr>
        <w:t>requests</w:t>
      </w:r>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Pr="00C67B29" w:rsidR="00C67B29" w:rsidP="00C67B29" w:rsidRDefault="00C67B29" w14:paraId="520A5347" w14:textId="77777777">
      <w:pPr>
        <w:widowControl w:val="0"/>
        <w:spacing w:after="0" w:line="240" w:lineRule="auto"/>
        <w:rPr>
          <w:rFonts w:ascii="Calibri" w:hAnsi="Calibri" w:eastAsia="Calibri"/>
          <w:sz w:val="26"/>
          <w:szCs w:val="26"/>
        </w:rPr>
      </w:pPr>
    </w:p>
    <w:p w:rsidRPr="00C67B29" w:rsidR="00C67B29" w:rsidP="00C67B29" w:rsidRDefault="00C67B29" w14:paraId="7129A514" w14:textId="77777777">
      <w:pPr>
        <w:widowControl w:val="0"/>
        <w:spacing w:after="0" w:line="240" w:lineRule="auto"/>
        <w:rPr>
          <w:rFonts w:eastAsia="Times New Roman"/>
        </w:rPr>
      </w:pPr>
      <w:r w:rsidRPr="00C67B29">
        <w:rPr>
          <w:rFonts w:eastAsia="Times New Roman"/>
        </w:rPr>
        <w:t xml:space="preserve">1. </w:t>
      </w:r>
      <w:r w:rsidRPr="00C67B29" w:rsidR="00A7117E">
        <w:rPr>
          <w:rFonts w:eastAsia="Times New Roman"/>
        </w:rPr>
        <w:t>BIS’</w:t>
      </w:r>
      <w:r w:rsidR="00A7117E">
        <w:rPr>
          <w:rFonts w:eastAsia="Times New Roman"/>
        </w:rPr>
        <w:t xml:space="preserve"> </w:t>
      </w:r>
      <w:r w:rsidRPr="00C67B29" w:rsidR="00A7117E">
        <w:rPr>
          <w:rFonts w:eastAsia="Times New Roman"/>
        </w:rPr>
        <w:t>Simplified</w:t>
      </w:r>
      <w:r w:rsidRPr="00C67B29">
        <w:rPr>
          <w:rFonts w:eastAsia="Times New Roman"/>
        </w:rPr>
        <w:t xml:space="preserve"> Network Application Process - Redesign (SNAP-R);</w:t>
      </w:r>
    </w:p>
    <w:p w:rsidRPr="00C67B29" w:rsidR="00C67B29" w:rsidP="00C67B29" w:rsidRDefault="00C67B29" w14:paraId="65AEEBBF" w14:textId="77777777">
      <w:pPr>
        <w:widowControl w:val="0"/>
        <w:spacing w:after="0" w:line="240" w:lineRule="auto"/>
        <w:rPr>
          <w:rFonts w:ascii="Calibri" w:hAnsi="Calibri" w:eastAsia="Calibri"/>
          <w:sz w:val="26"/>
          <w:szCs w:val="26"/>
        </w:rPr>
      </w:pPr>
    </w:p>
    <w:p w:rsidRPr="00C67B29" w:rsidR="00C67B29" w:rsidP="00C67B29" w:rsidRDefault="00C67B29" w14:paraId="0296E56B" w14:textId="77777777">
      <w:pPr>
        <w:widowControl w:val="0"/>
        <w:spacing w:after="0" w:line="240" w:lineRule="auto"/>
        <w:rPr>
          <w:rFonts w:eastAsia="Times New Roman"/>
        </w:rPr>
      </w:pPr>
      <w:r w:rsidRPr="00C67B29">
        <w:rPr>
          <w:rFonts w:eastAsia="Times New Roman"/>
        </w:rPr>
        <w:t>2. BIS</w:t>
      </w:r>
      <w:r w:rsidR="00A7117E">
        <w:rPr>
          <w:rFonts w:ascii="Arial" w:hAnsi="Arial" w:eastAsia="Arial" w:cs="Arial"/>
          <w:w w:val="39"/>
        </w:rPr>
        <w:t>’</w:t>
      </w:r>
      <w:r w:rsidRPr="00C67B29">
        <w:rPr>
          <w:rFonts w:eastAsia="Times New Roman"/>
        </w:rPr>
        <w:t xml:space="preserve"> System for Tracking Export License Applications (STELA); </w:t>
      </w:r>
    </w:p>
    <w:p w:rsidRPr="00C67B29" w:rsidR="00C67B29" w:rsidP="00C67B29" w:rsidRDefault="00C67B29" w14:paraId="71EBE3FA" w14:textId="77777777">
      <w:pPr>
        <w:widowControl w:val="0"/>
        <w:spacing w:after="0" w:line="240" w:lineRule="auto"/>
        <w:rPr>
          <w:rFonts w:eastAsia="Times New Roman"/>
        </w:rPr>
      </w:pPr>
    </w:p>
    <w:p w:rsidRPr="00C67B29" w:rsidR="00C67B29" w:rsidP="00C67B29" w:rsidRDefault="00C67B29" w14:paraId="0195F12D" w14:textId="77777777">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r w:rsidR="008A6F85">
        <w:rPr>
          <w:rFonts w:eastAsia="Times New Roman"/>
        </w:rPr>
        <w:t xml:space="preserve"> </w:t>
      </w:r>
      <w:r w:rsidRPr="00C67B29">
        <w:rPr>
          <w:rFonts w:eastAsia="Times New Roman"/>
        </w:rPr>
        <w:t>BIS 748P-A (item</w:t>
      </w:r>
      <w:r w:rsidRPr="00C67B29">
        <w:rPr>
          <w:rFonts w:eastAsia="Times New Roman"/>
          <w:spacing w:val="-2"/>
        </w:rPr>
        <w:t xml:space="preserve"> </w:t>
      </w:r>
      <w:r w:rsidRPr="00C67B29">
        <w:rPr>
          <w:rFonts w:eastAsia="Times New Roman"/>
        </w:rPr>
        <w:t>appendix) and the</w:t>
      </w:r>
      <w:r w:rsidRPr="00C67B29">
        <w:rPr>
          <w:rFonts w:eastAsia="Times New Roman"/>
          <w:spacing w:val="-2"/>
        </w:rPr>
        <w:t xml:space="preserve"> </w:t>
      </w:r>
      <w:r w:rsidRPr="00C67B29">
        <w:rPr>
          <w:rFonts w:eastAsia="Times New Roman"/>
        </w:rPr>
        <w:t xml:space="preserve">BIS 748P-B (end-user appendix); or </w:t>
      </w:r>
    </w:p>
    <w:p w:rsidRPr="00C67B29" w:rsidR="00C67B29" w:rsidP="00C67B29" w:rsidRDefault="00C67B29" w14:paraId="7051FF6C" w14:textId="77777777">
      <w:pPr>
        <w:widowControl w:val="0"/>
        <w:spacing w:after="0" w:line="240" w:lineRule="auto"/>
        <w:rPr>
          <w:rFonts w:eastAsia="Times New Roman"/>
        </w:rPr>
      </w:pPr>
    </w:p>
    <w:p w:rsidRPr="00A83D25" w:rsidR="00C67B29" w:rsidP="00C67B29" w:rsidRDefault="00C67B29" w14:paraId="14C0B54B" w14:textId="77777777">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Pr="00A83D25" w:rsidR="00BD0B1A">
        <w:rPr>
          <w:rFonts w:eastAsia="Times New Roman"/>
        </w:rPr>
        <w:t>s</w:t>
      </w:r>
      <w:r w:rsidRPr="00A83D25">
        <w:rPr>
          <w:rFonts w:eastAsia="Times New Roman"/>
        </w:rPr>
        <w:t xml:space="preserve">, pursuant to the instructions in § 748.3(c) of the EAR. </w:t>
      </w:r>
    </w:p>
    <w:p w:rsidRPr="000F743E" w:rsidR="00C67B29" w:rsidP="00C67B29" w:rsidRDefault="00C67B29" w14:paraId="3FF7C235" w14:textId="77777777">
      <w:pPr>
        <w:widowControl w:val="0"/>
        <w:spacing w:after="0" w:line="240" w:lineRule="auto"/>
        <w:rPr>
          <w:rFonts w:eastAsia="Calibri"/>
        </w:rPr>
      </w:pPr>
    </w:p>
    <w:p w:rsidRPr="00C67B29" w:rsidR="00C67B29" w:rsidP="00C67B29" w:rsidRDefault="00C67B29" w14:paraId="15EC28D3" w14:textId="77777777">
      <w:pPr>
        <w:widowControl w:val="0"/>
        <w:spacing w:after="0" w:line="240" w:lineRule="auto"/>
        <w:rPr>
          <w:rFonts w:eastAsia="Times New Roman"/>
        </w:rPr>
      </w:pPr>
      <w:r w:rsidRPr="00A83D25">
        <w:rPr>
          <w:rFonts w:eastAsia="Times New Roman"/>
        </w:rPr>
        <w:t xml:space="preserve">Specific to the submission of applications, requests and notifications, BIS will, under one or more the circumstances specified in </w:t>
      </w:r>
      <m:oMath>
        <m:r>
          <w:rPr>
            <w:rFonts w:ascii="Cambria Math" w:hAnsi="Cambria Math" w:eastAsia="Times New Roman"/>
          </w:rPr>
          <m:t>§</m:t>
        </m:r>
      </m:oMath>
      <w:r w:rsidRPr="00A83D25" w:rsidR="00BD0B1A">
        <w:rPr>
          <w:rFonts w:eastAsia="Times New Roman"/>
        </w:rPr>
        <w:t xml:space="preserve"> 748.1</w:t>
      </w:r>
      <w:r w:rsidRPr="00A83D25">
        <w:rPr>
          <w:rFonts w:eastAsia="Times New Roman"/>
        </w:rPr>
        <w:t>(d)(1) of the EAR, accept paper submissions</w:t>
      </w:r>
      <w:r w:rsidRPr="00A83D25" w:rsidR="00BD0B1A">
        <w:rPr>
          <w:rFonts w:eastAsia="Times New Roman"/>
        </w:rPr>
        <w:t xml:space="preserve"> of </w:t>
      </w:r>
      <w:r w:rsidRPr="00A83D25" w:rsidR="00BD0B1A">
        <w:rPr>
          <w:rFonts w:eastAsia="Times New Roman"/>
        </w:rPr>
        <w:lastRenderedPageBreak/>
        <w:t>license applications, notifications and requests</w:t>
      </w:r>
      <w:r w:rsidRPr="00A83D25">
        <w:rPr>
          <w:rFonts w:eastAsia="Times New Roman"/>
        </w:rPr>
        <w:t>.  However, BIS has not recently received any paper submissions o</w:t>
      </w:r>
      <w:r w:rsidRPr="00A83D25" w:rsidR="00BD0B1A">
        <w:rPr>
          <w:rFonts w:eastAsia="Times New Roman"/>
        </w:rPr>
        <w:t xml:space="preserve">f license applications, notifications </w:t>
      </w:r>
      <w:r w:rsidRPr="00A83D25">
        <w:rPr>
          <w:rFonts w:eastAsia="Times New Roman"/>
        </w:rPr>
        <w:t>or requests.</w:t>
      </w:r>
      <w:r w:rsidRPr="00C67B29">
        <w:rPr>
          <w:rFonts w:eastAsia="Times New Roman"/>
        </w:rPr>
        <w:t xml:space="preserve">  </w:t>
      </w:r>
    </w:p>
    <w:p w:rsidRPr="00C67B29" w:rsidR="00C67B29" w:rsidP="00C67B29" w:rsidRDefault="00C67B29" w14:paraId="1FE6EAEA" w14:textId="77777777">
      <w:pPr>
        <w:widowControl w:val="0"/>
        <w:spacing w:after="0" w:line="240" w:lineRule="auto"/>
        <w:rPr>
          <w:rFonts w:eastAsia="Times New Roman"/>
        </w:rPr>
      </w:pPr>
    </w:p>
    <w:p w:rsidRPr="00C67B29" w:rsidR="00C67B29" w:rsidP="00C67B29" w:rsidRDefault="00C67B29" w14:paraId="78CED8B0" w14:textId="77777777">
      <w:pPr>
        <w:widowControl w:val="0"/>
        <w:spacing w:after="0" w:line="240" w:lineRule="auto"/>
        <w:rPr>
          <w:rFonts w:eastAsia="Times New Roman"/>
        </w:rPr>
      </w:pPr>
      <w:r w:rsidRPr="00C67B29">
        <w:rPr>
          <w:rFonts w:eastAsia="Times New Roman"/>
        </w:rPr>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Pr="00C67B29" w:rsidR="00C67B29" w:rsidP="00C67B29" w:rsidRDefault="00C67B29" w14:paraId="325BD54B" w14:textId="77777777">
      <w:pPr>
        <w:widowControl w:val="0"/>
        <w:spacing w:after="0" w:line="240" w:lineRule="auto"/>
        <w:rPr>
          <w:rFonts w:eastAsia="Times New Roman"/>
        </w:rPr>
      </w:pPr>
    </w:p>
    <w:p w:rsidRPr="00C67B29" w:rsidR="00C67B29" w:rsidP="00C67B29" w:rsidRDefault="00C67B29" w14:paraId="081273BE" w14:textId="77777777">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Pr="00C67B29" w:rsidR="00A03672" w:rsidP="00C67B29" w:rsidRDefault="00A03672" w14:paraId="46EEFD2A" w14:textId="77777777">
      <w:pPr>
        <w:widowControl w:val="0"/>
        <w:spacing w:after="0" w:line="240" w:lineRule="auto"/>
        <w:rPr>
          <w:rFonts w:ascii="Calibri" w:hAnsi="Calibri" w:eastAsia="Calibri"/>
          <w:sz w:val="20"/>
          <w:szCs w:val="20"/>
        </w:rPr>
      </w:pPr>
    </w:p>
    <w:p w:rsidRPr="00C67B29" w:rsidR="00C67B29" w:rsidP="00C67B29" w:rsidRDefault="00C67B29" w14:paraId="5973167D" w14:textId="77777777">
      <w:pPr>
        <w:widowControl w:val="0"/>
        <w:spacing w:after="0" w:line="240" w:lineRule="auto"/>
        <w:rPr>
          <w:rFonts w:eastAsia="Times New Roman"/>
        </w:rPr>
      </w:pPr>
      <w:r w:rsidRPr="00C67B29">
        <w:rPr>
          <w:rFonts w:eastAsia="Times New Roman"/>
          <w:b/>
          <w:bCs/>
        </w:rPr>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Pr="00C67B29" w:rsidR="00C67B29" w:rsidP="00C67B29" w:rsidRDefault="00C67B29" w14:paraId="2F329845" w14:textId="77777777">
      <w:pPr>
        <w:widowControl w:val="0"/>
        <w:spacing w:after="0" w:line="240" w:lineRule="auto"/>
        <w:rPr>
          <w:rFonts w:ascii="Calibri" w:hAnsi="Calibri" w:eastAsia="Calibri"/>
          <w:sz w:val="26"/>
          <w:szCs w:val="26"/>
        </w:rPr>
      </w:pPr>
    </w:p>
    <w:p w:rsidRPr="00C67B29" w:rsidR="00C67B29" w:rsidP="00C67B29" w:rsidRDefault="00C67B29" w14:paraId="43086742" w14:textId="77777777">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supply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Pr="00C67B29" w:rsidR="00C67B29" w:rsidP="00C67B29" w:rsidRDefault="00C67B29" w14:paraId="346E20CD" w14:textId="77777777">
      <w:pPr>
        <w:widowControl w:val="0"/>
        <w:spacing w:after="0" w:line="240" w:lineRule="auto"/>
        <w:rPr>
          <w:rFonts w:ascii="Calibri" w:hAnsi="Calibri" w:eastAsia="Calibri"/>
          <w:sz w:val="26"/>
          <w:szCs w:val="26"/>
        </w:rPr>
      </w:pPr>
    </w:p>
    <w:p w:rsidRPr="00C67B29" w:rsidR="00C67B29" w:rsidP="00C67B29" w:rsidRDefault="00C67B29" w14:paraId="7FED196F" w14:textId="30351FA2">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includes a large nu</w:t>
      </w:r>
      <w:r w:rsidRPr="00C67B29">
        <w:rPr>
          <w:rFonts w:eastAsia="Times New Roman"/>
          <w:spacing w:val="-2"/>
        </w:rPr>
        <w:t>m</w:t>
      </w:r>
      <w:r w:rsidRPr="00C67B29">
        <w:rPr>
          <w:rFonts w:eastAsia="Times New Roman"/>
        </w:rPr>
        <w:t>ber of software validations to</w:t>
      </w:r>
      <w:r w:rsidRPr="00C67B29">
        <w:rPr>
          <w:rFonts w:eastAsia="Times New Roman"/>
          <w:spacing w:val="1"/>
        </w:rPr>
        <w:t xml:space="preserve"> </w:t>
      </w:r>
      <w:r w:rsidRPr="00C67B29" w:rsidR="00E324EB">
        <w:rPr>
          <w:rFonts w:eastAsia="Times New Roman"/>
        </w:rPr>
        <w:t>ensure</w:t>
      </w:r>
      <w:r w:rsidRPr="00C67B29">
        <w:rPr>
          <w:rFonts w:eastAsia="Times New Roman"/>
        </w:rPr>
        <w:t xml:space="preserve"> high quality data.</w:t>
      </w:r>
    </w:p>
    <w:p w:rsidRPr="00C67B29" w:rsidR="00A03672" w:rsidP="00C67B29" w:rsidRDefault="00A03672" w14:paraId="45F5A3AC" w14:textId="77777777">
      <w:pPr>
        <w:widowControl w:val="0"/>
        <w:spacing w:after="0" w:line="240" w:lineRule="auto"/>
        <w:rPr>
          <w:rFonts w:eastAsia="Times New Roman"/>
          <w:b/>
          <w:bCs/>
        </w:rPr>
      </w:pPr>
    </w:p>
    <w:p w:rsidRPr="00C67B29" w:rsidR="00C67B29" w:rsidP="00C67B29" w:rsidRDefault="00C67B29" w14:paraId="7B94CA22" w14:textId="77777777">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161B7397" w14:textId="77777777">
      <w:pPr>
        <w:widowControl w:val="0"/>
        <w:spacing w:after="0" w:line="240" w:lineRule="auto"/>
        <w:rPr>
          <w:rFonts w:ascii="Calibri" w:hAnsi="Calibri" w:eastAsia="Calibri"/>
        </w:rPr>
      </w:pPr>
    </w:p>
    <w:p w:rsidRPr="00C67B29" w:rsidR="00C67B29" w:rsidP="00C67B29" w:rsidRDefault="00C67B29" w14:paraId="362E1770" w14:textId="77777777">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w:history="1" r:id="rId8">
        <w:r w:rsidRPr="004E7113" w:rsidR="00A83D25">
          <w:rPr>
            <w:rStyle w:val="Hyperlink"/>
            <w:rFonts w:eastAsia="Times New Roman"/>
            <w:position w:val="-1"/>
            <w:u w:color="0000FF"/>
          </w:rPr>
          <w:t>https://snapr.bis.doc.gov/</w:t>
        </w:r>
      </w:hyperlink>
      <w:r w:rsidR="00A83D25">
        <w:rPr>
          <w:rFonts w:eastAsia="Times New Roman"/>
          <w:color w:val="0000FF"/>
          <w:position w:val="-1"/>
          <w:u w:val="single" w:color="0000FF"/>
        </w:rPr>
        <w:t xml:space="preserve">. </w:t>
      </w:r>
    </w:p>
    <w:p w:rsidR="00A83D25" w:rsidP="00C67B29" w:rsidRDefault="00A83D25" w14:paraId="2145E447" w14:textId="77777777">
      <w:pPr>
        <w:widowControl w:val="0"/>
        <w:spacing w:after="0" w:line="240" w:lineRule="auto"/>
        <w:rPr>
          <w:rFonts w:ascii="Calibri" w:hAnsi="Calibri" w:eastAsia="Calibri"/>
          <w:sz w:val="20"/>
          <w:szCs w:val="20"/>
        </w:rPr>
      </w:pPr>
    </w:p>
    <w:p w:rsidRPr="00A83D25" w:rsidR="00A83D25" w:rsidP="00C67B29" w:rsidRDefault="00A83D25" w14:paraId="1153414D" w14:textId="77777777">
      <w:pPr>
        <w:widowControl w:val="0"/>
        <w:spacing w:after="0" w:line="240" w:lineRule="auto"/>
        <w:rPr>
          <w:rFonts w:eastAsia="Calibri"/>
        </w:rPr>
      </w:pPr>
      <w:r>
        <w:rPr>
          <w:rFonts w:eastAsia="Calibri"/>
        </w:rPr>
        <w:t xml:space="preserve">Advisory opinion requests are delivered to BIS by mail, delivery service or via e-mail. </w:t>
      </w:r>
    </w:p>
    <w:p w:rsidRPr="00C67B29" w:rsidR="00A03672" w:rsidP="00C67B29" w:rsidRDefault="00A03672" w14:paraId="41FCE1B7" w14:textId="77777777">
      <w:pPr>
        <w:widowControl w:val="0"/>
        <w:spacing w:after="0" w:line="240" w:lineRule="auto"/>
        <w:rPr>
          <w:rFonts w:ascii="Calibri" w:hAnsi="Calibri" w:eastAsia="Calibri"/>
          <w:sz w:val="20"/>
          <w:szCs w:val="20"/>
        </w:rPr>
      </w:pPr>
    </w:p>
    <w:p w:rsidRPr="00C67B29" w:rsidR="00C67B29" w:rsidP="00C67B29" w:rsidRDefault="00C67B29" w14:paraId="1D6C12E8" w14:textId="77777777">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561E178F" w14:textId="77777777">
      <w:pPr>
        <w:widowControl w:val="0"/>
        <w:spacing w:after="0" w:line="240" w:lineRule="auto"/>
        <w:rPr>
          <w:rFonts w:ascii="Calibri" w:hAnsi="Calibri" w:eastAsia="Calibri"/>
        </w:rPr>
      </w:pPr>
    </w:p>
    <w:p w:rsidR="00C67B29" w:rsidP="00C67B29" w:rsidRDefault="00C67B29" w14:paraId="5B7ABB83" w14:textId="14B528F2">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33511A" w:rsidP="00C67B29" w:rsidRDefault="0033511A" w14:paraId="04F08BC2" w14:textId="77777777">
      <w:pPr>
        <w:widowControl w:val="0"/>
        <w:spacing w:after="0" w:line="240" w:lineRule="auto"/>
        <w:rPr>
          <w:rFonts w:eastAsia="Times New Roman"/>
        </w:rPr>
      </w:pPr>
    </w:p>
    <w:p w:rsidR="00A03672" w:rsidP="00C67B29" w:rsidRDefault="00A03672" w14:paraId="0E788661" w14:textId="77777777">
      <w:pPr>
        <w:widowControl w:val="0"/>
        <w:spacing w:after="0" w:line="240" w:lineRule="auto"/>
        <w:rPr>
          <w:rFonts w:ascii="Calibri" w:hAnsi="Calibri" w:eastAsia="Calibri"/>
          <w:sz w:val="20"/>
          <w:szCs w:val="20"/>
        </w:rPr>
      </w:pPr>
    </w:p>
    <w:p w:rsidRPr="00C67B29" w:rsidR="00C67B29" w:rsidP="00C67B29" w:rsidRDefault="00C67B29" w14:paraId="40C7FF65" w14:textId="77777777">
      <w:pPr>
        <w:widowControl w:val="0"/>
        <w:spacing w:after="0" w:line="240" w:lineRule="auto"/>
        <w:rPr>
          <w:rFonts w:eastAsia="Times New Roman"/>
        </w:rPr>
      </w:pPr>
      <w:r w:rsidRPr="00C67B29">
        <w:rPr>
          <w:rFonts w:eastAsia="Times New Roman"/>
          <w:b/>
          <w:bCs/>
        </w:rPr>
        <w:lastRenderedPageBreak/>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Pr="00C67B29" w:rsidR="00C67B29" w:rsidP="00C67B29" w:rsidRDefault="00C67B29" w14:paraId="539D9C75" w14:textId="77777777">
      <w:pPr>
        <w:widowControl w:val="0"/>
        <w:spacing w:after="0" w:line="240" w:lineRule="auto"/>
        <w:rPr>
          <w:rFonts w:ascii="Calibri" w:hAnsi="Calibri" w:eastAsia="Calibri"/>
        </w:rPr>
      </w:pPr>
    </w:p>
    <w:p w:rsidRPr="00C67B29" w:rsidR="00C67B29" w:rsidP="00C67B29" w:rsidRDefault="00C67B29" w14:paraId="60881B61" w14:textId="77777777">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and license exception AGR notification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policy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tive 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w:history="1" r:id="rId9">
        <w:r w:rsidRPr="00C67B29">
          <w:rPr>
            <w:rFonts w:eastAsia="Times New Roman"/>
            <w:color w:val="0000FF"/>
            <w:u w:val="single" w:color="0000FF"/>
          </w:rPr>
          <w:t>https://www.bis.doc.gov</w:t>
        </w:r>
      </w:hyperlink>
      <w:r w:rsidRPr="00C67B29">
        <w:rPr>
          <w:rFonts w:eastAsia="Times New Roman"/>
          <w:color w:val="000000"/>
        </w:rPr>
        <w:t>.</w:t>
      </w:r>
    </w:p>
    <w:p w:rsidRPr="00C67B29" w:rsidR="00A03672" w:rsidP="00C67B29" w:rsidRDefault="00A03672" w14:paraId="608F4123" w14:textId="77777777">
      <w:pPr>
        <w:widowControl w:val="0"/>
        <w:spacing w:after="0" w:line="240" w:lineRule="auto"/>
        <w:rPr>
          <w:rFonts w:ascii="Calibri" w:hAnsi="Calibri" w:eastAsia="Calibri"/>
          <w:sz w:val="20"/>
          <w:szCs w:val="20"/>
        </w:rPr>
      </w:pPr>
    </w:p>
    <w:p w:rsidRPr="00C67B29" w:rsidR="00C67B29" w:rsidP="00C67B29" w:rsidRDefault="00C67B29" w14:paraId="72C2C0F1" w14:textId="77777777">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Pr="00C67B29" w:rsidR="00C67B29" w:rsidP="00C67B29" w:rsidRDefault="00C67B29" w14:paraId="3470C69A" w14:textId="77777777">
      <w:pPr>
        <w:widowControl w:val="0"/>
        <w:spacing w:after="0" w:line="240" w:lineRule="auto"/>
        <w:rPr>
          <w:rFonts w:ascii="Calibri" w:hAnsi="Calibri" w:eastAsia="Calibri"/>
          <w:sz w:val="26"/>
          <w:szCs w:val="26"/>
        </w:rPr>
      </w:pPr>
    </w:p>
    <w:p w:rsidRPr="00C67B29" w:rsidR="00C67B29" w:rsidP="00C67B29" w:rsidRDefault="00C67B29" w14:paraId="657FCEE5" w14:textId="77777777">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Pr="00C67B29" w:rsidR="00A03672" w:rsidP="00C67B29" w:rsidRDefault="00A03672" w14:paraId="733115EF" w14:textId="77777777">
      <w:pPr>
        <w:widowControl w:val="0"/>
        <w:spacing w:after="0" w:line="240" w:lineRule="auto"/>
        <w:rPr>
          <w:rFonts w:ascii="Calibri" w:hAnsi="Calibri" w:eastAsia="Calibri"/>
          <w:sz w:val="20"/>
          <w:szCs w:val="20"/>
        </w:rPr>
      </w:pPr>
    </w:p>
    <w:p w:rsidRPr="00C67B29" w:rsidR="00C67B29" w:rsidP="00C67B29" w:rsidRDefault="00C67B29" w14:paraId="3D235D7F" w14:textId="77777777">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Pr="00C67B29" w:rsidR="00C67B29" w:rsidP="00C67B29" w:rsidRDefault="00C67B29" w14:paraId="10C6ABBA" w14:textId="77777777">
      <w:pPr>
        <w:widowControl w:val="0"/>
        <w:spacing w:after="0" w:line="240" w:lineRule="auto"/>
        <w:rPr>
          <w:rFonts w:ascii="Calibri" w:hAnsi="Calibri" w:eastAsia="Calibri"/>
          <w:sz w:val="26"/>
          <w:szCs w:val="26"/>
        </w:rPr>
      </w:pPr>
    </w:p>
    <w:p w:rsidRPr="00C67B29" w:rsidR="00C67B29" w:rsidP="00C67B29" w:rsidRDefault="00C67B29" w14:paraId="30B6C933" w14:textId="77777777">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Pr="00C67B29" w:rsidR="00A03672" w:rsidP="00C67B29" w:rsidRDefault="00A03672" w14:paraId="6F518011" w14:textId="77777777">
      <w:pPr>
        <w:widowControl w:val="0"/>
        <w:spacing w:after="0" w:line="240" w:lineRule="auto"/>
        <w:rPr>
          <w:rFonts w:eastAsia="Times New Roman"/>
          <w:b/>
          <w:bCs/>
        </w:rPr>
      </w:pPr>
    </w:p>
    <w:p w:rsidRPr="00C67B29" w:rsidR="00C67B29" w:rsidP="00C67B29" w:rsidRDefault="00C67B29" w14:paraId="24AB0483" w14:textId="77777777">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Pr="00C67B29" w:rsidR="00C67B29" w:rsidP="00C67B29" w:rsidRDefault="00C67B29" w14:paraId="4FD8E4A3" w14:textId="77777777">
      <w:pPr>
        <w:widowControl w:val="0"/>
        <w:spacing w:after="0" w:line="240" w:lineRule="auto"/>
        <w:rPr>
          <w:rFonts w:ascii="Calibri" w:hAnsi="Calibri" w:eastAsia="Calibri"/>
          <w:sz w:val="26"/>
          <w:szCs w:val="26"/>
        </w:rPr>
      </w:pPr>
    </w:p>
    <w:p w:rsidR="00A03672" w:rsidP="002A4E1F" w:rsidRDefault="003710F1" w14:paraId="4EC83341" w14:textId="6F07AD03">
      <w:pPr>
        <w:widowControl w:val="0"/>
        <w:spacing w:after="0" w:line="240" w:lineRule="auto"/>
      </w:pPr>
      <w:r>
        <w:rPr>
          <w:rFonts w:eastAsia="Times New Roman"/>
        </w:rPr>
        <w:t>N/A</w:t>
      </w:r>
    </w:p>
    <w:p w:rsidR="00AE0D55" w:rsidP="00C67B29" w:rsidRDefault="00AE0D55" w14:paraId="71632FFC" w14:textId="77777777">
      <w:pPr>
        <w:widowControl w:val="0"/>
        <w:spacing w:after="0" w:line="240" w:lineRule="auto"/>
        <w:rPr>
          <w:rFonts w:eastAsia="Times New Roman"/>
          <w:b/>
          <w:bCs/>
        </w:rPr>
      </w:pPr>
    </w:p>
    <w:p w:rsidRPr="00C67B29" w:rsidR="00C67B29" w:rsidP="00C67B29" w:rsidRDefault="00C67B29" w14:paraId="0534BB8E" w14:textId="77777777">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Pr="00C67B29" w:rsidR="00C67B29" w:rsidP="00C67B29" w:rsidRDefault="00C67B29" w14:paraId="530BE45E" w14:textId="77777777">
      <w:pPr>
        <w:widowControl w:val="0"/>
        <w:spacing w:after="0" w:line="240" w:lineRule="auto"/>
        <w:rPr>
          <w:rFonts w:ascii="Calibri" w:hAnsi="Calibri" w:eastAsia="Calibri"/>
        </w:rPr>
      </w:pPr>
    </w:p>
    <w:p w:rsidR="00C67B29" w:rsidP="00C67B29" w:rsidRDefault="00C67B29" w14:paraId="0A44C351" w14:textId="77777777">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Pr="00C67B29" w:rsidR="00C67B29" w:rsidP="00C67B29" w:rsidRDefault="00C67B29" w14:paraId="74CD7E80" w14:textId="77777777">
      <w:pPr>
        <w:widowControl w:val="0"/>
        <w:spacing w:after="0" w:line="240" w:lineRule="auto"/>
        <w:rPr>
          <w:rFonts w:ascii="Calibri" w:hAnsi="Calibri" w:eastAsia="Calibri"/>
          <w:sz w:val="20"/>
          <w:szCs w:val="20"/>
        </w:rPr>
      </w:pPr>
    </w:p>
    <w:p w:rsidRPr="00C67B29" w:rsidR="00C67B29" w:rsidP="00C67B29" w:rsidRDefault="00C67B29" w14:paraId="0A7AE5B8" w14:textId="77777777">
      <w:pPr>
        <w:widowControl w:val="0"/>
        <w:spacing w:after="0" w:line="240" w:lineRule="auto"/>
        <w:rPr>
          <w:rFonts w:eastAsia="Times New Roman"/>
        </w:rPr>
      </w:pPr>
      <w:r w:rsidRPr="00C67B29">
        <w:rPr>
          <w:rFonts w:eastAsia="Times New Roman"/>
          <w:b/>
          <w:bCs/>
        </w:rPr>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00C67B29" w:rsidP="00C67B29" w:rsidRDefault="00C67B29" w14:paraId="27CB8901" w14:textId="566D7F67">
      <w:pPr>
        <w:widowControl w:val="0"/>
        <w:spacing w:after="0" w:line="240" w:lineRule="auto"/>
        <w:rPr>
          <w:rFonts w:ascii="Calibri" w:hAnsi="Calibri" w:eastAsia="Calibri"/>
        </w:rPr>
      </w:pPr>
    </w:p>
    <w:p w:rsidRPr="00C67B29" w:rsidR="009603CD" w:rsidP="00C67B29" w:rsidRDefault="009603CD" w14:paraId="41BD79D2" w14:textId="77777777">
      <w:pPr>
        <w:widowControl w:val="0"/>
        <w:spacing w:after="0" w:line="240" w:lineRule="auto"/>
        <w:rPr>
          <w:rFonts w:ascii="Calibri" w:hAnsi="Calibri" w:eastAsia="Calibri"/>
        </w:rPr>
      </w:pPr>
    </w:p>
    <w:p w:rsidR="00C67B29" w:rsidP="00C67B29" w:rsidRDefault="00166A01" w14:paraId="4653B7F1" w14:textId="77777777">
      <w:pPr>
        <w:widowControl w:val="0"/>
        <w:spacing w:after="0" w:line="240" w:lineRule="auto"/>
        <w:rPr>
          <w:rFonts w:eastAsia="Times New Roman"/>
        </w:rPr>
      </w:pPr>
      <w:r>
        <w:t xml:space="preserve">Section 1761(h) of the </w:t>
      </w:r>
      <w:r>
        <w:rPr>
          <w:rFonts w:eastAsia="Times New Roman"/>
        </w:rPr>
        <w:t xml:space="preserve">ECRA </w:t>
      </w:r>
      <w:r w:rsidRPr="00C67B29" w:rsidR="00C67B29">
        <w:rPr>
          <w:rFonts w:eastAsia="Times New Roman"/>
        </w:rPr>
        <w:t xml:space="preserve">provides for the </w:t>
      </w:r>
      <w:r w:rsidRPr="00C67B29" w:rsidR="00C67B29">
        <w:rPr>
          <w:rFonts w:eastAsia="Times New Roman"/>
          <w:spacing w:val="-1"/>
        </w:rPr>
        <w:t>c</w:t>
      </w:r>
      <w:r w:rsidRPr="00C67B29" w:rsidR="00C67B29">
        <w:rPr>
          <w:rFonts w:eastAsia="Times New Roman"/>
        </w:rPr>
        <w:t>onfidentiality of export licensing infor</w:t>
      </w:r>
      <w:r w:rsidRPr="00C67B29" w:rsidR="00C67B29">
        <w:rPr>
          <w:rFonts w:eastAsia="Times New Roman"/>
          <w:spacing w:val="-2"/>
        </w:rPr>
        <w:t>m</w:t>
      </w:r>
      <w:r w:rsidRPr="00C67B29" w:rsidR="00C67B29">
        <w:rPr>
          <w:rFonts w:eastAsia="Times New Roman"/>
        </w:rPr>
        <w:t>ation sub</w:t>
      </w:r>
      <w:r w:rsidRPr="00C67B29" w:rsidR="00C67B29">
        <w:rPr>
          <w:rFonts w:eastAsia="Times New Roman"/>
          <w:spacing w:val="-2"/>
        </w:rPr>
        <w:t>m</w:t>
      </w:r>
      <w:r w:rsidRPr="00C67B29" w:rsidR="00C67B29">
        <w:rPr>
          <w:rFonts w:eastAsia="Times New Roman"/>
        </w:rPr>
        <w:t>itted to</w:t>
      </w:r>
      <w:r w:rsidRPr="00C67B29" w:rsidR="00C67B29">
        <w:rPr>
          <w:rFonts w:eastAsia="Times New Roman"/>
          <w:spacing w:val="-1"/>
        </w:rPr>
        <w:t xml:space="preserve"> </w:t>
      </w:r>
      <w:r w:rsidRPr="00C67B29" w:rsidR="00C67B29">
        <w:rPr>
          <w:rFonts w:eastAsia="Times New Roman"/>
        </w:rPr>
        <w:t>the Depa</w:t>
      </w:r>
      <w:r w:rsidRPr="00C67B29" w:rsidR="00C67B29">
        <w:rPr>
          <w:rFonts w:eastAsia="Times New Roman"/>
          <w:spacing w:val="-1"/>
        </w:rPr>
        <w:t>rt</w:t>
      </w:r>
      <w:r w:rsidRPr="00C67B29" w:rsidR="00C67B29">
        <w:rPr>
          <w:rFonts w:eastAsia="Times New Roman"/>
          <w:spacing w:val="-2"/>
        </w:rPr>
        <w:t>m</w:t>
      </w:r>
      <w:r w:rsidRPr="00C67B29" w:rsidR="00C67B29">
        <w:rPr>
          <w:rFonts w:eastAsia="Times New Roman"/>
        </w:rPr>
        <w:t>ent of Commerce.</w:t>
      </w:r>
    </w:p>
    <w:p w:rsidR="00A83D25" w:rsidP="0033511A" w:rsidRDefault="0033511A" w14:paraId="4D4E900E" w14:textId="22018A03">
      <w:pPr>
        <w:widowControl w:val="0"/>
        <w:tabs>
          <w:tab w:val="left" w:pos="2868"/>
        </w:tabs>
        <w:spacing w:after="0" w:line="240" w:lineRule="auto"/>
        <w:rPr>
          <w:rFonts w:ascii="Calibri" w:hAnsi="Calibri" w:eastAsia="Calibri"/>
          <w:sz w:val="20"/>
          <w:szCs w:val="20"/>
        </w:rPr>
      </w:pPr>
      <w:r>
        <w:rPr>
          <w:rFonts w:ascii="Calibri" w:hAnsi="Calibri" w:eastAsia="Calibri"/>
          <w:sz w:val="20"/>
          <w:szCs w:val="20"/>
        </w:rPr>
        <w:tab/>
      </w:r>
    </w:p>
    <w:p w:rsidRPr="00C67B29" w:rsidR="0033511A" w:rsidP="00C67B29" w:rsidRDefault="0033511A" w14:paraId="57B3A659" w14:textId="77777777">
      <w:pPr>
        <w:widowControl w:val="0"/>
        <w:spacing w:after="0" w:line="240" w:lineRule="auto"/>
        <w:rPr>
          <w:rFonts w:ascii="Calibri" w:hAnsi="Calibri" w:eastAsia="Calibri"/>
          <w:sz w:val="20"/>
          <w:szCs w:val="20"/>
        </w:rPr>
      </w:pPr>
    </w:p>
    <w:p w:rsidRPr="00C67B29" w:rsidR="00C67B29" w:rsidP="00C67B29" w:rsidRDefault="00C67B29" w14:paraId="59F941BA" w14:textId="77777777">
      <w:pPr>
        <w:widowControl w:val="0"/>
        <w:spacing w:after="0" w:line="240" w:lineRule="auto"/>
        <w:jc w:val="both"/>
        <w:rPr>
          <w:rFonts w:eastAsia="Times New Roman"/>
        </w:rPr>
      </w:pPr>
      <w:r w:rsidRPr="00C67B29">
        <w:rPr>
          <w:rFonts w:eastAsia="Times New Roman"/>
          <w:b/>
          <w:bCs/>
        </w:rPr>
        <w:lastRenderedPageBreak/>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4A5B51D7" w14:textId="77777777">
      <w:pPr>
        <w:widowControl w:val="0"/>
        <w:spacing w:after="0" w:line="240" w:lineRule="auto"/>
        <w:rPr>
          <w:rFonts w:ascii="Calibri" w:hAnsi="Calibri" w:eastAsia="Calibri"/>
          <w:sz w:val="26"/>
          <w:szCs w:val="26"/>
        </w:rPr>
      </w:pPr>
    </w:p>
    <w:p w:rsidR="00C67B29" w:rsidP="00C67B29" w:rsidRDefault="00C67B29" w14:paraId="2C5F73B5" w14:textId="77777777">
      <w:pPr>
        <w:widowControl w:val="0"/>
        <w:spacing w:after="0" w:line="240" w:lineRule="auto"/>
        <w:jc w:val="both"/>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Pr="00C67B29" w:rsidR="00A03672" w:rsidP="00C67B29" w:rsidRDefault="00A03672" w14:paraId="64E6AEFC" w14:textId="77777777">
      <w:pPr>
        <w:widowControl w:val="0"/>
        <w:spacing w:after="0" w:line="240" w:lineRule="auto"/>
        <w:jc w:val="both"/>
        <w:rPr>
          <w:rFonts w:eastAsia="Times New Roman"/>
        </w:rPr>
      </w:pPr>
    </w:p>
    <w:p w:rsidRPr="00C67B29" w:rsidR="00C67B29" w:rsidP="00C67B29" w:rsidRDefault="00C67B29" w14:paraId="59F6C7E9" w14:textId="77777777">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Pr="00C67B29" w:rsidR="00C67B29" w:rsidP="00C67B29" w:rsidRDefault="00C67B29" w14:paraId="6B601EEB" w14:textId="77777777">
      <w:pPr>
        <w:widowControl w:val="0"/>
        <w:spacing w:after="0" w:line="240" w:lineRule="auto"/>
        <w:rPr>
          <w:rFonts w:ascii="Calibri" w:hAnsi="Calibri" w:eastAsia="Calibri"/>
        </w:rPr>
      </w:pPr>
    </w:p>
    <w:p w:rsidRPr="00A83D25" w:rsidR="00C67B29" w:rsidP="00C67B29" w:rsidRDefault="00C67B29" w14:paraId="618F0A8A" w14:textId="6F8B2882">
      <w:pPr>
        <w:widowControl w:val="0"/>
        <w:spacing w:after="0" w:line="240" w:lineRule="auto"/>
        <w:rPr>
          <w:rFonts w:eastAsia="Times New Roman"/>
        </w:rPr>
      </w:pPr>
      <w:r w:rsidRPr="008A6F85">
        <w:rPr>
          <w:rFonts w:eastAsia="Times New Roman"/>
        </w:rPr>
        <w:t>The total esti</w:t>
      </w:r>
      <w:r w:rsidRPr="008A6F85">
        <w:rPr>
          <w:rFonts w:eastAsia="Times New Roman"/>
          <w:spacing w:val="-2"/>
        </w:rPr>
        <w:t>m</w:t>
      </w:r>
      <w:r w:rsidRPr="008A6F85">
        <w:rPr>
          <w:rFonts w:eastAsia="Times New Roman"/>
        </w:rPr>
        <w:t>ated burden of this collection</w:t>
      </w:r>
      <w:r w:rsidRPr="008A6F85">
        <w:rPr>
          <w:rFonts w:eastAsia="Times New Roman"/>
          <w:spacing w:val="-2"/>
        </w:rPr>
        <w:t xml:space="preserve"> </w:t>
      </w:r>
      <w:r w:rsidRPr="008A6F85">
        <w:rPr>
          <w:rFonts w:eastAsia="Times New Roman"/>
        </w:rPr>
        <w:t>is</w:t>
      </w:r>
      <w:r w:rsidR="00D259A7">
        <w:rPr>
          <w:rFonts w:eastAsia="Times New Roman"/>
        </w:rPr>
        <w:t xml:space="preserve"> </w:t>
      </w:r>
      <w:r w:rsidR="00556624">
        <w:rPr>
          <w:rFonts w:eastAsia="Times New Roman"/>
        </w:rPr>
        <w:t>33,</w:t>
      </w:r>
      <w:r w:rsidR="007D3C0E">
        <w:rPr>
          <w:rFonts w:eastAsia="Times New Roman"/>
        </w:rPr>
        <w:t>133</w:t>
      </w:r>
      <w:r w:rsidR="003A6F01">
        <w:rPr>
          <w:rFonts w:eastAsia="Times New Roman"/>
        </w:rPr>
        <w:t xml:space="preserve"> </w:t>
      </w:r>
      <w:r w:rsidRPr="008A6F85">
        <w:rPr>
          <w:rFonts w:eastAsia="Times New Roman"/>
        </w:rPr>
        <w:t xml:space="preserve">hours.  </w:t>
      </w:r>
      <w:r w:rsidRPr="008A6F85" w:rsidR="00137834">
        <w:rPr>
          <w:rFonts w:eastAsia="Times New Roman"/>
        </w:rPr>
        <w:t xml:space="preserve">This estimate includes the </w:t>
      </w:r>
      <w:r w:rsidR="006D151C">
        <w:rPr>
          <w:rFonts w:eastAsia="Times New Roman"/>
        </w:rPr>
        <w:t xml:space="preserve">increase of burden hours from the </w:t>
      </w:r>
      <w:r w:rsidR="00AB605F">
        <w:rPr>
          <w:rFonts w:eastAsia="Times New Roman"/>
        </w:rPr>
        <w:t>final</w:t>
      </w:r>
      <w:r w:rsidR="006D151C">
        <w:rPr>
          <w:rFonts w:eastAsia="Times New Roman"/>
        </w:rPr>
        <w:t xml:space="preserve"> rule, “</w:t>
      </w:r>
      <w:r w:rsidRPr="00D33B85" w:rsidR="001F5CBB">
        <w:rPr>
          <w:rFonts w:eastAsia="MS Mincho"/>
        </w:rPr>
        <w:t xml:space="preserve">Changes to Country Policy </w:t>
      </w:r>
      <w:r w:rsidRPr="00D33B85" w:rsidR="001F5CBB">
        <w:t>Under the Export Administration Regulations (EAR)</w:t>
      </w:r>
      <w:r w:rsidR="006D151C">
        <w:t>.”</w:t>
      </w:r>
      <w:r w:rsidRPr="008A6F85" w:rsidDel="006D151C" w:rsidR="006D151C">
        <w:rPr>
          <w:rFonts w:eastAsia="Times New Roman"/>
        </w:rPr>
        <w:t xml:space="preserve"> </w:t>
      </w:r>
    </w:p>
    <w:p w:rsidRPr="00A83D25" w:rsidR="00C67B29" w:rsidP="00C67B29" w:rsidRDefault="00C67B29" w14:paraId="479442FF" w14:textId="77777777">
      <w:pPr>
        <w:widowControl w:val="0"/>
        <w:spacing w:after="0" w:line="240" w:lineRule="auto"/>
        <w:rPr>
          <w:rFonts w:ascii="Calibri" w:hAnsi="Calibri" w:eastAsia="Calibri"/>
          <w:sz w:val="26"/>
          <w:szCs w:val="26"/>
        </w:rPr>
      </w:pPr>
    </w:p>
    <w:p w:rsidRPr="00A83D25" w:rsidR="00C67B29" w:rsidP="00F20A8D" w:rsidRDefault="00C67B29" w14:paraId="1DDB1BF0" w14:textId="77777777">
      <w:pPr>
        <w:widowControl w:val="0"/>
        <w:spacing w:after="0" w:line="240" w:lineRule="auto"/>
        <w:rPr>
          <w:rFonts w:eastAsia="Times New Roman"/>
        </w:rPr>
      </w:pPr>
      <w:r w:rsidRPr="00A83D25">
        <w:rPr>
          <w:rFonts w:eastAsia="Times New Roman"/>
        </w:rPr>
        <w:t>BIS esti</w:t>
      </w:r>
      <w:r w:rsidRPr="00A83D25">
        <w:rPr>
          <w:rFonts w:eastAsia="Times New Roman"/>
          <w:spacing w:val="-2"/>
        </w:rPr>
        <w:t>m</w:t>
      </w:r>
      <w:r w:rsidRPr="00A83D25">
        <w:rPr>
          <w:rFonts w:eastAsia="Times New Roman"/>
        </w:rPr>
        <w:t xml:space="preserve">ates that exporters will require </w:t>
      </w:r>
      <w:r w:rsidRPr="00A83D25" w:rsidR="00F20A8D">
        <w:rPr>
          <w:rFonts w:eastAsia="Times New Roman"/>
        </w:rPr>
        <w:t>17</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to</w:t>
      </w:r>
      <w:r w:rsidRPr="00A83D25">
        <w:rPr>
          <w:rFonts w:eastAsia="Times New Roman"/>
          <w:spacing w:val="-1"/>
        </w:rPr>
        <w:t xml:space="preserve"> </w:t>
      </w:r>
      <w:r w:rsidRPr="00A83D25">
        <w:rPr>
          <w:rFonts w:eastAsia="Times New Roman"/>
        </w:rPr>
        <w:t>input</w:t>
      </w:r>
      <w:r w:rsidRPr="00A83D25">
        <w:rPr>
          <w:rFonts w:eastAsia="Times New Roman"/>
          <w:spacing w:val="-1"/>
        </w:rPr>
        <w:t xml:space="preserve"> </w:t>
      </w:r>
      <w:r w:rsidRPr="00A83D25">
        <w:rPr>
          <w:rFonts w:eastAsia="Times New Roman"/>
        </w:rPr>
        <w:t>their</w:t>
      </w:r>
      <w:r w:rsidRPr="00A83D25">
        <w:rPr>
          <w:rFonts w:eastAsia="Times New Roman"/>
          <w:spacing w:val="-1"/>
        </w:rPr>
        <w:t xml:space="preserve"> </w:t>
      </w:r>
      <w:r w:rsidRPr="00A83D25">
        <w:rPr>
          <w:rFonts w:eastAsia="Times New Roman"/>
        </w:rPr>
        <w:t>applicat</w:t>
      </w:r>
      <w:r w:rsidRPr="00A83D25">
        <w:rPr>
          <w:rFonts w:eastAsia="Times New Roman"/>
          <w:spacing w:val="1"/>
        </w:rPr>
        <w:t>i</w:t>
      </w:r>
      <w:r w:rsidRPr="00A83D25">
        <w:rPr>
          <w:rFonts w:eastAsia="Times New Roman"/>
        </w:rPr>
        <w:t>on-specific data into the SNAP-R syste</w:t>
      </w:r>
      <w:r w:rsidRPr="00A83D25">
        <w:rPr>
          <w:rFonts w:eastAsia="Times New Roman"/>
          <w:spacing w:val="-2"/>
        </w:rPr>
        <w:t>m</w:t>
      </w:r>
      <w:r w:rsidR="00AE0D55">
        <w:rPr>
          <w:rFonts w:eastAsia="Times New Roman"/>
        </w:rPr>
        <w:t>.  17</w:t>
      </w:r>
      <w:r w:rsidRPr="00A83D25">
        <w:rPr>
          <w:rFonts w:eastAsia="Times New Roman"/>
        </w:rPr>
        <w:t xml:space="preserve"> additional </w:t>
      </w:r>
      <w:r w:rsidRPr="00A83D25">
        <w:rPr>
          <w:rFonts w:eastAsia="Times New Roman"/>
          <w:spacing w:val="-2"/>
        </w:rPr>
        <w:t>m</w:t>
      </w:r>
      <w:r w:rsidRPr="00A83D25">
        <w:rPr>
          <w:rFonts w:eastAsia="Times New Roman"/>
          <w:spacing w:val="1"/>
        </w:rPr>
        <w:t>i</w:t>
      </w:r>
      <w:r w:rsidRPr="00A83D25">
        <w:rPr>
          <w:rFonts w:eastAsia="Times New Roman"/>
        </w:rPr>
        <w:t>nutes are required to sub</w:t>
      </w:r>
      <w:r w:rsidRPr="00A83D25">
        <w:rPr>
          <w:rFonts w:eastAsia="Times New Roman"/>
          <w:spacing w:val="-2"/>
        </w:rPr>
        <w:t>m</w:t>
      </w:r>
      <w:r w:rsidRPr="00A83D25">
        <w:rPr>
          <w:rFonts w:eastAsia="Times New Roman"/>
        </w:rPr>
        <w:t>it supp</w:t>
      </w:r>
      <w:r w:rsidRPr="00A83D25">
        <w:rPr>
          <w:rFonts w:eastAsia="Times New Roman"/>
          <w:spacing w:val="-2"/>
        </w:rPr>
        <w:t>o</w:t>
      </w:r>
      <w:r w:rsidRPr="00A83D25">
        <w:rPr>
          <w:rFonts w:eastAsia="Times New Roman"/>
        </w:rPr>
        <w:t>rting documents into SNAP-R for those applications that</w:t>
      </w:r>
      <w:r w:rsidRPr="00A83D25">
        <w:rPr>
          <w:rFonts w:eastAsia="Times New Roman"/>
          <w:spacing w:val="-1"/>
        </w:rPr>
        <w:t xml:space="preserve"> </w:t>
      </w:r>
      <w:r w:rsidRPr="00A83D25">
        <w:rPr>
          <w:rFonts w:eastAsia="Times New Roman"/>
        </w:rPr>
        <w:t>require supporting docu</w:t>
      </w:r>
      <w:r w:rsidRPr="00A83D25">
        <w:rPr>
          <w:rFonts w:eastAsia="Times New Roman"/>
          <w:spacing w:val="-2"/>
        </w:rPr>
        <w:t>m</w:t>
      </w:r>
      <w:r w:rsidRPr="00A83D25">
        <w:rPr>
          <w:rFonts w:eastAsia="Times New Roman"/>
        </w:rPr>
        <w:t>entation.</w:t>
      </w:r>
    </w:p>
    <w:p w:rsidRPr="00A83D25" w:rsidR="00C67B29" w:rsidP="00C67B29" w:rsidRDefault="00C67B29" w14:paraId="79CB7DDB" w14:textId="77777777">
      <w:pPr>
        <w:widowControl w:val="0"/>
        <w:spacing w:after="0" w:line="240" w:lineRule="auto"/>
        <w:rPr>
          <w:rFonts w:ascii="Calibri" w:hAnsi="Calibri" w:eastAsia="Calibri"/>
          <w:sz w:val="26"/>
          <w:szCs w:val="26"/>
        </w:rPr>
      </w:pPr>
    </w:p>
    <w:p w:rsidRPr="00F20A8D" w:rsidR="00C67B29" w:rsidP="00C67B29" w:rsidRDefault="00C67B29" w14:paraId="2608B705" w14:textId="04432577">
      <w:pPr>
        <w:widowControl w:val="0"/>
        <w:spacing w:after="0" w:line="240" w:lineRule="auto"/>
        <w:rPr>
          <w:rFonts w:eastAsia="Times New Roman"/>
        </w:rPr>
      </w:pPr>
      <w:r w:rsidRPr="00A83D25">
        <w:rPr>
          <w:rFonts w:eastAsia="Times New Roman"/>
        </w:rPr>
        <w:t xml:space="preserve">Commodity classifications typically require </w:t>
      </w:r>
      <w:r w:rsidRPr="00A83D25">
        <w:rPr>
          <w:rFonts w:eastAsia="Times New Roman"/>
          <w:spacing w:val="-2"/>
        </w:rPr>
        <w:t>m</w:t>
      </w:r>
      <w:r w:rsidRPr="00A83D25">
        <w:rPr>
          <w:rFonts w:eastAsia="Times New Roman"/>
        </w:rPr>
        <w:t>ore supporting docu</w:t>
      </w:r>
      <w:r w:rsidRPr="00A83D25">
        <w:rPr>
          <w:rFonts w:eastAsia="Times New Roman"/>
          <w:spacing w:val="-1"/>
        </w:rPr>
        <w:t>m</w:t>
      </w:r>
      <w:r w:rsidRPr="00A83D25">
        <w:rPr>
          <w:rFonts w:eastAsia="Times New Roman"/>
        </w:rPr>
        <w:t>entation than other types of applications.  About 75% of the commodity classifications and 33% of the other applications require supporting docu</w:t>
      </w:r>
      <w:r w:rsidRPr="00A83D25">
        <w:rPr>
          <w:rFonts w:eastAsia="Times New Roman"/>
          <w:spacing w:val="-2"/>
        </w:rPr>
        <w:t>m</w:t>
      </w:r>
      <w:r w:rsidRPr="00A83D25">
        <w:rPr>
          <w:rFonts w:eastAsia="Times New Roman"/>
        </w:rPr>
        <w:t>entat</w:t>
      </w:r>
      <w:r w:rsidRPr="00A83D25">
        <w:rPr>
          <w:rFonts w:eastAsia="Times New Roman"/>
          <w:spacing w:val="-1"/>
        </w:rPr>
        <w:t>i</w:t>
      </w:r>
      <w:r w:rsidRPr="00A83D25">
        <w:rPr>
          <w:rFonts w:eastAsia="Times New Roman"/>
        </w:rPr>
        <w:t>on.   It is esti</w:t>
      </w:r>
      <w:r w:rsidRPr="00A83D25">
        <w:rPr>
          <w:rFonts w:eastAsia="Times New Roman"/>
          <w:spacing w:val="-2"/>
        </w:rPr>
        <w:t>m</w:t>
      </w:r>
      <w:r w:rsidRPr="00A83D25">
        <w:rPr>
          <w:rFonts w:eastAsia="Times New Roman"/>
        </w:rPr>
        <w:t xml:space="preserve">ated to </w:t>
      </w:r>
      <w:r w:rsidRPr="00A83D25" w:rsidR="00F20A8D">
        <w:rPr>
          <w:rFonts w:eastAsia="Times New Roman"/>
        </w:rPr>
        <w:t>take one hundred and nine</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per commodity classification to acquire the corresponding docu</w:t>
      </w:r>
      <w:r w:rsidRPr="00A83D25">
        <w:rPr>
          <w:rFonts w:eastAsia="Times New Roman"/>
          <w:spacing w:val="-2"/>
        </w:rPr>
        <w:t>m</w:t>
      </w:r>
      <w:r w:rsidRPr="00A83D25">
        <w:rPr>
          <w:rFonts w:eastAsia="Times New Roman"/>
        </w:rPr>
        <w:t>ent</w:t>
      </w:r>
      <w:r w:rsidRPr="00A83D25">
        <w:rPr>
          <w:rFonts w:eastAsia="Times New Roman"/>
          <w:spacing w:val="1"/>
        </w:rPr>
        <w:t>a</w:t>
      </w:r>
      <w:r w:rsidRPr="00A83D25">
        <w:rPr>
          <w:rFonts w:eastAsia="Times New Roman"/>
        </w:rPr>
        <w:t>tion.   It is esti</w:t>
      </w:r>
      <w:r w:rsidRPr="00A83D25">
        <w:rPr>
          <w:rFonts w:eastAsia="Times New Roman"/>
          <w:spacing w:val="-2"/>
        </w:rPr>
        <w:t>m</w:t>
      </w:r>
      <w:r w:rsidRPr="00A83D25">
        <w:rPr>
          <w:rFonts w:eastAsia="Times New Roman"/>
        </w:rPr>
        <w:t>ated to take</w:t>
      </w:r>
      <w:r w:rsidR="00AE0D55">
        <w:rPr>
          <w:rFonts w:eastAsia="Times New Roman"/>
        </w:rPr>
        <w:t xml:space="preserve"> 25</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for all other types of applications.</w:t>
      </w:r>
      <w:r w:rsidR="00AE0D55">
        <w:rPr>
          <w:rFonts w:eastAsia="Times New Roman"/>
        </w:rPr>
        <w:t xml:space="preserve">  </w:t>
      </w:r>
      <w:r w:rsidRPr="00C67B29">
        <w:rPr>
          <w:rFonts w:eastAsia="Times New Roman"/>
        </w:rPr>
        <w:t>There is also a record keeping require</w:t>
      </w:r>
      <w:r w:rsidRPr="00C67B29">
        <w:rPr>
          <w:rFonts w:eastAsia="Times New Roman"/>
          <w:spacing w:val="-2"/>
        </w:rPr>
        <w:t>m</w:t>
      </w:r>
      <w:r w:rsidR="00AE0D55">
        <w:rPr>
          <w:rFonts w:eastAsia="Times New Roman"/>
        </w:rPr>
        <w:t>ent of 2</w:t>
      </w:r>
      <w:r w:rsidRPr="00C67B29">
        <w:rPr>
          <w:rFonts w:eastAsia="Times New Roman"/>
        </w:rPr>
        <w:t xml:space="preserve"> </w:t>
      </w:r>
      <w:r w:rsidRPr="00C67B29">
        <w:rPr>
          <w:rFonts w:eastAsia="Times New Roman"/>
          <w:spacing w:val="-2"/>
        </w:rPr>
        <w:t>m</w:t>
      </w:r>
      <w:r w:rsidRPr="00C67B29">
        <w:rPr>
          <w:rFonts w:eastAsia="Times New Roman"/>
        </w:rPr>
        <w:t xml:space="preserve">inutes associated with each application. </w:t>
      </w:r>
      <w:r w:rsidRPr="00C67B29">
        <w:rPr>
          <w:rFonts w:eastAsia="Times New Roman"/>
          <w:position w:val="-1"/>
        </w:rPr>
        <w:t>The burden hour esti</w:t>
      </w:r>
      <w:r w:rsidRPr="00C67B29">
        <w:rPr>
          <w:rFonts w:eastAsia="Times New Roman"/>
          <w:spacing w:val="-2"/>
          <w:position w:val="-1"/>
        </w:rPr>
        <w:t>m</w:t>
      </w:r>
      <w:r w:rsidRPr="00C67B29">
        <w:rPr>
          <w:rFonts w:eastAsia="Times New Roman"/>
          <w:position w:val="-1"/>
        </w:rPr>
        <w:t>ate is detailed in the follo</w:t>
      </w:r>
      <w:r w:rsidRPr="00C67B29">
        <w:rPr>
          <w:rFonts w:eastAsia="Times New Roman"/>
          <w:spacing w:val="-2"/>
          <w:position w:val="-1"/>
        </w:rPr>
        <w:t>w</w:t>
      </w:r>
      <w:r w:rsidRPr="00C67B29">
        <w:rPr>
          <w:rFonts w:eastAsia="Times New Roman"/>
          <w:spacing w:val="1"/>
          <w:position w:val="-1"/>
        </w:rPr>
        <w:t>i</w:t>
      </w:r>
      <w:r w:rsidRPr="00C67B29">
        <w:rPr>
          <w:rFonts w:eastAsia="Times New Roman"/>
          <w:position w:val="-1"/>
        </w:rPr>
        <w:t>ng table:</w:t>
      </w:r>
    </w:p>
    <w:p w:rsidRPr="00C67B29" w:rsidR="00C67B29" w:rsidP="00C67B29" w:rsidRDefault="00C67B29" w14:paraId="3761F8EF" w14:textId="77777777">
      <w:pPr>
        <w:widowControl w:val="0"/>
        <w:spacing w:after="0" w:line="240" w:lineRule="auto"/>
        <w:rPr>
          <w:rFonts w:ascii="Calibri" w:hAnsi="Calibri" w:eastAsia="Calibri"/>
          <w:sz w:val="20"/>
          <w:szCs w:val="20"/>
        </w:rPr>
      </w:pPr>
    </w:p>
    <w:tbl>
      <w:tblPr>
        <w:tblW w:w="9468" w:type="dxa"/>
        <w:tblInd w:w="101" w:type="dxa"/>
        <w:tblLayout w:type="fixed"/>
        <w:tblCellMar>
          <w:left w:w="0" w:type="dxa"/>
          <w:right w:w="0" w:type="dxa"/>
        </w:tblCellMar>
        <w:tblLook w:val="01E0" w:firstRow="1" w:lastRow="1" w:firstColumn="1" w:lastColumn="1" w:noHBand="0" w:noVBand="0"/>
      </w:tblPr>
      <w:tblGrid>
        <w:gridCol w:w="4778"/>
        <w:gridCol w:w="1516"/>
        <w:gridCol w:w="1284"/>
        <w:gridCol w:w="1890"/>
      </w:tblGrid>
      <w:tr w:rsidRPr="00C67B29" w:rsidR="00C67B29" w:rsidTr="00CD485E" w14:paraId="421260B9" w14:textId="77777777">
        <w:trPr>
          <w:trHeight w:val="927" w:hRule="exact"/>
        </w:trPr>
        <w:tc>
          <w:tcPr>
            <w:tcW w:w="4778" w:type="dxa"/>
            <w:tcBorders>
              <w:top w:val="single" w:color="000000" w:sz="4" w:space="0"/>
              <w:left w:val="single" w:color="000000" w:sz="4" w:space="0"/>
              <w:bottom w:val="single" w:color="000000" w:sz="4" w:space="0"/>
              <w:right w:val="single" w:color="000000" w:sz="4" w:space="0"/>
            </w:tcBorders>
          </w:tcPr>
          <w:p w:rsidR="00123845" w:rsidP="00C67B29" w:rsidRDefault="00123845" w14:paraId="4497B28E" w14:textId="77777777">
            <w:pPr>
              <w:widowControl w:val="0"/>
              <w:spacing w:after="0" w:line="240" w:lineRule="auto"/>
              <w:rPr>
                <w:rFonts w:eastAsia="Times New Roman"/>
                <w:b/>
                <w:bCs/>
              </w:rPr>
            </w:pPr>
          </w:p>
          <w:p w:rsidRPr="00C67B29" w:rsidR="00C67B29" w:rsidP="00C67B29" w:rsidRDefault="00C67B29" w14:paraId="0AA9C13D" w14:textId="77777777">
            <w:pPr>
              <w:widowControl w:val="0"/>
              <w:spacing w:after="0" w:line="240" w:lineRule="auto"/>
              <w:rPr>
                <w:rFonts w:eastAsia="Times New Roman"/>
              </w:rPr>
            </w:pPr>
            <w:r w:rsidRPr="00C67B29">
              <w:rPr>
                <w:rFonts w:eastAsia="Times New Roman"/>
                <w:b/>
                <w:bCs/>
              </w:rPr>
              <w:t>Burden Activity</w:t>
            </w:r>
          </w:p>
        </w:tc>
        <w:tc>
          <w:tcPr>
            <w:tcW w:w="1516" w:type="dxa"/>
            <w:tcBorders>
              <w:top w:val="single" w:color="000000" w:sz="4" w:space="0"/>
              <w:left w:val="single" w:color="000000" w:sz="4" w:space="0"/>
              <w:bottom w:val="single" w:color="000000" w:sz="4" w:space="0"/>
              <w:right w:val="single" w:color="000000" w:sz="4" w:space="0"/>
            </w:tcBorders>
          </w:tcPr>
          <w:p w:rsidR="00123845" w:rsidP="00C67B29" w:rsidRDefault="00123845" w14:paraId="2D66F7DC" w14:textId="77777777">
            <w:pPr>
              <w:widowControl w:val="0"/>
              <w:spacing w:after="0" w:line="240" w:lineRule="auto"/>
              <w:rPr>
                <w:rFonts w:eastAsia="Times New Roman"/>
                <w:b/>
                <w:bCs/>
              </w:rPr>
            </w:pPr>
          </w:p>
          <w:p w:rsidRPr="00C67B29" w:rsidR="00C67B29" w:rsidP="00C67B29" w:rsidRDefault="00C67B29" w14:paraId="623F7D53" w14:textId="77777777">
            <w:pPr>
              <w:widowControl w:val="0"/>
              <w:spacing w:after="0" w:line="240" w:lineRule="auto"/>
              <w:rPr>
                <w:rFonts w:eastAsia="Times New Roman"/>
              </w:rPr>
            </w:pPr>
            <w:r w:rsidRPr="00C67B29">
              <w:rPr>
                <w:rFonts w:eastAsia="Times New Roman"/>
                <w:b/>
                <w:bCs/>
              </w:rPr>
              <w:t>Annual</w:t>
            </w:r>
          </w:p>
          <w:p w:rsidRPr="00C67B29" w:rsidR="00C67B29" w:rsidP="00C67B29" w:rsidRDefault="00C67B29" w14:paraId="38B7C127" w14:textId="77777777">
            <w:pPr>
              <w:widowControl w:val="0"/>
              <w:spacing w:after="0" w:line="240" w:lineRule="auto"/>
              <w:rPr>
                <w:rFonts w:eastAsia="Times New Roman"/>
              </w:rPr>
            </w:pPr>
            <w:r w:rsidRPr="00C67B29">
              <w:rPr>
                <w:rFonts w:eastAsia="Times New Roman"/>
                <w:b/>
                <w:bCs/>
              </w:rPr>
              <w:t>Responses</w:t>
            </w:r>
          </w:p>
        </w:tc>
        <w:tc>
          <w:tcPr>
            <w:tcW w:w="1284" w:type="dxa"/>
            <w:tcBorders>
              <w:top w:val="single" w:color="000000" w:sz="4" w:space="0"/>
              <w:left w:val="single" w:color="000000" w:sz="4" w:space="0"/>
              <w:bottom w:val="single" w:color="000000" w:sz="4" w:space="0"/>
              <w:right w:val="single" w:color="000000" w:sz="4" w:space="0"/>
            </w:tcBorders>
          </w:tcPr>
          <w:p w:rsidRPr="00C67B29" w:rsidR="00C67B29" w:rsidP="00C67B29" w:rsidRDefault="00123845" w14:paraId="7C79D380" w14:textId="77777777">
            <w:pPr>
              <w:widowControl w:val="0"/>
              <w:spacing w:after="0" w:line="240" w:lineRule="auto"/>
              <w:rPr>
                <w:rFonts w:eastAsia="Times New Roman"/>
              </w:rPr>
            </w:pPr>
            <w:r>
              <w:rPr>
                <w:rFonts w:eastAsia="Times New Roman"/>
                <w:b/>
                <w:bCs/>
              </w:rPr>
              <w:t xml:space="preserve">Average </w:t>
            </w:r>
            <w:r w:rsidRPr="00C67B29" w:rsidR="00C67B29">
              <w:rPr>
                <w:rFonts w:eastAsia="Times New Roman"/>
                <w:b/>
                <w:bCs/>
              </w:rPr>
              <w:t>Minutes per</w:t>
            </w:r>
          </w:p>
          <w:p w:rsidRPr="00C67B29" w:rsidR="00C67B29" w:rsidP="00C67B29" w:rsidRDefault="00C67B29" w14:paraId="68B3C9A3" w14:textId="77777777">
            <w:pPr>
              <w:widowControl w:val="0"/>
              <w:spacing w:after="0" w:line="240" w:lineRule="auto"/>
              <w:rPr>
                <w:rFonts w:eastAsia="Times New Roman"/>
              </w:rPr>
            </w:pPr>
            <w:r w:rsidRPr="00C67B29">
              <w:rPr>
                <w:rFonts w:eastAsia="Times New Roman"/>
                <w:b/>
                <w:bCs/>
              </w:rPr>
              <w:t>Response</w:t>
            </w:r>
          </w:p>
        </w:tc>
        <w:tc>
          <w:tcPr>
            <w:tcW w:w="1890" w:type="dxa"/>
            <w:tcBorders>
              <w:top w:val="single" w:color="000000" w:sz="4" w:space="0"/>
              <w:left w:val="single" w:color="000000" w:sz="4" w:space="0"/>
              <w:bottom w:val="single" w:color="000000" w:sz="4" w:space="0"/>
              <w:right w:val="single" w:color="000000" w:sz="4" w:space="0"/>
            </w:tcBorders>
          </w:tcPr>
          <w:p w:rsidR="00123845" w:rsidP="00C67B29" w:rsidRDefault="00123845" w14:paraId="544B6108" w14:textId="77777777">
            <w:pPr>
              <w:widowControl w:val="0"/>
              <w:spacing w:after="0" w:line="240" w:lineRule="auto"/>
              <w:rPr>
                <w:rFonts w:eastAsia="Times New Roman"/>
                <w:b/>
                <w:bCs/>
              </w:rPr>
            </w:pPr>
          </w:p>
          <w:p w:rsidRPr="00C67B29" w:rsidR="00C67B29" w:rsidP="00C67B29" w:rsidRDefault="00C67B29" w14:paraId="6AD6628B" w14:textId="77777777">
            <w:pPr>
              <w:widowControl w:val="0"/>
              <w:spacing w:after="0" w:line="240" w:lineRule="auto"/>
              <w:rPr>
                <w:rFonts w:eastAsia="Times New Roman"/>
              </w:rPr>
            </w:pPr>
            <w:r w:rsidRPr="00C67B29">
              <w:rPr>
                <w:rFonts w:eastAsia="Times New Roman"/>
                <w:b/>
                <w:bCs/>
              </w:rPr>
              <w:t>Annual Bu</w:t>
            </w:r>
            <w:r w:rsidRPr="00C67B29">
              <w:rPr>
                <w:rFonts w:eastAsia="Times New Roman"/>
                <w:b/>
                <w:bCs/>
                <w:spacing w:val="2"/>
              </w:rPr>
              <w:t>r</w:t>
            </w:r>
            <w:r w:rsidRPr="00C67B29">
              <w:rPr>
                <w:rFonts w:eastAsia="Times New Roman"/>
                <w:b/>
                <w:bCs/>
              </w:rPr>
              <w:t>den</w:t>
            </w:r>
          </w:p>
          <w:p w:rsidRPr="00C67B29" w:rsidR="00C67B29" w:rsidP="00C67B29" w:rsidRDefault="00C67B29" w14:paraId="3D8F6B41" w14:textId="77777777">
            <w:pPr>
              <w:widowControl w:val="0"/>
              <w:spacing w:after="0" w:line="240" w:lineRule="auto"/>
              <w:rPr>
                <w:rFonts w:eastAsia="Times New Roman"/>
              </w:rPr>
            </w:pPr>
            <w:r w:rsidRPr="00C67B29">
              <w:rPr>
                <w:rFonts w:eastAsia="Times New Roman"/>
                <w:b/>
                <w:bCs/>
              </w:rPr>
              <w:t>Hours</w:t>
            </w:r>
          </w:p>
        </w:tc>
      </w:tr>
      <w:tr w:rsidRPr="00C67B29" w:rsidR="00C67B29" w:rsidTr="00CD485E" w14:paraId="0A710388"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56157751" w14:textId="77777777">
            <w:pPr>
              <w:widowControl w:val="0"/>
              <w:spacing w:after="0" w:line="240" w:lineRule="auto"/>
              <w:rPr>
                <w:rFonts w:eastAsia="Times New Roman"/>
              </w:rPr>
            </w:pPr>
            <w:r>
              <w:rPr>
                <w:rFonts w:eastAsia="Times New Roman"/>
              </w:rPr>
              <w:t>Commodity Classifications 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108F3DAA" w14:textId="77777777">
            <w:pPr>
              <w:widowControl w:val="0"/>
              <w:spacing w:after="0" w:line="240" w:lineRule="auto"/>
              <w:rPr>
                <w:rFonts w:eastAsia="Times New Roman"/>
              </w:rPr>
            </w:pPr>
            <w:r>
              <w:rPr>
                <w:rFonts w:eastAsia="Times New Roman"/>
              </w:rPr>
              <w:t>1,607</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CD485E" w14:paraId="623D5110" w14:textId="77777777">
            <w:pPr>
              <w:widowControl w:val="0"/>
              <w:spacing w:after="0" w:line="240" w:lineRule="auto"/>
              <w:rPr>
                <w:rFonts w:eastAsia="Times New Roman"/>
              </w:rPr>
            </w:pPr>
            <w:r>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1568E9" w:rsidRDefault="000E2B06" w14:paraId="655BB664" w14:textId="77777777">
            <w:pPr>
              <w:widowControl w:val="0"/>
              <w:spacing w:after="0" w:line="240" w:lineRule="auto"/>
              <w:rPr>
                <w:rFonts w:eastAsia="Times New Roman"/>
              </w:rPr>
            </w:pPr>
            <w:r>
              <w:rPr>
                <w:rFonts w:eastAsia="Times New Roman"/>
              </w:rPr>
              <w:t>455</w:t>
            </w:r>
          </w:p>
        </w:tc>
      </w:tr>
      <w:tr w:rsidRPr="00C67B29" w:rsidR="007B6070" w:rsidTr="00CD485E" w14:paraId="555B28A2"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7B6070" w:rsidP="00C67B29" w:rsidRDefault="007B6070" w14:paraId="2CA12CC8" w14:textId="77777777">
            <w:pPr>
              <w:widowControl w:val="0"/>
              <w:spacing w:after="0" w:line="240" w:lineRule="auto"/>
              <w:rPr>
                <w:rFonts w:eastAsia="Times New Roman"/>
              </w:rPr>
            </w:pPr>
            <w:r>
              <w:rPr>
                <w:rFonts w:eastAsia="Times New Roman"/>
              </w:rPr>
              <w:t>Other</w:t>
            </w:r>
            <w:r w:rsidR="009C1542">
              <w:rPr>
                <w:rFonts w:eastAsia="Times New Roman"/>
              </w:rPr>
              <w:t xml:space="preserve"> SNAP-R</w:t>
            </w:r>
            <w:r>
              <w:rPr>
                <w:rFonts w:eastAsia="Times New Roman"/>
              </w:rPr>
              <w:t xml:space="preserve"> Applicatio</w:t>
            </w:r>
            <w:r w:rsidR="009C1542">
              <w:rPr>
                <w:rFonts w:eastAsia="Times New Roman"/>
              </w:rPr>
              <w:t xml:space="preserve">ns </w:t>
            </w:r>
            <w:r>
              <w:rPr>
                <w:rFonts w:eastAsia="Times New Roman"/>
              </w:rPr>
              <w:t>Without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7B6070" w:rsidP="00C67B29" w:rsidRDefault="007B6070" w14:paraId="3E3FCD39" w14:textId="77777777">
            <w:pPr>
              <w:widowControl w:val="0"/>
              <w:spacing w:after="0" w:line="240" w:lineRule="auto"/>
              <w:rPr>
                <w:rFonts w:eastAsia="Times New Roman"/>
              </w:rPr>
            </w:pPr>
            <w:r>
              <w:rPr>
                <w:rFonts w:eastAsia="Times New Roman"/>
              </w:rPr>
              <w:t>16,733</w:t>
            </w:r>
          </w:p>
        </w:tc>
        <w:tc>
          <w:tcPr>
            <w:tcW w:w="1284" w:type="dxa"/>
            <w:tcBorders>
              <w:top w:val="single" w:color="000000" w:sz="4" w:space="0"/>
              <w:left w:val="single" w:color="000000" w:sz="4" w:space="0"/>
              <w:bottom w:val="single" w:color="000000" w:sz="4" w:space="0"/>
              <w:right w:val="single" w:color="000000" w:sz="4" w:space="0"/>
            </w:tcBorders>
          </w:tcPr>
          <w:p w:rsidRPr="00A83D25" w:rsidR="007B6070" w:rsidP="00C67B29" w:rsidRDefault="00CD485E" w14:paraId="30B0D202" w14:textId="77777777">
            <w:pPr>
              <w:widowControl w:val="0"/>
              <w:spacing w:after="0" w:line="240" w:lineRule="auto"/>
              <w:rPr>
                <w:rFonts w:eastAsia="Times New Roman"/>
              </w:rPr>
            </w:pPr>
            <w:r>
              <w:rPr>
                <w:rFonts w:eastAsia="Times New Roman"/>
              </w:rPr>
              <w:t>17</w:t>
            </w:r>
          </w:p>
        </w:tc>
        <w:tc>
          <w:tcPr>
            <w:tcW w:w="1890" w:type="dxa"/>
            <w:tcBorders>
              <w:top w:val="single" w:color="000000" w:sz="4" w:space="0"/>
              <w:left w:val="single" w:color="000000" w:sz="4" w:space="0"/>
              <w:bottom w:val="single" w:color="000000" w:sz="4" w:space="0"/>
              <w:right w:val="single" w:color="000000" w:sz="4" w:space="0"/>
            </w:tcBorders>
          </w:tcPr>
          <w:p w:rsidRPr="00A83D25" w:rsidR="007B6070" w:rsidP="001568E9" w:rsidRDefault="000E2B06" w14:paraId="0A756973" w14:textId="55C53C71">
            <w:pPr>
              <w:widowControl w:val="0"/>
              <w:spacing w:after="0" w:line="240" w:lineRule="auto"/>
              <w:rPr>
                <w:rFonts w:eastAsia="Times New Roman"/>
              </w:rPr>
            </w:pPr>
            <w:r>
              <w:rPr>
                <w:rFonts w:eastAsia="Times New Roman"/>
              </w:rPr>
              <w:t>4</w:t>
            </w:r>
            <w:r w:rsidR="00FB2CD0">
              <w:rPr>
                <w:rFonts w:eastAsia="Times New Roman"/>
              </w:rPr>
              <w:t>,</w:t>
            </w:r>
            <w:r>
              <w:rPr>
                <w:rFonts w:eastAsia="Times New Roman"/>
              </w:rPr>
              <w:t>741</w:t>
            </w:r>
          </w:p>
        </w:tc>
      </w:tr>
      <w:tr w:rsidRPr="00C67B29" w:rsidR="00C67B29" w:rsidTr="00CD485E" w14:paraId="776287BB" w14:textId="77777777">
        <w:trPr>
          <w:trHeight w:val="563"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7B6070" w14:paraId="2532B01C" w14:textId="77777777">
            <w:pPr>
              <w:widowControl w:val="0"/>
              <w:spacing w:after="0" w:line="240" w:lineRule="auto"/>
              <w:rPr>
                <w:rFonts w:eastAsia="Times New Roman"/>
              </w:rPr>
            </w:pPr>
            <w:r>
              <w:rPr>
                <w:rFonts w:eastAsia="Times New Roman"/>
              </w:rPr>
              <w:t>Commodity Classifications With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249AF32C" w14:textId="77777777">
            <w:pPr>
              <w:widowControl w:val="0"/>
              <w:spacing w:after="0" w:line="240" w:lineRule="auto"/>
              <w:rPr>
                <w:rFonts w:eastAsia="Times New Roman"/>
              </w:rPr>
            </w:pPr>
            <w:r>
              <w:rPr>
                <w:rFonts w:eastAsia="Times New Roman"/>
              </w:rPr>
              <w:t>4,820</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CD485E" w14:paraId="676FA005" w14:textId="77777777">
            <w:pPr>
              <w:widowControl w:val="0"/>
              <w:spacing w:after="0" w:line="240" w:lineRule="auto"/>
              <w:rPr>
                <w:rFonts w:eastAsia="Times New Roman"/>
              </w:rPr>
            </w:pPr>
            <w:r>
              <w:rPr>
                <w:rFonts w:eastAsia="Times New Roman"/>
              </w:rPr>
              <w:t>109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405AD322" w14:textId="511BE1D0">
            <w:pPr>
              <w:widowControl w:val="0"/>
              <w:spacing w:after="0" w:line="240" w:lineRule="auto"/>
              <w:rPr>
                <w:rFonts w:eastAsia="Times New Roman"/>
              </w:rPr>
            </w:pPr>
            <w:r>
              <w:rPr>
                <w:rFonts w:eastAsia="Times New Roman"/>
              </w:rPr>
              <w:t xml:space="preserve"> 8</w:t>
            </w:r>
            <w:r w:rsidR="00FB2CD0">
              <w:rPr>
                <w:rFonts w:eastAsia="Times New Roman"/>
              </w:rPr>
              <w:t>,</w:t>
            </w:r>
            <w:r>
              <w:rPr>
                <w:rFonts w:eastAsia="Times New Roman"/>
              </w:rPr>
              <w:t>756</w:t>
            </w:r>
          </w:p>
        </w:tc>
      </w:tr>
      <w:tr w:rsidRPr="00C67B29" w:rsidR="00C67B29" w:rsidTr="00CD485E" w14:paraId="7AAB2E5E"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19FDFC9C" w14:textId="77777777">
            <w:pPr>
              <w:widowControl w:val="0"/>
              <w:spacing w:after="0" w:line="240" w:lineRule="auto"/>
              <w:rPr>
                <w:rFonts w:eastAsia="Times New Roman"/>
              </w:rPr>
            </w:pPr>
            <w:r>
              <w:rPr>
                <w:rFonts w:eastAsia="Times New Roman"/>
              </w:rPr>
              <w:t xml:space="preserve">Other </w:t>
            </w:r>
            <w:r w:rsidR="009C1542">
              <w:rPr>
                <w:rFonts w:eastAsia="Times New Roman"/>
              </w:rPr>
              <w:t xml:space="preserve">SNAP-R </w:t>
            </w:r>
            <w:r>
              <w:rPr>
                <w:rFonts w:eastAsia="Times New Roman"/>
              </w:rPr>
              <w:t xml:space="preserve">Applications </w:t>
            </w:r>
            <w:r w:rsidR="009C1542">
              <w:rPr>
                <w:rFonts w:eastAsia="Times New Roman"/>
              </w:rPr>
              <w:t>W</w:t>
            </w:r>
            <w:r>
              <w:rPr>
                <w:rFonts w:eastAsia="Times New Roman"/>
              </w:rPr>
              <w:t>ith Significant Supporting Documentation</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E16700" w14:paraId="3FD0A0E6" w14:textId="3F29034D">
            <w:pPr>
              <w:widowControl w:val="0"/>
              <w:spacing w:after="0" w:line="240" w:lineRule="auto"/>
              <w:rPr>
                <w:rFonts w:eastAsia="Times New Roman"/>
              </w:rPr>
            </w:pPr>
            <w:r>
              <w:rPr>
                <w:rFonts w:eastAsia="Times New Roman"/>
              </w:rPr>
              <w:t xml:space="preserve"> 8</w:t>
            </w:r>
            <w:r w:rsidR="00FB2CD0">
              <w:rPr>
                <w:rFonts w:eastAsia="Times New Roman"/>
              </w:rPr>
              <w:t>,</w:t>
            </w:r>
            <w:r>
              <w:rPr>
                <w:rFonts w:eastAsia="Times New Roman"/>
              </w:rPr>
              <w:t>550</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41B9622F" w14:textId="77777777">
            <w:pPr>
              <w:widowControl w:val="0"/>
              <w:spacing w:after="0" w:line="240" w:lineRule="auto"/>
              <w:rPr>
                <w:rFonts w:eastAsia="Times New Roman"/>
              </w:rPr>
            </w:pPr>
            <w:r>
              <w:rPr>
                <w:rFonts w:eastAsia="Times New Roman"/>
              </w:rPr>
              <w:t xml:space="preserve"> </w:t>
            </w:r>
            <w:r w:rsidR="00CD485E">
              <w:rPr>
                <w:rFonts w:eastAsia="Times New Roman"/>
              </w:rPr>
              <w:t>49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8A0251" w14:paraId="7FF87B9D" w14:textId="2AFF2751">
            <w:pPr>
              <w:widowControl w:val="0"/>
              <w:spacing w:after="0" w:line="240" w:lineRule="auto"/>
              <w:rPr>
                <w:rFonts w:eastAsia="Times New Roman"/>
              </w:rPr>
            </w:pPr>
            <w:r>
              <w:rPr>
                <w:rFonts w:eastAsia="Times New Roman"/>
              </w:rPr>
              <w:t>6,983</w:t>
            </w:r>
          </w:p>
        </w:tc>
      </w:tr>
      <w:tr w:rsidRPr="00C67B29" w:rsidR="00C67B29" w:rsidTr="00CD485E" w14:paraId="62CA44FB" w14:textId="77777777">
        <w:trPr>
          <w:trHeight w:val="562"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0E2B06" w14:paraId="141EC190" w14:textId="2CD22BBB">
            <w:pPr>
              <w:widowControl w:val="0"/>
              <w:spacing w:after="0" w:line="240" w:lineRule="auto"/>
              <w:rPr>
                <w:rFonts w:eastAsia="Times New Roman"/>
              </w:rPr>
            </w:pPr>
            <w:r>
              <w:rPr>
                <w:rFonts w:eastAsia="Times New Roman"/>
              </w:rPr>
              <w:t>O</w:t>
            </w:r>
            <w:r w:rsidR="00D259A7">
              <w:rPr>
                <w:rFonts w:eastAsia="Times New Roman"/>
              </w:rPr>
              <w:t>t</w:t>
            </w:r>
            <w:r>
              <w:rPr>
                <w:rFonts w:eastAsia="Times New Roman"/>
              </w:rPr>
              <w:t xml:space="preserve">her Applications </w:t>
            </w:r>
            <w:r w:rsidR="009C1542">
              <w:rPr>
                <w:rFonts w:eastAsia="Times New Roman"/>
              </w:rPr>
              <w:t>W</w:t>
            </w:r>
            <w:r>
              <w:rPr>
                <w:rFonts w:eastAsia="Times New Roman"/>
              </w:rPr>
              <w:t>ith Minimal Supporting Documentation</w:t>
            </w:r>
            <w:r w:rsidRPr="00C67B29" w:rsidR="00C67B29">
              <w:rPr>
                <w:rFonts w:eastAsia="Times New Roman"/>
              </w:rPr>
              <w:t xml:space="preserve"> </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AF61C4" w14:paraId="7AF47D10" w14:textId="489DE336">
            <w:pPr>
              <w:widowControl w:val="0"/>
              <w:spacing w:after="0" w:line="240" w:lineRule="auto"/>
              <w:rPr>
                <w:rFonts w:eastAsia="Times New Roman"/>
              </w:rPr>
            </w:pPr>
            <w:r>
              <w:rPr>
                <w:rFonts w:eastAsia="Times New Roman"/>
              </w:rPr>
              <w:t xml:space="preserve"> 33,</w:t>
            </w:r>
            <w:r w:rsidR="007D3C0E">
              <w:rPr>
                <w:rFonts w:eastAsia="Times New Roman"/>
              </w:rPr>
              <w:t>6</w:t>
            </w:r>
            <w:r>
              <w:rPr>
                <w:rFonts w:eastAsia="Times New Roman"/>
              </w:rPr>
              <w:t>62</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0E2B06" w14:paraId="106EC128" w14:textId="77777777">
            <w:pPr>
              <w:widowControl w:val="0"/>
              <w:spacing w:after="0" w:line="240" w:lineRule="auto"/>
              <w:rPr>
                <w:rFonts w:eastAsia="Times New Roman"/>
              </w:rPr>
            </w:pPr>
            <w:r>
              <w:rPr>
                <w:rFonts w:eastAsia="Times New Roman"/>
              </w:rPr>
              <w:t xml:space="preserve"> </w:t>
            </w:r>
            <w:r w:rsidR="00CD485E">
              <w:rPr>
                <w:rFonts w:eastAsia="Times New Roman"/>
              </w:rPr>
              <w:t>19</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556624" w14:paraId="03F4D634" w14:textId="6C225C51">
            <w:pPr>
              <w:widowControl w:val="0"/>
              <w:spacing w:after="0" w:line="240" w:lineRule="auto"/>
              <w:rPr>
                <w:rFonts w:eastAsia="Times New Roman"/>
              </w:rPr>
            </w:pPr>
            <w:r>
              <w:rPr>
                <w:rFonts w:eastAsia="Times New Roman"/>
              </w:rPr>
              <w:t>10,</w:t>
            </w:r>
            <w:r w:rsidR="007D3C0E">
              <w:rPr>
                <w:rFonts w:eastAsia="Times New Roman"/>
              </w:rPr>
              <w:t>660</w:t>
            </w:r>
          </w:p>
        </w:tc>
      </w:tr>
      <w:tr w:rsidRPr="00C67B29" w:rsidR="00C67B29" w:rsidTr="00CD485E" w14:paraId="42BEEE45" w14:textId="77777777">
        <w:trPr>
          <w:trHeight w:val="286"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04C544F4" w14:textId="77777777">
            <w:pPr>
              <w:widowControl w:val="0"/>
              <w:spacing w:after="0" w:line="240" w:lineRule="auto"/>
              <w:rPr>
                <w:rFonts w:eastAsia="Times New Roman"/>
              </w:rPr>
            </w:pPr>
            <w:r w:rsidRPr="00C67B29">
              <w:rPr>
                <w:rFonts w:eastAsia="Times New Roman"/>
              </w:rPr>
              <w:t>EAR Amend</w:t>
            </w:r>
            <w:r w:rsidRPr="00C67B29">
              <w:rPr>
                <w:rFonts w:eastAsia="Times New Roman"/>
                <w:spacing w:val="-2"/>
              </w:rPr>
              <w:t>m</w:t>
            </w:r>
            <w:r w:rsidRPr="00C67B29">
              <w:rPr>
                <w:rFonts w:eastAsia="Times New Roman"/>
              </w:rPr>
              <w:t>ents</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1EF2EA1B" w14:textId="77777777">
            <w:pPr>
              <w:widowControl w:val="0"/>
              <w:spacing w:after="0" w:line="240" w:lineRule="auto"/>
              <w:rPr>
                <w:rFonts w:eastAsia="Calibri"/>
              </w:rPr>
            </w:pPr>
            <w:r w:rsidRPr="00C67B29">
              <w:rPr>
                <w:rFonts w:eastAsia="Calibri"/>
              </w:rPr>
              <w:t>3,076</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D4205E" w14:paraId="680BE0C1" w14:textId="77777777">
            <w:pPr>
              <w:widowControl w:val="0"/>
              <w:spacing w:after="0" w:line="240" w:lineRule="auto"/>
              <w:rPr>
                <w:rFonts w:eastAsia="Calibri"/>
              </w:rPr>
            </w:pPr>
            <w:r w:rsidRPr="00A83D25">
              <w:rPr>
                <w:rFonts w:eastAsia="Calibri"/>
              </w:rPr>
              <w:t>30</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C67B29" w14:paraId="2ABA28E0" w14:textId="77777777">
            <w:pPr>
              <w:widowControl w:val="0"/>
              <w:spacing w:after="0" w:line="240" w:lineRule="auto"/>
              <w:rPr>
                <w:rFonts w:eastAsia="Times New Roman"/>
              </w:rPr>
            </w:pPr>
            <w:r w:rsidRPr="00A83D25">
              <w:rPr>
                <w:rFonts w:eastAsia="Times New Roman"/>
              </w:rPr>
              <w:t>1,538</w:t>
            </w:r>
          </w:p>
        </w:tc>
      </w:tr>
      <w:tr w:rsidRPr="00C67B29" w:rsidR="00C67B29" w:rsidTr="00CD485E" w14:paraId="7EC44319" w14:textId="77777777">
        <w:trPr>
          <w:trHeight w:val="287" w:hRule="exact"/>
        </w:trPr>
        <w:tc>
          <w:tcPr>
            <w:tcW w:w="4778" w:type="dxa"/>
            <w:tcBorders>
              <w:top w:val="single" w:color="000000" w:sz="4" w:space="0"/>
              <w:left w:val="single" w:color="000000" w:sz="4" w:space="0"/>
              <w:bottom w:val="single" w:color="000000" w:sz="4" w:space="0"/>
              <w:right w:val="single" w:color="000000" w:sz="4" w:space="0"/>
            </w:tcBorders>
          </w:tcPr>
          <w:p w:rsidRPr="00C67B29" w:rsidR="00C67B29" w:rsidP="00C67B29" w:rsidRDefault="00C67B29" w14:paraId="31C79F30" w14:textId="77777777">
            <w:pPr>
              <w:widowControl w:val="0"/>
              <w:spacing w:after="0" w:line="240" w:lineRule="auto"/>
              <w:rPr>
                <w:rFonts w:eastAsia="Times New Roman"/>
              </w:rPr>
            </w:pPr>
            <w:r w:rsidRPr="00C67B29">
              <w:rPr>
                <w:rFonts w:eastAsia="Times New Roman"/>
              </w:rPr>
              <w:t>Total</w:t>
            </w:r>
          </w:p>
        </w:tc>
        <w:tc>
          <w:tcPr>
            <w:tcW w:w="1516" w:type="dxa"/>
            <w:tcBorders>
              <w:top w:val="single" w:color="000000" w:sz="4" w:space="0"/>
              <w:left w:val="single" w:color="000000" w:sz="4" w:space="0"/>
              <w:bottom w:val="single" w:color="000000" w:sz="4" w:space="0"/>
              <w:right w:val="single" w:color="000000" w:sz="4" w:space="0"/>
            </w:tcBorders>
          </w:tcPr>
          <w:p w:rsidRPr="00C67B29" w:rsidR="00C67B29" w:rsidP="00C67B29" w:rsidRDefault="00556624" w14:paraId="5232D146" w14:textId="7D3C7720">
            <w:pPr>
              <w:widowControl w:val="0"/>
              <w:spacing w:after="0" w:line="240" w:lineRule="auto"/>
              <w:rPr>
                <w:rFonts w:eastAsia="Calibri"/>
              </w:rPr>
            </w:pPr>
            <w:r>
              <w:rPr>
                <w:rFonts w:eastAsia="Calibri"/>
              </w:rPr>
              <w:t xml:space="preserve"> 68,</w:t>
            </w:r>
            <w:r w:rsidR="007D3C0E">
              <w:rPr>
                <w:rFonts w:eastAsia="Calibri"/>
              </w:rPr>
              <w:t>4</w:t>
            </w:r>
            <w:r>
              <w:rPr>
                <w:rFonts w:eastAsia="Calibri"/>
              </w:rPr>
              <w:t>48</w:t>
            </w:r>
          </w:p>
        </w:tc>
        <w:tc>
          <w:tcPr>
            <w:tcW w:w="1284" w:type="dxa"/>
            <w:tcBorders>
              <w:top w:val="single" w:color="000000" w:sz="4" w:space="0"/>
              <w:left w:val="single" w:color="000000" w:sz="4" w:space="0"/>
              <w:bottom w:val="single" w:color="000000" w:sz="4" w:space="0"/>
              <w:right w:val="single" w:color="000000" w:sz="4" w:space="0"/>
            </w:tcBorders>
          </w:tcPr>
          <w:p w:rsidRPr="00A83D25" w:rsidR="00C67B29" w:rsidP="00C67B29" w:rsidRDefault="006D151C" w14:paraId="0293464C" w14:textId="174502D8">
            <w:pPr>
              <w:widowControl w:val="0"/>
              <w:spacing w:after="0" w:line="240" w:lineRule="auto"/>
              <w:rPr>
                <w:rFonts w:eastAsia="Calibri"/>
              </w:rPr>
            </w:pPr>
            <w:r>
              <w:rPr>
                <w:rFonts w:eastAsia="Calibri"/>
              </w:rPr>
              <w:t>29.6</w:t>
            </w:r>
          </w:p>
        </w:tc>
        <w:tc>
          <w:tcPr>
            <w:tcW w:w="1890" w:type="dxa"/>
            <w:tcBorders>
              <w:top w:val="single" w:color="000000" w:sz="4" w:space="0"/>
              <w:left w:val="single" w:color="000000" w:sz="4" w:space="0"/>
              <w:bottom w:val="single" w:color="000000" w:sz="4" w:space="0"/>
              <w:right w:val="single" w:color="000000" w:sz="4" w:space="0"/>
            </w:tcBorders>
          </w:tcPr>
          <w:p w:rsidRPr="00A83D25" w:rsidR="00C67B29" w:rsidP="00C67B29" w:rsidRDefault="00556624" w14:paraId="66FC793F" w14:textId="13B2EF74">
            <w:pPr>
              <w:widowControl w:val="0"/>
              <w:spacing w:after="0" w:line="240" w:lineRule="auto"/>
              <w:rPr>
                <w:rFonts w:eastAsia="Times New Roman"/>
              </w:rPr>
            </w:pPr>
            <w:r>
              <w:rPr>
                <w:rFonts w:eastAsia="Times New Roman"/>
              </w:rPr>
              <w:t xml:space="preserve"> 33,</w:t>
            </w:r>
            <w:r w:rsidR="007D3C0E">
              <w:rPr>
                <w:rFonts w:eastAsia="Times New Roman"/>
              </w:rPr>
              <w:t>133</w:t>
            </w:r>
          </w:p>
        </w:tc>
      </w:tr>
    </w:tbl>
    <w:p w:rsidRPr="00C67B29" w:rsidR="00C67B29" w:rsidP="00C67B29" w:rsidRDefault="00C67B29" w14:paraId="4A4F056D" w14:textId="77777777">
      <w:pPr>
        <w:widowControl w:val="0"/>
        <w:spacing w:after="0" w:line="240" w:lineRule="auto"/>
        <w:rPr>
          <w:rFonts w:ascii="Calibri" w:hAnsi="Calibri" w:eastAsia="Calibri"/>
          <w:sz w:val="26"/>
          <w:szCs w:val="26"/>
        </w:rPr>
      </w:pPr>
    </w:p>
    <w:p w:rsidR="00C67B29" w:rsidP="00C67B29" w:rsidRDefault="00C67B29" w14:paraId="548FFD70" w14:textId="4FCD3F4F">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w:t>
      </w:r>
      <w:r w:rsidRPr="00E836ED">
        <w:rPr>
          <w:rFonts w:eastAsia="Times New Roman"/>
        </w:rPr>
        <w:t xml:space="preserve">be </w:t>
      </w:r>
      <w:r w:rsidR="00515EBA">
        <w:rPr>
          <w:rFonts w:eastAsia="Times New Roman"/>
        </w:rPr>
        <w:t>$</w:t>
      </w:r>
      <w:r w:rsidR="00556624">
        <w:rPr>
          <w:rFonts w:eastAsia="Times New Roman"/>
        </w:rPr>
        <w:t xml:space="preserve"> </w:t>
      </w:r>
      <w:r w:rsidR="007D3C0E">
        <w:rPr>
          <w:rFonts w:eastAsia="Times New Roman"/>
        </w:rPr>
        <w:t>993.990</w:t>
      </w:r>
      <w:r w:rsidRPr="00E836ED">
        <w:rPr>
          <w:rFonts w:eastAsia="Times New Roman"/>
        </w:rPr>
        <w:t>.</w:t>
      </w:r>
      <w:r w:rsidRPr="00C67B29">
        <w:rPr>
          <w:rFonts w:eastAsia="Times New Roman"/>
        </w:rPr>
        <w:t xml:space="preserve">   This is obtained by multipl</w:t>
      </w:r>
      <w:r w:rsidRPr="00C67B29">
        <w:rPr>
          <w:rFonts w:eastAsia="Times New Roman"/>
          <w:spacing w:val="-1"/>
        </w:rPr>
        <w:t>y</w:t>
      </w:r>
      <w:r w:rsidRPr="00C67B29">
        <w:rPr>
          <w:rFonts w:eastAsia="Times New Roman"/>
        </w:rPr>
        <w:t xml:space="preserve">ing </w:t>
      </w:r>
      <w:r w:rsidR="00556624">
        <w:rPr>
          <w:rFonts w:eastAsia="Times New Roman"/>
        </w:rPr>
        <w:t>33,</w:t>
      </w:r>
      <w:r w:rsidR="007D3C0E">
        <w:rPr>
          <w:rFonts w:eastAsia="Times New Roman"/>
        </w:rPr>
        <w:t>133</w:t>
      </w:r>
      <w:r w:rsidR="00C2620B">
        <w:rPr>
          <w:rFonts w:eastAsia="Times New Roman"/>
        </w:rPr>
        <w:t xml:space="preserve"> </w:t>
      </w:r>
      <w:r w:rsidRPr="00C67B29">
        <w:rPr>
          <w:rFonts w:eastAsia="Times New Roman"/>
        </w:rPr>
        <w:t>hours ti</w:t>
      </w:r>
      <w:r w:rsidRPr="00C67B29">
        <w:rPr>
          <w:rFonts w:eastAsia="Times New Roman"/>
          <w:spacing w:val="-2"/>
        </w:rPr>
        <w:t>m</w:t>
      </w:r>
      <w:r w:rsidRPr="00C67B29">
        <w:rPr>
          <w:rFonts w:eastAsia="Times New Roman"/>
        </w:rPr>
        <w:t>es $30 per hour.</w:t>
      </w:r>
    </w:p>
    <w:p w:rsidRPr="00C67B29" w:rsidR="00C67B29" w:rsidP="00C67B29" w:rsidRDefault="00C67B29" w14:paraId="32FA9F89" w14:textId="77777777">
      <w:pPr>
        <w:widowControl w:val="0"/>
        <w:spacing w:after="0" w:line="240" w:lineRule="auto"/>
        <w:rPr>
          <w:rFonts w:ascii="Calibri" w:hAnsi="Calibri" w:eastAsia="Calibri"/>
          <w:sz w:val="20"/>
          <w:szCs w:val="20"/>
        </w:rPr>
      </w:pPr>
    </w:p>
    <w:p w:rsidRPr="00C67B29" w:rsidR="00C67B29" w:rsidP="00C67B29" w:rsidRDefault="00C67B29" w14:paraId="53C7092F" w14:textId="77777777">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Pr="00C67B29" w:rsidR="00C67B29" w:rsidP="00C67B29" w:rsidRDefault="00C67B29" w14:paraId="15B835AE" w14:textId="77777777">
      <w:pPr>
        <w:widowControl w:val="0"/>
        <w:spacing w:after="0" w:line="240" w:lineRule="auto"/>
        <w:rPr>
          <w:rFonts w:ascii="Calibri" w:hAnsi="Calibri" w:eastAsia="Calibri"/>
          <w:sz w:val="26"/>
          <w:szCs w:val="26"/>
        </w:rPr>
      </w:pPr>
    </w:p>
    <w:p w:rsidRPr="00C67B29" w:rsidR="00C67B29" w:rsidP="00CD498A" w:rsidRDefault="003710F1" w14:paraId="56F01360" w14:textId="7AE79861">
      <w:pPr>
        <w:widowControl w:val="0"/>
        <w:spacing w:after="0" w:line="240" w:lineRule="auto"/>
        <w:rPr>
          <w:rFonts w:eastAsia="Calibri"/>
        </w:rPr>
      </w:pPr>
      <w:r>
        <w:rPr>
          <w:rFonts w:eastAsia="Calibri"/>
        </w:rPr>
        <w:lastRenderedPageBreak/>
        <w:t xml:space="preserve">There </w:t>
      </w:r>
      <w:r w:rsidR="001909B4">
        <w:rPr>
          <w:rFonts w:eastAsia="Calibri"/>
        </w:rPr>
        <w:t>is</w:t>
      </w:r>
      <w:r>
        <w:rPr>
          <w:rFonts w:eastAsia="Calibri"/>
        </w:rPr>
        <w:t xml:space="preserve"> no additional cost to the respondent.</w:t>
      </w:r>
    </w:p>
    <w:p w:rsidRPr="00C67B29" w:rsidR="00C67B29" w:rsidP="00C67B29" w:rsidRDefault="00C67B29" w14:paraId="5324286F" w14:textId="77777777">
      <w:pPr>
        <w:widowControl w:val="0"/>
        <w:spacing w:after="0" w:line="240" w:lineRule="auto"/>
        <w:rPr>
          <w:rFonts w:ascii="Calibri" w:hAnsi="Calibri" w:eastAsia="Calibri"/>
          <w:sz w:val="20"/>
          <w:szCs w:val="20"/>
        </w:rPr>
      </w:pPr>
    </w:p>
    <w:p w:rsidR="00C67B29" w:rsidP="00C67B29" w:rsidRDefault="00C67B29" w14:paraId="2D300D02" w14:textId="77777777">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Pr="00C67B29" w:rsidR="00C67B29" w:rsidP="00C67B29" w:rsidRDefault="00C67B29" w14:paraId="276FC1AC" w14:textId="77777777">
      <w:pPr>
        <w:widowControl w:val="0"/>
        <w:spacing w:after="0" w:line="240" w:lineRule="auto"/>
        <w:rPr>
          <w:rFonts w:ascii="Calibri" w:hAnsi="Calibri" w:eastAsia="Calibri"/>
        </w:rPr>
      </w:pPr>
    </w:p>
    <w:p w:rsidR="00C67B29" w:rsidP="00CD498A" w:rsidRDefault="00C67B29" w14:paraId="0565A2F4" w14:textId="510202DA">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w:t>
      </w:r>
      <w:r w:rsidR="001F2D1E">
        <w:rPr>
          <w:rFonts w:eastAsia="Times New Roman"/>
        </w:rPr>
        <w:t>$</w:t>
      </w:r>
      <w:r w:rsidR="00556624">
        <w:rPr>
          <w:rFonts w:eastAsia="Times New Roman"/>
        </w:rPr>
        <w:t xml:space="preserve"> 2,0</w:t>
      </w:r>
      <w:r w:rsidR="007D3C0E">
        <w:rPr>
          <w:rFonts w:eastAsia="Times New Roman"/>
        </w:rPr>
        <w:t>53,440</w:t>
      </w:r>
      <w:r w:rsidRPr="00C67B29">
        <w:rPr>
          <w:rFonts w:eastAsia="Times New Roman"/>
        </w:rPr>
        <w:t xml:space="preserve">.  This is based </w:t>
      </w:r>
      <w:r w:rsidRPr="00C67B29" w:rsidR="002A4E1F">
        <w:rPr>
          <w:rFonts w:eastAsia="Times New Roman"/>
        </w:rPr>
        <w:t>on licensing</w:t>
      </w:r>
      <w:r w:rsidRPr="00C67B29">
        <w:rPr>
          <w:rFonts w:eastAsia="Times New Roman"/>
        </w:rPr>
        <w:t xml:space="preserve"> officer</w:t>
      </w:r>
      <w:r w:rsidR="007F75A6">
        <w:rPr>
          <w:rFonts w:eastAsia="Times New Roman"/>
        </w:rPr>
        <w:t>s</w:t>
      </w:r>
      <w:r w:rsidRPr="00C67B29">
        <w:rPr>
          <w:rFonts w:eastAsia="Times New Roman"/>
        </w:rPr>
        <w:t xml:space="preserve"> spending 45 </w:t>
      </w:r>
      <w:r w:rsidRPr="00C67B29">
        <w:rPr>
          <w:rFonts w:eastAsia="Times New Roman"/>
          <w:spacing w:val="-2"/>
        </w:rPr>
        <w:t>m</w:t>
      </w:r>
      <w:r w:rsidRPr="00C67B29">
        <w:rPr>
          <w:rFonts w:eastAsia="Times New Roman"/>
        </w:rPr>
        <w:t>inutes to</w:t>
      </w:r>
      <w:r w:rsidR="00A01616">
        <w:rPr>
          <w:rFonts w:eastAsia="Times New Roman"/>
        </w:rPr>
        <w:t xml:space="preserve"> </w:t>
      </w:r>
      <w:r w:rsidRPr="00C67B29">
        <w:rPr>
          <w:rFonts w:eastAsia="Times New Roman"/>
        </w:rPr>
        <w:t xml:space="preserve">review </w:t>
      </w:r>
      <w:r w:rsidR="007F75A6">
        <w:rPr>
          <w:rFonts w:eastAsia="Times New Roman"/>
        </w:rPr>
        <w:t xml:space="preserve">each of the </w:t>
      </w:r>
      <w:r w:rsidR="00556624">
        <w:rPr>
          <w:rFonts w:eastAsia="Times New Roman"/>
        </w:rPr>
        <w:t>68,</w:t>
      </w:r>
      <w:r w:rsidR="007D3C0E">
        <w:rPr>
          <w:rFonts w:eastAsia="Times New Roman"/>
        </w:rPr>
        <w:t>4</w:t>
      </w:r>
      <w:r w:rsidR="00556624">
        <w:rPr>
          <w:rFonts w:eastAsia="Times New Roman"/>
        </w:rPr>
        <w:t xml:space="preserve">48 </w:t>
      </w:r>
      <w:r w:rsidRPr="00C67B29">
        <w:rPr>
          <w:rFonts w:eastAsia="Times New Roman"/>
        </w:rPr>
        <w:t>applications at $40 per hour.</w:t>
      </w:r>
    </w:p>
    <w:p w:rsidRPr="00C67B29" w:rsidR="00C67B29" w:rsidP="00C67B29" w:rsidRDefault="00C67B29" w14:paraId="27291859" w14:textId="77777777">
      <w:pPr>
        <w:widowControl w:val="0"/>
        <w:spacing w:after="0" w:line="240" w:lineRule="auto"/>
        <w:rPr>
          <w:rFonts w:ascii="Calibri" w:hAnsi="Calibri" w:eastAsia="Calibri"/>
          <w:sz w:val="20"/>
          <w:szCs w:val="20"/>
        </w:rPr>
      </w:pPr>
    </w:p>
    <w:p w:rsidRPr="00122BF5" w:rsidR="00C67B29" w:rsidP="00C67B29" w:rsidRDefault="00C67B29" w14:paraId="6E97E087" w14:textId="77777777">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Pr="00C67B29" w:rsidR="00C67B29" w:rsidP="00C67B29" w:rsidRDefault="00C67B29" w14:paraId="538D7ED9" w14:textId="77777777">
      <w:pPr>
        <w:widowControl w:val="0"/>
        <w:spacing w:after="0" w:line="240" w:lineRule="auto"/>
        <w:rPr>
          <w:rFonts w:eastAsia="Times New Roman"/>
        </w:rPr>
      </w:pPr>
    </w:p>
    <w:p w:rsidR="00C67B29" w:rsidP="00C67B29" w:rsidRDefault="00C67B29" w14:paraId="76482292" w14:textId="77777777">
      <w:pPr>
        <w:widowControl w:val="0"/>
        <w:spacing w:after="0" w:line="240" w:lineRule="auto"/>
        <w:rPr>
          <w:rFonts w:eastAsia="Times New Roman"/>
        </w:rPr>
      </w:pPr>
      <w:r w:rsidRPr="00C67B29">
        <w:rPr>
          <w:rFonts w:eastAsia="Times New Roman"/>
        </w:rPr>
        <w:t>Not applicable.</w:t>
      </w:r>
    </w:p>
    <w:p w:rsidRPr="00C67B29" w:rsidR="00C67B29" w:rsidP="00C67B29" w:rsidRDefault="00C67B29" w14:paraId="48632FC7" w14:textId="77777777">
      <w:pPr>
        <w:widowControl w:val="0"/>
        <w:spacing w:after="0" w:line="240" w:lineRule="auto"/>
        <w:rPr>
          <w:rFonts w:ascii="Calibri" w:hAnsi="Calibri" w:eastAsia="Calibri"/>
          <w:sz w:val="20"/>
          <w:szCs w:val="20"/>
        </w:rPr>
      </w:pPr>
    </w:p>
    <w:p w:rsidRPr="00C67B29" w:rsidR="00C67B29" w:rsidP="00C67B29" w:rsidRDefault="00C67B29" w14:paraId="202CBF22" w14:textId="77777777">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Pr="00C67B29" w:rsidR="00C67B29" w:rsidP="00C67B29" w:rsidRDefault="00C67B29" w14:paraId="6FAD4D05" w14:textId="77777777">
      <w:pPr>
        <w:widowControl w:val="0"/>
        <w:spacing w:after="0" w:line="240" w:lineRule="auto"/>
        <w:rPr>
          <w:rFonts w:ascii="Calibri" w:hAnsi="Calibri" w:eastAsia="Calibri"/>
        </w:rPr>
      </w:pPr>
    </w:p>
    <w:p w:rsidRPr="00C67B29" w:rsidR="00C67B29" w:rsidP="00C67B29" w:rsidRDefault="00C67B29" w14:paraId="6670B891" w14:textId="77777777">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Pr="00C67B29" w:rsidR="00C67B29" w:rsidP="00C67B29" w:rsidRDefault="00C67B29" w14:paraId="0D658758" w14:textId="77777777">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 xml:space="preserve">would identify the details of specific applications or requests.  </w:t>
      </w:r>
      <w:r w:rsidR="00166A01">
        <w:t>Section 1761(h) of t</w:t>
      </w:r>
      <w:r w:rsidR="00AB7658">
        <w:rPr>
          <w:rFonts w:eastAsia="Times New Roman"/>
        </w:rPr>
        <w:t xml:space="preserve">he ECRA </w:t>
      </w:r>
      <w:r w:rsidRPr="00C67B29">
        <w:rPr>
          <w:rFonts w:eastAsia="Times New Roman"/>
        </w:rPr>
        <w:t>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elegated to the Under Secretary for Industry and 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Pr="00C67B29" w:rsidR="00C67B29" w:rsidP="00C67B29" w:rsidRDefault="00C67B29" w14:paraId="0B05E754" w14:textId="77777777">
      <w:pPr>
        <w:widowControl w:val="0"/>
        <w:spacing w:after="0" w:line="240" w:lineRule="auto"/>
        <w:rPr>
          <w:rFonts w:ascii="Calibri" w:hAnsi="Calibri" w:eastAsia="Calibri"/>
          <w:sz w:val="20"/>
          <w:szCs w:val="20"/>
        </w:rPr>
      </w:pPr>
    </w:p>
    <w:p w:rsidRPr="00C67B29" w:rsidR="00C67B29" w:rsidP="00C67B29" w:rsidRDefault="00C67B29" w14:paraId="7C88495E" w14:textId="77777777">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Pr="00C67B29" w:rsidR="00C67B29" w:rsidP="00C67B29" w:rsidRDefault="00C67B29" w14:paraId="1373A2C6" w14:textId="77777777">
      <w:pPr>
        <w:widowControl w:val="0"/>
        <w:spacing w:after="0" w:line="240" w:lineRule="auto"/>
        <w:rPr>
          <w:rFonts w:ascii="Calibri" w:hAnsi="Calibri" w:eastAsia="Calibri"/>
          <w:sz w:val="26"/>
          <w:szCs w:val="26"/>
        </w:rPr>
      </w:pPr>
    </w:p>
    <w:p w:rsidR="00C67B29" w:rsidP="00C67B29" w:rsidRDefault="00C67B29" w14:paraId="563830B6"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44B1AB74" w14:textId="77777777">
      <w:pPr>
        <w:widowControl w:val="0"/>
        <w:spacing w:after="0" w:line="240" w:lineRule="auto"/>
        <w:rPr>
          <w:rFonts w:ascii="Calibri" w:hAnsi="Calibri" w:eastAsia="Calibri"/>
          <w:sz w:val="20"/>
          <w:szCs w:val="20"/>
        </w:rPr>
      </w:pPr>
    </w:p>
    <w:p w:rsidRPr="00C67B29" w:rsidR="00C67B29" w:rsidP="00C67B29" w:rsidRDefault="00C67B29" w14:paraId="6F0B6C36" w14:textId="77777777">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Pr="00C67B29" w:rsidR="00C67B29" w:rsidP="00C67B29" w:rsidRDefault="00C67B29" w14:paraId="2443431D" w14:textId="77777777">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Pr="00C67B29" w:rsidR="00C67B29" w:rsidP="00C67B29" w:rsidRDefault="00C67B29" w14:paraId="43726DCD" w14:textId="77777777">
      <w:pPr>
        <w:widowControl w:val="0"/>
        <w:spacing w:after="0" w:line="240" w:lineRule="auto"/>
        <w:rPr>
          <w:rFonts w:ascii="Calibri" w:hAnsi="Calibri" w:eastAsia="Calibri"/>
          <w:sz w:val="26"/>
          <w:szCs w:val="26"/>
        </w:rPr>
      </w:pPr>
    </w:p>
    <w:p w:rsidRPr="00A83D25" w:rsidR="00C67B29" w:rsidP="00C67B29" w:rsidRDefault="00C67B29" w14:paraId="17EB2924"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Pr="00C67B29" w:rsidR="00C67B29" w:rsidP="00C67B29" w:rsidRDefault="00C67B29" w14:paraId="3396117C" w14:textId="77777777">
      <w:pPr>
        <w:widowControl w:val="0"/>
        <w:spacing w:after="0" w:line="240" w:lineRule="auto"/>
        <w:rPr>
          <w:rFonts w:ascii="Calibri" w:hAnsi="Calibri" w:eastAsia="Calibri"/>
          <w:sz w:val="22"/>
          <w:szCs w:val="22"/>
        </w:rPr>
      </w:pPr>
    </w:p>
    <w:p w:rsidRPr="00C67B29" w:rsidR="00C67B29" w:rsidP="00C67B29" w:rsidRDefault="00C67B29" w14:paraId="1F299FDC" w14:textId="77777777">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Pr="00C67B29" w:rsidR="00C67B29" w:rsidP="00C67B29" w:rsidRDefault="00C67B29" w14:paraId="1AE67E49" w14:textId="77777777">
      <w:pPr>
        <w:widowControl w:val="0"/>
        <w:spacing w:after="0" w:line="240" w:lineRule="auto"/>
        <w:rPr>
          <w:rFonts w:ascii="Calibri" w:hAnsi="Calibri" w:eastAsia="Calibri"/>
          <w:sz w:val="26"/>
          <w:szCs w:val="26"/>
        </w:rPr>
      </w:pPr>
    </w:p>
    <w:p w:rsidRPr="00C67B29" w:rsidR="00C67B29" w:rsidP="00C67B29" w:rsidRDefault="00C67B29" w14:paraId="17877550" w14:textId="77777777">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Pr="00C67B29" w:rsidR="00C67B29" w:rsidP="00C67B29" w:rsidRDefault="00C67B29" w14:paraId="42AC39C8" w14:textId="77777777">
      <w:pPr>
        <w:spacing w:after="0" w:line="240" w:lineRule="auto"/>
      </w:pPr>
    </w:p>
    <w:p w:rsidR="00137834" w:rsidRDefault="00137834" w14:paraId="64317E94" w14:textId="77777777"/>
    <w:sectPr w:rsidR="00137834">
      <w:footerReference w:type="default" r:id="rId10"/>
      <w:pgSz w:w="12240" w:h="15840"/>
      <w:pgMar w:top="1360" w:right="1720" w:bottom="960" w:left="134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9A118" w14:textId="77777777" w:rsidR="00203E2E" w:rsidRDefault="00203E2E">
      <w:pPr>
        <w:spacing w:after="0" w:line="240" w:lineRule="auto"/>
      </w:pPr>
      <w:r>
        <w:separator/>
      </w:r>
    </w:p>
  </w:endnote>
  <w:endnote w:type="continuationSeparator" w:id="0">
    <w:p w14:paraId="10512E81" w14:textId="77777777" w:rsidR="00203E2E" w:rsidRDefault="0020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1C19C" w14:textId="77777777" w:rsidR="00137834" w:rsidRDefault="00137834">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762B8765" wp14:editId="7EF62ABE">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B8765" id="_x0000_t202" coordsize="21600,21600" o:spt="202" path="m,l,21600r21600,l21600,xe">
              <v:stroke joinstyle="miter"/>
              <v:path gradientshapeok="t" o:connecttype="rect"/>
            </v:shapetype>
            <v:shape id="Text Box 1" o:spid="_x0000_s1026" type="#_x0000_t202" style="position:absolute;margin-left:301pt;margin-top:742.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" filled="f" stroked="f">
              <v:textbox inset="0,0,0,0">
                <w:txbxContent>
                  <w:p w14:paraId="44D2C15F" w14:textId="08DD4B9F"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9603CD">
                      <w:rPr>
                        <w:rFonts w:eastAsia="Times New Roman"/>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8ED3F" w14:textId="77777777" w:rsidR="00203E2E" w:rsidRDefault="00203E2E">
      <w:pPr>
        <w:spacing w:after="0" w:line="240" w:lineRule="auto"/>
      </w:pPr>
      <w:r>
        <w:separator/>
      </w:r>
    </w:p>
  </w:footnote>
  <w:footnote w:type="continuationSeparator" w:id="0">
    <w:p w14:paraId="04B3FC38" w14:textId="77777777" w:rsidR="00203E2E" w:rsidRDefault="00203E2E">
      <w:pPr>
        <w:spacing w:after="0" w:line="240" w:lineRule="auto"/>
      </w:pPr>
      <w:r>
        <w:continuationSeparator/>
      </w:r>
    </w:p>
  </w:footnote>
  <w:footnote w:id="1">
    <w:p w14:paraId="6CB25FC9" w14:textId="77777777" w:rsidR="002E1157" w:rsidRDefault="002E1157" w:rsidP="002E1157">
      <w:pPr>
        <w:pStyle w:val="FootnoteText"/>
      </w:pPr>
      <w:r>
        <w:rPr>
          <w:rStyle w:val="FootnoteReference"/>
        </w:rPr>
        <w:footnoteRef/>
      </w:r>
      <w:r>
        <w:t xml:space="preserve"> 87 FR </w:t>
      </w:r>
      <w:r w:rsidRPr="00A61F52">
        <w:t>12226</w:t>
      </w:r>
      <w:r>
        <w:t xml:space="preserve"> (March 3, 2022).</w:t>
      </w:r>
    </w:p>
  </w:footnote>
  <w:footnote w:id="2">
    <w:p w14:paraId="12118FDE" w14:textId="77777777" w:rsidR="002E1157" w:rsidRDefault="002E1157" w:rsidP="002E1157">
      <w:pPr>
        <w:pStyle w:val="FootnoteText"/>
      </w:pPr>
      <w:r>
        <w:rPr>
          <w:rStyle w:val="FootnoteReference"/>
        </w:rPr>
        <w:footnoteRef/>
      </w:r>
      <w:r>
        <w:t xml:space="preserve"> </w:t>
      </w:r>
      <w:r w:rsidRPr="00BA1DC4">
        <w:rPr>
          <w:rStyle w:val="normaltextrun"/>
        </w:rPr>
        <w:t>87 FR 13048 (March 8, 2022)</w:t>
      </w:r>
      <w:r>
        <w:rPr>
          <w:rStyle w:val="normaltextrun"/>
        </w:rPr>
        <w:t>.</w:t>
      </w:r>
    </w:p>
  </w:footnote>
  <w:footnote w:id="3">
    <w:p w14:paraId="46C8F637" w14:textId="77777777" w:rsidR="002E1157" w:rsidRPr="00036274" w:rsidRDefault="002E1157" w:rsidP="002E1157">
      <w:pPr>
        <w:pStyle w:val="paragraph"/>
        <w:spacing w:before="0" w:beforeAutospacing="0" w:after="0" w:afterAutospacing="0"/>
        <w:textAlignment w:val="baseline"/>
        <w:rPr>
          <w:sz w:val="20"/>
          <w:szCs w:val="20"/>
        </w:rPr>
      </w:pPr>
      <w:r>
        <w:rPr>
          <w:rStyle w:val="FootnoteReference"/>
        </w:rPr>
        <w:footnoteRef/>
      </w:r>
      <w:r>
        <w:t xml:space="preserve"> </w:t>
      </w:r>
      <w:r w:rsidRPr="00036274">
        <w:rPr>
          <w:rStyle w:val="normaltextrun"/>
          <w:sz w:val="20"/>
          <w:szCs w:val="20"/>
        </w:rPr>
        <w:t>87 FR 12856 (March 8, 2022)</w:t>
      </w:r>
    </w:p>
    <w:p w14:paraId="269A6929" w14:textId="77777777" w:rsidR="002E1157" w:rsidRDefault="002E1157" w:rsidP="002E1157">
      <w:pPr>
        <w:pStyle w:val="FootnoteText"/>
      </w:pPr>
    </w:p>
  </w:footnote>
  <w:footnote w:id="4">
    <w:p w14:paraId="0CC100D2" w14:textId="77777777" w:rsidR="002E1157" w:rsidRPr="00036274" w:rsidRDefault="002E1157" w:rsidP="002E1157">
      <w:pPr>
        <w:pStyle w:val="paragraph"/>
        <w:spacing w:before="0" w:beforeAutospacing="0" w:after="0" w:afterAutospacing="0"/>
        <w:textAlignment w:val="baseline"/>
        <w:rPr>
          <w:sz w:val="20"/>
          <w:szCs w:val="20"/>
        </w:rPr>
      </w:pPr>
      <w:r>
        <w:rPr>
          <w:rStyle w:val="FootnoteReference"/>
        </w:rPr>
        <w:footnoteRef/>
      </w:r>
      <w:r>
        <w:t xml:space="preserve"> </w:t>
      </w:r>
      <w:r w:rsidRPr="00036274">
        <w:rPr>
          <w:rStyle w:val="normaltextrun"/>
          <w:sz w:val="20"/>
          <w:szCs w:val="20"/>
        </w:rPr>
        <w:t xml:space="preserve">87 FR </w:t>
      </w:r>
      <w:r w:rsidRPr="00036274">
        <w:rPr>
          <w:sz w:val="20"/>
          <w:szCs w:val="20"/>
        </w:rPr>
        <w:t>13141 (March 9, 2022)</w:t>
      </w:r>
    </w:p>
    <w:p w14:paraId="6349313C" w14:textId="77777777" w:rsidR="002E1157" w:rsidRDefault="002E1157" w:rsidP="002E1157">
      <w:pPr>
        <w:pStyle w:val="FootnoteText"/>
      </w:pPr>
    </w:p>
  </w:footnote>
  <w:footnote w:id="5">
    <w:p w14:paraId="09F2A670" w14:textId="77777777" w:rsidR="002E1157" w:rsidRPr="0058381D" w:rsidRDefault="002E1157" w:rsidP="002E1157">
      <w:pPr>
        <w:pStyle w:val="paragraph"/>
        <w:spacing w:before="0" w:beforeAutospacing="0" w:after="0" w:afterAutospacing="0"/>
        <w:textAlignment w:val="baseline"/>
        <w:rPr>
          <w:sz w:val="20"/>
          <w:szCs w:val="20"/>
        </w:rPr>
      </w:pPr>
      <w:r>
        <w:rPr>
          <w:rStyle w:val="FootnoteReference"/>
        </w:rPr>
        <w:footnoteRef/>
      </w:r>
      <w:r>
        <w:t xml:space="preserve"> </w:t>
      </w:r>
      <w:r w:rsidRPr="0058381D">
        <w:rPr>
          <w:rStyle w:val="normaltextrun"/>
          <w:sz w:val="20"/>
          <w:szCs w:val="20"/>
        </w:rPr>
        <w:t xml:space="preserve">87 FR </w:t>
      </w:r>
      <w:r>
        <w:rPr>
          <w:rStyle w:val="normaltextrun"/>
          <w:sz w:val="20"/>
          <w:szCs w:val="20"/>
        </w:rPr>
        <w:t>13627</w:t>
      </w:r>
      <w:r w:rsidRPr="0058381D">
        <w:rPr>
          <w:rStyle w:val="normaltextrun"/>
          <w:sz w:val="20"/>
          <w:szCs w:val="20"/>
        </w:rPr>
        <w:t xml:space="preserve"> (March 10, 2022)</w:t>
      </w:r>
    </w:p>
    <w:p w14:paraId="3CE7CFC9" w14:textId="77777777" w:rsidR="002E1157" w:rsidRDefault="002E1157" w:rsidP="002E115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53833"/>
    <w:multiLevelType w:val="hybridMultilevel"/>
    <w:tmpl w:val="DA7A00B8"/>
    <w:lvl w:ilvl="0" w:tplc="3080F9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51F"/>
    <w:multiLevelType w:val="hybridMultilevel"/>
    <w:tmpl w:val="09BCD578"/>
    <w:lvl w:ilvl="0" w:tplc="AA087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70D3C"/>
    <w:multiLevelType w:val="hybridMultilevel"/>
    <w:tmpl w:val="BF943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9"/>
    <w:rsid w:val="00064D29"/>
    <w:rsid w:val="00084824"/>
    <w:rsid w:val="0009548F"/>
    <w:rsid w:val="000E2813"/>
    <w:rsid w:val="000E2B06"/>
    <w:rsid w:val="000F743E"/>
    <w:rsid w:val="001002A2"/>
    <w:rsid w:val="00122BF5"/>
    <w:rsid w:val="00123845"/>
    <w:rsid w:val="00137834"/>
    <w:rsid w:val="001568E9"/>
    <w:rsid w:val="0016227D"/>
    <w:rsid w:val="001638D1"/>
    <w:rsid w:val="00163AFF"/>
    <w:rsid w:val="00166A01"/>
    <w:rsid w:val="00175E03"/>
    <w:rsid w:val="001909B4"/>
    <w:rsid w:val="001B216A"/>
    <w:rsid w:val="001E69F7"/>
    <w:rsid w:val="001F2D1E"/>
    <w:rsid w:val="001F5CBB"/>
    <w:rsid w:val="00203E2E"/>
    <w:rsid w:val="0026069D"/>
    <w:rsid w:val="00267DC8"/>
    <w:rsid w:val="002A2979"/>
    <w:rsid w:val="002A4E1F"/>
    <w:rsid w:val="002B3917"/>
    <w:rsid w:val="002E1157"/>
    <w:rsid w:val="00305747"/>
    <w:rsid w:val="00315A96"/>
    <w:rsid w:val="0033511A"/>
    <w:rsid w:val="003710F1"/>
    <w:rsid w:val="003726EC"/>
    <w:rsid w:val="0037670D"/>
    <w:rsid w:val="00380DCB"/>
    <w:rsid w:val="00393E5A"/>
    <w:rsid w:val="003A6EB9"/>
    <w:rsid w:val="003A6F01"/>
    <w:rsid w:val="003E0F93"/>
    <w:rsid w:val="003F4334"/>
    <w:rsid w:val="00423F74"/>
    <w:rsid w:val="004606D9"/>
    <w:rsid w:val="004A2FB0"/>
    <w:rsid w:val="00515EBA"/>
    <w:rsid w:val="005248BC"/>
    <w:rsid w:val="005269DC"/>
    <w:rsid w:val="00556624"/>
    <w:rsid w:val="00570D8B"/>
    <w:rsid w:val="005A2343"/>
    <w:rsid w:val="0061798F"/>
    <w:rsid w:val="0065582A"/>
    <w:rsid w:val="00686B09"/>
    <w:rsid w:val="006C0E8B"/>
    <w:rsid w:val="006C45FC"/>
    <w:rsid w:val="006D151C"/>
    <w:rsid w:val="0078719D"/>
    <w:rsid w:val="007965EF"/>
    <w:rsid w:val="007B6070"/>
    <w:rsid w:val="007D3C0E"/>
    <w:rsid w:val="007D52DB"/>
    <w:rsid w:val="007F75A6"/>
    <w:rsid w:val="00825B1C"/>
    <w:rsid w:val="008863F9"/>
    <w:rsid w:val="008A0251"/>
    <w:rsid w:val="008A6F85"/>
    <w:rsid w:val="008B4367"/>
    <w:rsid w:val="008C7388"/>
    <w:rsid w:val="008C7666"/>
    <w:rsid w:val="00912F8A"/>
    <w:rsid w:val="009206E0"/>
    <w:rsid w:val="00937ECA"/>
    <w:rsid w:val="00942FA9"/>
    <w:rsid w:val="009603CD"/>
    <w:rsid w:val="009A6BEB"/>
    <w:rsid w:val="009B3472"/>
    <w:rsid w:val="009B645A"/>
    <w:rsid w:val="009C1542"/>
    <w:rsid w:val="009E405F"/>
    <w:rsid w:val="00A01616"/>
    <w:rsid w:val="00A03672"/>
    <w:rsid w:val="00A04320"/>
    <w:rsid w:val="00A12A3C"/>
    <w:rsid w:val="00A20C01"/>
    <w:rsid w:val="00A35AFE"/>
    <w:rsid w:val="00A62A62"/>
    <w:rsid w:val="00A7117E"/>
    <w:rsid w:val="00A7542F"/>
    <w:rsid w:val="00A83D25"/>
    <w:rsid w:val="00A9462C"/>
    <w:rsid w:val="00AB605F"/>
    <w:rsid w:val="00AB7658"/>
    <w:rsid w:val="00AD776C"/>
    <w:rsid w:val="00AE0D55"/>
    <w:rsid w:val="00AE1F4C"/>
    <w:rsid w:val="00AF4B91"/>
    <w:rsid w:val="00AF61C4"/>
    <w:rsid w:val="00B02F36"/>
    <w:rsid w:val="00B42F7A"/>
    <w:rsid w:val="00B813D9"/>
    <w:rsid w:val="00BA1D46"/>
    <w:rsid w:val="00BB4352"/>
    <w:rsid w:val="00BB64BF"/>
    <w:rsid w:val="00BD055C"/>
    <w:rsid w:val="00BD0B1A"/>
    <w:rsid w:val="00BD7A41"/>
    <w:rsid w:val="00BF6A6F"/>
    <w:rsid w:val="00C02A6B"/>
    <w:rsid w:val="00C0370E"/>
    <w:rsid w:val="00C2620B"/>
    <w:rsid w:val="00C44DE1"/>
    <w:rsid w:val="00C456CF"/>
    <w:rsid w:val="00C67B29"/>
    <w:rsid w:val="00C87099"/>
    <w:rsid w:val="00CA1D7B"/>
    <w:rsid w:val="00CB0D69"/>
    <w:rsid w:val="00CD2A61"/>
    <w:rsid w:val="00CD485E"/>
    <w:rsid w:val="00CD498A"/>
    <w:rsid w:val="00D259A7"/>
    <w:rsid w:val="00D33B85"/>
    <w:rsid w:val="00D4205E"/>
    <w:rsid w:val="00D501EC"/>
    <w:rsid w:val="00DA7FBF"/>
    <w:rsid w:val="00DF67F9"/>
    <w:rsid w:val="00E16700"/>
    <w:rsid w:val="00E324EB"/>
    <w:rsid w:val="00E7747F"/>
    <w:rsid w:val="00E836ED"/>
    <w:rsid w:val="00E845AD"/>
    <w:rsid w:val="00E975FB"/>
    <w:rsid w:val="00EC256D"/>
    <w:rsid w:val="00EC77BA"/>
    <w:rsid w:val="00F07390"/>
    <w:rsid w:val="00F20A8D"/>
    <w:rsid w:val="00F45309"/>
    <w:rsid w:val="00FB2CD0"/>
    <w:rsid w:val="00FD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CB83"/>
  <w15:docId w15:val="{6D1502E8-4EC2-4554-93FE-49A5310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A"/>
    <w:pPr>
      <w:keepNext/>
      <w:keepLines/>
      <w:widowControl w:val="0"/>
      <w:autoSpaceDE w:val="0"/>
      <w:autoSpaceDN w:val="0"/>
      <w:adjustRightInd w:val="0"/>
      <w:spacing w:after="0" w:line="36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rsid w:val="00C67B29"/>
    <w:rPr>
      <w:sz w:val="20"/>
      <w:szCs w:val="20"/>
    </w:rPr>
  </w:style>
  <w:style w:type="character" w:styleId="CommentReference">
    <w:name w:val="annotation reference"/>
    <w:basedOn w:val="DefaultParagraphFont"/>
    <w:uiPriority w:val="99"/>
    <w:semiHidden/>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9603CD"/>
    <w:pPr>
      <w:ind w:left="720"/>
      <w:contextualSpacing/>
    </w:pPr>
  </w:style>
  <w:style w:type="paragraph" w:styleId="Revision">
    <w:name w:val="Revision"/>
    <w:hidden/>
    <w:uiPriority w:val="99"/>
    <w:semiHidden/>
    <w:rsid w:val="000E2813"/>
    <w:pPr>
      <w:spacing w:after="0" w:line="240" w:lineRule="auto"/>
    </w:pPr>
  </w:style>
  <w:style w:type="character" w:customStyle="1" w:styleId="ListParagraphChar">
    <w:name w:val="List Paragraph Char"/>
    <w:aliases w:val="3 Char,Bullet Char,Bullet 1 Char,Bullet Points Char,Colorful List - Accent 11 Char,Dot pt Char,F5 List Paragraph Char,Indicator Text Char,Issue Action POC Char,List Paragraph Char Char Char Char,List Paragraph1 Char,MAIN CONTENT Char"/>
    <w:basedOn w:val="DefaultParagraphFont"/>
    <w:link w:val="ListParagraph"/>
    <w:uiPriority w:val="34"/>
    <w:qFormat/>
    <w:locked/>
    <w:rsid w:val="001B216A"/>
  </w:style>
  <w:style w:type="character" w:customStyle="1" w:styleId="Heading1Char">
    <w:name w:val="Heading 1 Char"/>
    <w:basedOn w:val="DefaultParagraphFont"/>
    <w:link w:val="Heading1"/>
    <w:uiPriority w:val="9"/>
    <w:rsid w:val="001B216A"/>
    <w:rPr>
      <w:rFonts w:eastAsiaTheme="majorEastAsia" w:cstheme="majorBidi"/>
      <w:b/>
      <w:bCs/>
      <w:szCs w:val="28"/>
    </w:rPr>
  </w:style>
  <w:style w:type="paragraph" w:styleId="FootnoteText">
    <w:name w:val="footnote text"/>
    <w:basedOn w:val="Normal"/>
    <w:link w:val="FootnoteTextChar"/>
    <w:uiPriority w:val="99"/>
    <w:semiHidden/>
    <w:unhideWhenUsed/>
    <w:rsid w:val="0009548F"/>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09548F"/>
    <w:rPr>
      <w:rFonts w:eastAsia="Times New Roman"/>
      <w:sz w:val="20"/>
      <w:szCs w:val="20"/>
    </w:rPr>
  </w:style>
  <w:style w:type="character" w:styleId="FootnoteReference">
    <w:name w:val="footnote reference"/>
    <w:basedOn w:val="DefaultParagraphFont"/>
    <w:uiPriority w:val="99"/>
    <w:semiHidden/>
    <w:unhideWhenUsed/>
    <w:rsid w:val="0009548F"/>
    <w:rPr>
      <w:vertAlign w:val="superscript"/>
    </w:rPr>
  </w:style>
  <w:style w:type="character" w:customStyle="1" w:styleId="textrun">
    <w:name w:val="textrun"/>
    <w:basedOn w:val="DefaultParagraphFont"/>
    <w:rsid w:val="003A6F01"/>
  </w:style>
  <w:style w:type="character" w:customStyle="1" w:styleId="normaltextrun">
    <w:name w:val="normaltextrun"/>
    <w:basedOn w:val="DefaultParagraphFont"/>
    <w:rsid w:val="003A6F01"/>
  </w:style>
  <w:style w:type="paragraph" w:customStyle="1" w:styleId="paragraph">
    <w:name w:val="paragraph"/>
    <w:basedOn w:val="Normal"/>
    <w:rsid w:val="003A6F01"/>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9751">
      <w:bodyDiv w:val="1"/>
      <w:marLeft w:val="0"/>
      <w:marRight w:val="0"/>
      <w:marTop w:val="0"/>
      <w:marBottom w:val="0"/>
      <w:divBdr>
        <w:top w:val="none" w:sz="0" w:space="0" w:color="auto"/>
        <w:left w:val="none" w:sz="0" w:space="0" w:color="auto"/>
        <w:bottom w:val="none" w:sz="0" w:space="0" w:color="auto"/>
        <w:right w:val="none" w:sz="0" w:space="0" w:color="auto"/>
      </w:divBdr>
    </w:div>
    <w:div w:id="671690125">
      <w:bodyDiv w:val="1"/>
      <w:marLeft w:val="0"/>
      <w:marRight w:val="0"/>
      <w:marTop w:val="0"/>
      <w:marBottom w:val="0"/>
      <w:divBdr>
        <w:top w:val="none" w:sz="0" w:space="0" w:color="auto"/>
        <w:left w:val="none" w:sz="0" w:space="0" w:color="auto"/>
        <w:bottom w:val="none" w:sz="0" w:space="0" w:color="auto"/>
        <w:right w:val="none" w:sz="0" w:space="0" w:color="auto"/>
      </w:divBdr>
    </w:div>
    <w:div w:id="1409381368">
      <w:bodyDiv w:val="1"/>
      <w:marLeft w:val="0"/>
      <w:marRight w:val="0"/>
      <w:marTop w:val="0"/>
      <w:marBottom w:val="0"/>
      <w:divBdr>
        <w:top w:val="none" w:sz="0" w:space="0" w:color="auto"/>
        <w:left w:val="none" w:sz="0" w:space="0" w:color="auto"/>
        <w:bottom w:val="none" w:sz="0" w:space="0" w:color="auto"/>
        <w:right w:val="none" w:sz="0" w:space="0" w:color="auto"/>
      </w:divBdr>
    </w:div>
    <w:div w:id="1653870381">
      <w:bodyDiv w:val="1"/>
      <w:marLeft w:val="0"/>
      <w:marRight w:val="0"/>
      <w:marTop w:val="0"/>
      <w:marBottom w:val="0"/>
      <w:divBdr>
        <w:top w:val="none" w:sz="0" w:space="0" w:color="auto"/>
        <w:left w:val="none" w:sz="0" w:space="0" w:color="auto"/>
        <w:bottom w:val="none" w:sz="0" w:space="0" w:color="auto"/>
        <w:right w:val="none" w:sz="0" w:space="0" w:color="auto"/>
      </w:divBdr>
    </w:div>
    <w:div w:id="20471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apr.bis.do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s.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5373E-3827-4F76-8A69-ACE29F41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2851</Words>
  <Characters>16251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Mark Crace</cp:lastModifiedBy>
  <cp:revision>2</cp:revision>
  <cp:lastPrinted>2019-06-03T18:27:00Z</cp:lastPrinted>
  <dcterms:created xsi:type="dcterms:W3CDTF">2022-03-10T18:10:00Z</dcterms:created>
  <dcterms:modified xsi:type="dcterms:W3CDTF">2022-03-10T18:10:00Z</dcterms:modified>
</cp:coreProperties>
</file>