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D1294" w:rsidRPr="00EA6C04" w:rsidP="00EA6C04" w14:paraId="028C85BB" w14:textId="4766012B">
      <w:pPr>
        <w:jc w:val="center"/>
        <w:rPr>
          <w:rFonts w:asciiTheme="majorHAnsi" w:hAnsiTheme="majorHAnsi"/>
          <w:sz w:val="28"/>
          <w:u w:val="single"/>
        </w:rPr>
      </w:pPr>
      <w:r w:rsidRPr="00EA6C04">
        <w:rPr>
          <w:rFonts w:asciiTheme="majorHAnsi" w:hAnsiTheme="majorHAnsi"/>
          <w:sz w:val="28"/>
          <w:u w:val="single"/>
        </w:rPr>
        <w:t xml:space="preserve">SUPPORTING </w:t>
      </w:r>
      <w:r w:rsidRPr="00EA6C04" w:rsidR="00F64216">
        <w:rPr>
          <w:rFonts w:asciiTheme="majorHAnsi" w:hAnsiTheme="majorHAnsi"/>
          <w:sz w:val="28"/>
          <w:u w:val="single"/>
        </w:rPr>
        <w:t>STATEMENT -</w:t>
      </w:r>
      <w:r w:rsidRPr="00EA6C04">
        <w:rPr>
          <w:rFonts w:asciiTheme="majorHAnsi" w:hAnsiTheme="majorHAnsi"/>
          <w:sz w:val="28"/>
          <w:u w:val="single"/>
        </w:rPr>
        <w:t xml:space="preserve"> PART A</w:t>
      </w:r>
    </w:p>
    <w:p w:rsidR="00340D9B" w:rsidP="003A0542" w14:paraId="63F2F773" w14:textId="00452C57">
      <w:pPr>
        <w:jc w:val="center"/>
        <w:rPr>
          <w:rFonts w:asciiTheme="majorHAnsi" w:hAnsiTheme="majorHAnsi"/>
          <w:sz w:val="24"/>
        </w:rPr>
      </w:pPr>
      <w:r w:rsidRPr="00C95929">
        <w:rPr>
          <w:rFonts w:asciiTheme="majorHAnsi" w:hAnsiTheme="majorHAnsi"/>
          <w:sz w:val="24"/>
        </w:rPr>
        <w:t>Naval Ac</w:t>
      </w:r>
      <w:r>
        <w:rPr>
          <w:rFonts w:asciiTheme="majorHAnsi" w:hAnsiTheme="majorHAnsi"/>
          <w:sz w:val="24"/>
        </w:rPr>
        <w:t>ademy Information Program Blue a</w:t>
      </w:r>
      <w:r w:rsidRPr="00C95929">
        <w:rPr>
          <w:rFonts w:asciiTheme="majorHAnsi" w:hAnsiTheme="majorHAnsi"/>
          <w:sz w:val="24"/>
        </w:rPr>
        <w:t>nd Gold Officer Application</w:t>
      </w:r>
      <w:r>
        <w:rPr>
          <w:rFonts w:asciiTheme="majorHAnsi" w:hAnsiTheme="majorHAnsi"/>
          <w:sz w:val="24"/>
        </w:rPr>
        <w:t xml:space="preserve"> –</w:t>
      </w:r>
      <w:r w:rsidR="00302A65">
        <w:rPr>
          <w:rFonts w:asciiTheme="majorHAnsi" w:hAnsiTheme="majorHAnsi"/>
          <w:sz w:val="24"/>
        </w:rPr>
        <w:t xml:space="preserve"> </w:t>
      </w:r>
      <w:r>
        <w:rPr>
          <w:rFonts w:asciiTheme="majorHAnsi" w:hAnsiTheme="majorHAnsi"/>
          <w:sz w:val="24"/>
        </w:rPr>
        <w:t>0703-</w:t>
      </w:r>
      <w:r w:rsidR="00840097">
        <w:rPr>
          <w:rFonts w:asciiTheme="majorHAnsi" w:hAnsiTheme="majorHAnsi"/>
          <w:sz w:val="24"/>
        </w:rPr>
        <w:t>BGOA</w:t>
      </w:r>
    </w:p>
    <w:p w:rsidR="00E608C1" w:rsidRPr="00E608C1" w:rsidP="00565C5D" w14:paraId="3747CBEB" w14:textId="5866CB1D">
      <w:pPr>
        <w:pStyle w:val="ListParagraph"/>
        <w:numPr>
          <w:ilvl w:val="0"/>
          <w:numId w:val="26"/>
        </w:numPr>
        <w:spacing w:after="0" w:line="240" w:lineRule="auto"/>
        <w:ind w:left="0" w:firstLine="0"/>
        <w:rPr>
          <w:rFonts w:asciiTheme="majorHAnsi" w:hAnsiTheme="majorHAnsi"/>
          <w:sz w:val="24"/>
        </w:rPr>
      </w:pPr>
      <w:r w:rsidRPr="00E608C1">
        <w:rPr>
          <w:rFonts w:asciiTheme="majorHAnsi" w:hAnsiTheme="majorHAnsi"/>
          <w:sz w:val="24"/>
          <w:u w:val="single"/>
        </w:rPr>
        <w:t>Need for the Information Collection</w:t>
      </w:r>
      <w:r w:rsidRPr="00E608C1">
        <w:rPr>
          <w:rFonts w:asciiTheme="majorHAnsi" w:hAnsiTheme="majorHAnsi"/>
          <w:sz w:val="24"/>
        </w:rPr>
        <w:t xml:space="preserve"> </w:t>
      </w:r>
    </w:p>
    <w:p w:rsidR="008B28A2" w:rsidP="00565C5D" w14:paraId="50529C4B" w14:textId="73400DCB">
      <w:pPr>
        <w:spacing w:after="0" w:line="240" w:lineRule="auto"/>
        <w:rPr>
          <w:rFonts w:ascii="Cambria" w:eastAsia="Cambria" w:hAnsi="Cambria" w:cs="Cambria"/>
          <w:sz w:val="24"/>
          <w:szCs w:val="24"/>
        </w:rPr>
      </w:pPr>
      <w:r w:rsidRPr="00E608C1">
        <w:rPr>
          <w:rFonts w:ascii="Cambria" w:eastAsia="Cambria" w:hAnsi="Cambria" w:cs="Cambria"/>
          <w:sz w:val="24"/>
          <w:szCs w:val="24"/>
        </w:rPr>
        <w:t xml:space="preserve">This information requirement is needed to determine the eligibility and leadership potential of respondents applying to represent the United States Naval Academy </w:t>
      </w:r>
      <w:r w:rsidR="0085164A">
        <w:rPr>
          <w:rFonts w:ascii="Cambria" w:eastAsia="Cambria" w:hAnsi="Cambria" w:cs="Cambria"/>
          <w:sz w:val="24"/>
          <w:szCs w:val="24"/>
        </w:rPr>
        <w:t>(USNA)</w:t>
      </w:r>
      <w:r w:rsidRPr="00E608C1">
        <w:rPr>
          <w:rFonts w:ascii="Cambria" w:eastAsia="Cambria" w:hAnsi="Cambria" w:cs="Cambria"/>
          <w:sz w:val="24"/>
          <w:szCs w:val="24"/>
        </w:rPr>
        <w:t xml:space="preserve"> as volunteer Blue and Gold Officers</w:t>
      </w:r>
      <w:r w:rsidR="00701F05">
        <w:rPr>
          <w:rFonts w:ascii="Cambria" w:eastAsia="Cambria" w:hAnsi="Cambria" w:cs="Cambria"/>
          <w:sz w:val="24"/>
          <w:szCs w:val="24"/>
        </w:rPr>
        <w:t xml:space="preserve"> (BGOs) </w:t>
      </w:r>
      <w:bookmarkStart w:id="0" w:name="_GoBack"/>
      <w:bookmarkEnd w:id="0"/>
      <w:r w:rsidR="00701F05">
        <w:rPr>
          <w:rFonts w:ascii="Cambria" w:eastAsia="Cambria" w:hAnsi="Cambria" w:cs="Cambria"/>
          <w:sz w:val="24"/>
          <w:szCs w:val="24"/>
        </w:rPr>
        <w:t>in the Naval Academy Information Program</w:t>
      </w:r>
      <w:r w:rsidRPr="00E608C1">
        <w:rPr>
          <w:rFonts w:ascii="Cambria" w:eastAsia="Cambria" w:hAnsi="Cambria" w:cs="Cambria"/>
          <w:sz w:val="24"/>
          <w:szCs w:val="24"/>
        </w:rPr>
        <w:t>.</w:t>
      </w:r>
      <w:r w:rsidR="00701F05">
        <w:rPr>
          <w:rFonts w:ascii="Cambria" w:eastAsia="Cambria" w:hAnsi="Cambria" w:cs="Cambria"/>
          <w:sz w:val="24"/>
          <w:szCs w:val="24"/>
        </w:rPr>
        <w:t xml:space="preserve">  The mission of the program is to market opportunities available at the Naval Academy and to identify, recruit, and counsel young men and women of diverse backgrounds who possess the potential to be developed morally, mentally,</w:t>
      </w:r>
      <w:r>
        <w:rPr>
          <w:rFonts w:ascii="Cambria" w:eastAsia="Cambria" w:hAnsi="Cambria" w:cs="Cambria"/>
          <w:sz w:val="24"/>
          <w:szCs w:val="24"/>
        </w:rPr>
        <w:t xml:space="preserve"> and physically into the nation</w:t>
      </w:r>
      <w:r w:rsidR="00701F05">
        <w:rPr>
          <w:rFonts w:ascii="Cambria" w:eastAsia="Cambria" w:hAnsi="Cambria" w:cs="Cambria"/>
          <w:sz w:val="24"/>
          <w:szCs w:val="24"/>
        </w:rPr>
        <w:t>’s future Naval, government, and civilian leaders.</w:t>
      </w:r>
      <w:r w:rsidRPr="00E608C1">
        <w:rPr>
          <w:rFonts w:ascii="Cambria" w:eastAsia="Cambria" w:hAnsi="Cambria" w:cs="Cambria"/>
          <w:sz w:val="24"/>
          <w:szCs w:val="24"/>
        </w:rPr>
        <w:t> </w:t>
      </w:r>
      <w:r w:rsidR="00701F05">
        <w:rPr>
          <w:rFonts w:ascii="Cambria" w:eastAsia="Cambria" w:hAnsi="Cambria" w:cs="Cambria"/>
          <w:sz w:val="24"/>
          <w:szCs w:val="24"/>
        </w:rPr>
        <w:t xml:space="preserve"> BGOs</w:t>
      </w:r>
      <w:r w:rsidRPr="00701F05" w:rsidR="00701F05">
        <w:rPr>
          <w:rFonts w:ascii="Cambria" w:eastAsia="Cambria" w:hAnsi="Cambria" w:cs="Cambria"/>
          <w:sz w:val="24"/>
          <w:szCs w:val="24"/>
        </w:rPr>
        <w:t xml:space="preserve"> are volunteers</w:t>
      </w:r>
      <w:r w:rsidR="00701F05">
        <w:rPr>
          <w:rFonts w:ascii="Cambria" w:eastAsia="Cambria" w:hAnsi="Cambria" w:cs="Cambria"/>
          <w:sz w:val="24"/>
          <w:szCs w:val="24"/>
        </w:rPr>
        <w:t xml:space="preserve"> that support this mission</w:t>
      </w:r>
      <w:r>
        <w:rPr>
          <w:rFonts w:ascii="Cambria" w:eastAsia="Cambria" w:hAnsi="Cambria" w:cs="Cambria"/>
          <w:sz w:val="24"/>
          <w:szCs w:val="24"/>
        </w:rPr>
        <w:t xml:space="preserve"> by working in their assigned area to market the Naval Academy and provide counsel to candidates.  BGO duties include guiding</w:t>
      </w:r>
      <w:r w:rsidR="00701F05">
        <w:rPr>
          <w:rFonts w:ascii="Cambria" w:eastAsia="Cambria" w:hAnsi="Cambria" w:cs="Cambria"/>
          <w:sz w:val="24"/>
          <w:szCs w:val="24"/>
        </w:rPr>
        <w:t xml:space="preserve"> prospective Midshipmen</w:t>
      </w:r>
      <w:r w:rsidRPr="00701F05" w:rsidR="00701F05">
        <w:rPr>
          <w:rFonts w:ascii="Cambria" w:eastAsia="Cambria" w:hAnsi="Cambria" w:cs="Cambria"/>
          <w:sz w:val="24"/>
          <w:szCs w:val="24"/>
        </w:rPr>
        <w:t xml:space="preserve"> through the </w:t>
      </w:r>
      <w:r w:rsidR="00701F05">
        <w:rPr>
          <w:rFonts w:ascii="Cambria" w:eastAsia="Cambria" w:hAnsi="Cambria" w:cs="Cambria"/>
          <w:sz w:val="24"/>
          <w:szCs w:val="24"/>
        </w:rPr>
        <w:t xml:space="preserve">Naval Academy </w:t>
      </w:r>
      <w:r>
        <w:rPr>
          <w:rFonts w:ascii="Cambria" w:eastAsia="Cambria" w:hAnsi="Cambria" w:cs="Cambria"/>
          <w:sz w:val="24"/>
          <w:szCs w:val="24"/>
        </w:rPr>
        <w:t>admissions process</w:t>
      </w:r>
      <w:r w:rsidR="00701F05">
        <w:rPr>
          <w:rFonts w:ascii="Cambria" w:eastAsia="Cambria" w:hAnsi="Cambria" w:cs="Cambria"/>
          <w:sz w:val="24"/>
          <w:szCs w:val="24"/>
        </w:rPr>
        <w:t xml:space="preserve">, attending college fairs, </w:t>
      </w:r>
      <w:r>
        <w:rPr>
          <w:rFonts w:ascii="Cambria" w:eastAsia="Cambria" w:hAnsi="Cambria" w:cs="Cambria"/>
          <w:sz w:val="24"/>
          <w:szCs w:val="24"/>
        </w:rPr>
        <w:t>advis</w:t>
      </w:r>
      <w:r w:rsidR="00701F05">
        <w:rPr>
          <w:rFonts w:ascii="Cambria" w:eastAsia="Cambria" w:hAnsi="Cambria" w:cs="Cambria"/>
          <w:sz w:val="24"/>
          <w:szCs w:val="24"/>
        </w:rPr>
        <w:t xml:space="preserve">ing candidates and applicants, and meeting with guidance counselors and other influencers.  </w:t>
      </w:r>
      <w:r>
        <w:rPr>
          <w:rFonts w:ascii="Cambria" w:eastAsia="Cambria" w:hAnsi="Cambria" w:cs="Cambria"/>
          <w:sz w:val="24"/>
          <w:szCs w:val="24"/>
        </w:rPr>
        <w:t xml:space="preserve">As part of the application process, they must also conduct BGO interviews of all Naval Academy candidates with which they are working.  </w:t>
      </w:r>
    </w:p>
    <w:p w:rsidR="008B28A2" w:rsidP="00565C5D" w14:paraId="7B9E6DFE" w14:textId="77777777">
      <w:pPr>
        <w:spacing w:after="0" w:line="240" w:lineRule="auto"/>
        <w:rPr>
          <w:rFonts w:ascii="Cambria" w:eastAsia="Cambria" w:hAnsi="Cambria" w:cs="Cambria"/>
          <w:sz w:val="24"/>
          <w:szCs w:val="24"/>
        </w:rPr>
      </w:pPr>
    </w:p>
    <w:p w:rsidR="003A0542" w:rsidRPr="00E608C1" w:rsidP="00565C5D" w14:paraId="7B0BF089" w14:textId="41FE766A">
      <w:pPr>
        <w:spacing w:after="0" w:line="240" w:lineRule="auto"/>
        <w:rPr>
          <w:rFonts w:asciiTheme="majorHAnsi" w:hAnsiTheme="majorHAnsi"/>
          <w:sz w:val="24"/>
        </w:rPr>
      </w:pPr>
      <w:r w:rsidRPr="00E608C1">
        <w:rPr>
          <w:rFonts w:ascii="Cambria" w:eastAsia="Cambria" w:hAnsi="Cambria" w:cs="Cambria"/>
          <w:sz w:val="24"/>
          <w:szCs w:val="24"/>
        </w:rPr>
        <w:t xml:space="preserve">Prior military service, current and past military performance, and prior affiliation with the Naval Academy has been found to be an excellent predictor of success as a </w:t>
      </w:r>
      <w:r w:rsidR="00701F05">
        <w:rPr>
          <w:rFonts w:ascii="Cambria" w:eastAsia="Cambria" w:hAnsi="Cambria" w:cs="Cambria"/>
          <w:sz w:val="24"/>
          <w:szCs w:val="24"/>
        </w:rPr>
        <w:t>BGO</w:t>
      </w:r>
      <w:r w:rsidR="00E429EE">
        <w:rPr>
          <w:rFonts w:ascii="Cambria" w:eastAsia="Cambria" w:hAnsi="Cambria" w:cs="Cambria"/>
          <w:sz w:val="24"/>
          <w:szCs w:val="24"/>
        </w:rPr>
        <w:t>.</w:t>
      </w:r>
      <w:r w:rsidR="008D7617">
        <w:rPr>
          <w:rFonts w:ascii="Cambria" w:eastAsia="Cambria" w:hAnsi="Cambria" w:cs="Cambria"/>
          <w:sz w:val="24"/>
          <w:szCs w:val="24"/>
        </w:rPr>
        <w:t xml:space="preserve"> </w:t>
      </w:r>
      <w:r w:rsidRPr="00E608C1">
        <w:rPr>
          <w:rFonts w:ascii="Cambria" w:eastAsia="Cambria" w:hAnsi="Cambria" w:cs="Cambria"/>
          <w:sz w:val="24"/>
          <w:szCs w:val="24"/>
        </w:rPr>
        <w:t xml:space="preserve"> Without this information, the ability for the USNA to recruit qualified </w:t>
      </w:r>
      <w:r w:rsidR="00701F05">
        <w:rPr>
          <w:rFonts w:ascii="Cambria" w:eastAsia="Cambria" w:hAnsi="Cambria" w:cs="Cambria"/>
          <w:sz w:val="24"/>
          <w:szCs w:val="24"/>
        </w:rPr>
        <w:t>BGOs</w:t>
      </w:r>
      <w:r w:rsidRPr="00E608C1">
        <w:rPr>
          <w:rFonts w:ascii="Cambria" w:eastAsia="Cambria" w:hAnsi="Cambria" w:cs="Cambria"/>
          <w:sz w:val="24"/>
          <w:szCs w:val="24"/>
        </w:rPr>
        <w:t xml:space="preserve"> would be impacted and would negatively affect the Naval Academy’s ability to recruit qualified candidates.</w:t>
      </w:r>
      <w:r w:rsidR="00833CE2">
        <w:rPr>
          <w:rFonts w:ascii="Cambria" w:eastAsia="Cambria" w:hAnsi="Cambria" w:cs="Cambria"/>
          <w:sz w:val="24"/>
          <w:szCs w:val="24"/>
        </w:rPr>
        <w:t xml:space="preserve">  This information collection is authorized by the following laws and regulations: </w:t>
      </w:r>
      <w:r w:rsidRPr="00E608C1">
        <w:rPr>
          <w:rFonts w:ascii="Cambria" w:eastAsia="Cambria" w:hAnsi="Cambria" w:cs="Cambria"/>
          <w:sz w:val="24"/>
          <w:szCs w:val="24"/>
        </w:rPr>
        <w:t xml:space="preserve">   </w:t>
      </w:r>
    </w:p>
    <w:p w:rsidR="00C95929" w:rsidP="00565C5D" w14:paraId="1417AEFC" w14:textId="77777777">
      <w:pPr>
        <w:spacing w:after="0" w:line="240" w:lineRule="auto"/>
        <w:rPr>
          <w:rFonts w:asciiTheme="majorHAnsi" w:hAnsiTheme="majorHAnsi"/>
          <w:sz w:val="24"/>
        </w:rPr>
      </w:pPr>
    </w:p>
    <w:p w:rsidR="003A0542" w:rsidRPr="00CF7EA8" w:rsidP="00CF7EA8" w14:paraId="6BA0ACB8" w14:textId="31DCCA66">
      <w:pPr>
        <w:pStyle w:val="ListParagraph"/>
        <w:numPr>
          <w:ilvl w:val="0"/>
          <w:numId w:val="27"/>
        </w:numPr>
        <w:spacing w:after="0" w:line="240" w:lineRule="auto"/>
        <w:rPr>
          <w:rFonts w:ascii="Cambria" w:eastAsia="Cambria" w:hAnsi="Cambria" w:cs="Cambria"/>
          <w:sz w:val="24"/>
          <w:szCs w:val="24"/>
        </w:rPr>
      </w:pPr>
      <w:hyperlink r:id="rId5" w:history="1">
        <w:r w:rsidRPr="00CF7EA8">
          <w:rPr>
            <w:rStyle w:val="Hyperlink"/>
            <w:rFonts w:ascii="Cambria" w:eastAsia="Cambria" w:hAnsi="Cambria" w:cs="Cambria"/>
            <w:color w:val="0000FF"/>
            <w:sz w:val="24"/>
            <w:szCs w:val="24"/>
          </w:rPr>
          <w:t>10 U.S.C. 5013</w:t>
        </w:r>
      </w:hyperlink>
      <w:r w:rsidRPr="00CF7EA8">
        <w:rPr>
          <w:rFonts w:ascii="Cambria" w:eastAsia="Cambria" w:hAnsi="Cambria" w:cs="Cambria"/>
          <w:sz w:val="24"/>
          <w:szCs w:val="24"/>
        </w:rPr>
        <w:t>, Secretary of the Navy, prescribes the Secretary of the Navy has responsibility to recruit and train personnel for the Navy to which he has the authority to delegate authority</w:t>
      </w:r>
      <w:r w:rsidRPr="00CF7EA8" w:rsidR="00F01DC9">
        <w:rPr>
          <w:rFonts w:ascii="Cambria" w:eastAsia="Cambria" w:hAnsi="Cambria" w:cs="Cambria"/>
          <w:sz w:val="24"/>
          <w:szCs w:val="24"/>
        </w:rPr>
        <w:t>;</w:t>
      </w:r>
    </w:p>
    <w:p w:rsidR="00441520" w:rsidP="00441520" w14:paraId="7E4D6EB6" w14:textId="77777777">
      <w:pPr>
        <w:spacing w:after="0" w:line="240" w:lineRule="auto"/>
        <w:ind w:firstLine="720"/>
        <w:rPr>
          <w:rFonts w:ascii="Cambria" w:eastAsia="Cambria" w:hAnsi="Cambria" w:cs="Cambria"/>
          <w:sz w:val="24"/>
          <w:szCs w:val="24"/>
        </w:rPr>
      </w:pPr>
    </w:p>
    <w:p w:rsidR="003B1892" w:rsidRPr="00CF7EA8" w:rsidP="00CF7EA8" w14:paraId="0E0F115F" w14:textId="7B9D3D24">
      <w:pPr>
        <w:pStyle w:val="ListParagraph"/>
        <w:numPr>
          <w:ilvl w:val="0"/>
          <w:numId w:val="27"/>
        </w:numPr>
        <w:spacing w:after="0" w:line="240" w:lineRule="auto"/>
        <w:rPr>
          <w:rFonts w:ascii="Cambria" w:eastAsia="Cambria" w:hAnsi="Cambria" w:cs="Cambria"/>
          <w:color w:val="000000"/>
          <w:sz w:val="24"/>
          <w:szCs w:val="24"/>
        </w:rPr>
      </w:pPr>
      <w:hyperlink r:id="rId6" w:history="1">
        <w:r w:rsidRPr="00CF7EA8" w:rsidR="008E639E">
          <w:rPr>
            <w:rStyle w:val="Hyperlink"/>
            <w:rFonts w:ascii="Cambria" w:eastAsia="Cambria" w:hAnsi="Cambria" w:cs="Cambria"/>
            <w:sz w:val="24"/>
            <w:szCs w:val="24"/>
          </w:rPr>
          <w:t>10 U.S.C. 5041</w:t>
        </w:r>
      </w:hyperlink>
      <w:r w:rsidRPr="00CF7EA8" w:rsidR="008E639E">
        <w:rPr>
          <w:rFonts w:ascii="Cambria" w:eastAsia="Cambria" w:hAnsi="Cambria" w:cs="Cambria"/>
          <w:color w:val="000000"/>
          <w:sz w:val="24"/>
          <w:szCs w:val="24"/>
        </w:rPr>
        <w:t>, Headquarters, Marine Corps, details the function of the Headquarters, Marine Corps, is to assist the Secretary of the Navy in carrying out his responsibilities</w:t>
      </w:r>
      <w:r w:rsidRPr="00CF7EA8" w:rsidR="00F01DC9">
        <w:rPr>
          <w:rFonts w:ascii="Cambria" w:eastAsia="Cambria" w:hAnsi="Cambria" w:cs="Cambria"/>
          <w:color w:val="000000"/>
          <w:sz w:val="24"/>
          <w:szCs w:val="24"/>
        </w:rPr>
        <w:t>;</w:t>
      </w:r>
    </w:p>
    <w:p w:rsidR="00441520" w:rsidP="00441520" w14:paraId="5A3F8630" w14:textId="77777777">
      <w:pPr>
        <w:spacing w:after="0" w:line="240" w:lineRule="auto"/>
        <w:ind w:firstLine="720"/>
        <w:rPr>
          <w:rFonts w:ascii="Cambria" w:eastAsia="Cambria" w:hAnsi="Cambria" w:cs="Cambria"/>
          <w:color w:val="000000"/>
          <w:sz w:val="24"/>
          <w:szCs w:val="24"/>
        </w:rPr>
      </w:pPr>
    </w:p>
    <w:p w:rsidR="00441520" w:rsidRPr="00CF7EA8" w:rsidP="00CF7EA8" w14:paraId="27CC9F16" w14:textId="7EBA8D01">
      <w:pPr>
        <w:pStyle w:val="ListParagraph"/>
        <w:numPr>
          <w:ilvl w:val="0"/>
          <w:numId w:val="27"/>
        </w:numPr>
        <w:spacing w:after="0" w:line="240" w:lineRule="auto"/>
        <w:rPr>
          <w:rFonts w:ascii="Cambria" w:eastAsia="Cambria" w:hAnsi="Cambria" w:cs="Cambria"/>
          <w:sz w:val="24"/>
          <w:szCs w:val="24"/>
        </w:rPr>
      </w:pPr>
      <w:hyperlink r:id="rId7" w:history="1">
        <w:r w:rsidRPr="00CF7EA8" w:rsidR="003A0542">
          <w:rPr>
            <w:rStyle w:val="Hyperlink"/>
            <w:rFonts w:ascii="Cambria" w:eastAsia="Cambria" w:hAnsi="Cambria" w:cs="Cambria"/>
            <w:color w:val="0000FF"/>
            <w:sz w:val="24"/>
            <w:szCs w:val="24"/>
          </w:rPr>
          <w:t>10 U.S.C. 8458</w:t>
        </w:r>
      </w:hyperlink>
      <w:r w:rsidRPr="00CF7EA8" w:rsidR="003A0542">
        <w:rPr>
          <w:rFonts w:ascii="Cambria" w:eastAsia="Cambria" w:hAnsi="Cambria" w:cs="Cambria"/>
          <w:sz w:val="24"/>
          <w:szCs w:val="24"/>
        </w:rPr>
        <w:t>, Midshipmen: Qualifications for Admission, prescribes examination requirements for candidates to include age, citizenship, physical, and mental requirements for admission</w:t>
      </w:r>
      <w:r w:rsidRPr="00CF7EA8" w:rsidR="00146E7E">
        <w:rPr>
          <w:rFonts w:ascii="Cambria" w:eastAsia="Cambria" w:hAnsi="Cambria" w:cs="Cambria"/>
          <w:sz w:val="24"/>
          <w:szCs w:val="24"/>
        </w:rPr>
        <w:t>, which is wh</w:t>
      </w:r>
      <w:r w:rsidRPr="00CF7EA8" w:rsidR="00BB7CAD">
        <w:rPr>
          <w:rFonts w:ascii="Cambria" w:eastAsia="Cambria" w:hAnsi="Cambria" w:cs="Cambria"/>
          <w:sz w:val="24"/>
          <w:szCs w:val="24"/>
        </w:rPr>
        <w:t>y</w:t>
      </w:r>
      <w:r w:rsidRPr="00CF7EA8" w:rsidR="00146E7E">
        <w:rPr>
          <w:rFonts w:ascii="Cambria" w:eastAsia="Cambria" w:hAnsi="Cambria" w:cs="Cambria"/>
          <w:sz w:val="24"/>
          <w:szCs w:val="24"/>
        </w:rPr>
        <w:t xml:space="preserve"> the</w:t>
      </w:r>
      <w:r w:rsidRPr="00CF7EA8" w:rsidR="00BB7CAD">
        <w:rPr>
          <w:rFonts w:ascii="Cambria" w:eastAsia="Cambria" w:hAnsi="Cambria" w:cs="Cambria"/>
          <w:sz w:val="24"/>
          <w:szCs w:val="24"/>
        </w:rPr>
        <w:t xml:space="preserve"> Naval Academy requires</w:t>
      </w:r>
      <w:r w:rsidRPr="00CF7EA8" w:rsidR="00146E7E">
        <w:rPr>
          <w:rFonts w:ascii="Cambria" w:eastAsia="Cambria" w:hAnsi="Cambria" w:cs="Cambria"/>
          <w:sz w:val="24"/>
          <w:szCs w:val="24"/>
        </w:rPr>
        <w:t xml:space="preserve"> </w:t>
      </w:r>
      <w:r w:rsidR="00302A65">
        <w:rPr>
          <w:rFonts w:ascii="Cambria" w:eastAsia="Cambria" w:hAnsi="Cambria" w:cs="Cambria"/>
          <w:sz w:val="24"/>
          <w:szCs w:val="24"/>
        </w:rPr>
        <w:t>BGO</w:t>
      </w:r>
      <w:r w:rsidRPr="00CF7EA8" w:rsidR="00BB7CAD">
        <w:rPr>
          <w:rFonts w:ascii="Cambria" w:eastAsia="Cambria" w:hAnsi="Cambria" w:cs="Cambria"/>
          <w:sz w:val="24"/>
          <w:szCs w:val="24"/>
        </w:rPr>
        <w:t>s</w:t>
      </w:r>
      <w:r w:rsidRPr="00CF7EA8" w:rsidR="003A0542">
        <w:rPr>
          <w:rFonts w:ascii="Cambria" w:eastAsia="Cambria" w:hAnsi="Cambria" w:cs="Cambria"/>
          <w:sz w:val="24"/>
          <w:szCs w:val="24"/>
        </w:rPr>
        <w:t>;</w:t>
      </w:r>
    </w:p>
    <w:p w:rsidR="005C7428" w:rsidP="00441520" w14:paraId="731A2D2B" w14:textId="520BBFDF">
      <w:pPr>
        <w:spacing w:after="0" w:line="240" w:lineRule="auto"/>
        <w:ind w:firstLine="720"/>
        <w:rPr>
          <w:rFonts w:ascii="Cambria" w:eastAsia="Cambria" w:hAnsi="Cambria" w:cs="Cambria"/>
          <w:sz w:val="24"/>
          <w:szCs w:val="24"/>
        </w:rPr>
      </w:pPr>
      <w:r>
        <w:rPr>
          <w:rFonts w:ascii="Cambria" w:eastAsia="Cambria" w:hAnsi="Cambria" w:cs="Cambria"/>
          <w:sz w:val="24"/>
          <w:szCs w:val="24"/>
        </w:rPr>
        <w:t xml:space="preserve"> </w:t>
      </w:r>
    </w:p>
    <w:p w:rsidR="00796401" w:rsidRPr="00CF7EA8" w:rsidP="00CF7EA8" w14:paraId="4E43CBA6" w14:textId="6FFFD6FF">
      <w:pPr>
        <w:pStyle w:val="ListParagraph"/>
        <w:numPr>
          <w:ilvl w:val="0"/>
          <w:numId w:val="27"/>
        </w:numPr>
        <w:spacing w:after="0" w:line="240" w:lineRule="auto"/>
        <w:rPr>
          <w:rFonts w:ascii="Cambria" w:eastAsia="Cambria" w:hAnsi="Cambria" w:cs="Cambria"/>
          <w:color w:val="000000"/>
          <w:sz w:val="24"/>
          <w:szCs w:val="24"/>
        </w:rPr>
      </w:pPr>
      <w:hyperlink r:id="rId8" w:history="1">
        <w:r w:rsidRPr="00CF7EA8">
          <w:rPr>
            <w:rStyle w:val="Hyperlink"/>
            <w:rFonts w:ascii="Cambria" w:eastAsia="Cambria" w:hAnsi="Cambria" w:cs="Cambria"/>
            <w:sz w:val="24"/>
            <w:szCs w:val="24"/>
          </w:rPr>
          <w:t>U.S.C. §10141</w:t>
        </w:r>
      </w:hyperlink>
      <w:r w:rsidRPr="00CF7EA8">
        <w:rPr>
          <w:rFonts w:ascii="Cambria" w:eastAsia="Cambria" w:hAnsi="Cambria" w:cs="Cambria"/>
          <w:color w:val="000000"/>
          <w:sz w:val="24"/>
          <w:szCs w:val="24"/>
        </w:rPr>
        <w:t>, Ready Reserve; Standby Reserve; Retired Reserve: placement and status of members; training categories</w:t>
      </w:r>
      <w:r w:rsidRPr="00CF7EA8" w:rsidR="00F01DC9">
        <w:rPr>
          <w:rFonts w:ascii="Cambria" w:eastAsia="Cambria" w:hAnsi="Cambria" w:cs="Cambria"/>
          <w:color w:val="000000"/>
          <w:sz w:val="24"/>
          <w:szCs w:val="24"/>
        </w:rPr>
        <w:t>, prescribes a reserve force made up of three different categories that require training, drills, or equivalent duties in certain time periods;</w:t>
      </w:r>
    </w:p>
    <w:p w:rsidR="00441520" w:rsidP="00441520" w14:paraId="44E7E3D5" w14:textId="77777777">
      <w:pPr>
        <w:spacing w:after="0" w:line="240" w:lineRule="auto"/>
        <w:ind w:firstLine="720"/>
        <w:rPr>
          <w:rFonts w:ascii="Cambria" w:eastAsia="Cambria" w:hAnsi="Cambria" w:cs="Cambria"/>
          <w:color w:val="000000"/>
          <w:sz w:val="24"/>
          <w:szCs w:val="24"/>
        </w:rPr>
      </w:pPr>
    </w:p>
    <w:p w:rsidR="00796401" w:rsidRPr="00CF7EA8" w:rsidP="00CF7EA8" w14:paraId="19E8710E" w14:textId="0F1C2B23">
      <w:pPr>
        <w:pStyle w:val="ListParagraph"/>
        <w:numPr>
          <w:ilvl w:val="0"/>
          <w:numId w:val="27"/>
        </w:numPr>
        <w:spacing w:after="0" w:line="240" w:lineRule="auto"/>
        <w:rPr>
          <w:rFonts w:asciiTheme="majorHAnsi" w:hAnsiTheme="majorHAnsi"/>
          <w:sz w:val="24"/>
        </w:rPr>
      </w:pPr>
      <w:hyperlink r:id="rId9" w:history="1">
        <w:r w:rsidRPr="00CF7EA8">
          <w:rPr>
            <w:rStyle w:val="Hyperlink"/>
            <w:rFonts w:asciiTheme="majorHAnsi" w:hAnsiTheme="majorHAnsi"/>
            <w:sz w:val="24"/>
          </w:rPr>
          <w:t>10 USC 10212</w:t>
        </w:r>
      </w:hyperlink>
      <w:r w:rsidRPr="00CF7EA8">
        <w:rPr>
          <w:rFonts w:asciiTheme="majorHAnsi" w:hAnsiTheme="majorHAnsi"/>
          <w:sz w:val="24"/>
        </w:rPr>
        <w:t xml:space="preserve">, Gratuitous services of officers: authority to accept, </w:t>
      </w:r>
      <w:r w:rsidRPr="00CF7EA8" w:rsidR="00F01DC9">
        <w:rPr>
          <w:rFonts w:asciiTheme="majorHAnsi" w:hAnsiTheme="majorHAnsi"/>
          <w:sz w:val="24"/>
        </w:rPr>
        <w:t>grants the Secretary of Defense authority to accept gratuitous services of an officer of a reserve component in consultation upon matters relating to the armed services;</w:t>
      </w:r>
    </w:p>
    <w:p w:rsidR="00441520" w:rsidRPr="003B1892" w:rsidP="00441520" w14:paraId="46AF9F80" w14:textId="77777777">
      <w:pPr>
        <w:spacing w:after="0" w:line="240" w:lineRule="auto"/>
        <w:ind w:firstLine="720"/>
        <w:rPr>
          <w:rFonts w:ascii="Cambria" w:eastAsia="Cambria" w:hAnsi="Cambria" w:cs="Cambria"/>
          <w:color w:val="000000"/>
          <w:sz w:val="24"/>
          <w:szCs w:val="24"/>
        </w:rPr>
      </w:pPr>
    </w:p>
    <w:p w:rsidR="00346300" w:rsidRPr="00CF7EA8" w:rsidP="00CF7EA8" w14:paraId="0545E016" w14:textId="5A86DDC5">
      <w:pPr>
        <w:pStyle w:val="ListParagraph"/>
        <w:numPr>
          <w:ilvl w:val="0"/>
          <w:numId w:val="27"/>
        </w:numPr>
        <w:spacing w:after="0" w:line="240" w:lineRule="auto"/>
        <w:rPr>
          <w:rFonts w:asciiTheme="majorHAnsi" w:hAnsiTheme="majorHAnsi"/>
          <w:sz w:val="24"/>
        </w:rPr>
      </w:pPr>
      <w:hyperlink r:id="rId10" w:history="1">
        <w:r w:rsidRPr="00CF7EA8">
          <w:rPr>
            <w:rStyle w:val="Hyperlink"/>
            <w:rFonts w:asciiTheme="majorHAnsi" w:hAnsiTheme="majorHAnsi"/>
            <w:sz w:val="24"/>
          </w:rPr>
          <w:t>DoDI</w:t>
        </w:r>
        <w:r w:rsidRPr="00CF7EA8">
          <w:rPr>
            <w:rStyle w:val="Hyperlink"/>
            <w:rFonts w:asciiTheme="majorHAnsi" w:hAnsiTheme="majorHAnsi"/>
            <w:sz w:val="24"/>
          </w:rPr>
          <w:t xml:space="preserve"> 1322.22</w:t>
        </w:r>
      </w:hyperlink>
      <w:r w:rsidRPr="00CF7EA8">
        <w:rPr>
          <w:rFonts w:asciiTheme="majorHAnsi" w:hAnsiTheme="majorHAnsi"/>
          <w:sz w:val="24"/>
        </w:rPr>
        <w:t>, Service Academies, establish policy, assign responsibilities, and prescribe procedures for DoD oversight of the Service academies,</w:t>
      </w:r>
    </w:p>
    <w:p w:rsidR="00441520" w:rsidP="00441520" w14:paraId="02F6BA78" w14:textId="77777777">
      <w:pPr>
        <w:spacing w:after="0" w:line="240" w:lineRule="auto"/>
        <w:ind w:firstLine="720"/>
        <w:rPr>
          <w:rFonts w:asciiTheme="majorHAnsi" w:hAnsiTheme="majorHAnsi"/>
          <w:sz w:val="24"/>
        </w:rPr>
      </w:pPr>
    </w:p>
    <w:p w:rsidR="00346300" w:rsidRPr="00CF7EA8" w:rsidP="00CF7EA8" w14:paraId="64B24FBB" w14:textId="4E5C3049">
      <w:pPr>
        <w:pStyle w:val="ListParagraph"/>
        <w:numPr>
          <w:ilvl w:val="0"/>
          <w:numId w:val="27"/>
        </w:numPr>
        <w:spacing w:after="0" w:line="240" w:lineRule="auto"/>
        <w:rPr>
          <w:rFonts w:asciiTheme="majorHAnsi" w:hAnsiTheme="majorHAnsi"/>
          <w:sz w:val="24"/>
        </w:rPr>
      </w:pPr>
      <w:hyperlink r:id="rId11" w:history="1">
        <w:r w:rsidRPr="00CF7EA8">
          <w:rPr>
            <w:rStyle w:val="Hyperlink"/>
            <w:rFonts w:asciiTheme="majorHAnsi" w:hAnsiTheme="majorHAnsi"/>
            <w:sz w:val="24"/>
          </w:rPr>
          <w:t>SECNAVINST 1650.1J</w:t>
        </w:r>
      </w:hyperlink>
      <w:r w:rsidRPr="00CF7EA8">
        <w:rPr>
          <w:rFonts w:asciiTheme="majorHAnsi" w:hAnsiTheme="majorHAnsi"/>
          <w:sz w:val="24"/>
        </w:rPr>
        <w:t>; Department of the Navy Military Awards Policy, promulgates policies for awarding military decorations, medals, and ribbons within the Department of the Navy (DON),</w:t>
      </w:r>
    </w:p>
    <w:p w:rsidR="00441520" w:rsidP="00441520" w14:paraId="41B53E2F" w14:textId="77777777">
      <w:pPr>
        <w:spacing w:after="0" w:line="240" w:lineRule="auto"/>
        <w:ind w:firstLine="720"/>
        <w:rPr>
          <w:rFonts w:asciiTheme="majorHAnsi" w:hAnsiTheme="majorHAnsi"/>
          <w:sz w:val="24"/>
        </w:rPr>
      </w:pPr>
    </w:p>
    <w:p w:rsidR="00346300" w:rsidRPr="00CF7EA8" w:rsidP="00CF7EA8" w14:paraId="27A9AB6D" w14:textId="4F80FF62">
      <w:pPr>
        <w:pStyle w:val="ListParagraph"/>
        <w:numPr>
          <w:ilvl w:val="0"/>
          <w:numId w:val="27"/>
        </w:numPr>
        <w:spacing w:after="0" w:line="240" w:lineRule="auto"/>
        <w:rPr>
          <w:rFonts w:asciiTheme="majorHAnsi" w:hAnsiTheme="majorHAnsi"/>
          <w:sz w:val="24"/>
        </w:rPr>
      </w:pPr>
      <w:hyperlink r:id="rId12" w:history="1">
        <w:r w:rsidRPr="00CF7EA8">
          <w:rPr>
            <w:rStyle w:val="Hyperlink"/>
            <w:rFonts w:asciiTheme="majorHAnsi" w:hAnsiTheme="majorHAnsi"/>
            <w:sz w:val="24"/>
          </w:rPr>
          <w:t>OPNAVINST 1531.2C</w:t>
        </w:r>
      </w:hyperlink>
      <w:r w:rsidRPr="00CF7EA8">
        <w:rPr>
          <w:rFonts w:asciiTheme="majorHAnsi" w:hAnsiTheme="majorHAnsi"/>
          <w:sz w:val="24"/>
        </w:rPr>
        <w:t>, The Naval Academy Information Program (NAIP), provides procedures for administering the Reserve Naval Academy Information Program including recruiting, training, funding and crediting of retirement points for volunteer Navy Reserve Officers</w:t>
      </w:r>
      <w:r w:rsidRPr="00CF7EA8" w:rsidR="000D702F">
        <w:rPr>
          <w:rFonts w:asciiTheme="majorHAnsi" w:hAnsiTheme="majorHAnsi"/>
          <w:sz w:val="24"/>
        </w:rPr>
        <w:t>,</w:t>
      </w:r>
    </w:p>
    <w:p w:rsidR="00441520" w:rsidP="00441520" w14:paraId="22D23D74" w14:textId="77777777">
      <w:pPr>
        <w:spacing w:after="0" w:line="240" w:lineRule="auto"/>
        <w:ind w:firstLine="720"/>
        <w:rPr>
          <w:rFonts w:ascii="Cambria" w:eastAsia="Cambria" w:hAnsi="Cambria" w:cs="Cambria"/>
          <w:sz w:val="24"/>
          <w:szCs w:val="24"/>
        </w:rPr>
      </w:pPr>
    </w:p>
    <w:p w:rsidR="00346300" w:rsidRPr="00CF7EA8" w:rsidP="00CF7EA8" w14:paraId="33223D0E" w14:textId="768C3F5D">
      <w:pPr>
        <w:pStyle w:val="ListParagraph"/>
        <w:numPr>
          <w:ilvl w:val="0"/>
          <w:numId w:val="27"/>
        </w:numPr>
        <w:spacing w:after="0" w:line="240" w:lineRule="auto"/>
        <w:rPr>
          <w:rFonts w:asciiTheme="majorHAnsi" w:hAnsiTheme="majorHAnsi"/>
          <w:sz w:val="24"/>
        </w:rPr>
      </w:pPr>
      <w:hyperlink r:id="rId13" w:history="1">
        <w:r w:rsidRPr="00CF7EA8">
          <w:rPr>
            <w:rStyle w:val="Hyperlink"/>
            <w:rFonts w:asciiTheme="majorHAnsi" w:hAnsiTheme="majorHAnsi"/>
            <w:sz w:val="24"/>
          </w:rPr>
          <w:t>USNAINST 1531.46C</w:t>
        </w:r>
      </w:hyperlink>
      <w:r w:rsidRPr="00CF7EA8">
        <w:rPr>
          <w:rFonts w:asciiTheme="majorHAnsi" w:hAnsiTheme="majorHAnsi"/>
          <w:sz w:val="24"/>
        </w:rPr>
        <w:t>, Procedures Governing Assignment to the Reserve Naval Academy Information Program (NAIP), defines application and operational guidelines for Navy and Marine Corps Reserve Officers desiring to serve the Naval Academy Information Program (NAIP) in their reserve status,</w:t>
      </w:r>
    </w:p>
    <w:p w:rsidR="00441520" w:rsidP="00441520" w14:paraId="7D67C3C6" w14:textId="77777777">
      <w:pPr>
        <w:spacing w:after="0" w:line="240" w:lineRule="auto"/>
        <w:ind w:firstLine="720"/>
        <w:rPr>
          <w:rFonts w:asciiTheme="majorHAnsi" w:hAnsiTheme="majorHAnsi"/>
          <w:sz w:val="24"/>
        </w:rPr>
      </w:pPr>
    </w:p>
    <w:p w:rsidR="00346300" w:rsidRPr="00CF7EA8" w:rsidP="00CF7EA8" w14:paraId="438D0E5D" w14:textId="10CE7FD7">
      <w:pPr>
        <w:pStyle w:val="ListParagraph"/>
        <w:numPr>
          <w:ilvl w:val="0"/>
          <w:numId w:val="27"/>
        </w:numPr>
        <w:spacing w:after="0" w:line="240" w:lineRule="auto"/>
        <w:rPr>
          <w:rFonts w:asciiTheme="majorHAnsi" w:hAnsiTheme="majorHAnsi"/>
          <w:sz w:val="24"/>
        </w:rPr>
      </w:pPr>
      <w:hyperlink r:id="rId14" w:history="1">
        <w:r w:rsidRPr="00CF7EA8">
          <w:rPr>
            <w:rStyle w:val="Hyperlink"/>
            <w:rFonts w:asciiTheme="majorHAnsi" w:hAnsiTheme="majorHAnsi"/>
            <w:sz w:val="24"/>
          </w:rPr>
          <w:t>USNAINST 1650.4C</w:t>
        </w:r>
      </w:hyperlink>
      <w:r w:rsidRPr="00CF7EA8">
        <w:rPr>
          <w:rFonts w:asciiTheme="majorHAnsi" w:hAnsiTheme="majorHAnsi"/>
          <w:sz w:val="24"/>
        </w:rPr>
        <w:t>, Naval Academy Information Program Awards, outlines instructions and specifies eligibility for the determination and presentation of awards to participants in the NAIP</w:t>
      </w:r>
      <w:r w:rsidRPr="00CF7EA8" w:rsidR="00BA74BF">
        <w:rPr>
          <w:rFonts w:asciiTheme="majorHAnsi" w:hAnsiTheme="majorHAnsi"/>
          <w:sz w:val="24"/>
        </w:rPr>
        <w:t>, and</w:t>
      </w:r>
    </w:p>
    <w:p w:rsidR="00441520" w:rsidP="00441520" w14:paraId="5D0B06CA" w14:textId="77777777">
      <w:pPr>
        <w:spacing w:after="0" w:line="240" w:lineRule="auto"/>
        <w:ind w:firstLine="720"/>
        <w:rPr>
          <w:rFonts w:asciiTheme="majorHAnsi" w:hAnsiTheme="majorHAnsi"/>
          <w:sz w:val="24"/>
        </w:rPr>
      </w:pPr>
    </w:p>
    <w:bookmarkStart w:id="1" w:name="_Hlk76122372"/>
    <w:p w:rsidR="003B1892" w:rsidRPr="00CF7EA8" w:rsidP="00CF7EA8" w14:paraId="156CDC2E" w14:textId="56C0DB95">
      <w:pPr>
        <w:pStyle w:val="ListParagraph"/>
        <w:numPr>
          <w:ilvl w:val="0"/>
          <w:numId w:val="27"/>
        </w:numPr>
        <w:autoSpaceDE w:val="0"/>
        <w:autoSpaceDN w:val="0"/>
        <w:adjustRightInd w:val="0"/>
        <w:spacing w:after="0" w:line="240" w:lineRule="auto"/>
        <w:rPr>
          <w:rFonts w:ascii="Times New Roman" w:hAnsi="Times New Roman" w:cs="Times New Roman"/>
          <w:sz w:val="24"/>
          <w:szCs w:val="24"/>
        </w:rPr>
      </w:pPr>
      <w:r w:rsidRPr="00CF7EA8">
        <w:rPr>
          <w:rFonts w:asciiTheme="majorHAnsi" w:hAnsiTheme="majorHAnsi"/>
          <w:sz w:val="24"/>
        </w:rPr>
        <w:fldChar w:fldCharType="begin"/>
      </w:r>
      <w:r w:rsidRPr="00CF7EA8">
        <w:rPr>
          <w:rFonts w:asciiTheme="majorHAnsi" w:hAnsiTheme="majorHAnsi"/>
          <w:sz w:val="24"/>
        </w:rPr>
        <w:instrText xml:space="preserve"> HYPERLINK "https://www.opm.gov/information-management/privacy-policy/sorn/opm-sorn-govt-1-general-personnel-records.pdf" </w:instrText>
      </w:r>
      <w:r w:rsidRPr="00CF7EA8">
        <w:rPr>
          <w:rFonts w:asciiTheme="majorHAnsi" w:hAnsiTheme="majorHAnsi"/>
          <w:sz w:val="24"/>
        </w:rPr>
        <w:fldChar w:fldCharType="separate"/>
      </w:r>
      <w:r w:rsidRPr="00CF7EA8">
        <w:rPr>
          <w:rStyle w:val="Hyperlink"/>
          <w:rFonts w:asciiTheme="majorHAnsi" w:hAnsiTheme="majorHAnsi"/>
          <w:sz w:val="24"/>
        </w:rPr>
        <w:t>OPM</w:t>
      </w:r>
      <w:r w:rsidRPr="00CF7EA8" w:rsidR="00C27483">
        <w:rPr>
          <w:rStyle w:val="Hyperlink"/>
          <w:rFonts w:asciiTheme="majorHAnsi" w:hAnsiTheme="majorHAnsi"/>
          <w:sz w:val="24"/>
        </w:rPr>
        <w:t xml:space="preserve"> </w:t>
      </w:r>
      <w:r w:rsidRPr="00CF7EA8">
        <w:rPr>
          <w:rStyle w:val="Hyperlink"/>
          <w:rFonts w:asciiTheme="majorHAnsi" w:hAnsiTheme="majorHAnsi"/>
          <w:sz w:val="24"/>
        </w:rPr>
        <w:t>GOVT-1</w:t>
      </w:r>
      <w:r w:rsidRPr="00CF7EA8">
        <w:rPr>
          <w:rFonts w:asciiTheme="majorHAnsi" w:hAnsiTheme="majorHAnsi"/>
          <w:sz w:val="24"/>
        </w:rPr>
        <w:fldChar w:fldCharType="end"/>
      </w:r>
      <w:r w:rsidRPr="00CF7EA8">
        <w:rPr>
          <w:rFonts w:asciiTheme="majorHAnsi" w:hAnsiTheme="majorHAnsi"/>
          <w:sz w:val="24"/>
        </w:rPr>
        <w:t>, General Personnel Records</w:t>
      </w:r>
      <w:bookmarkEnd w:id="1"/>
      <w:r w:rsidRPr="00CF7EA8">
        <w:rPr>
          <w:rFonts w:eastAsia="Cambria" w:asciiTheme="majorHAnsi" w:hAnsiTheme="majorHAnsi" w:cs="Cambria"/>
          <w:sz w:val="24"/>
          <w:szCs w:val="24"/>
        </w:rPr>
        <w:t xml:space="preserve">, </w:t>
      </w:r>
      <w:r w:rsidRPr="00CF7EA8">
        <w:rPr>
          <w:rFonts w:asciiTheme="majorHAnsi" w:hAnsiTheme="majorHAnsi" w:cs="Times New Roman"/>
          <w:sz w:val="24"/>
          <w:szCs w:val="24"/>
        </w:rPr>
        <w:t>OPM’s Government</w:t>
      </w:r>
      <w:r w:rsidRPr="00CF7EA8" w:rsidR="00940EB2">
        <w:rPr>
          <w:rFonts w:asciiTheme="majorHAnsi" w:hAnsiTheme="majorHAnsi" w:cs="Times New Roman"/>
          <w:sz w:val="24"/>
          <w:szCs w:val="24"/>
        </w:rPr>
        <w:t>-</w:t>
      </w:r>
      <w:r w:rsidRPr="00CF7EA8">
        <w:rPr>
          <w:rFonts w:asciiTheme="majorHAnsi" w:hAnsiTheme="majorHAnsi" w:cs="Times New Roman"/>
          <w:sz w:val="24"/>
          <w:szCs w:val="24"/>
        </w:rPr>
        <w:t>wide systems of records notice OPM/GOVT-1 covers volunteer service records for purposes of the Privacy Act.</w:t>
      </w:r>
      <w:r w:rsidRPr="00CF7EA8" w:rsidR="00C95929">
        <w:rPr>
          <w:rFonts w:ascii="Cambria" w:eastAsia="Cambria" w:hAnsi="Cambria" w:cs="Cambria"/>
          <w:sz w:val="24"/>
          <w:szCs w:val="24"/>
        </w:rPr>
        <w:tab/>
      </w:r>
    </w:p>
    <w:p w:rsidR="003B1892" w:rsidP="007D391A" w14:paraId="0C4794C0" w14:textId="77777777">
      <w:pPr>
        <w:spacing w:after="0" w:line="240" w:lineRule="auto"/>
        <w:rPr>
          <w:rFonts w:ascii="Cambria" w:eastAsia="Cambria" w:hAnsi="Cambria" w:cs="Cambria"/>
          <w:sz w:val="24"/>
          <w:szCs w:val="24"/>
          <w:u w:val="single"/>
        </w:rPr>
      </w:pPr>
    </w:p>
    <w:p w:rsidR="003B1892" w:rsidRPr="003B1892" w:rsidP="007D391A" w14:paraId="31223A88" w14:textId="77777777">
      <w:pPr>
        <w:spacing w:after="0" w:line="240" w:lineRule="auto"/>
        <w:rPr>
          <w:rFonts w:ascii="Cambria" w:eastAsia="Cambria" w:hAnsi="Cambria" w:cs="Cambria"/>
          <w:sz w:val="24"/>
          <w:szCs w:val="24"/>
          <w:u w:val="single"/>
        </w:rPr>
      </w:pPr>
      <w:r w:rsidRPr="003B1892">
        <w:rPr>
          <w:rFonts w:ascii="Cambria" w:eastAsia="Cambria" w:hAnsi="Cambria" w:cs="Cambria"/>
          <w:sz w:val="24"/>
          <w:szCs w:val="24"/>
        </w:rPr>
        <w:t xml:space="preserve">2. </w:t>
      </w:r>
      <w:r w:rsidRPr="003B1892">
        <w:rPr>
          <w:rFonts w:ascii="Cambria" w:eastAsia="Cambria" w:hAnsi="Cambria" w:cs="Cambria"/>
          <w:sz w:val="24"/>
          <w:szCs w:val="24"/>
        </w:rPr>
        <w:tab/>
      </w:r>
      <w:r w:rsidR="00C95929">
        <w:rPr>
          <w:rFonts w:ascii="Cambria" w:eastAsia="Cambria" w:hAnsi="Cambria" w:cs="Cambria"/>
          <w:sz w:val="24"/>
          <w:szCs w:val="24"/>
          <w:u w:val="single"/>
        </w:rPr>
        <w:t>Use of the Information</w:t>
      </w:r>
    </w:p>
    <w:p w:rsidR="00C95929" w:rsidP="007D391A" w14:paraId="092C3067" w14:textId="55C05DD7">
      <w:pPr>
        <w:spacing w:after="0" w:line="240" w:lineRule="auto"/>
        <w:rPr>
          <w:rFonts w:ascii="Cambria" w:eastAsia="Cambria" w:hAnsi="Cambria" w:cs="Cambria"/>
          <w:sz w:val="24"/>
          <w:szCs w:val="24"/>
        </w:rPr>
      </w:pPr>
      <w:r>
        <w:rPr>
          <w:rFonts w:ascii="Cambria" w:eastAsia="Cambria" w:hAnsi="Cambria" w:cs="Cambria"/>
          <w:sz w:val="24"/>
          <w:szCs w:val="24"/>
        </w:rPr>
        <w:t xml:space="preserve">Respondents are seeking voluntary positions as Blue and Gold Officers working for the United States Naval Academy Office of Admissions.  Respondents </w:t>
      </w:r>
      <w:r w:rsidR="00766275">
        <w:rPr>
          <w:rFonts w:ascii="Cambria" w:eastAsia="Cambria" w:hAnsi="Cambria" w:cs="Cambria"/>
          <w:sz w:val="24"/>
          <w:szCs w:val="24"/>
        </w:rPr>
        <w:t>are members of the public,</w:t>
      </w:r>
      <w:r>
        <w:rPr>
          <w:rFonts w:ascii="Cambria" w:eastAsia="Cambria" w:hAnsi="Cambria" w:cs="Cambria"/>
          <w:sz w:val="24"/>
          <w:szCs w:val="24"/>
        </w:rPr>
        <w:t xml:space="preserve"> civilians</w:t>
      </w:r>
      <w:r w:rsidR="00766275">
        <w:rPr>
          <w:rFonts w:ascii="Cambria" w:eastAsia="Cambria" w:hAnsi="Cambria" w:cs="Cambria"/>
          <w:sz w:val="24"/>
          <w:szCs w:val="24"/>
        </w:rPr>
        <w:t>,</w:t>
      </w:r>
      <w:r>
        <w:rPr>
          <w:rFonts w:ascii="Cambria" w:eastAsia="Cambria" w:hAnsi="Cambria" w:cs="Cambria"/>
          <w:sz w:val="24"/>
          <w:szCs w:val="24"/>
        </w:rPr>
        <w:t xml:space="preserve"> </w:t>
      </w:r>
      <w:r w:rsidR="00766275">
        <w:rPr>
          <w:rFonts w:ascii="Cambria" w:eastAsia="Cambria" w:hAnsi="Cambria" w:cs="Cambria"/>
          <w:sz w:val="24"/>
          <w:szCs w:val="24"/>
        </w:rPr>
        <w:t>active duty military, retirees, and reservists</w:t>
      </w:r>
      <w:r>
        <w:rPr>
          <w:rFonts w:ascii="Cambria" w:eastAsia="Cambria" w:hAnsi="Cambria" w:cs="Cambria"/>
          <w:sz w:val="24"/>
          <w:szCs w:val="24"/>
        </w:rPr>
        <w:t xml:space="preserve"> in an Active/Reserve status in the United States Department of Defense. </w:t>
      </w:r>
      <w:r w:rsidR="00766275">
        <w:rPr>
          <w:rFonts w:ascii="Cambria" w:eastAsia="Cambria" w:hAnsi="Cambria" w:cs="Cambria"/>
          <w:sz w:val="24"/>
          <w:szCs w:val="24"/>
        </w:rPr>
        <w:t xml:space="preserve"> Anyone seeking to participate in the Blue and Gold program may apply.</w:t>
      </w:r>
    </w:p>
    <w:p w:rsidR="00441520" w:rsidP="00441520" w14:paraId="0AD6FC3D" w14:textId="77777777">
      <w:pPr>
        <w:spacing w:after="0" w:line="240" w:lineRule="auto"/>
        <w:rPr>
          <w:rFonts w:ascii="Cambria" w:eastAsia="Cambria" w:hAnsi="Cambria" w:cs="Cambria"/>
          <w:sz w:val="24"/>
          <w:szCs w:val="24"/>
        </w:rPr>
      </w:pPr>
    </w:p>
    <w:p w:rsidR="00441520" w:rsidP="007D391A" w14:paraId="6D01AAF7" w14:textId="6A491F3C">
      <w:pPr>
        <w:spacing w:after="0" w:line="240" w:lineRule="auto"/>
        <w:rPr>
          <w:rFonts w:ascii="Cambria" w:hAnsi="Cambria" w:cs="Helvetica"/>
          <w:sz w:val="24"/>
          <w:szCs w:val="24"/>
          <w:shd w:val="clear" w:color="auto" w:fill="FFFFFF"/>
        </w:rPr>
      </w:pPr>
      <w:r w:rsidRPr="008B7E98">
        <w:rPr>
          <w:rFonts w:ascii="Cambria" w:eastAsia="Cambria" w:hAnsi="Cambria" w:cs="Cambria"/>
          <w:sz w:val="24"/>
          <w:szCs w:val="24"/>
        </w:rPr>
        <w:t xml:space="preserve">Respondents accepted as </w:t>
      </w:r>
      <w:r w:rsidR="00302A65">
        <w:rPr>
          <w:rFonts w:ascii="Cambria" w:eastAsia="Cambria" w:hAnsi="Cambria" w:cs="Cambria"/>
          <w:sz w:val="24"/>
          <w:szCs w:val="24"/>
        </w:rPr>
        <w:t>BGO</w:t>
      </w:r>
      <w:r>
        <w:rPr>
          <w:rFonts w:ascii="Cambria" w:eastAsia="Cambria" w:hAnsi="Cambria" w:cs="Cambria"/>
          <w:sz w:val="24"/>
          <w:szCs w:val="24"/>
        </w:rPr>
        <w:t>s</w:t>
      </w:r>
      <w:r w:rsidRPr="008B7E98">
        <w:rPr>
          <w:rFonts w:ascii="Cambria" w:eastAsia="Cambria" w:hAnsi="Cambria" w:cs="Cambria"/>
          <w:sz w:val="24"/>
          <w:szCs w:val="24"/>
        </w:rPr>
        <w:t xml:space="preserve"> work directly for the Candidate Guidance Officer at the USNA Office of Admissions guiding current and future </w:t>
      </w:r>
      <w:r>
        <w:rPr>
          <w:rFonts w:ascii="Cambria" w:eastAsia="Cambria" w:hAnsi="Cambria" w:cs="Cambria"/>
          <w:sz w:val="24"/>
          <w:szCs w:val="24"/>
        </w:rPr>
        <w:t xml:space="preserve">U.S. Naval Academy </w:t>
      </w:r>
      <w:r w:rsidRPr="008B7E98">
        <w:rPr>
          <w:rFonts w:ascii="Cambria" w:eastAsia="Cambria" w:hAnsi="Cambria" w:cs="Cambria"/>
          <w:sz w:val="24"/>
          <w:szCs w:val="24"/>
        </w:rPr>
        <w:t xml:space="preserve">candidates </w:t>
      </w:r>
      <w:r w:rsidRPr="008B7E98">
        <w:rPr>
          <w:rFonts w:ascii="Cambria" w:hAnsi="Cambria" w:cs="Helvetica"/>
          <w:sz w:val="24"/>
          <w:szCs w:val="24"/>
          <w:shd w:val="clear" w:color="auto" w:fill="FFFFFF"/>
        </w:rPr>
        <w:t>through the admissions process.</w:t>
      </w:r>
    </w:p>
    <w:p w:rsidR="00C95929" w:rsidRPr="008B7E98" w:rsidP="00441520" w14:paraId="7F498D58" w14:textId="7497576B">
      <w:pPr>
        <w:spacing w:after="0" w:line="240" w:lineRule="auto"/>
        <w:rPr>
          <w:rFonts w:ascii="Cambria" w:eastAsia="Cambria" w:hAnsi="Cambria" w:cs="Cambria"/>
          <w:sz w:val="24"/>
          <w:szCs w:val="24"/>
        </w:rPr>
      </w:pPr>
      <w:r w:rsidRPr="008B7E98">
        <w:rPr>
          <w:rFonts w:ascii="Cambria" w:hAnsi="Cambria" w:cs="Helvetica"/>
          <w:sz w:val="24"/>
          <w:szCs w:val="24"/>
          <w:shd w:val="clear" w:color="auto" w:fill="FFFFFF"/>
        </w:rPr>
        <w:t xml:space="preserve"> </w:t>
      </w:r>
    </w:p>
    <w:p w:rsidR="00C95929" w:rsidP="007D391A" w14:paraId="43C0766F" w14:textId="568EDE99">
      <w:pPr>
        <w:spacing w:after="0" w:line="240" w:lineRule="auto"/>
        <w:rPr>
          <w:rFonts w:ascii="Cambria" w:eastAsia="Cambria" w:hAnsi="Cambria" w:cs="Cambria"/>
          <w:sz w:val="24"/>
          <w:szCs w:val="24"/>
        </w:rPr>
      </w:pPr>
      <w:r w:rsidRPr="008B7E98">
        <w:rPr>
          <w:rFonts w:ascii="Cambria" w:eastAsia="Cambria" w:hAnsi="Cambria" w:cs="Cambria"/>
          <w:sz w:val="24"/>
          <w:szCs w:val="24"/>
        </w:rPr>
        <w:t xml:space="preserve">Persons interested in applying to become </w:t>
      </w:r>
      <w:r w:rsidR="00302A65">
        <w:rPr>
          <w:rFonts w:ascii="Cambria" w:eastAsia="Cambria" w:hAnsi="Cambria" w:cs="Cambria"/>
          <w:sz w:val="24"/>
          <w:szCs w:val="24"/>
        </w:rPr>
        <w:t>BGO</w:t>
      </w:r>
      <w:r w:rsidRPr="008B7E98">
        <w:rPr>
          <w:rFonts w:ascii="Cambria" w:eastAsia="Cambria" w:hAnsi="Cambria" w:cs="Cambria"/>
          <w:sz w:val="24"/>
          <w:szCs w:val="24"/>
        </w:rPr>
        <w:t xml:space="preserve">s contact the Blue and Gold Officer Area Coordinator (AC) in their state/area or the BGO liaison at the USNA Office of Admissions and express their interest in </w:t>
      </w:r>
      <w:r>
        <w:rPr>
          <w:rFonts w:ascii="Cambria" w:eastAsia="Cambria" w:hAnsi="Cambria" w:cs="Cambria"/>
          <w:sz w:val="24"/>
          <w:szCs w:val="24"/>
        </w:rPr>
        <w:t>becoming</w:t>
      </w:r>
      <w:r w:rsidRPr="008B7E98">
        <w:rPr>
          <w:rFonts w:ascii="Cambria" w:eastAsia="Cambria" w:hAnsi="Cambria" w:cs="Cambria"/>
          <w:sz w:val="24"/>
          <w:szCs w:val="24"/>
        </w:rPr>
        <w:t xml:space="preserve"> a </w:t>
      </w:r>
      <w:r w:rsidR="00302A65">
        <w:rPr>
          <w:rFonts w:ascii="Cambria" w:eastAsia="Cambria" w:hAnsi="Cambria" w:cs="Cambria"/>
          <w:sz w:val="24"/>
          <w:szCs w:val="24"/>
        </w:rPr>
        <w:t>BGO</w:t>
      </w:r>
      <w:r w:rsidRPr="008B7E98">
        <w:rPr>
          <w:rFonts w:ascii="Cambria" w:eastAsia="Cambria" w:hAnsi="Cambria" w:cs="Cambria"/>
          <w:sz w:val="24"/>
          <w:szCs w:val="24"/>
        </w:rPr>
        <w:t xml:space="preserve">.  </w:t>
      </w:r>
      <w:r w:rsidR="00DC1306">
        <w:rPr>
          <w:rFonts w:ascii="Cambria" w:eastAsia="Cambria" w:hAnsi="Cambria" w:cs="Cambria"/>
          <w:sz w:val="24"/>
          <w:szCs w:val="24"/>
        </w:rPr>
        <w:t>Most respondents hear about the program through word of mouth from our current BGOs.  USNA also advertises the program at alumni events and service academy career conferences.  Once a respondent has expressed interest in the program</w:t>
      </w:r>
      <w:r w:rsidR="003C06B9">
        <w:rPr>
          <w:rFonts w:ascii="Cambria" w:eastAsia="Cambria" w:hAnsi="Cambria" w:cs="Cambria"/>
          <w:sz w:val="24"/>
          <w:szCs w:val="24"/>
        </w:rPr>
        <w:t xml:space="preserve"> by contacting the USNA Admissions Office or a current </w:t>
      </w:r>
      <w:r w:rsidR="00302A65">
        <w:rPr>
          <w:rFonts w:ascii="Cambria" w:eastAsia="Cambria" w:hAnsi="Cambria" w:cs="Cambria"/>
          <w:sz w:val="24"/>
          <w:szCs w:val="24"/>
        </w:rPr>
        <w:t>BGO</w:t>
      </w:r>
      <w:r w:rsidR="00DC1306">
        <w:rPr>
          <w:rFonts w:ascii="Cambria" w:eastAsia="Cambria" w:hAnsi="Cambria" w:cs="Cambria"/>
          <w:sz w:val="24"/>
          <w:szCs w:val="24"/>
        </w:rPr>
        <w:t>, they</w:t>
      </w:r>
      <w:r w:rsidRPr="008B7E98">
        <w:rPr>
          <w:rFonts w:ascii="Cambria" w:eastAsia="Cambria" w:hAnsi="Cambria" w:cs="Cambria"/>
          <w:sz w:val="24"/>
          <w:szCs w:val="24"/>
        </w:rPr>
        <w:t xml:space="preserve"> are provided an introductory email to </w:t>
      </w:r>
      <w:r>
        <w:rPr>
          <w:rFonts w:ascii="Cambria" w:eastAsia="Cambria" w:hAnsi="Cambria" w:cs="Cambria"/>
          <w:sz w:val="24"/>
          <w:szCs w:val="24"/>
        </w:rPr>
        <w:t xml:space="preserve">the </w:t>
      </w:r>
      <w:r w:rsidRPr="008B7E98">
        <w:rPr>
          <w:rFonts w:ascii="Cambria" w:eastAsia="Cambria" w:hAnsi="Cambria" w:cs="Cambria"/>
          <w:sz w:val="24"/>
          <w:szCs w:val="24"/>
        </w:rPr>
        <w:t>BGO program</w:t>
      </w:r>
      <w:r w:rsidR="00C40850">
        <w:rPr>
          <w:rFonts w:ascii="Cambria" w:eastAsia="Cambria" w:hAnsi="Cambria" w:cs="Cambria"/>
          <w:sz w:val="24"/>
          <w:szCs w:val="24"/>
        </w:rPr>
        <w:t xml:space="preserve"> (included in this package)</w:t>
      </w:r>
      <w:r w:rsidRPr="008B7E98">
        <w:rPr>
          <w:rFonts w:ascii="Cambria" w:eastAsia="Cambria" w:hAnsi="Cambria" w:cs="Cambria"/>
          <w:sz w:val="24"/>
          <w:szCs w:val="24"/>
        </w:rPr>
        <w:t xml:space="preserve"> along with the application</w:t>
      </w:r>
      <w:r>
        <w:rPr>
          <w:rFonts w:ascii="Cambria" w:eastAsia="Cambria" w:hAnsi="Cambria" w:cs="Cambria"/>
          <w:sz w:val="24"/>
          <w:szCs w:val="24"/>
        </w:rPr>
        <w:t xml:space="preserve"> (USNA 1531/1 Naval Academy Information Program Blue and Gold </w:t>
      </w:r>
      <w:r>
        <w:rPr>
          <w:rFonts w:ascii="Cambria" w:eastAsia="Cambria" w:hAnsi="Cambria" w:cs="Cambria"/>
          <w:sz w:val="24"/>
          <w:szCs w:val="24"/>
        </w:rPr>
        <w:t>Officer Application)</w:t>
      </w:r>
      <w:r w:rsidRPr="008B7E98">
        <w:rPr>
          <w:rFonts w:ascii="Cambria" w:eastAsia="Cambria" w:hAnsi="Cambria" w:cs="Cambria"/>
          <w:sz w:val="24"/>
          <w:szCs w:val="24"/>
        </w:rPr>
        <w:t xml:space="preserve"> to the </w:t>
      </w:r>
      <w:r w:rsidR="00302A65">
        <w:rPr>
          <w:rFonts w:ascii="Cambria" w:eastAsia="Cambria" w:hAnsi="Cambria" w:cs="Cambria"/>
          <w:sz w:val="24"/>
          <w:szCs w:val="24"/>
        </w:rPr>
        <w:t>BGO</w:t>
      </w:r>
      <w:r w:rsidRPr="008B7E98">
        <w:rPr>
          <w:rFonts w:ascii="Cambria" w:eastAsia="Cambria" w:hAnsi="Cambria" w:cs="Cambria"/>
          <w:sz w:val="24"/>
          <w:szCs w:val="24"/>
        </w:rPr>
        <w:t xml:space="preserve"> program as a</w:t>
      </w:r>
      <w:r w:rsidRPr="008B7E98">
        <w:rPr>
          <w:rFonts w:ascii="Cambria" w:hAnsi="Cambria" w:cs="Arial"/>
          <w:sz w:val="24"/>
          <w:szCs w:val="24"/>
          <w:shd w:val="clear" w:color="auto" w:fill="FFFFFF"/>
        </w:rPr>
        <w:t xml:space="preserve"> Portable Document Format (</w:t>
      </w:r>
      <w:r w:rsidRPr="00EB6B75">
        <w:rPr>
          <w:rStyle w:val="Emphasis"/>
          <w:rFonts w:ascii="Cambria" w:hAnsi="Cambria" w:cs="Arial"/>
          <w:bCs/>
          <w:i w:val="0"/>
          <w:sz w:val="24"/>
          <w:szCs w:val="24"/>
          <w:shd w:val="clear" w:color="auto" w:fill="FFFFFF"/>
        </w:rPr>
        <w:t>PDF</w:t>
      </w:r>
      <w:r w:rsidRPr="008B7E98">
        <w:rPr>
          <w:rFonts w:ascii="Cambria" w:hAnsi="Cambria" w:cs="Arial"/>
          <w:sz w:val="24"/>
          <w:szCs w:val="24"/>
          <w:shd w:val="clear" w:color="auto" w:fill="FFFFFF"/>
        </w:rPr>
        <w:t>)</w:t>
      </w:r>
      <w:r w:rsidRPr="008B7E98">
        <w:rPr>
          <w:rFonts w:ascii="Cambria" w:eastAsia="Cambria" w:hAnsi="Cambria" w:cs="Cambria"/>
          <w:sz w:val="24"/>
          <w:szCs w:val="24"/>
        </w:rPr>
        <w:t>.</w:t>
      </w:r>
      <w:r w:rsidR="00DC1306">
        <w:rPr>
          <w:rFonts w:ascii="Cambria" w:eastAsia="Cambria" w:hAnsi="Cambria" w:cs="Cambria"/>
          <w:sz w:val="24"/>
          <w:szCs w:val="24"/>
        </w:rPr>
        <w:t xml:space="preserve">  The AC can download the application from </w:t>
      </w:r>
      <w:r w:rsidR="00105961">
        <w:rPr>
          <w:rFonts w:ascii="Cambria" w:eastAsia="Cambria" w:hAnsi="Cambria" w:cs="Cambria"/>
          <w:sz w:val="24"/>
          <w:szCs w:val="24"/>
        </w:rPr>
        <w:t>Blue and Gold Information System (</w:t>
      </w:r>
      <w:r w:rsidR="00DC1306">
        <w:rPr>
          <w:rFonts w:ascii="Cambria" w:eastAsia="Cambria" w:hAnsi="Cambria" w:cs="Cambria"/>
          <w:sz w:val="24"/>
          <w:szCs w:val="24"/>
        </w:rPr>
        <w:t>BGIS</w:t>
      </w:r>
      <w:r w:rsidR="00105961">
        <w:rPr>
          <w:rFonts w:ascii="Cambria" w:eastAsia="Cambria" w:hAnsi="Cambria" w:cs="Cambria"/>
          <w:sz w:val="24"/>
          <w:szCs w:val="24"/>
        </w:rPr>
        <w:t>)</w:t>
      </w:r>
      <w:r w:rsidR="00DC1306">
        <w:rPr>
          <w:rFonts w:ascii="Cambria" w:eastAsia="Cambria" w:hAnsi="Cambria" w:cs="Cambria"/>
          <w:sz w:val="24"/>
          <w:szCs w:val="24"/>
        </w:rPr>
        <w:t xml:space="preserve"> (the information system used by current BGOs) or from USNA’s official forms website </w:t>
      </w:r>
      <w:r w:rsidRPr="00C33607" w:rsidR="00DC1306">
        <w:rPr>
          <w:rFonts w:eastAsia="Cambria" w:asciiTheme="majorHAnsi" w:hAnsiTheme="majorHAnsi" w:cs="Cambria"/>
          <w:sz w:val="24"/>
          <w:szCs w:val="24"/>
        </w:rPr>
        <w:t>(</w:t>
      </w:r>
      <w:hyperlink r:id="rId15" w:history="1">
        <w:r w:rsidRPr="00D15B0F" w:rsidR="00833CE2">
          <w:rPr>
            <w:rStyle w:val="Hyperlink"/>
            <w:rFonts w:asciiTheme="majorHAnsi" w:hAnsiTheme="majorHAnsi"/>
            <w:noProof/>
            <w:sz w:val="24"/>
            <w:szCs w:val="24"/>
          </w:rPr>
          <w:t>https://www.usna.edu/AdminSupport/FormsProgram/USNAOfficialFormsList.php</w:t>
        </w:r>
      </w:hyperlink>
      <w:r w:rsidRPr="00C33607" w:rsidR="00DC1306">
        <w:rPr>
          <w:rFonts w:asciiTheme="majorHAnsi" w:hAnsiTheme="majorHAnsi"/>
          <w:noProof/>
          <w:sz w:val="24"/>
          <w:szCs w:val="24"/>
        </w:rPr>
        <w:t>).</w:t>
      </w:r>
      <w:r w:rsidRPr="00DC1306" w:rsidR="00DC1306">
        <w:rPr>
          <w:noProof/>
        </w:rPr>
        <w:t xml:space="preserve"> </w:t>
      </w:r>
      <w:r w:rsidRPr="008B7E98">
        <w:rPr>
          <w:rFonts w:ascii="Cambria" w:eastAsia="Cambria" w:hAnsi="Cambria" w:cs="Cambria"/>
          <w:sz w:val="24"/>
          <w:szCs w:val="24"/>
        </w:rPr>
        <w:t xml:space="preserve"> After completing the application, respondents email the completed application to their BGO Area Coordinator.  The BGO Area Coordinator reviews the application and forwards</w:t>
      </w:r>
      <w:r>
        <w:rPr>
          <w:rFonts w:ascii="Cambria" w:eastAsia="Cambria" w:hAnsi="Cambria" w:cs="Cambria"/>
          <w:sz w:val="24"/>
          <w:szCs w:val="24"/>
        </w:rPr>
        <w:t xml:space="preserve"> the application, which includes the </w:t>
      </w:r>
      <w:r w:rsidR="0053212D">
        <w:rPr>
          <w:rFonts w:ascii="Cambria" w:eastAsia="Cambria" w:hAnsi="Cambria" w:cs="Cambria"/>
          <w:sz w:val="24"/>
          <w:szCs w:val="24"/>
        </w:rPr>
        <w:t>AC’s</w:t>
      </w:r>
      <w:r w:rsidR="00DF7A76">
        <w:rPr>
          <w:rFonts w:ascii="Cambria" w:eastAsia="Cambria" w:hAnsi="Cambria" w:cs="Cambria"/>
          <w:sz w:val="24"/>
          <w:szCs w:val="24"/>
        </w:rPr>
        <w:t xml:space="preserve"> </w:t>
      </w:r>
      <w:r w:rsidRPr="008B7E98">
        <w:rPr>
          <w:rFonts w:ascii="Cambria" w:eastAsia="Cambria" w:hAnsi="Cambria" w:cs="Cambria"/>
          <w:sz w:val="24"/>
          <w:szCs w:val="24"/>
        </w:rPr>
        <w:t>endorsement</w:t>
      </w:r>
      <w:r>
        <w:rPr>
          <w:rFonts w:ascii="Cambria" w:eastAsia="Cambria" w:hAnsi="Cambria" w:cs="Cambria"/>
          <w:sz w:val="24"/>
          <w:szCs w:val="24"/>
        </w:rPr>
        <w:t>,</w:t>
      </w:r>
      <w:r w:rsidRPr="008B7E98">
        <w:rPr>
          <w:rFonts w:ascii="Cambria" w:eastAsia="Cambria" w:hAnsi="Cambria" w:cs="Cambria"/>
          <w:sz w:val="24"/>
          <w:szCs w:val="24"/>
        </w:rPr>
        <w:t xml:space="preserve"> to the BGO liaison at the USNA Office of Admissions.  </w:t>
      </w:r>
      <w:r w:rsidR="003B7910">
        <w:rPr>
          <w:rFonts w:ascii="Cambria" w:eastAsia="Cambria" w:hAnsi="Cambria" w:cs="Cambria"/>
          <w:sz w:val="24"/>
          <w:szCs w:val="24"/>
        </w:rPr>
        <w:t xml:space="preserve">The respondents are required to pass an open book knowledge assessment before acceptance.  A Google Form link to the test is sent to the respondents via </w:t>
      </w:r>
      <w:r w:rsidR="0082032F">
        <w:rPr>
          <w:rFonts w:ascii="Cambria" w:eastAsia="Cambria" w:hAnsi="Cambria" w:cs="Cambria"/>
          <w:sz w:val="24"/>
          <w:szCs w:val="24"/>
        </w:rPr>
        <w:t xml:space="preserve">an </w:t>
      </w:r>
      <w:r w:rsidR="003B7910">
        <w:rPr>
          <w:rFonts w:ascii="Cambria" w:eastAsia="Cambria" w:hAnsi="Cambria" w:cs="Cambria"/>
          <w:sz w:val="24"/>
          <w:szCs w:val="24"/>
        </w:rPr>
        <w:t>email</w:t>
      </w:r>
      <w:r w:rsidR="0082032F">
        <w:rPr>
          <w:rFonts w:ascii="Cambria" w:eastAsia="Cambria" w:hAnsi="Cambria" w:cs="Cambria"/>
          <w:sz w:val="24"/>
          <w:szCs w:val="24"/>
        </w:rPr>
        <w:t xml:space="preserve"> acknowledging receipt of the application. Th</w:t>
      </w:r>
      <w:r w:rsidR="003B7910">
        <w:rPr>
          <w:rFonts w:ascii="Cambria" w:eastAsia="Cambria" w:hAnsi="Cambria" w:cs="Cambria"/>
          <w:sz w:val="24"/>
          <w:szCs w:val="24"/>
        </w:rPr>
        <w:t xml:space="preserve">e test is submitted through Google Docs (a copy of the assessment and handbook are included in this package). </w:t>
      </w:r>
      <w:r w:rsidRPr="008B7E98" w:rsidR="003B7910">
        <w:rPr>
          <w:rFonts w:ascii="Cambria" w:eastAsia="Cambria" w:hAnsi="Cambria" w:cs="Cambria"/>
          <w:sz w:val="24"/>
          <w:szCs w:val="24"/>
        </w:rPr>
        <w:t xml:space="preserve"> </w:t>
      </w:r>
      <w:r w:rsidR="003B7910">
        <w:rPr>
          <w:rFonts w:ascii="Cambria" w:eastAsia="Cambria" w:hAnsi="Cambria" w:cs="Cambria"/>
          <w:sz w:val="24"/>
          <w:szCs w:val="24"/>
        </w:rPr>
        <w:t>A background check is done using SECNAV 5512/1</w:t>
      </w:r>
      <w:r w:rsidR="0053212D">
        <w:rPr>
          <w:rFonts w:ascii="Cambria" w:eastAsia="Cambria" w:hAnsi="Cambria" w:cs="Cambria"/>
          <w:sz w:val="24"/>
          <w:szCs w:val="24"/>
        </w:rPr>
        <w:t xml:space="preserve"> “</w:t>
      </w:r>
      <w:r w:rsidRPr="008B28A2" w:rsidR="008B28A2">
        <w:rPr>
          <w:rFonts w:ascii="Cambria" w:eastAsia="Cambria" w:hAnsi="Cambria" w:cs="Cambria"/>
          <w:sz w:val="24"/>
          <w:szCs w:val="24"/>
        </w:rPr>
        <w:t>D</w:t>
      </w:r>
      <w:r w:rsidR="008B28A2">
        <w:rPr>
          <w:rFonts w:ascii="Cambria" w:eastAsia="Cambria" w:hAnsi="Cambria" w:cs="Cambria"/>
          <w:sz w:val="24"/>
          <w:szCs w:val="24"/>
        </w:rPr>
        <w:t>epartment of the</w:t>
      </w:r>
      <w:r w:rsidRPr="008B28A2" w:rsidR="008B28A2">
        <w:rPr>
          <w:rFonts w:ascii="Cambria" w:eastAsia="Cambria" w:hAnsi="Cambria" w:cs="Cambria"/>
          <w:sz w:val="24"/>
          <w:szCs w:val="24"/>
        </w:rPr>
        <w:t xml:space="preserve"> N</w:t>
      </w:r>
      <w:r w:rsidR="008B28A2">
        <w:rPr>
          <w:rFonts w:ascii="Cambria" w:eastAsia="Cambria" w:hAnsi="Cambria" w:cs="Cambria"/>
          <w:sz w:val="24"/>
          <w:szCs w:val="24"/>
        </w:rPr>
        <w:t>avy</w:t>
      </w:r>
      <w:r w:rsidRPr="008B28A2" w:rsidR="008B28A2">
        <w:rPr>
          <w:rFonts w:ascii="Cambria" w:eastAsia="Cambria" w:hAnsi="Cambria" w:cs="Cambria"/>
          <w:sz w:val="24"/>
          <w:szCs w:val="24"/>
        </w:rPr>
        <w:t xml:space="preserve"> L</w:t>
      </w:r>
      <w:r w:rsidR="008B28A2">
        <w:rPr>
          <w:rFonts w:ascii="Cambria" w:eastAsia="Cambria" w:hAnsi="Cambria" w:cs="Cambria"/>
          <w:sz w:val="24"/>
          <w:szCs w:val="24"/>
        </w:rPr>
        <w:t>ocal</w:t>
      </w:r>
      <w:r w:rsidRPr="008B28A2" w:rsidR="008B28A2">
        <w:rPr>
          <w:rFonts w:ascii="Cambria" w:eastAsia="Cambria" w:hAnsi="Cambria" w:cs="Cambria"/>
          <w:sz w:val="24"/>
          <w:szCs w:val="24"/>
        </w:rPr>
        <w:t xml:space="preserve"> P</w:t>
      </w:r>
      <w:r w:rsidR="008B28A2">
        <w:rPr>
          <w:rFonts w:ascii="Cambria" w:eastAsia="Cambria" w:hAnsi="Cambria" w:cs="Cambria"/>
          <w:sz w:val="24"/>
          <w:szCs w:val="24"/>
        </w:rPr>
        <w:t>opulation</w:t>
      </w:r>
      <w:r w:rsidRPr="008B28A2" w:rsidR="008B28A2">
        <w:rPr>
          <w:rFonts w:ascii="Cambria" w:eastAsia="Cambria" w:hAnsi="Cambria" w:cs="Cambria"/>
          <w:sz w:val="24"/>
          <w:szCs w:val="24"/>
        </w:rPr>
        <w:t xml:space="preserve"> ID C</w:t>
      </w:r>
      <w:r w:rsidR="008B28A2">
        <w:rPr>
          <w:rFonts w:ascii="Cambria" w:eastAsia="Cambria" w:hAnsi="Cambria" w:cs="Cambria"/>
          <w:sz w:val="24"/>
          <w:szCs w:val="24"/>
        </w:rPr>
        <w:t>ard/Base</w:t>
      </w:r>
      <w:r w:rsidRPr="008B28A2" w:rsidR="008B28A2">
        <w:rPr>
          <w:rFonts w:ascii="Cambria" w:eastAsia="Cambria" w:hAnsi="Cambria" w:cs="Cambria"/>
          <w:sz w:val="24"/>
          <w:szCs w:val="24"/>
        </w:rPr>
        <w:t xml:space="preserve"> A</w:t>
      </w:r>
      <w:r w:rsidR="008B28A2">
        <w:rPr>
          <w:rFonts w:ascii="Cambria" w:eastAsia="Cambria" w:hAnsi="Cambria" w:cs="Cambria"/>
          <w:sz w:val="24"/>
          <w:szCs w:val="24"/>
        </w:rPr>
        <w:t>ccess</w:t>
      </w:r>
      <w:r w:rsidRPr="008B28A2" w:rsidR="008B28A2">
        <w:rPr>
          <w:rFonts w:ascii="Cambria" w:eastAsia="Cambria" w:hAnsi="Cambria" w:cs="Cambria"/>
          <w:sz w:val="24"/>
          <w:szCs w:val="24"/>
        </w:rPr>
        <w:t xml:space="preserve"> P</w:t>
      </w:r>
      <w:r w:rsidR="008B28A2">
        <w:rPr>
          <w:rFonts w:ascii="Cambria" w:eastAsia="Cambria" w:hAnsi="Cambria" w:cs="Cambria"/>
          <w:sz w:val="24"/>
          <w:szCs w:val="24"/>
        </w:rPr>
        <w:t>ass</w:t>
      </w:r>
      <w:r w:rsidRPr="008B28A2" w:rsidR="008B28A2">
        <w:rPr>
          <w:rFonts w:ascii="Cambria" w:eastAsia="Cambria" w:hAnsi="Cambria" w:cs="Cambria"/>
          <w:sz w:val="24"/>
          <w:szCs w:val="24"/>
        </w:rPr>
        <w:t xml:space="preserve"> R</w:t>
      </w:r>
      <w:r w:rsidR="008B28A2">
        <w:rPr>
          <w:rFonts w:ascii="Cambria" w:eastAsia="Cambria" w:hAnsi="Cambria" w:cs="Cambria"/>
          <w:sz w:val="24"/>
          <w:szCs w:val="24"/>
        </w:rPr>
        <w:t>egistration</w:t>
      </w:r>
      <w:r w:rsidR="00C034B5">
        <w:rPr>
          <w:rFonts w:ascii="Cambria" w:eastAsia="Cambria" w:hAnsi="Cambria" w:cs="Cambria"/>
          <w:sz w:val="24"/>
          <w:szCs w:val="24"/>
        </w:rPr>
        <w:t>,</w:t>
      </w:r>
      <w:r w:rsidR="0053212D">
        <w:rPr>
          <w:rFonts w:ascii="Cambria" w:eastAsia="Cambria" w:hAnsi="Cambria" w:cs="Cambria"/>
          <w:sz w:val="24"/>
          <w:szCs w:val="24"/>
        </w:rPr>
        <w:t>”</w:t>
      </w:r>
      <w:r w:rsidR="008D7617">
        <w:rPr>
          <w:rFonts w:ascii="Cambria" w:eastAsia="Cambria" w:hAnsi="Cambria" w:cs="Cambria"/>
          <w:sz w:val="24"/>
          <w:szCs w:val="24"/>
        </w:rPr>
        <w:t xml:space="preserve"> </w:t>
      </w:r>
      <w:r w:rsidR="003B7910">
        <w:rPr>
          <w:rFonts w:ascii="Cambria" w:eastAsia="Cambria" w:hAnsi="Cambria" w:cs="Cambria"/>
          <w:sz w:val="24"/>
          <w:szCs w:val="24"/>
        </w:rPr>
        <w:t xml:space="preserve">which is covered under OMB 0703-0061.  </w:t>
      </w:r>
      <w:r w:rsidRPr="008B7E98">
        <w:rPr>
          <w:rFonts w:ascii="Cambria" w:eastAsia="Cambria" w:hAnsi="Cambria" w:cs="Cambria"/>
          <w:sz w:val="24"/>
          <w:szCs w:val="24"/>
        </w:rPr>
        <w:t xml:space="preserve">Once the application is received and </w:t>
      </w:r>
      <w:r w:rsidR="003B7910">
        <w:rPr>
          <w:rFonts w:ascii="Cambria" w:eastAsia="Cambria" w:hAnsi="Cambria" w:cs="Cambria"/>
          <w:sz w:val="24"/>
          <w:szCs w:val="24"/>
        </w:rPr>
        <w:t xml:space="preserve">the test </w:t>
      </w:r>
      <w:r w:rsidRPr="008B7E98">
        <w:rPr>
          <w:rFonts w:ascii="Cambria" w:eastAsia="Cambria" w:hAnsi="Cambria" w:cs="Cambria"/>
          <w:sz w:val="24"/>
          <w:szCs w:val="24"/>
        </w:rPr>
        <w:t>and background check</w:t>
      </w:r>
      <w:r>
        <w:rPr>
          <w:rFonts w:ascii="Cambria" w:eastAsia="Cambria" w:hAnsi="Cambria" w:cs="Cambria"/>
          <w:sz w:val="24"/>
          <w:szCs w:val="24"/>
        </w:rPr>
        <w:t xml:space="preserve"> </w:t>
      </w:r>
      <w:r w:rsidR="003B7910">
        <w:rPr>
          <w:rFonts w:ascii="Cambria" w:eastAsia="Cambria" w:hAnsi="Cambria" w:cs="Cambria"/>
          <w:sz w:val="24"/>
          <w:szCs w:val="24"/>
        </w:rPr>
        <w:t xml:space="preserve">are completed, </w:t>
      </w:r>
      <w:r w:rsidRPr="008B7E98">
        <w:rPr>
          <w:rFonts w:ascii="Cambria" w:eastAsia="Cambria" w:hAnsi="Cambria" w:cs="Cambria"/>
          <w:sz w:val="24"/>
          <w:szCs w:val="24"/>
        </w:rPr>
        <w:t xml:space="preserve">their application information is entered into </w:t>
      </w:r>
      <w:r w:rsidR="003C06B9">
        <w:rPr>
          <w:rFonts w:ascii="Cambria" w:eastAsia="Cambria" w:hAnsi="Cambria" w:cs="Cambria"/>
          <w:sz w:val="24"/>
          <w:szCs w:val="24"/>
        </w:rPr>
        <w:t xml:space="preserve">the </w:t>
      </w:r>
      <w:r w:rsidR="00105961">
        <w:rPr>
          <w:rFonts w:ascii="Cambria" w:eastAsia="Cambria" w:hAnsi="Cambria" w:cs="Cambria"/>
          <w:sz w:val="24"/>
          <w:szCs w:val="24"/>
        </w:rPr>
        <w:t>BGIS</w:t>
      </w:r>
      <w:r w:rsidR="00C034B5">
        <w:rPr>
          <w:rFonts w:ascii="Cambria" w:eastAsia="Cambria" w:hAnsi="Cambria" w:cs="Cambria"/>
          <w:sz w:val="24"/>
          <w:szCs w:val="24"/>
        </w:rPr>
        <w:t xml:space="preserve"> by the BGO Liaison</w:t>
      </w:r>
      <w:r w:rsidR="0053212D">
        <w:rPr>
          <w:rFonts w:ascii="Cambria" w:eastAsia="Cambria" w:hAnsi="Cambria" w:cs="Cambria"/>
          <w:sz w:val="24"/>
          <w:szCs w:val="24"/>
        </w:rPr>
        <w:t>.</w:t>
      </w:r>
      <w:r w:rsidRPr="008B7E98">
        <w:rPr>
          <w:rFonts w:ascii="Cambria" w:eastAsia="Cambria" w:hAnsi="Cambria" w:cs="Cambria"/>
          <w:sz w:val="24"/>
          <w:szCs w:val="24"/>
        </w:rPr>
        <w:t xml:space="preserve"> </w:t>
      </w:r>
      <w:r>
        <w:rPr>
          <w:rFonts w:ascii="Cambria" w:eastAsia="Cambria" w:hAnsi="Cambria" w:cs="Cambria"/>
          <w:sz w:val="24"/>
          <w:szCs w:val="24"/>
        </w:rPr>
        <w:t xml:space="preserve">  </w:t>
      </w:r>
      <w:r w:rsidRPr="008B7E98">
        <w:rPr>
          <w:rFonts w:ascii="Cambria" w:eastAsia="Cambria" w:hAnsi="Cambria" w:cs="Cambria"/>
          <w:sz w:val="24"/>
          <w:szCs w:val="24"/>
        </w:rPr>
        <w:t xml:space="preserve">Respondents accepted as Blue and Gold Officers will receive a welcome </w:t>
      </w:r>
      <w:r w:rsidR="0053212D">
        <w:rPr>
          <w:rFonts w:ascii="Cambria" w:eastAsia="Cambria" w:hAnsi="Cambria" w:cs="Cambria"/>
          <w:sz w:val="24"/>
          <w:szCs w:val="24"/>
        </w:rPr>
        <w:t>email</w:t>
      </w:r>
      <w:r w:rsidR="008B28A2">
        <w:rPr>
          <w:rFonts w:ascii="Cambria" w:eastAsia="Cambria" w:hAnsi="Cambria" w:cs="Cambria"/>
          <w:sz w:val="24"/>
          <w:szCs w:val="24"/>
        </w:rPr>
        <w:t xml:space="preserve"> </w:t>
      </w:r>
      <w:r w:rsidR="00F5195C">
        <w:rPr>
          <w:rFonts w:ascii="Cambria" w:eastAsia="Cambria" w:hAnsi="Cambria" w:cs="Cambria"/>
          <w:sz w:val="24"/>
          <w:szCs w:val="24"/>
        </w:rPr>
        <w:t xml:space="preserve">generated from the system </w:t>
      </w:r>
      <w:r w:rsidR="00515403">
        <w:rPr>
          <w:rFonts w:ascii="Cambria" w:eastAsia="Cambria" w:hAnsi="Cambria" w:cs="Cambria"/>
          <w:sz w:val="24"/>
          <w:szCs w:val="24"/>
        </w:rPr>
        <w:t>with</w:t>
      </w:r>
      <w:r w:rsidRPr="008B7E98">
        <w:rPr>
          <w:rFonts w:ascii="Cambria" w:eastAsia="Cambria" w:hAnsi="Cambria" w:cs="Cambria"/>
          <w:sz w:val="24"/>
          <w:szCs w:val="24"/>
        </w:rPr>
        <w:t xml:space="preserve"> instructions on how to access the USNA </w:t>
      </w:r>
      <w:r w:rsidR="003C06B9">
        <w:rPr>
          <w:rFonts w:ascii="Cambria" w:eastAsia="Cambria" w:hAnsi="Cambria" w:cs="Cambria"/>
          <w:sz w:val="24"/>
          <w:szCs w:val="24"/>
        </w:rPr>
        <w:t>B</w:t>
      </w:r>
      <w:r w:rsidR="00105961">
        <w:rPr>
          <w:rFonts w:ascii="Cambria" w:eastAsia="Cambria" w:hAnsi="Cambria" w:cs="Cambria"/>
          <w:sz w:val="24"/>
          <w:szCs w:val="24"/>
        </w:rPr>
        <w:t xml:space="preserve">GIS </w:t>
      </w:r>
      <w:r w:rsidRPr="008B7E98">
        <w:rPr>
          <w:rFonts w:ascii="Cambria" w:eastAsia="Cambria" w:hAnsi="Cambria" w:cs="Cambria"/>
          <w:sz w:val="24"/>
          <w:szCs w:val="24"/>
        </w:rPr>
        <w:t>site to manage their candidates and receive updated BGO program training and information</w:t>
      </w:r>
      <w:r w:rsidR="00C40850">
        <w:rPr>
          <w:rFonts w:ascii="Cambria" w:eastAsia="Cambria" w:hAnsi="Cambria" w:cs="Cambria"/>
          <w:sz w:val="24"/>
          <w:szCs w:val="24"/>
        </w:rPr>
        <w:t xml:space="preserve"> (email included in this package)</w:t>
      </w:r>
      <w:r w:rsidRPr="008B7E98">
        <w:rPr>
          <w:rFonts w:ascii="Cambria" w:eastAsia="Cambria" w:hAnsi="Cambria" w:cs="Cambria"/>
          <w:sz w:val="24"/>
          <w:szCs w:val="24"/>
        </w:rPr>
        <w:t xml:space="preserve">. </w:t>
      </w:r>
      <w:r>
        <w:rPr>
          <w:rFonts w:ascii="Cambria" w:eastAsia="Cambria" w:hAnsi="Cambria" w:cs="Cambria"/>
          <w:sz w:val="24"/>
          <w:szCs w:val="24"/>
        </w:rPr>
        <w:t xml:space="preserve"> All respondents accepted as </w:t>
      </w:r>
      <w:r w:rsidR="00302A65">
        <w:rPr>
          <w:rFonts w:ascii="Cambria" w:eastAsia="Cambria" w:hAnsi="Cambria" w:cs="Cambria"/>
          <w:sz w:val="24"/>
          <w:szCs w:val="24"/>
        </w:rPr>
        <w:t>BGO</w:t>
      </w:r>
      <w:r>
        <w:rPr>
          <w:rFonts w:ascii="Cambria" w:eastAsia="Cambria" w:hAnsi="Cambria" w:cs="Cambria"/>
          <w:sz w:val="24"/>
          <w:szCs w:val="24"/>
        </w:rPr>
        <w:t>s must sign a Gratuitous Service Agreement (USNA 153</w:t>
      </w:r>
      <w:r w:rsidR="00C40850">
        <w:rPr>
          <w:rFonts w:ascii="Cambria" w:eastAsia="Cambria" w:hAnsi="Cambria" w:cs="Cambria"/>
          <w:sz w:val="24"/>
          <w:szCs w:val="24"/>
        </w:rPr>
        <w:t>1</w:t>
      </w:r>
      <w:r>
        <w:rPr>
          <w:rFonts w:ascii="Cambria" w:eastAsia="Cambria" w:hAnsi="Cambria" w:cs="Cambria"/>
          <w:sz w:val="24"/>
          <w:szCs w:val="24"/>
        </w:rPr>
        <w:t>/5 Gratuitous Service) before the Naval Academy can accept their voluntary services.</w:t>
      </w:r>
      <w:r w:rsidR="00CF7EA8">
        <w:rPr>
          <w:rFonts w:ascii="Cambria" w:eastAsia="Cambria" w:hAnsi="Cambria" w:cs="Cambria"/>
          <w:sz w:val="24"/>
          <w:szCs w:val="24"/>
        </w:rPr>
        <w:t xml:space="preserve"> It has been determined that this form is not subject to the PRA as it collects minimal information from the respondent and is an acknowledgement/affirmation-like form.</w:t>
      </w:r>
    </w:p>
    <w:p w:rsidR="00441520" w:rsidRPr="00C95929" w:rsidP="00441520" w14:paraId="008F8FEA" w14:textId="77777777">
      <w:pPr>
        <w:spacing w:after="0" w:line="240" w:lineRule="auto"/>
        <w:rPr>
          <w:rFonts w:ascii="Cambria" w:eastAsia="Cambria" w:hAnsi="Cambria" w:cs="Cambria"/>
          <w:sz w:val="24"/>
          <w:szCs w:val="24"/>
        </w:rPr>
      </w:pPr>
    </w:p>
    <w:p w:rsidR="00C95929" w:rsidP="007D391A" w14:paraId="498C57C4" w14:textId="77777777">
      <w:pPr>
        <w:spacing w:after="0" w:line="240" w:lineRule="auto"/>
        <w:rPr>
          <w:rFonts w:asciiTheme="majorHAnsi" w:hAnsiTheme="majorHAnsi"/>
          <w:sz w:val="24"/>
          <w:u w:val="single"/>
        </w:rPr>
      </w:pPr>
      <w:r>
        <w:rPr>
          <w:rFonts w:asciiTheme="majorHAnsi" w:hAnsiTheme="majorHAnsi"/>
          <w:sz w:val="24"/>
        </w:rPr>
        <w:t xml:space="preserve">3. </w:t>
      </w:r>
      <w:r>
        <w:rPr>
          <w:rFonts w:asciiTheme="majorHAnsi" w:hAnsiTheme="majorHAnsi"/>
          <w:sz w:val="24"/>
        </w:rPr>
        <w:tab/>
      </w:r>
      <w:r w:rsidRPr="005C7428">
        <w:rPr>
          <w:rFonts w:asciiTheme="majorHAnsi" w:hAnsiTheme="majorHAnsi"/>
          <w:sz w:val="24"/>
          <w:u w:val="single"/>
        </w:rPr>
        <w:t>Use of Information Technology</w:t>
      </w:r>
    </w:p>
    <w:p w:rsidR="00441520" w:rsidP="007D391A" w14:paraId="5832E4AC" w14:textId="4CE56362">
      <w:pPr>
        <w:spacing w:after="0" w:line="240" w:lineRule="auto"/>
        <w:rPr>
          <w:rFonts w:ascii="Cambria" w:eastAsia="Cambria" w:hAnsi="Cambria" w:cs="Cambria"/>
          <w:sz w:val="24"/>
          <w:szCs w:val="24"/>
        </w:rPr>
      </w:pPr>
      <w:r>
        <w:rPr>
          <w:rFonts w:ascii="Cambria" w:eastAsia="Cambria" w:hAnsi="Cambria" w:cs="Cambria"/>
          <w:sz w:val="24"/>
          <w:szCs w:val="24"/>
        </w:rPr>
        <w:t>The Blue and Gold Officer Application is electronically enabled using the Navy’s required forms software.  9</w:t>
      </w:r>
      <w:r w:rsidR="00515403">
        <w:rPr>
          <w:rFonts w:ascii="Cambria" w:eastAsia="Cambria" w:hAnsi="Cambria" w:cs="Cambria"/>
          <w:sz w:val="24"/>
          <w:szCs w:val="24"/>
        </w:rPr>
        <w:t>9</w:t>
      </w:r>
      <w:r>
        <w:rPr>
          <w:rFonts w:ascii="Cambria" w:eastAsia="Cambria" w:hAnsi="Cambria" w:cs="Cambria"/>
          <w:sz w:val="24"/>
          <w:szCs w:val="24"/>
        </w:rPr>
        <w:t xml:space="preserve">% of respondents submit the application electronically and </w:t>
      </w:r>
      <w:r w:rsidR="00515403">
        <w:rPr>
          <w:rFonts w:ascii="Cambria" w:eastAsia="Cambria" w:hAnsi="Cambria" w:cs="Cambria"/>
          <w:sz w:val="24"/>
          <w:szCs w:val="24"/>
        </w:rPr>
        <w:t>1</w:t>
      </w:r>
      <w:r>
        <w:rPr>
          <w:rFonts w:ascii="Cambria" w:eastAsia="Cambria" w:hAnsi="Cambria" w:cs="Cambria"/>
          <w:sz w:val="24"/>
          <w:szCs w:val="24"/>
        </w:rPr>
        <w:t>% are hard copy</w:t>
      </w:r>
      <w:r w:rsidR="004F4AF8">
        <w:rPr>
          <w:rFonts w:ascii="Cambria" w:eastAsia="Cambria" w:hAnsi="Cambria" w:cs="Cambria"/>
          <w:sz w:val="24"/>
          <w:szCs w:val="24"/>
        </w:rPr>
        <w:t xml:space="preserve"> submitted directly to the BGO Liaison</w:t>
      </w:r>
      <w:r>
        <w:rPr>
          <w:rFonts w:ascii="Cambria" w:eastAsia="Cambria" w:hAnsi="Cambria" w:cs="Cambria"/>
          <w:sz w:val="24"/>
          <w:szCs w:val="24"/>
        </w:rPr>
        <w:t>.</w:t>
      </w:r>
    </w:p>
    <w:p w:rsidR="00C95929" w:rsidP="007D391A" w14:paraId="280FD312" w14:textId="23503CA2">
      <w:pPr>
        <w:spacing w:after="0" w:line="240" w:lineRule="auto"/>
        <w:rPr>
          <w:rFonts w:ascii="Cambria" w:eastAsia="Cambria" w:hAnsi="Cambria" w:cs="Cambria"/>
          <w:sz w:val="24"/>
          <w:szCs w:val="24"/>
        </w:rPr>
      </w:pPr>
      <w:r>
        <w:rPr>
          <w:rFonts w:ascii="Cambria" w:eastAsia="Cambria" w:hAnsi="Cambria" w:cs="Cambria"/>
          <w:sz w:val="24"/>
          <w:szCs w:val="24"/>
        </w:rPr>
        <w:t xml:space="preserve">  </w:t>
      </w:r>
    </w:p>
    <w:p w:rsidR="008635C4" w:rsidP="007D391A" w14:paraId="4B6FC7EE" w14:textId="77777777">
      <w:pPr>
        <w:spacing w:after="0" w:line="240" w:lineRule="auto"/>
        <w:rPr>
          <w:rFonts w:asciiTheme="majorHAnsi" w:hAnsiTheme="majorHAnsi"/>
          <w:sz w:val="24"/>
          <w:u w:val="single"/>
        </w:rPr>
      </w:pPr>
      <w:r>
        <w:rPr>
          <w:rFonts w:asciiTheme="majorHAnsi" w:hAnsiTheme="majorHAnsi"/>
          <w:sz w:val="24"/>
        </w:rPr>
        <w:t xml:space="preserve">4. </w:t>
      </w:r>
      <w:r>
        <w:rPr>
          <w:rFonts w:asciiTheme="majorHAnsi" w:hAnsiTheme="majorHAnsi"/>
          <w:sz w:val="24"/>
        </w:rPr>
        <w:tab/>
      </w:r>
      <w:r w:rsidRPr="008635C4">
        <w:rPr>
          <w:rFonts w:asciiTheme="majorHAnsi" w:hAnsiTheme="majorHAnsi"/>
          <w:sz w:val="24"/>
          <w:u w:val="single"/>
        </w:rPr>
        <w:t>Non-duplication</w:t>
      </w:r>
    </w:p>
    <w:p w:rsidR="00B55E9F" w:rsidP="007D391A" w14:paraId="1A55E52F" w14:textId="03871AE3">
      <w:pPr>
        <w:spacing w:after="0" w:line="240" w:lineRule="auto"/>
        <w:rPr>
          <w:rFonts w:ascii="Cambria" w:eastAsia="Cambria" w:hAnsi="Cambria" w:cs="Cambria"/>
          <w:sz w:val="24"/>
          <w:szCs w:val="24"/>
        </w:rPr>
      </w:pPr>
      <w:r>
        <w:rPr>
          <w:rFonts w:ascii="Cambria" w:eastAsia="Cambria" w:hAnsi="Cambria" w:cs="Cambria"/>
          <w:sz w:val="24"/>
          <w:szCs w:val="24"/>
        </w:rPr>
        <w:t>The information obtained through this collection is unique and is not already available for use or adaptation from another cleared source.</w:t>
      </w:r>
    </w:p>
    <w:p w:rsidR="00CA15B1" w:rsidP="007D391A" w14:paraId="6C45FFE2" w14:textId="77777777">
      <w:pPr>
        <w:spacing w:after="0" w:line="240" w:lineRule="auto"/>
        <w:rPr>
          <w:rFonts w:asciiTheme="majorHAnsi" w:hAnsiTheme="majorHAnsi"/>
          <w:i/>
          <w:sz w:val="24"/>
        </w:rPr>
      </w:pPr>
    </w:p>
    <w:p w:rsidR="00CA15B1" w:rsidP="007D391A" w14:paraId="547669B3" w14:textId="77777777">
      <w:pPr>
        <w:spacing w:after="0" w:line="240" w:lineRule="auto"/>
        <w:rPr>
          <w:rFonts w:asciiTheme="majorHAnsi" w:hAnsiTheme="majorHAnsi"/>
          <w:sz w:val="24"/>
        </w:rPr>
      </w:pPr>
      <w:r>
        <w:rPr>
          <w:rFonts w:asciiTheme="majorHAnsi" w:hAnsiTheme="majorHAnsi"/>
          <w:sz w:val="24"/>
        </w:rPr>
        <w:t xml:space="preserve">5. </w:t>
      </w:r>
      <w:r>
        <w:rPr>
          <w:rFonts w:asciiTheme="majorHAnsi" w:hAnsiTheme="majorHAnsi"/>
          <w:sz w:val="24"/>
        </w:rPr>
        <w:tab/>
      </w:r>
      <w:r w:rsidRPr="00CA15B1">
        <w:rPr>
          <w:rFonts w:asciiTheme="majorHAnsi" w:hAnsiTheme="majorHAnsi"/>
          <w:sz w:val="24"/>
          <w:u w:val="single"/>
        </w:rPr>
        <w:t>Burden on Small Businesses</w:t>
      </w:r>
      <w:r>
        <w:rPr>
          <w:rFonts w:asciiTheme="majorHAnsi" w:hAnsiTheme="majorHAnsi"/>
          <w:sz w:val="24"/>
        </w:rPr>
        <w:t xml:space="preserve"> </w:t>
      </w:r>
    </w:p>
    <w:p w:rsidR="00B55E9F" w:rsidP="007D391A" w14:paraId="5DC1E7BE" w14:textId="711F32B4">
      <w:pPr>
        <w:spacing w:after="0" w:line="240" w:lineRule="auto"/>
        <w:rPr>
          <w:rFonts w:asciiTheme="majorHAnsi" w:hAnsiTheme="majorHAnsi"/>
          <w:i/>
          <w:sz w:val="24"/>
        </w:rPr>
      </w:pPr>
      <w:r>
        <w:rPr>
          <w:rFonts w:ascii="Cambria" w:eastAsia="Cambria" w:hAnsi="Cambria" w:cs="Cambria"/>
          <w:sz w:val="24"/>
          <w:szCs w:val="24"/>
        </w:rPr>
        <w:t>This information collection does not impose a significant economic impact on a substantial number of small businesses or entities.</w:t>
      </w:r>
    </w:p>
    <w:p w:rsidR="002567F9" w:rsidP="007D391A" w14:paraId="72E45D8E" w14:textId="77777777">
      <w:pPr>
        <w:spacing w:after="0" w:line="240" w:lineRule="auto"/>
        <w:rPr>
          <w:rFonts w:asciiTheme="majorHAnsi" w:hAnsiTheme="majorHAnsi"/>
          <w:i/>
          <w:sz w:val="24"/>
        </w:rPr>
      </w:pPr>
    </w:p>
    <w:p w:rsidR="002567F9" w:rsidP="007D391A" w14:paraId="3DE60241" w14:textId="77777777">
      <w:pPr>
        <w:spacing w:after="0" w:line="240" w:lineRule="auto"/>
        <w:rPr>
          <w:rFonts w:asciiTheme="majorHAnsi" w:hAnsiTheme="majorHAnsi"/>
          <w:sz w:val="24"/>
          <w:u w:val="single"/>
        </w:rPr>
      </w:pPr>
      <w:r w:rsidRPr="002567F9">
        <w:rPr>
          <w:rFonts w:asciiTheme="majorHAnsi" w:hAnsiTheme="majorHAnsi"/>
          <w:sz w:val="24"/>
        </w:rPr>
        <w:t>6.</w:t>
      </w:r>
      <w:r>
        <w:rPr>
          <w:rFonts w:asciiTheme="majorHAnsi" w:hAnsiTheme="majorHAnsi"/>
          <w:sz w:val="24"/>
        </w:rPr>
        <w:tab/>
        <w:t xml:space="preserve"> </w:t>
      </w:r>
      <w:r w:rsidRPr="002567F9">
        <w:rPr>
          <w:rFonts w:asciiTheme="majorHAnsi" w:hAnsiTheme="majorHAnsi"/>
          <w:sz w:val="24"/>
          <w:u w:val="single"/>
        </w:rPr>
        <w:t>Less Frequent Collection</w:t>
      </w:r>
    </w:p>
    <w:p w:rsidR="008755EE" w:rsidP="007D391A" w14:paraId="3BF14038" w14:textId="54E92517">
      <w:pPr>
        <w:spacing w:after="0" w:line="240" w:lineRule="auto"/>
        <w:rPr>
          <w:rFonts w:ascii="Cambria" w:eastAsia="Cambria" w:hAnsi="Cambria" w:cs="Cambria"/>
          <w:i/>
          <w:sz w:val="24"/>
          <w:szCs w:val="24"/>
        </w:rPr>
      </w:pPr>
      <w:r>
        <w:rPr>
          <w:rFonts w:ascii="Cambria" w:eastAsia="Cambria" w:hAnsi="Cambria" w:cs="Cambria"/>
          <w:sz w:val="24"/>
          <w:szCs w:val="24"/>
        </w:rPr>
        <w:t>Applicants can apply year-round.  There is no limit to how many times a person can apply</w:t>
      </w:r>
      <w:r w:rsidR="00565C5D">
        <w:rPr>
          <w:rFonts w:ascii="Cambria" w:eastAsia="Cambria" w:hAnsi="Cambria" w:cs="Cambria"/>
          <w:sz w:val="24"/>
          <w:szCs w:val="24"/>
        </w:rPr>
        <w:t xml:space="preserve"> in a lifetime, but </w:t>
      </w:r>
      <w:r w:rsidR="00827322">
        <w:rPr>
          <w:rFonts w:ascii="Cambria" w:eastAsia="Cambria" w:hAnsi="Cambria" w:cs="Cambria"/>
          <w:sz w:val="24"/>
          <w:szCs w:val="24"/>
        </w:rPr>
        <w:t>they are limited to one submission per cycle (year)</w:t>
      </w:r>
      <w:r>
        <w:rPr>
          <w:rFonts w:ascii="Cambria" w:eastAsia="Cambria" w:hAnsi="Cambria" w:cs="Cambria"/>
          <w:sz w:val="24"/>
          <w:szCs w:val="24"/>
        </w:rPr>
        <w:t xml:space="preserve">. </w:t>
      </w:r>
      <w:r w:rsidR="00827322">
        <w:rPr>
          <w:rFonts w:ascii="Cambria" w:eastAsia="Cambria" w:hAnsi="Cambria" w:cs="Cambria"/>
          <w:sz w:val="24"/>
          <w:szCs w:val="24"/>
        </w:rPr>
        <w:t xml:space="preserve"> Having a less frequent collection would place an undue burden on the Office of Admissions staff in processing applications.  USNA recruits and trains BGOs year-round.  Limiting applications during the year would result in a training backlog, as well as gaps in outreach to school officials and students during the year.</w:t>
      </w:r>
    </w:p>
    <w:p w:rsidR="00F86C35" w:rsidP="007D391A" w14:paraId="31397E8F" w14:textId="77777777">
      <w:pPr>
        <w:spacing w:after="0" w:line="240" w:lineRule="auto"/>
        <w:rPr>
          <w:rFonts w:asciiTheme="majorHAnsi" w:hAnsiTheme="majorHAnsi"/>
          <w:i/>
          <w:sz w:val="24"/>
        </w:rPr>
      </w:pPr>
    </w:p>
    <w:p w:rsidR="00621DA8" w:rsidP="007D391A" w14:paraId="05B9021A" w14:textId="77777777">
      <w:pPr>
        <w:spacing w:after="0" w:line="240" w:lineRule="auto"/>
        <w:rPr>
          <w:rFonts w:asciiTheme="majorHAnsi" w:hAnsiTheme="majorHAnsi"/>
          <w:sz w:val="24"/>
          <w:u w:val="single"/>
        </w:rPr>
      </w:pPr>
      <w:r w:rsidRPr="00B75D33">
        <w:rPr>
          <w:rFonts w:asciiTheme="majorHAnsi" w:hAnsiTheme="majorHAnsi"/>
          <w:sz w:val="24"/>
        </w:rPr>
        <w:t>7.</w:t>
      </w:r>
      <w:r>
        <w:rPr>
          <w:rFonts w:asciiTheme="majorHAnsi" w:hAnsiTheme="majorHAnsi"/>
          <w:i/>
          <w:sz w:val="24"/>
        </w:rPr>
        <w:t xml:space="preserve"> </w:t>
      </w:r>
      <w:r>
        <w:rPr>
          <w:rFonts w:asciiTheme="majorHAnsi" w:hAnsiTheme="majorHAnsi"/>
          <w:i/>
          <w:sz w:val="24"/>
        </w:rPr>
        <w:tab/>
      </w:r>
      <w:r w:rsidRPr="00F86C35">
        <w:rPr>
          <w:rFonts w:asciiTheme="majorHAnsi" w:hAnsiTheme="majorHAnsi"/>
          <w:sz w:val="24"/>
          <w:u w:val="single"/>
        </w:rPr>
        <w:t>Paperwork Reduction Act Guidelines</w:t>
      </w:r>
      <w:r w:rsidRPr="00621DA8" w:rsidR="008755EE">
        <w:rPr>
          <w:rFonts w:asciiTheme="majorHAnsi" w:hAnsiTheme="majorHAnsi"/>
          <w:sz w:val="24"/>
        </w:rPr>
        <w:tab/>
      </w:r>
    </w:p>
    <w:p w:rsidR="008755EE" w:rsidP="007D391A" w14:paraId="2592643B" w14:textId="0F40CD62">
      <w:pPr>
        <w:spacing w:after="0" w:line="240" w:lineRule="auto"/>
        <w:rPr>
          <w:rFonts w:ascii="Cambria" w:eastAsia="Cambria" w:hAnsi="Cambria" w:cs="Cambria"/>
          <w:sz w:val="24"/>
          <w:szCs w:val="24"/>
        </w:rPr>
      </w:pPr>
      <w:r>
        <w:rPr>
          <w:rFonts w:ascii="Cambria" w:eastAsia="Cambria" w:hAnsi="Cambria" w:cs="Cambria"/>
          <w:sz w:val="24"/>
          <w:szCs w:val="24"/>
        </w:rPr>
        <w:t xml:space="preserve">This collection of information does not require collection to be conducted in a manner inconsistent with the guidelines delineated in 5 CFR 1320.5(d)(2). </w:t>
      </w:r>
    </w:p>
    <w:p w:rsidR="008755EE" w:rsidP="008755EE" w14:paraId="7C1BFB87" w14:textId="77777777">
      <w:pPr>
        <w:spacing w:after="0" w:line="240" w:lineRule="auto"/>
        <w:rPr>
          <w:rFonts w:asciiTheme="majorHAnsi" w:hAnsiTheme="majorHAnsi"/>
        </w:rPr>
      </w:pPr>
    </w:p>
    <w:p w:rsidR="00200261" w:rsidRPr="007D391A" w:rsidP="008755EE" w14:paraId="588D70EA" w14:textId="77777777">
      <w:pPr>
        <w:spacing w:after="0" w:line="240" w:lineRule="auto"/>
        <w:rPr>
          <w:rFonts w:asciiTheme="majorHAnsi" w:hAnsiTheme="majorHAnsi"/>
          <w:sz w:val="28"/>
          <w:u w:val="single"/>
        </w:rPr>
      </w:pPr>
      <w:r w:rsidRPr="007D391A">
        <w:rPr>
          <w:rFonts w:asciiTheme="majorHAnsi" w:hAnsiTheme="majorHAnsi"/>
          <w:sz w:val="24"/>
        </w:rPr>
        <w:t xml:space="preserve">8. </w:t>
      </w:r>
      <w:r w:rsidRPr="007D391A">
        <w:rPr>
          <w:rFonts w:asciiTheme="majorHAnsi" w:hAnsiTheme="majorHAnsi"/>
          <w:sz w:val="24"/>
        </w:rPr>
        <w:tab/>
      </w:r>
      <w:r w:rsidRPr="007D391A">
        <w:rPr>
          <w:rFonts w:asciiTheme="majorHAnsi" w:hAnsiTheme="majorHAnsi"/>
          <w:sz w:val="24"/>
          <w:u w:val="single"/>
        </w:rPr>
        <w:t>Consultation and Public Comments</w:t>
      </w:r>
    </w:p>
    <w:p w:rsidR="00200261" w:rsidP="00200261" w14:paraId="4531990C" w14:textId="77777777">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A: PUBLIC NOTICE</w:t>
      </w:r>
    </w:p>
    <w:p w:rsidR="00200261" w:rsidRPr="00B75D33" w:rsidP="00200261" w14:paraId="1AC94B9C" w14:textId="3DD5FF8A">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 xml:space="preserve">A 60-Day Federal Register Notice </w:t>
      </w:r>
      <w:r w:rsidR="00502FF3">
        <w:rPr>
          <w:rFonts w:asciiTheme="majorHAnsi" w:eastAsiaTheme="minorHAnsi" w:hAnsiTheme="majorHAnsi" w:cstheme="minorBidi"/>
          <w:szCs w:val="22"/>
        </w:rPr>
        <w:t xml:space="preserve">(FRN) </w:t>
      </w:r>
      <w:r>
        <w:rPr>
          <w:rFonts w:asciiTheme="majorHAnsi" w:eastAsiaTheme="minorHAnsi" w:hAnsiTheme="majorHAnsi" w:cstheme="minorBidi"/>
          <w:szCs w:val="22"/>
        </w:rPr>
        <w:t xml:space="preserve">for the collection published on </w:t>
      </w:r>
      <w:r w:rsidR="00833CE2">
        <w:rPr>
          <w:rFonts w:asciiTheme="majorHAnsi" w:eastAsiaTheme="minorHAnsi" w:hAnsiTheme="majorHAnsi" w:cstheme="minorBidi"/>
          <w:szCs w:val="22"/>
        </w:rPr>
        <w:t xml:space="preserve">Thursday, </w:t>
      </w:r>
      <w:r w:rsidRPr="00B75D33" w:rsidR="00833CE2">
        <w:rPr>
          <w:rFonts w:asciiTheme="majorHAnsi" w:eastAsiaTheme="minorHAnsi" w:hAnsiTheme="majorHAnsi" w:cstheme="minorBidi"/>
          <w:szCs w:val="22"/>
        </w:rPr>
        <w:t>December 30, 2022</w:t>
      </w:r>
      <w:r w:rsidRPr="00B75D33">
        <w:rPr>
          <w:rFonts w:asciiTheme="majorHAnsi" w:eastAsiaTheme="minorHAnsi" w:hAnsiTheme="majorHAnsi" w:cstheme="minorBidi"/>
          <w:szCs w:val="22"/>
        </w:rPr>
        <w:t xml:space="preserve">.  The 60-Day FRN citation is </w:t>
      </w:r>
      <w:r w:rsidRPr="00B75D33" w:rsidR="00833CE2">
        <w:rPr>
          <w:rFonts w:asciiTheme="majorHAnsi" w:eastAsiaTheme="minorHAnsi" w:hAnsiTheme="majorHAnsi" w:cstheme="minorBidi"/>
          <w:szCs w:val="22"/>
        </w:rPr>
        <w:t>86 FR 74410</w:t>
      </w:r>
      <w:r w:rsidRPr="00B75D33">
        <w:rPr>
          <w:rFonts w:asciiTheme="majorHAnsi" w:eastAsiaTheme="minorHAnsi" w:hAnsiTheme="majorHAnsi" w:cstheme="minorBidi"/>
          <w:szCs w:val="22"/>
        </w:rPr>
        <w:t xml:space="preserve">. </w:t>
      </w:r>
    </w:p>
    <w:p w:rsidR="00200261" w:rsidP="00200261" w14:paraId="6ED244F8" w14:textId="73722320">
      <w:pPr>
        <w:pStyle w:val="NormalWeb"/>
        <w:spacing w:line="288" w:lineRule="atLeast"/>
        <w:rPr>
          <w:rFonts w:asciiTheme="majorHAnsi" w:eastAsiaTheme="minorHAnsi" w:hAnsiTheme="majorHAnsi" w:cstheme="minorBidi"/>
          <w:szCs w:val="22"/>
        </w:rPr>
      </w:pPr>
      <w:r w:rsidRPr="00B75D33">
        <w:rPr>
          <w:rFonts w:asciiTheme="majorHAnsi" w:eastAsiaTheme="minorHAnsi" w:hAnsiTheme="majorHAnsi" w:cstheme="minorBidi"/>
          <w:szCs w:val="22"/>
        </w:rPr>
        <w:t>No comments were received during the 60-Day Comment Period.</w:t>
      </w:r>
      <w:r>
        <w:rPr>
          <w:rFonts w:asciiTheme="majorHAnsi" w:eastAsiaTheme="minorHAnsi" w:hAnsiTheme="majorHAnsi" w:cstheme="minorBidi"/>
          <w:szCs w:val="22"/>
        </w:rPr>
        <w:t xml:space="preserve"> </w:t>
      </w:r>
    </w:p>
    <w:p w:rsidR="00502FF3" w:rsidP="00200261" w14:paraId="13ACD801" w14:textId="368A5715">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 xml:space="preserve">A 30-Day Federal Register Notice for the collection published on </w:t>
      </w:r>
      <w:r w:rsidR="00516DFC">
        <w:rPr>
          <w:rFonts w:asciiTheme="majorHAnsi" w:eastAsiaTheme="minorHAnsi" w:hAnsiTheme="majorHAnsi" w:cstheme="minorBidi"/>
          <w:szCs w:val="22"/>
        </w:rPr>
        <w:t>Monday, September 26, 2022</w:t>
      </w:r>
      <w:r>
        <w:rPr>
          <w:rFonts w:asciiTheme="majorHAnsi" w:eastAsiaTheme="minorHAnsi" w:hAnsiTheme="majorHAnsi" w:cstheme="minorBidi"/>
          <w:szCs w:val="22"/>
        </w:rPr>
        <w:t xml:space="preserve">.  The 30-Day FRN citation is </w:t>
      </w:r>
      <w:r w:rsidRPr="00D91113" w:rsidR="00D91113">
        <w:rPr>
          <w:rFonts w:asciiTheme="majorHAnsi" w:eastAsiaTheme="minorHAnsi" w:hAnsiTheme="majorHAnsi" w:cstheme="minorBidi"/>
          <w:szCs w:val="22"/>
        </w:rPr>
        <w:t xml:space="preserve">87 FR </w:t>
      </w:r>
      <w:r w:rsidR="00516DFC">
        <w:rPr>
          <w:rFonts w:asciiTheme="majorHAnsi" w:eastAsiaTheme="minorHAnsi" w:hAnsiTheme="majorHAnsi" w:cstheme="minorBidi"/>
          <w:szCs w:val="22"/>
        </w:rPr>
        <w:t>58342</w:t>
      </w:r>
      <w:r>
        <w:rPr>
          <w:rFonts w:asciiTheme="majorHAnsi" w:eastAsiaTheme="minorHAnsi" w:hAnsiTheme="majorHAnsi" w:cstheme="minorBidi"/>
          <w:szCs w:val="22"/>
        </w:rPr>
        <w:t>.</w:t>
      </w:r>
    </w:p>
    <w:p w:rsidR="00200261" w:rsidP="00200261" w14:paraId="68E76638" w14:textId="77777777">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B: CONSULTATION</w:t>
      </w:r>
    </w:p>
    <w:p w:rsidR="00571698" w:rsidP="00B55E9F" w14:paraId="23EC03F4" w14:textId="1E92FD13">
      <w:pPr>
        <w:pStyle w:val="NormalWeb"/>
        <w:spacing w:line="288" w:lineRule="atLeast"/>
        <w:rPr>
          <w:rFonts w:asciiTheme="majorHAnsi" w:hAnsiTheme="majorHAnsi"/>
          <w:i/>
        </w:rPr>
      </w:pPr>
      <w:r w:rsidRPr="00C33607">
        <w:rPr>
          <w:rFonts w:asciiTheme="majorHAnsi" w:eastAsiaTheme="minorHAnsi" w:hAnsiTheme="majorHAnsi" w:cstheme="minorBidi"/>
          <w:szCs w:val="22"/>
        </w:rPr>
        <w:t>No additional consultation apart from soliciting public comments through the Federal Register was conducted for this submission.</w:t>
      </w:r>
      <w:r>
        <w:rPr>
          <w:rFonts w:asciiTheme="majorHAnsi" w:eastAsiaTheme="minorHAnsi" w:hAnsiTheme="majorHAnsi" w:cstheme="minorBidi"/>
          <w:szCs w:val="22"/>
        </w:rPr>
        <w:t xml:space="preserve"> </w:t>
      </w:r>
    </w:p>
    <w:p w:rsidR="00571698" w:rsidP="006E563D" w14:paraId="30607498" w14:textId="77777777">
      <w:pPr>
        <w:spacing w:after="0" w:line="240" w:lineRule="auto"/>
        <w:rPr>
          <w:rFonts w:asciiTheme="majorHAnsi" w:hAnsiTheme="majorHAnsi"/>
          <w:sz w:val="24"/>
          <w:u w:val="single"/>
        </w:rPr>
      </w:pPr>
      <w:r w:rsidRPr="006A13FA">
        <w:rPr>
          <w:rFonts w:asciiTheme="majorHAnsi" w:hAnsiTheme="majorHAnsi"/>
          <w:sz w:val="24"/>
        </w:rPr>
        <w:t xml:space="preserve">9. </w:t>
      </w:r>
      <w:r w:rsidRPr="006A13FA">
        <w:rPr>
          <w:rFonts w:asciiTheme="majorHAnsi" w:hAnsiTheme="majorHAnsi"/>
          <w:sz w:val="24"/>
        </w:rPr>
        <w:tab/>
      </w:r>
      <w:r w:rsidRPr="006A13FA">
        <w:rPr>
          <w:rFonts w:asciiTheme="majorHAnsi" w:hAnsiTheme="majorHAnsi"/>
          <w:sz w:val="24"/>
          <w:u w:val="single"/>
        </w:rPr>
        <w:t>Gifts or Payment</w:t>
      </w:r>
    </w:p>
    <w:p w:rsidR="006A13FA" w:rsidP="006A13FA" w14:paraId="7F65B399" w14:textId="4413DCE7">
      <w:pPr>
        <w:spacing w:after="0" w:line="240" w:lineRule="auto"/>
        <w:rPr>
          <w:rFonts w:ascii="Cambria" w:eastAsia="Cambria" w:hAnsi="Cambria" w:cs="Cambria"/>
          <w:sz w:val="24"/>
          <w:szCs w:val="24"/>
        </w:rPr>
      </w:pPr>
      <w:r>
        <w:rPr>
          <w:rFonts w:ascii="Cambria" w:eastAsia="Cambria" w:hAnsi="Cambria" w:cs="Cambria"/>
          <w:sz w:val="24"/>
          <w:szCs w:val="24"/>
        </w:rPr>
        <w:t>No payments or gifts are being offered to respondents as an incentive to participate in the collection.</w:t>
      </w:r>
    </w:p>
    <w:p w:rsidR="008755EE" w:rsidP="006A13FA" w14:paraId="7BA7E040" w14:textId="77777777">
      <w:pPr>
        <w:spacing w:after="0" w:line="240" w:lineRule="auto"/>
        <w:rPr>
          <w:rFonts w:asciiTheme="majorHAnsi" w:hAnsiTheme="majorHAnsi"/>
          <w:i/>
          <w:sz w:val="24"/>
        </w:rPr>
      </w:pPr>
    </w:p>
    <w:p w:rsidR="00F97482" w:rsidP="006A13FA" w14:paraId="7252F833" w14:textId="77777777">
      <w:pPr>
        <w:spacing w:after="0" w:line="240" w:lineRule="auto"/>
        <w:rPr>
          <w:rFonts w:asciiTheme="majorHAnsi" w:hAnsiTheme="majorHAnsi"/>
          <w:sz w:val="24"/>
          <w:u w:val="single"/>
        </w:rPr>
      </w:pPr>
      <w:r>
        <w:rPr>
          <w:rFonts w:asciiTheme="majorHAnsi" w:hAnsiTheme="majorHAnsi"/>
          <w:sz w:val="24"/>
        </w:rPr>
        <w:t xml:space="preserve">10. </w:t>
      </w:r>
      <w:r>
        <w:rPr>
          <w:rFonts w:asciiTheme="majorHAnsi" w:hAnsiTheme="majorHAnsi"/>
          <w:sz w:val="24"/>
        </w:rPr>
        <w:tab/>
      </w:r>
      <w:r w:rsidRPr="00F97482">
        <w:rPr>
          <w:rFonts w:asciiTheme="majorHAnsi" w:hAnsiTheme="majorHAnsi"/>
          <w:sz w:val="24"/>
          <w:u w:val="single"/>
        </w:rPr>
        <w:t>Confidentiality</w:t>
      </w:r>
    </w:p>
    <w:p w:rsidR="00CD56B3" w:rsidP="006A13FA" w14:paraId="7408AD97" w14:textId="77777777">
      <w:pPr>
        <w:spacing w:after="0" w:line="240" w:lineRule="auto"/>
        <w:rPr>
          <w:rFonts w:asciiTheme="majorHAnsi" w:hAnsiTheme="majorHAnsi"/>
          <w:sz w:val="24"/>
          <w:u w:val="single"/>
        </w:rPr>
      </w:pPr>
    </w:p>
    <w:p w:rsidR="00E8789E" w:rsidRPr="00E8789E" w:rsidP="00441520" w14:paraId="0BF87DCF" w14:textId="490E5B84">
      <w:pPr>
        <w:pBdr>
          <w:top w:val="nil"/>
          <w:left w:val="nil"/>
          <w:bottom w:val="nil"/>
          <w:right w:val="nil"/>
          <w:between w:val="nil"/>
        </w:pBdr>
        <w:spacing w:after="0" w:line="240" w:lineRule="auto"/>
        <w:rPr>
          <w:rFonts w:ascii="Cambria" w:eastAsia="Cambria" w:hAnsi="Cambria" w:cs="Cambria"/>
          <w:color w:val="000000"/>
          <w:sz w:val="24"/>
          <w:szCs w:val="24"/>
        </w:rPr>
      </w:pPr>
      <w:r w:rsidRPr="00E8789E">
        <w:rPr>
          <w:rFonts w:ascii="Cambria" w:eastAsia="Cambria" w:hAnsi="Cambria" w:cs="Cambria"/>
          <w:color w:val="000000"/>
          <w:sz w:val="24"/>
          <w:szCs w:val="24"/>
        </w:rPr>
        <w:t>This collection requires a Privacy Act Statement.  The Privacy Act Statement is located on the information collection tool directly below the title.</w:t>
      </w:r>
    </w:p>
    <w:p w:rsidR="00E8789E" w:rsidRPr="00E8789E" w:rsidP="00441520" w14:paraId="56FF1CBB" w14:textId="77777777">
      <w:pPr>
        <w:pBdr>
          <w:top w:val="nil"/>
          <w:left w:val="nil"/>
          <w:bottom w:val="nil"/>
          <w:right w:val="nil"/>
          <w:between w:val="nil"/>
        </w:pBdr>
        <w:spacing w:after="0" w:line="240" w:lineRule="auto"/>
        <w:rPr>
          <w:rFonts w:ascii="Cambria" w:eastAsia="Cambria" w:hAnsi="Cambria" w:cs="Cambria"/>
          <w:color w:val="000000"/>
          <w:sz w:val="24"/>
          <w:szCs w:val="24"/>
        </w:rPr>
      </w:pPr>
    </w:p>
    <w:p w:rsidR="003B1892" w:rsidP="00441520" w14:paraId="13FE040F" w14:textId="674C2D65">
      <w:pPr>
        <w:pBdr>
          <w:top w:val="nil"/>
          <w:left w:val="nil"/>
          <w:bottom w:val="nil"/>
          <w:right w:val="nil"/>
          <w:between w:val="nil"/>
        </w:pBdr>
        <w:spacing w:after="0" w:line="240" w:lineRule="auto"/>
        <w:rPr>
          <w:rFonts w:ascii="Cambria" w:eastAsia="Calibri" w:hAnsi="Cambria" w:cs="Times New Roman"/>
          <w:sz w:val="24"/>
          <w:szCs w:val="24"/>
        </w:rPr>
      </w:pPr>
      <w:r>
        <w:rPr>
          <w:rFonts w:ascii="Cambria" w:eastAsia="Calibri" w:hAnsi="Cambria" w:cs="Times New Roman"/>
          <w:sz w:val="24"/>
          <w:szCs w:val="24"/>
        </w:rPr>
        <w:t>A draft copy of the SORN</w:t>
      </w:r>
      <w:r w:rsidR="00066346">
        <w:rPr>
          <w:rFonts w:ascii="Cambria" w:eastAsia="Calibri" w:hAnsi="Cambria" w:cs="Times New Roman"/>
          <w:sz w:val="24"/>
          <w:szCs w:val="24"/>
        </w:rPr>
        <w:t>-</w:t>
      </w:r>
      <w:r>
        <w:rPr>
          <w:rFonts w:ascii="Cambria" w:eastAsia="Calibri" w:hAnsi="Cambria" w:cs="Times New Roman"/>
          <w:sz w:val="24"/>
          <w:szCs w:val="24"/>
        </w:rPr>
        <w:t>N-01531-X, U.S. Naval Academy Voluntary and Gratuitous Service Records</w:t>
      </w:r>
      <w:r w:rsidR="00066346">
        <w:rPr>
          <w:rFonts w:ascii="Cambria" w:eastAsia="Calibri" w:hAnsi="Cambria" w:cs="Times New Roman"/>
          <w:sz w:val="24"/>
          <w:szCs w:val="24"/>
        </w:rPr>
        <w:t>,</w:t>
      </w:r>
      <w:r w:rsidR="00A16C5B">
        <w:rPr>
          <w:rFonts w:ascii="Cambria" w:eastAsia="Calibri" w:hAnsi="Cambria" w:cs="Times New Roman"/>
          <w:sz w:val="24"/>
          <w:szCs w:val="24"/>
        </w:rPr>
        <w:t xml:space="preserve"> </w:t>
      </w:r>
      <w:r>
        <w:rPr>
          <w:rFonts w:ascii="Cambria" w:eastAsia="Calibri" w:hAnsi="Cambria" w:cs="Times New Roman"/>
          <w:sz w:val="24"/>
          <w:szCs w:val="24"/>
        </w:rPr>
        <w:t>has been provided with this package for OMB’s review.</w:t>
      </w:r>
    </w:p>
    <w:p w:rsidR="007D391A" w:rsidP="00441520" w14:paraId="0E7B1542" w14:textId="77777777">
      <w:pPr>
        <w:pBdr>
          <w:top w:val="nil"/>
          <w:left w:val="nil"/>
          <w:bottom w:val="nil"/>
          <w:right w:val="nil"/>
          <w:between w:val="nil"/>
        </w:pBdr>
        <w:spacing w:after="0" w:line="240" w:lineRule="auto"/>
        <w:rPr>
          <w:rFonts w:ascii="Cambria" w:eastAsia="Calibri" w:hAnsi="Cambria" w:cs="Times New Roman"/>
          <w:sz w:val="24"/>
          <w:szCs w:val="24"/>
        </w:rPr>
      </w:pPr>
    </w:p>
    <w:p w:rsidR="004324DE" w:rsidRPr="007D391A" w:rsidP="00441520" w14:paraId="12EE69ED" w14:textId="17227521">
      <w:pPr>
        <w:pBdr>
          <w:top w:val="nil"/>
          <w:left w:val="nil"/>
          <w:bottom w:val="nil"/>
          <w:right w:val="nil"/>
          <w:between w:val="nil"/>
        </w:pBdr>
        <w:spacing w:after="0" w:line="240" w:lineRule="auto"/>
        <w:rPr>
          <w:rFonts w:eastAsia="Cambria" w:asciiTheme="majorHAnsi" w:hAnsiTheme="majorHAnsi" w:cs="Cambria"/>
          <w:color w:val="000000"/>
          <w:sz w:val="24"/>
          <w:szCs w:val="24"/>
        </w:rPr>
      </w:pPr>
      <w:r w:rsidRPr="00E8789E">
        <w:rPr>
          <w:rFonts w:ascii="Cambria" w:eastAsia="Calibri" w:hAnsi="Cambria" w:cs="Times New Roman"/>
          <w:sz w:val="24"/>
          <w:szCs w:val="24"/>
        </w:rPr>
        <w:t xml:space="preserve">This </w:t>
      </w:r>
      <w:r w:rsidRPr="00E8789E">
        <w:rPr>
          <w:rFonts w:ascii="Cambria" w:eastAsia="Cambria" w:hAnsi="Cambria" w:cs="Cambria"/>
          <w:color w:val="000000"/>
          <w:sz w:val="24"/>
          <w:szCs w:val="24"/>
        </w:rPr>
        <w:t>collection r</w:t>
      </w:r>
      <w:r w:rsidRPr="00066346">
        <w:rPr>
          <w:rFonts w:eastAsia="Cambria" w:asciiTheme="majorHAnsi" w:hAnsiTheme="majorHAnsi" w:cs="Cambria"/>
          <w:color w:val="000000"/>
          <w:sz w:val="24"/>
          <w:szCs w:val="24"/>
        </w:rPr>
        <w:t xml:space="preserve">equires a Privacy Impact Assessment for the information systems that stores the data collected.  </w:t>
      </w:r>
      <w:r w:rsidRPr="00066346">
        <w:rPr>
          <w:rFonts w:eastAsia="Cambria" w:asciiTheme="majorHAnsi" w:hAnsiTheme="majorHAnsi" w:cs="Cambria"/>
          <w:color w:val="000000"/>
          <w:sz w:val="24"/>
          <w:szCs w:val="24"/>
        </w:rPr>
        <w:t xml:space="preserve">The </w:t>
      </w:r>
      <w:r w:rsidRPr="00B75D33" w:rsidR="001E18BC">
        <w:rPr>
          <w:rFonts w:asciiTheme="majorHAnsi" w:hAnsiTheme="majorHAnsi" w:cs="Arial"/>
          <w:sz w:val="24"/>
          <w:szCs w:val="24"/>
          <w:shd w:val="clear" w:color="auto" w:fill="FFFFFF"/>
        </w:rPr>
        <w:t>Blue and Gold Information System (BGIS)</w:t>
      </w:r>
      <w:r w:rsidR="00940EB2">
        <w:rPr>
          <w:rFonts w:asciiTheme="majorHAnsi" w:hAnsiTheme="majorHAnsi"/>
          <w:sz w:val="24"/>
          <w:szCs w:val="24"/>
        </w:rPr>
        <w:t xml:space="preserve"> </w:t>
      </w:r>
      <w:r w:rsidRPr="00066346">
        <w:rPr>
          <w:rFonts w:eastAsia="Cambria" w:asciiTheme="majorHAnsi" w:hAnsiTheme="majorHAnsi" w:cs="Cambria"/>
          <w:color w:val="000000"/>
          <w:sz w:val="24"/>
          <w:szCs w:val="24"/>
        </w:rPr>
        <w:t xml:space="preserve">can be found at </w:t>
      </w:r>
      <w:hyperlink r:id="rId16" w:history="1">
        <w:r w:rsidRPr="00997C3A">
          <w:rPr>
            <w:rStyle w:val="Hyperlink"/>
            <w:rFonts w:ascii="Cambria" w:eastAsia="Cambria" w:hAnsi="Cambria" w:cs="Cambria"/>
            <w:sz w:val="24"/>
            <w:szCs w:val="24"/>
          </w:rPr>
          <w:t>https://www.doncio.navy.mil/(m4jrto45tnpm4b45jxmngz3v)/ContentView.aspx?id=678</w:t>
        </w:r>
      </w:hyperlink>
      <w:r>
        <w:rPr>
          <w:rFonts w:ascii="Cambria" w:eastAsia="Cambria" w:hAnsi="Cambria" w:cs="Cambria"/>
          <w:color w:val="000000"/>
          <w:sz w:val="24"/>
          <w:szCs w:val="24"/>
        </w:rPr>
        <w:t>.</w:t>
      </w:r>
    </w:p>
    <w:p w:rsidR="007D391A" w:rsidP="007D391A" w14:paraId="388B2AA4" w14:textId="77777777">
      <w:pPr>
        <w:pBdr>
          <w:top w:val="nil"/>
          <w:left w:val="nil"/>
          <w:bottom w:val="nil"/>
          <w:right w:val="nil"/>
          <w:between w:val="nil"/>
        </w:pBdr>
        <w:spacing w:after="0" w:line="240" w:lineRule="auto"/>
        <w:rPr>
          <w:rFonts w:ascii="Cambria" w:eastAsia="Calibri" w:hAnsi="Cambria" w:cs="Calibri"/>
          <w:color w:val="000000"/>
          <w:sz w:val="24"/>
          <w:szCs w:val="24"/>
        </w:rPr>
      </w:pPr>
    </w:p>
    <w:p w:rsidR="00441520" w:rsidP="007D391A" w14:paraId="41ECFFAB" w14:textId="5B932F51">
      <w:pPr>
        <w:pBdr>
          <w:top w:val="nil"/>
          <w:left w:val="nil"/>
          <w:bottom w:val="nil"/>
          <w:right w:val="nil"/>
          <w:between w:val="nil"/>
        </w:pBdr>
        <w:spacing w:after="0" w:line="240" w:lineRule="auto"/>
        <w:rPr>
          <w:rFonts w:ascii="Cambria" w:eastAsia="Calibri" w:hAnsi="Cambria" w:cs="Calibri"/>
          <w:color w:val="000000"/>
          <w:sz w:val="24"/>
          <w:szCs w:val="24"/>
        </w:rPr>
      </w:pPr>
      <w:r w:rsidRPr="00FD7400">
        <w:rPr>
          <w:rFonts w:ascii="Cambria" w:eastAsia="Calibri" w:hAnsi="Cambria" w:cs="Calibri"/>
          <w:color w:val="000000"/>
          <w:sz w:val="24"/>
          <w:szCs w:val="24"/>
        </w:rPr>
        <w:t xml:space="preserve">Information </w:t>
      </w:r>
      <w:r w:rsidR="00CD56B3">
        <w:rPr>
          <w:rFonts w:ascii="Cambria" w:eastAsia="Calibri" w:hAnsi="Cambria" w:cs="Calibri"/>
          <w:color w:val="000000"/>
          <w:sz w:val="24"/>
          <w:szCs w:val="24"/>
        </w:rPr>
        <w:t xml:space="preserve">is </w:t>
      </w:r>
      <w:r w:rsidRPr="00FD7400" w:rsidR="00FD7400">
        <w:rPr>
          <w:rFonts w:ascii="Cambria" w:eastAsia="Calibri" w:hAnsi="Cambria" w:cs="Calibri"/>
          <w:color w:val="000000"/>
          <w:sz w:val="24"/>
          <w:szCs w:val="24"/>
        </w:rPr>
        <w:t>temporary and is destroyed when business use ceases. (DAA-GRS-0016-001, SF 115 submitted 14 July 2021).</w:t>
      </w:r>
    </w:p>
    <w:p w:rsidR="00996894" w:rsidP="00441520" w14:paraId="5BD3E195" w14:textId="3B6F8FD0">
      <w:pPr>
        <w:pBdr>
          <w:top w:val="nil"/>
          <w:left w:val="nil"/>
          <w:bottom w:val="nil"/>
          <w:right w:val="nil"/>
          <w:between w:val="nil"/>
        </w:pBdr>
        <w:spacing w:after="0" w:line="240" w:lineRule="auto"/>
        <w:rPr>
          <w:rFonts w:asciiTheme="majorHAnsi" w:hAnsiTheme="majorHAnsi"/>
          <w:i/>
          <w:sz w:val="24"/>
        </w:rPr>
      </w:pPr>
      <w:r w:rsidRPr="00FD7400">
        <w:rPr>
          <w:rFonts w:ascii="Cambria" w:eastAsia="Calibri" w:hAnsi="Cambria" w:cs="Calibri"/>
          <w:color w:val="000000"/>
          <w:sz w:val="24"/>
          <w:szCs w:val="24"/>
        </w:rPr>
        <w:t xml:space="preserve"> </w:t>
      </w:r>
    </w:p>
    <w:p w:rsidR="00996894" w:rsidP="00441520" w14:paraId="6A81EE56" w14:textId="77777777">
      <w:pPr>
        <w:spacing w:after="0" w:line="240" w:lineRule="auto"/>
        <w:rPr>
          <w:rFonts w:asciiTheme="majorHAnsi" w:hAnsiTheme="majorHAnsi"/>
          <w:sz w:val="24"/>
        </w:rPr>
      </w:pPr>
      <w:r w:rsidRPr="00337EF1">
        <w:rPr>
          <w:rFonts w:asciiTheme="majorHAnsi" w:hAnsiTheme="majorHAnsi"/>
          <w:sz w:val="24"/>
        </w:rPr>
        <w:t xml:space="preserve">11. </w:t>
      </w:r>
      <w:r w:rsidRPr="00337EF1">
        <w:rPr>
          <w:rFonts w:asciiTheme="majorHAnsi" w:hAnsiTheme="majorHAnsi"/>
          <w:sz w:val="24"/>
        </w:rPr>
        <w:tab/>
      </w:r>
      <w:r w:rsidRPr="00337EF1">
        <w:rPr>
          <w:rFonts w:asciiTheme="majorHAnsi" w:hAnsiTheme="majorHAnsi"/>
          <w:sz w:val="24"/>
          <w:u w:val="single"/>
        </w:rPr>
        <w:t>Sensitive Questions</w:t>
      </w:r>
    </w:p>
    <w:p w:rsidR="00D21AA6" w:rsidP="00441520" w14:paraId="15A157F3" w14:textId="681F42B0">
      <w:pPr>
        <w:spacing w:after="0" w:line="240" w:lineRule="auto"/>
        <w:rPr>
          <w:rFonts w:ascii="Cambria" w:hAnsi="Cambria"/>
          <w:sz w:val="24"/>
          <w:szCs w:val="24"/>
        </w:rPr>
      </w:pPr>
      <w:r>
        <w:rPr>
          <w:rFonts w:ascii="Cambria" w:hAnsi="Cambria"/>
          <w:sz w:val="24"/>
          <w:szCs w:val="24"/>
        </w:rPr>
        <w:t>On the BGO applications, applicants must</w:t>
      </w:r>
      <w:r w:rsidR="00C72F8F">
        <w:rPr>
          <w:rFonts w:ascii="Cambria" w:hAnsi="Cambria"/>
          <w:sz w:val="24"/>
          <w:szCs w:val="24"/>
        </w:rPr>
        <w:t xml:space="preserve"> </w:t>
      </w:r>
      <w:r w:rsidR="00FD7400">
        <w:rPr>
          <w:rFonts w:ascii="Cambria" w:hAnsi="Cambria"/>
          <w:sz w:val="24"/>
          <w:szCs w:val="24"/>
        </w:rPr>
        <w:t xml:space="preserve">explain if </w:t>
      </w:r>
      <w:r w:rsidR="00C72F8F">
        <w:rPr>
          <w:rFonts w:ascii="Cambria" w:hAnsi="Cambria"/>
          <w:sz w:val="24"/>
          <w:szCs w:val="24"/>
        </w:rPr>
        <w:t>they have</w:t>
      </w:r>
      <w:r w:rsidR="00FD7400">
        <w:rPr>
          <w:rFonts w:ascii="Cambria" w:hAnsi="Cambria"/>
          <w:sz w:val="24"/>
          <w:szCs w:val="24"/>
        </w:rPr>
        <w:t xml:space="preserve"> ever been asked to resign a position of trust due to an incident involving a minor or sexual harassment.  This is necessary to ensure the safety of our applicants, as </w:t>
      </w:r>
      <w:r w:rsidR="00C72F8F">
        <w:rPr>
          <w:rFonts w:ascii="Cambria" w:hAnsi="Cambria"/>
          <w:sz w:val="24"/>
          <w:szCs w:val="24"/>
        </w:rPr>
        <w:t xml:space="preserve">BGOs </w:t>
      </w:r>
      <w:r w:rsidR="00FD7400">
        <w:rPr>
          <w:rFonts w:ascii="Cambria" w:hAnsi="Cambria"/>
          <w:sz w:val="24"/>
          <w:szCs w:val="24"/>
        </w:rPr>
        <w:t xml:space="preserve">will be working with and mentoring minors. </w:t>
      </w:r>
    </w:p>
    <w:p w:rsidR="003836D9" w:rsidP="00441520" w14:paraId="34543BFB" w14:textId="1E8DD17F">
      <w:pPr>
        <w:spacing w:after="0" w:line="240" w:lineRule="auto"/>
        <w:rPr>
          <w:rFonts w:ascii="Cambria" w:hAnsi="Cambria"/>
          <w:sz w:val="24"/>
          <w:szCs w:val="24"/>
        </w:rPr>
      </w:pPr>
    </w:p>
    <w:p w:rsidR="003836D9" w:rsidP="00A646CC" w14:paraId="41AAA949" w14:textId="1191D3E6">
      <w:pPr>
        <w:spacing w:after="0" w:line="240" w:lineRule="auto"/>
        <w:rPr>
          <w:rFonts w:ascii="Cambria" w:hAnsi="Cambria"/>
          <w:sz w:val="24"/>
          <w:szCs w:val="24"/>
        </w:rPr>
      </w:pPr>
      <w:r>
        <w:rPr>
          <w:rFonts w:ascii="Cambria" w:hAnsi="Cambria"/>
          <w:sz w:val="24"/>
          <w:szCs w:val="24"/>
        </w:rPr>
        <w:t>Race and ethnicity is collected consistent with OMB policies.</w:t>
      </w:r>
      <w:r w:rsidR="003D4A26">
        <w:rPr>
          <w:rFonts w:ascii="Cambria" w:hAnsi="Cambria"/>
          <w:sz w:val="24"/>
          <w:szCs w:val="24"/>
        </w:rPr>
        <w:t xml:space="preserve">  </w:t>
      </w:r>
      <w:r w:rsidRPr="003D4A26" w:rsidR="003D4A26">
        <w:rPr>
          <w:rFonts w:ascii="Cambria" w:hAnsi="Cambria"/>
          <w:sz w:val="24"/>
          <w:szCs w:val="24"/>
        </w:rPr>
        <w:t>America's Navy values diversity, equality and inclusivity</w:t>
      </w:r>
      <w:r w:rsidR="0040484E">
        <w:rPr>
          <w:rFonts w:ascii="Cambria" w:hAnsi="Cambria"/>
          <w:sz w:val="24"/>
          <w:szCs w:val="24"/>
        </w:rPr>
        <w:t xml:space="preserve">, </w:t>
      </w:r>
      <w:r w:rsidRPr="003D4A26" w:rsidR="003D4A26">
        <w:rPr>
          <w:rFonts w:ascii="Cambria" w:hAnsi="Cambria"/>
          <w:sz w:val="24"/>
          <w:szCs w:val="24"/>
        </w:rPr>
        <w:t xml:space="preserve">striving to build a community of service members who accurately reflect the rich makeup of our country.  The BGOs are the local community face of the Naval Academy and ultimately the Navy. </w:t>
      </w:r>
      <w:r w:rsidR="003D4A26">
        <w:rPr>
          <w:rFonts w:ascii="Cambria" w:hAnsi="Cambria"/>
          <w:sz w:val="24"/>
          <w:szCs w:val="24"/>
        </w:rPr>
        <w:t xml:space="preserve"> </w:t>
      </w:r>
      <w:r w:rsidRPr="003D4A26" w:rsidR="003D4A26">
        <w:rPr>
          <w:rFonts w:ascii="Cambria" w:hAnsi="Cambria"/>
          <w:sz w:val="24"/>
          <w:szCs w:val="24"/>
        </w:rPr>
        <w:t xml:space="preserve">A critical step in achieving a diverse group of qualified applicants is ensuring our local representatives, BGOs, reflect the diversity we strive to attain. </w:t>
      </w:r>
      <w:r w:rsidR="0040484E">
        <w:rPr>
          <w:rFonts w:ascii="Cambria" w:hAnsi="Cambria"/>
          <w:sz w:val="24"/>
          <w:szCs w:val="24"/>
        </w:rPr>
        <w:t xml:space="preserve"> </w:t>
      </w:r>
      <w:r w:rsidRPr="003D4A26" w:rsidR="003D4A26">
        <w:rPr>
          <w:rFonts w:ascii="Cambria" w:hAnsi="Cambria"/>
          <w:sz w:val="24"/>
          <w:szCs w:val="24"/>
        </w:rPr>
        <w:t>Collecting race and ethnicity data from the BGO applicants allows the Naval Academy to ensure our local representatives reflect the rich makeup of th</w:t>
      </w:r>
      <w:r w:rsidR="00C72F8F">
        <w:rPr>
          <w:rFonts w:ascii="Cambria" w:hAnsi="Cambria"/>
          <w:sz w:val="24"/>
          <w:szCs w:val="24"/>
        </w:rPr>
        <w:t>e c</w:t>
      </w:r>
      <w:r w:rsidRPr="003D4A26" w:rsidR="003D4A26">
        <w:rPr>
          <w:rFonts w:ascii="Cambria" w:hAnsi="Cambria"/>
          <w:sz w:val="24"/>
          <w:szCs w:val="24"/>
        </w:rPr>
        <w:t>ountry.</w:t>
      </w:r>
      <w:r w:rsidR="00C72F8F">
        <w:rPr>
          <w:rFonts w:ascii="Cambria" w:hAnsi="Cambria"/>
          <w:sz w:val="24"/>
          <w:szCs w:val="24"/>
        </w:rPr>
        <w:t xml:space="preserve">  </w:t>
      </w:r>
      <w:r w:rsidRPr="00C72F8F" w:rsidR="00C72F8F">
        <w:rPr>
          <w:rFonts w:ascii="Cambria" w:hAnsi="Cambria"/>
          <w:sz w:val="24"/>
          <w:szCs w:val="24"/>
        </w:rPr>
        <w:t>Without this data, populatio</w:t>
      </w:r>
      <w:r w:rsidR="00C72F8F">
        <w:rPr>
          <w:rFonts w:ascii="Cambria" w:hAnsi="Cambria"/>
          <w:sz w:val="24"/>
          <w:szCs w:val="24"/>
        </w:rPr>
        <w:t>ns could be underrepresented,</w:t>
      </w:r>
      <w:r w:rsidRPr="00C72F8F" w:rsidR="00C72F8F">
        <w:rPr>
          <w:rFonts w:ascii="Cambria" w:hAnsi="Cambria"/>
          <w:sz w:val="24"/>
          <w:szCs w:val="24"/>
        </w:rPr>
        <w:t xml:space="preserve"> lead</w:t>
      </w:r>
      <w:r w:rsidR="00C72F8F">
        <w:rPr>
          <w:rFonts w:ascii="Cambria" w:hAnsi="Cambria"/>
          <w:sz w:val="24"/>
          <w:szCs w:val="24"/>
        </w:rPr>
        <w:t>ing</w:t>
      </w:r>
      <w:r w:rsidRPr="00C72F8F" w:rsidR="00C72F8F">
        <w:rPr>
          <w:rFonts w:ascii="Cambria" w:hAnsi="Cambria"/>
          <w:sz w:val="24"/>
          <w:szCs w:val="24"/>
        </w:rPr>
        <w:t xml:space="preserve"> to a lack of diversity in the </w:t>
      </w:r>
      <w:r w:rsidR="00C72F8F">
        <w:rPr>
          <w:rFonts w:ascii="Cambria" w:hAnsi="Cambria"/>
          <w:sz w:val="24"/>
          <w:szCs w:val="24"/>
        </w:rPr>
        <w:t xml:space="preserve">BGO population which could in turn </w:t>
      </w:r>
      <w:r w:rsidRPr="00C72F8F" w:rsidR="00C72F8F">
        <w:rPr>
          <w:rFonts w:ascii="Cambria" w:hAnsi="Cambria"/>
          <w:sz w:val="24"/>
          <w:szCs w:val="24"/>
        </w:rPr>
        <w:t>lead to a less diverse candidate pool and Navy.</w:t>
      </w:r>
    </w:p>
    <w:p w:rsidR="00E8789E" w:rsidP="00337EF1" w14:paraId="491AAB91" w14:textId="77777777">
      <w:pPr>
        <w:spacing w:after="0" w:line="240" w:lineRule="auto"/>
        <w:rPr>
          <w:rFonts w:asciiTheme="majorHAnsi" w:hAnsiTheme="majorHAnsi"/>
          <w:sz w:val="24"/>
        </w:rPr>
      </w:pPr>
    </w:p>
    <w:p w:rsidR="00E8789E" w:rsidP="00E8789E" w14:paraId="1F34C6C6" w14:textId="77777777">
      <w:pPr>
        <w:spacing w:after="0" w:line="240" w:lineRule="auto"/>
        <w:rPr>
          <w:rFonts w:ascii="Cambria" w:eastAsia="Cambria" w:hAnsi="Cambria" w:cs="Cambria"/>
          <w:sz w:val="24"/>
          <w:szCs w:val="24"/>
        </w:rPr>
      </w:pPr>
      <w:r>
        <w:rPr>
          <w:rFonts w:ascii="Cambria" w:eastAsia="Cambria" w:hAnsi="Cambria" w:cs="Cambria"/>
          <w:sz w:val="24"/>
          <w:szCs w:val="24"/>
        </w:rPr>
        <w:t xml:space="preserve">12. </w:t>
      </w:r>
      <w:r>
        <w:rPr>
          <w:rFonts w:ascii="Cambria" w:eastAsia="Cambria" w:hAnsi="Cambria" w:cs="Cambria"/>
          <w:sz w:val="24"/>
          <w:szCs w:val="24"/>
        </w:rPr>
        <w:tab/>
      </w:r>
      <w:r>
        <w:rPr>
          <w:rFonts w:ascii="Cambria" w:eastAsia="Cambria" w:hAnsi="Cambria" w:cs="Cambria"/>
          <w:sz w:val="24"/>
          <w:szCs w:val="24"/>
          <w:u w:val="single"/>
        </w:rPr>
        <w:t>Respondent Burden and its Labor Costs</w:t>
      </w:r>
    </w:p>
    <w:p w:rsidR="00272C8E" w:rsidRPr="00272C8E" w:rsidP="00272C8E" w14:paraId="59449777" w14:textId="5A9386C6">
      <w:pPr>
        <w:spacing w:before="100" w:beforeAutospacing="1" w:after="0" w:line="288" w:lineRule="atLeast"/>
        <w:rPr>
          <w:rFonts w:asciiTheme="majorHAnsi" w:hAnsiTheme="majorHAnsi"/>
          <w:sz w:val="24"/>
        </w:rPr>
      </w:pPr>
      <w:r w:rsidRPr="00272C8E">
        <w:rPr>
          <w:rFonts w:asciiTheme="majorHAnsi" w:hAnsiTheme="majorHAnsi"/>
          <w:sz w:val="24"/>
        </w:rPr>
        <w:t>Part A: ESTIMATION OF RESPONDENT BURDEN</w:t>
      </w:r>
    </w:p>
    <w:p w:rsidR="00272C8E" w:rsidRPr="00272C8E" w:rsidP="00272C8E" w14:paraId="37739CA7" w14:textId="77777777">
      <w:pPr>
        <w:spacing w:after="0" w:line="240" w:lineRule="auto"/>
        <w:rPr>
          <w:rFonts w:asciiTheme="majorHAnsi" w:hAnsiTheme="majorHAnsi"/>
          <w:i/>
          <w:sz w:val="24"/>
        </w:rPr>
      </w:pPr>
    </w:p>
    <w:p w:rsidR="00272C8E" w:rsidRPr="00272C8E" w:rsidP="00272C8E" w14:paraId="694D8623" w14:textId="77777777">
      <w:pPr>
        <w:numPr>
          <w:ilvl w:val="0"/>
          <w:numId w:val="14"/>
        </w:numPr>
        <w:spacing w:after="0" w:line="240" w:lineRule="auto"/>
        <w:contextualSpacing/>
        <w:rPr>
          <w:rFonts w:asciiTheme="majorHAnsi" w:hAnsiTheme="majorHAnsi"/>
          <w:sz w:val="24"/>
        </w:rPr>
      </w:pPr>
      <w:r w:rsidRPr="00272C8E">
        <w:rPr>
          <w:rFonts w:asciiTheme="majorHAnsi" w:hAnsiTheme="majorHAnsi"/>
          <w:sz w:val="24"/>
        </w:rPr>
        <w:t>Collection Instrument</w:t>
      </w:r>
    </w:p>
    <w:p w:rsidR="00272C8E" w:rsidRPr="00272C8E" w:rsidP="00272C8E" w14:paraId="5E1FD3E4" w14:textId="77777777">
      <w:pPr>
        <w:spacing w:after="0" w:line="240" w:lineRule="auto"/>
        <w:ind w:left="720"/>
        <w:contextualSpacing/>
        <w:rPr>
          <w:rFonts w:asciiTheme="majorHAnsi" w:hAnsiTheme="majorHAnsi"/>
          <w:sz w:val="24"/>
        </w:rPr>
      </w:pPr>
      <w:r w:rsidRPr="00272C8E">
        <w:rPr>
          <w:rFonts w:asciiTheme="majorHAnsi" w:hAnsiTheme="majorHAnsi"/>
          <w:sz w:val="24"/>
        </w:rPr>
        <w:t>Blue and Gold Officer Application (USNA 1531/1)</w:t>
      </w:r>
    </w:p>
    <w:p w:rsidR="00272C8E" w:rsidRPr="00272C8E" w:rsidP="00272C8E" w14:paraId="0610B03E" w14:textId="77777777">
      <w:pPr>
        <w:numPr>
          <w:ilvl w:val="0"/>
          <w:numId w:val="15"/>
        </w:numPr>
        <w:spacing w:after="0" w:line="240" w:lineRule="auto"/>
        <w:contextualSpacing/>
        <w:rPr>
          <w:rFonts w:asciiTheme="majorHAnsi" w:hAnsiTheme="majorHAnsi"/>
          <w:sz w:val="24"/>
        </w:rPr>
      </w:pPr>
      <w:r w:rsidRPr="00272C8E">
        <w:rPr>
          <w:rFonts w:asciiTheme="majorHAnsi" w:hAnsiTheme="majorHAnsi"/>
          <w:sz w:val="24"/>
        </w:rPr>
        <w:t>Number of Respondents: 250</w:t>
      </w:r>
    </w:p>
    <w:p w:rsidR="00272C8E" w:rsidRPr="00272C8E" w:rsidP="00272C8E" w14:paraId="4945E8E7" w14:textId="77777777">
      <w:pPr>
        <w:numPr>
          <w:ilvl w:val="0"/>
          <w:numId w:val="15"/>
        </w:numPr>
        <w:spacing w:after="0" w:line="240" w:lineRule="auto"/>
        <w:contextualSpacing/>
        <w:rPr>
          <w:rFonts w:asciiTheme="majorHAnsi" w:hAnsiTheme="majorHAnsi"/>
          <w:sz w:val="24"/>
        </w:rPr>
      </w:pPr>
      <w:r w:rsidRPr="00272C8E">
        <w:rPr>
          <w:rFonts w:asciiTheme="majorHAnsi" w:hAnsiTheme="majorHAnsi"/>
          <w:sz w:val="24"/>
        </w:rPr>
        <w:t>Number of Responses Per Respondent: 1</w:t>
      </w:r>
    </w:p>
    <w:p w:rsidR="00272C8E" w:rsidRPr="00272C8E" w:rsidP="00272C8E" w14:paraId="1A04D078" w14:textId="77777777">
      <w:pPr>
        <w:numPr>
          <w:ilvl w:val="0"/>
          <w:numId w:val="15"/>
        </w:numPr>
        <w:spacing w:after="0" w:line="240" w:lineRule="auto"/>
        <w:contextualSpacing/>
        <w:rPr>
          <w:rFonts w:asciiTheme="majorHAnsi" w:hAnsiTheme="majorHAnsi"/>
          <w:sz w:val="24"/>
        </w:rPr>
      </w:pPr>
      <w:r w:rsidRPr="00272C8E">
        <w:rPr>
          <w:rFonts w:asciiTheme="majorHAnsi" w:hAnsiTheme="majorHAnsi"/>
          <w:sz w:val="24"/>
        </w:rPr>
        <w:t>Number of Total Annual Responses: 250</w:t>
      </w:r>
    </w:p>
    <w:p w:rsidR="00272C8E" w:rsidRPr="00272C8E" w:rsidP="00272C8E" w14:paraId="45BE4A4F" w14:textId="227ADEFF">
      <w:pPr>
        <w:numPr>
          <w:ilvl w:val="0"/>
          <w:numId w:val="15"/>
        </w:numPr>
        <w:spacing w:after="0" w:line="240" w:lineRule="auto"/>
        <w:contextualSpacing/>
        <w:rPr>
          <w:rFonts w:asciiTheme="majorHAnsi" w:hAnsiTheme="majorHAnsi"/>
          <w:sz w:val="24"/>
        </w:rPr>
      </w:pPr>
      <w:r w:rsidRPr="00272C8E">
        <w:rPr>
          <w:rFonts w:asciiTheme="majorHAnsi" w:hAnsiTheme="majorHAnsi"/>
          <w:sz w:val="24"/>
        </w:rPr>
        <w:t xml:space="preserve">Response Time: </w:t>
      </w:r>
      <w:r w:rsidR="00515403">
        <w:rPr>
          <w:rFonts w:asciiTheme="majorHAnsi" w:hAnsiTheme="majorHAnsi"/>
          <w:sz w:val="24"/>
        </w:rPr>
        <w:t>3</w:t>
      </w:r>
      <w:r w:rsidRPr="00272C8E">
        <w:rPr>
          <w:rFonts w:asciiTheme="majorHAnsi" w:hAnsiTheme="majorHAnsi"/>
          <w:sz w:val="24"/>
        </w:rPr>
        <w:t>0 minutes</w:t>
      </w:r>
    </w:p>
    <w:p w:rsidR="00272C8E" w:rsidRPr="00272C8E" w:rsidP="00272C8E" w14:paraId="303593D0" w14:textId="5EC99834">
      <w:pPr>
        <w:numPr>
          <w:ilvl w:val="0"/>
          <w:numId w:val="15"/>
        </w:numPr>
        <w:spacing w:after="0" w:line="240" w:lineRule="auto"/>
        <w:contextualSpacing/>
        <w:rPr>
          <w:rFonts w:asciiTheme="majorHAnsi" w:hAnsiTheme="majorHAnsi"/>
          <w:sz w:val="24"/>
        </w:rPr>
      </w:pPr>
      <w:r w:rsidRPr="00272C8E">
        <w:rPr>
          <w:rFonts w:asciiTheme="majorHAnsi" w:hAnsiTheme="majorHAnsi"/>
          <w:sz w:val="24"/>
        </w:rPr>
        <w:t xml:space="preserve">Respondent Burden Hours: </w:t>
      </w:r>
      <w:r w:rsidR="00515403">
        <w:rPr>
          <w:rFonts w:asciiTheme="majorHAnsi" w:hAnsiTheme="majorHAnsi"/>
          <w:sz w:val="24"/>
        </w:rPr>
        <w:t>125</w:t>
      </w:r>
      <w:r w:rsidRPr="00272C8E">
        <w:rPr>
          <w:rFonts w:asciiTheme="majorHAnsi" w:hAnsiTheme="majorHAnsi"/>
          <w:sz w:val="24"/>
        </w:rPr>
        <w:t xml:space="preserve"> hours </w:t>
      </w:r>
    </w:p>
    <w:p w:rsidR="00272C8E" w:rsidRPr="00272C8E" w:rsidP="00272C8E" w14:paraId="1274679C" w14:textId="77777777">
      <w:pPr>
        <w:spacing w:after="0" w:line="240" w:lineRule="auto"/>
        <w:ind w:left="1440"/>
        <w:contextualSpacing/>
        <w:rPr>
          <w:rFonts w:asciiTheme="majorHAnsi" w:hAnsiTheme="majorHAnsi"/>
          <w:sz w:val="24"/>
        </w:rPr>
      </w:pPr>
    </w:p>
    <w:p w:rsidR="00272C8E" w:rsidRPr="00272C8E" w:rsidP="00272C8E" w14:paraId="16B7855F" w14:textId="77777777">
      <w:pPr>
        <w:numPr>
          <w:ilvl w:val="0"/>
          <w:numId w:val="14"/>
        </w:numPr>
        <w:spacing w:after="0" w:line="240" w:lineRule="auto"/>
        <w:contextualSpacing/>
        <w:rPr>
          <w:rFonts w:asciiTheme="majorHAnsi" w:hAnsiTheme="majorHAnsi"/>
          <w:sz w:val="24"/>
        </w:rPr>
      </w:pPr>
      <w:r w:rsidRPr="00272C8E">
        <w:rPr>
          <w:rFonts w:asciiTheme="majorHAnsi" w:hAnsiTheme="majorHAnsi"/>
          <w:sz w:val="24"/>
        </w:rPr>
        <w:t>Total Submission Burden</w:t>
      </w:r>
    </w:p>
    <w:p w:rsidR="00272C8E" w:rsidRPr="00272C8E" w:rsidP="00272C8E" w14:paraId="19843BBF" w14:textId="77777777">
      <w:pPr>
        <w:numPr>
          <w:ilvl w:val="1"/>
          <w:numId w:val="14"/>
        </w:numPr>
        <w:spacing w:after="0" w:line="240" w:lineRule="auto"/>
        <w:contextualSpacing/>
        <w:rPr>
          <w:rFonts w:asciiTheme="majorHAnsi" w:hAnsiTheme="majorHAnsi"/>
          <w:sz w:val="24"/>
        </w:rPr>
      </w:pPr>
      <w:r w:rsidRPr="00272C8E">
        <w:rPr>
          <w:rFonts w:asciiTheme="majorHAnsi" w:hAnsiTheme="majorHAnsi"/>
          <w:sz w:val="24"/>
        </w:rPr>
        <w:t>Total Number of Respondents: 250</w:t>
      </w:r>
    </w:p>
    <w:p w:rsidR="00272C8E" w:rsidRPr="00272C8E" w:rsidP="00272C8E" w14:paraId="00F4C4A4" w14:textId="77777777">
      <w:pPr>
        <w:numPr>
          <w:ilvl w:val="1"/>
          <w:numId w:val="14"/>
        </w:numPr>
        <w:spacing w:after="0" w:line="240" w:lineRule="auto"/>
        <w:contextualSpacing/>
        <w:rPr>
          <w:rFonts w:asciiTheme="majorHAnsi" w:hAnsiTheme="majorHAnsi"/>
          <w:sz w:val="24"/>
        </w:rPr>
      </w:pPr>
      <w:r w:rsidRPr="00272C8E">
        <w:rPr>
          <w:rFonts w:asciiTheme="majorHAnsi" w:hAnsiTheme="majorHAnsi"/>
          <w:sz w:val="24"/>
        </w:rPr>
        <w:t xml:space="preserve">Total Number of Annual Responses: 250 </w:t>
      </w:r>
    </w:p>
    <w:p w:rsidR="00272C8E" w:rsidRPr="00272C8E" w:rsidP="00272C8E" w14:paraId="4928682C" w14:textId="76E0EC3D">
      <w:pPr>
        <w:numPr>
          <w:ilvl w:val="1"/>
          <w:numId w:val="14"/>
        </w:numPr>
        <w:spacing w:after="0" w:line="240" w:lineRule="auto"/>
        <w:contextualSpacing/>
        <w:rPr>
          <w:rFonts w:asciiTheme="majorHAnsi" w:hAnsiTheme="majorHAnsi"/>
          <w:sz w:val="24"/>
        </w:rPr>
      </w:pPr>
      <w:r w:rsidRPr="00272C8E">
        <w:rPr>
          <w:rFonts w:asciiTheme="majorHAnsi" w:hAnsiTheme="majorHAnsi"/>
          <w:sz w:val="24"/>
        </w:rPr>
        <w:t xml:space="preserve">Total Respondent Burden Hours: </w:t>
      </w:r>
      <w:r w:rsidR="00515403">
        <w:rPr>
          <w:rFonts w:asciiTheme="majorHAnsi" w:hAnsiTheme="majorHAnsi"/>
          <w:sz w:val="24"/>
        </w:rPr>
        <w:t>125</w:t>
      </w:r>
      <w:r w:rsidRPr="00272C8E">
        <w:rPr>
          <w:rFonts w:asciiTheme="majorHAnsi" w:hAnsiTheme="majorHAnsi"/>
          <w:sz w:val="24"/>
        </w:rPr>
        <w:t xml:space="preserve"> hours</w:t>
      </w:r>
    </w:p>
    <w:p w:rsidR="00272C8E" w:rsidRPr="00272C8E" w:rsidP="00272C8E" w14:paraId="2E313A5A" w14:textId="77777777">
      <w:pPr>
        <w:spacing w:after="0" w:line="240" w:lineRule="auto"/>
        <w:rPr>
          <w:rFonts w:asciiTheme="majorHAnsi" w:hAnsiTheme="majorHAnsi"/>
          <w:sz w:val="24"/>
        </w:rPr>
      </w:pPr>
    </w:p>
    <w:p w:rsidR="00272C8E" w:rsidRPr="00272C8E" w:rsidP="00272C8E" w14:paraId="31984FE2" w14:textId="77777777">
      <w:pPr>
        <w:spacing w:after="0" w:line="240" w:lineRule="auto"/>
        <w:rPr>
          <w:rFonts w:asciiTheme="majorHAnsi" w:hAnsiTheme="majorHAnsi"/>
          <w:sz w:val="24"/>
        </w:rPr>
      </w:pPr>
      <w:r w:rsidRPr="00272C8E">
        <w:rPr>
          <w:rFonts w:asciiTheme="majorHAnsi" w:hAnsiTheme="majorHAnsi"/>
          <w:sz w:val="24"/>
        </w:rPr>
        <w:t>Part B: LABOR COST OF RESPONDENT BURDEN</w:t>
      </w:r>
    </w:p>
    <w:p w:rsidR="00272C8E" w:rsidRPr="00272C8E" w:rsidP="00272C8E" w14:paraId="3B3D6BFD" w14:textId="77777777">
      <w:pPr>
        <w:spacing w:after="0" w:line="240" w:lineRule="auto"/>
        <w:rPr>
          <w:rFonts w:asciiTheme="majorHAnsi" w:hAnsiTheme="majorHAnsi"/>
          <w:sz w:val="24"/>
        </w:rPr>
      </w:pPr>
    </w:p>
    <w:p w:rsidR="00272C8E" w:rsidRPr="00272C8E" w:rsidP="00272C8E" w14:paraId="3E64AF6A" w14:textId="77777777">
      <w:pPr>
        <w:numPr>
          <w:ilvl w:val="0"/>
          <w:numId w:val="16"/>
        </w:numPr>
        <w:spacing w:after="0" w:line="240" w:lineRule="auto"/>
        <w:contextualSpacing/>
        <w:rPr>
          <w:rFonts w:asciiTheme="majorHAnsi" w:hAnsiTheme="majorHAnsi"/>
          <w:sz w:val="24"/>
        </w:rPr>
      </w:pPr>
      <w:r w:rsidRPr="00272C8E">
        <w:rPr>
          <w:rFonts w:asciiTheme="majorHAnsi" w:hAnsiTheme="majorHAnsi"/>
          <w:sz w:val="24"/>
        </w:rPr>
        <w:t>Collection Instrument</w:t>
      </w:r>
    </w:p>
    <w:p w:rsidR="00272C8E" w:rsidRPr="00272C8E" w:rsidP="00272C8E" w14:paraId="37AA3B91" w14:textId="77777777">
      <w:pPr>
        <w:spacing w:after="0" w:line="240" w:lineRule="auto"/>
        <w:ind w:left="720"/>
        <w:contextualSpacing/>
        <w:rPr>
          <w:rFonts w:asciiTheme="majorHAnsi" w:hAnsiTheme="majorHAnsi"/>
          <w:sz w:val="24"/>
        </w:rPr>
      </w:pPr>
      <w:r w:rsidRPr="00272C8E">
        <w:rPr>
          <w:rFonts w:asciiTheme="majorHAnsi" w:hAnsiTheme="majorHAnsi"/>
          <w:sz w:val="24"/>
        </w:rPr>
        <w:t xml:space="preserve">Blue and Gold Officer Application (USNA 1531/1) </w:t>
      </w:r>
    </w:p>
    <w:p w:rsidR="00272C8E" w:rsidRPr="00272C8E" w:rsidP="00272C8E" w14:paraId="18BBFD26" w14:textId="77777777">
      <w:pPr>
        <w:numPr>
          <w:ilvl w:val="0"/>
          <w:numId w:val="17"/>
        </w:numPr>
        <w:spacing w:after="0" w:line="240" w:lineRule="auto"/>
        <w:contextualSpacing/>
        <w:rPr>
          <w:rFonts w:asciiTheme="majorHAnsi" w:hAnsiTheme="majorHAnsi"/>
          <w:sz w:val="24"/>
        </w:rPr>
      </w:pPr>
      <w:r w:rsidRPr="00272C8E">
        <w:rPr>
          <w:rFonts w:asciiTheme="majorHAnsi" w:hAnsiTheme="majorHAnsi"/>
          <w:sz w:val="24"/>
        </w:rPr>
        <w:t>Number of Total Annual Responses: 250</w:t>
      </w:r>
    </w:p>
    <w:p w:rsidR="00272C8E" w:rsidRPr="00272C8E" w:rsidP="00272C8E" w14:paraId="7EEB5B9D" w14:textId="2DD3C8D6">
      <w:pPr>
        <w:numPr>
          <w:ilvl w:val="0"/>
          <w:numId w:val="17"/>
        </w:numPr>
        <w:spacing w:after="0" w:line="240" w:lineRule="auto"/>
        <w:contextualSpacing/>
        <w:rPr>
          <w:rFonts w:asciiTheme="majorHAnsi" w:hAnsiTheme="majorHAnsi"/>
          <w:sz w:val="24"/>
        </w:rPr>
      </w:pPr>
      <w:r w:rsidRPr="00272C8E">
        <w:rPr>
          <w:rFonts w:asciiTheme="majorHAnsi" w:hAnsiTheme="majorHAnsi"/>
          <w:sz w:val="24"/>
        </w:rPr>
        <w:t xml:space="preserve">Response Time: </w:t>
      </w:r>
      <w:r w:rsidR="00515403">
        <w:rPr>
          <w:rFonts w:asciiTheme="majorHAnsi" w:hAnsiTheme="majorHAnsi"/>
          <w:sz w:val="24"/>
        </w:rPr>
        <w:t>3</w:t>
      </w:r>
      <w:r w:rsidRPr="00272C8E">
        <w:rPr>
          <w:rFonts w:asciiTheme="majorHAnsi" w:hAnsiTheme="majorHAnsi"/>
          <w:sz w:val="24"/>
        </w:rPr>
        <w:t>0 minutes</w:t>
      </w:r>
    </w:p>
    <w:p w:rsidR="00272C8E" w:rsidRPr="00272C8E" w:rsidP="00272C8E" w14:paraId="26269ACF" w14:textId="77777777">
      <w:pPr>
        <w:numPr>
          <w:ilvl w:val="0"/>
          <w:numId w:val="17"/>
        </w:numPr>
        <w:spacing w:after="0" w:line="240" w:lineRule="auto"/>
        <w:contextualSpacing/>
        <w:rPr>
          <w:rFonts w:asciiTheme="majorHAnsi" w:hAnsiTheme="majorHAnsi"/>
          <w:sz w:val="24"/>
        </w:rPr>
      </w:pPr>
      <w:r w:rsidRPr="00272C8E">
        <w:rPr>
          <w:rFonts w:asciiTheme="majorHAnsi" w:hAnsiTheme="majorHAnsi"/>
          <w:sz w:val="24"/>
        </w:rPr>
        <w:t>Respondent Hourly Wage: $64.70</w:t>
      </w:r>
    </w:p>
    <w:p w:rsidR="00272C8E" w:rsidRPr="00272C8E" w:rsidP="00272C8E" w14:paraId="320DCBF2" w14:textId="30CC8A24">
      <w:pPr>
        <w:numPr>
          <w:ilvl w:val="0"/>
          <w:numId w:val="17"/>
        </w:numPr>
        <w:spacing w:after="0" w:line="240" w:lineRule="auto"/>
        <w:contextualSpacing/>
        <w:rPr>
          <w:rFonts w:asciiTheme="majorHAnsi" w:hAnsiTheme="majorHAnsi"/>
          <w:sz w:val="24"/>
        </w:rPr>
      </w:pPr>
      <w:r w:rsidRPr="00272C8E">
        <w:rPr>
          <w:rFonts w:asciiTheme="majorHAnsi" w:hAnsiTheme="majorHAnsi"/>
          <w:sz w:val="24"/>
        </w:rPr>
        <w:t>Labor Burden per Response: $</w:t>
      </w:r>
      <w:r w:rsidR="00515403">
        <w:rPr>
          <w:rFonts w:asciiTheme="majorHAnsi" w:hAnsiTheme="majorHAnsi"/>
          <w:sz w:val="24"/>
        </w:rPr>
        <w:t>32.35</w:t>
      </w:r>
    </w:p>
    <w:p w:rsidR="00272C8E" w:rsidRPr="00272C8E" w:rsidP="00272C8E" w14:paraId="5655C719" w14:textId="31DC5D19">
      <w:pPr>
        <w:numPr>
          <w:ilvl w:val="0"/>
          <w:numId w:val="17"/>
        </w:numPr>
        <w:spacing w:after="0" w:line="240" w:lineRule="auto"/>
        <w:contextualSpacing/>
        <w:rPr>
          <w:rFonts w:asciiTheme="majorHAnsi" w:hAnsiTheme="majorHAnsi"/>
          <w:sz w:val="24"/>
        </w:rPr>
      </w:pPr>
      <w:r w:rsidRPr="00272C8E">
        <w:rPr>
          <w:rFonts w:asciiTheme="majorHAnsi" w:hAnsiTheme="majorHAnsi"/>
          <w:sz w:val="24"/>
        </w:rPr>
        <w:t>Total Labor Burden: $</w:t>
      </w:r>
      <w:r w:rsidR="00515403">
        <w:rPr>
          <w:rFonts w:asciiTheme="majorHAnsi" w:hAnsiTheme="majorHAnsi"/>
          <w:sz w:val="24"/>
        </w:rPr>
        <w:t>8,087.50</w:t>
      </w:r>
    </w:p>
    <w:p w:rsidR="00272C8E" w:rsidRPr="00272C8E" w:rsidP="00272C8E" w14:paraId="33C3EF29" w14:textId="77777777">
      <w:pPr>
        <w:spacing w:after="0" w:line="240" w:lineRule="auto"/>
        <w:ind w:left="1440"/>
        <w:contextualSpacing/>
        <w:rPr>
          <w:rFonts w:asciiTheme="majorHAnsi" w:hAnsiTheme="majorHAnsi"/>
          <w:sz w:val="24"/>
        </w:rPr>
      </w:pPr>
    </w:p>
    <w:p w:rsidR="00272C8E" w:rsidRPr="00272C8E" w:rsidP="00272C8E" w14:paraId="7EBAD301" w14:textId="77777777">
      <w:pPr>
        <w:numPr>
          <w:ilvl w:val="0"/>
          <w:numId w:val="16"/>
        </w:numPr>
        <w:spacing w:after="0" w:line="240" w:lineRule="auto"/>
        <w:contextualSpacing/>
        <w:rPr>
          <w:rFonts w:asciiTheme="majorHAnsi" w:hAnsiTheme="majorHAnsi"/>
          <w:sz w:val="24"/>
        </w:rPr>
      </w:pPr>
      <w:r w:rsidRPr="00272C8E">
        <w:rPr>
          <w:rFonts w:asciiTheme="majorHAnsi" w:hAnsiTheme="majorHAnsi"/>
          <w:sz w:val="24"/>
        </w:rPr>
        <w:t xml:space="preserve">Overall Labor Burden </w:t>
      </w:r>
    </w:p>
    <w:p w:rsidR="00272C8E" w:rsidRPr="00272C8E" w:rsidP="00272C8E" w14:paraId="603DC8C5" w14:textId="77777777">
      <w:pPr>
        <w:numPr>
          <w:ilvl w:val="1"/>
          <w:numId w:val="16"/>
        </w:numPr>
        <w:spacing w:after="0" w:line="240" w:lineRule="auto"/>
        <w:contextualSpacing/>
        <w:rPr>
          <w:rFonts w:asciiTheme="majorHAnsi" w:hAnsiTheme="majorHAnsi"/>
          <w:sz w:val="24"/>
        </w:rPr>
      </w:pPr>
      <w:r w:rsidRPr="00272C8E">
        <w:rPr>
          <w:rFonts w:asciiTheme="majorHAnsi" w:hAnsiTheme="majorHAnsi"/>
          <w:sz w:val="24"/>
        </w:rPr>
        <w:t>Total Number of Annual Responses: 250</w:t>
      </w:r>
    </w:p>
    <w:p w:rsidR="00272C8E" w:rsidRPr="00272C8E" w:rsidP="00272C8E" w14:paraId="3D4C0DB3" w14:textId="6DEC4FA3">
      <w:pPr>
        <w:numPr>
          <w:ilvl w:val="1"/>
          <w:numId w:val="16"/>
        </w:numPr>
        <w:spacing w:after="0" w:line="240" w:lineRule="auto"/>
        <w:contextualSpacing/>
        <w:rPr>
          <w:rFonts w:asciiTheme="majorHAnsi" w:hAnsiTheme="majorHAnsi"/>
          <w:sz w:val="24"/>
        </w:rPr>
      </w:pPr>
      <w:r w:rsidRPr="00272C8E">
        <w:rPr>
          <w:rFonts w:asciiTheme="majorHAnsi" w:hAnsiTheme="majorHAnsi"/>
          <w:sz w:val="24"/>
        </w:rPr>
        <w:t>Total Labor Burden: $</w:t>
      </w:r>
      <w:r w:rsidR="00515403">
        <w:rPr>
          <w:rFonts w:asciiTheme="majorHAnsi" w:hAnsiTheme="majorHAnsi"/>
          <w:sz w:val="24"/>
        </w:rPr>
        <w:t>8,087.50</w:t>
      </w:r>
    </w:p>
    <w:p w:rsidR="00272C8E" w:rsidRPr="00272C8E" w:rsidP="00272C8E" w14:paraId="29B66797" w14:textId="77777777">
      <w:pPr>
        <w:spacing w:after="0" w:line="240" w:lineRule="auto"/>
        <w:rPr>
          <w:rFonts w:asciiTheme="majorHAnsi" w:hAnsiTheme="majorHAnsi"/>
          <w:sz w:val="24"/>
        </w:rPr>
      </w:pPr>
    </w:p>
    <w:p w:rsidR="00E8789E" w:rsidRPr="00CE5336" w:rsidP="00272C8E" w14:paraId="75C6E873" w14:textId="55B0E458">
      <w:pPr>
        <w:spacing w:after="0" w:line="240" w:lineRule="auto"/>
        <w:rPr>
          <w:rFonts w:ascii="Cambria" w:eastAsia="Cambria" w:hAnsi="Cambria" w:cs="Cambria"/>
          <w:sz w:val="24"/>
          <w:szCs w:val="24"/>
        </w:rPr>
      </w:pPr>
      <w:r w:rsidRPr="00272C8E">
        <w:rPr>
          <w:rFonts w:asciiTheme="majorHAnsi" w:hAnsiTheme="majorHAnsi"/>
          <w:sz w:val="24"/>
        </w:rPr>
        <w:t>The Respondent hourly wage was determined by using the Bureau of Labor Statistics 2020, Occupation code 11-3121 Human Resources Managers (</w:t>
      </w:r>
      <w:hyperlink r:id="rId17" w:history="1">
        <w:r w:rsidRPr="00272C8E">
          <w:rPr>
            <w:rFonts w:asciiTheme="majorHAnsi" w:hAnsiTheme="majorHAnsi"/>
            <w:color w:val="0000FF" w:themeColor="hyperlink"/>
            <w:sz w:val="24"/>
            <w:u w:val="single"/>
          </w:rPr>
          <w:t>https://www.bls.gov/oes/current/oes113121.htm</w:t>
        </w:r>
      </w:hyperlink>
      <w:r w:rsidRPr="00272C8E">
        <w:rPr>
          <w:rFonts w:asciiTheme="majorHAnsi" w:hAnsiTheme="majorHAnsi"/>
          <w:sz w:val="24"/>
        </w:rPr>
        <w:t>).</w:t>
      </w:r>
    </w:p>
    <w:p w:rsidR="00E8789E" w:rsidP="00E8789E" w14:paraId="6AD08015" w14:textId="77777777">
      <w:pPr>
        <w:spacing w:after="0" w:line="240" w:lineRule="auto"/>
        <w:rPr>
          <w:rFonts w:ascii="Cambria" w:eastAsia="Cambria" w:hAnsi="Cambria" w:cs="Cambria"/>
          <w:sz w:val="24"/>
          <w:szCs w:val="24"/>
        </w:rPr>
      </w:pPr>
    </w:p>
    <w:p w:rsidR="00E8789E" w:rsidP="00E8789E" w14:paraId="5BCE8CA7" w14:textId="77777777">
      <w:pPr>
        <w:spacing w:after="0" w:line="240" w:lineRule="auto"/>
        <w:rPr>
          <w:rFonts w:ascii="Cambria" w:eastAsia="Cambria" w:hAnsi="Cambria" w:cs="Cambria"/>
          <w:sz w:val="24"/>
          <w:szCs w:val="24"/>
        </w:rPr>
      </w:pPr>
      <w:r>
        <w:rPr>
          <w:rFonts w:ascii="Cambria" w:eastAsia="Cambria" w:hAnsi="Cambria" w:cs="Cambria"/>
          <w:sz w:val="24"/>
          <w:szCs w:val="24"/>
        </w:rPr>
        <w:t>13.</w:t>
      </w:r>
      <w:r>
        <w:rPr>
          <w:rFonts w:ascii="Cambria" w:eastAsia="Cambria" w:hAnsi="Cambria" w:cs="Cambria"/>
          <w:sz w:val="24"/>
          <w:szCs w:val="24"/>
        </w:rPr>
        <w:tab/>
      </w:r>
      <w:r>
        <w:rPr>
          <w:rFonts w:ascii="Cambria" w:eastAsia="Cambria" w:hAnsi="Cambria" w:cs="Cambria"/>
          <w:sz w:val="24"/>
          <w:szCs w:val="24"/>
          <w:u w:val="single"/>
        </w:rPr>
        <w:t>Respondent Costs Other Than Burden Hour Costs</w:t>
      </w:r>
    </w:p>
    <w:p w:rsidR="00E8789E" w:rsidP="00272A13" w14:paraId="1DF6D995" w14:textId="69B07D61">
      <w:pPr>
        <w:spacing w:after="0" w:line="240" w:lineRule="auto"/>
        <w:rPr>
          <w:rFonts w:ascii="Cambria" w:hAnsi="Cambria" w:cs="Times New Roman"/>
          <w:sz w:val="24"/>
        </w:rPr>
      </w:pPr>
      <w:r w:rsidRPr="00D9480E">
        <w:rPr>
          <w:rFonts w:ascii="Cambria" w:hAnsi="Cambria" w:cs="Times New Roman"/>
          <w:sz w:val="24"/>
        </w:rPr>
        <w:t>There are no annualized costs to respondents other than the labor burden costs addressed in Section 12 of this document to complete this collection.</w:t>
      </w:r>
    </w:p>
    <w:p w:rsidR="00E8789E" w:rsidP="00E8789E" w14:paraId="2205E6B9" w14:textId="77777777">
      <w:pPr>
        <w:spacing w:after="0" w:line="240" w:lineRule="auto"/>
        <w:ind w:firstLine="720"/>
        <w:rPr>
          <w:rFonts w:ascii="Cambria" w:hAnsi="Cambria" w:cs="Times New Roman"/>
          <w:sz w:val="24"/>
        </w:rPr>
      </w:pPr>
    </w:p>
    <w:p w:rsidR="007832B2" w:rsidP="007832B2" w14:paraId="57710685" w14:textId="77777777">
      <w:pPr>
        <w:spacing w:after="0" w:line="240" w:lineRule="auto"/>
        <w:rPr>
          <w:rFonts w:ascii="Cambria" w:eastAsia="Cambria" w:hAnsi="Cambria" w:cs="Cambria"/>
          <w:sz w:val="24"/>
          <w:szCs w:val="24"/>
        </w:rPr>
      </w:pPr>
      <w:r>
        <w:rPr>
          <w:rFonts w:ascii="Cambria" w:eastAsia="Cambria" w:hAnsi="Cambria" w:cs="Cambria"/>
          <w:sz w:val="24"/>
          <w:szCs w:val="24"/>
        </w:rPr>
        <w:t xml:space="preserve">14. </w:t>
      </w:r>
      <w:r>
        <w:rPr>
          <w:rFonts w:ascii="Cambria" w:eastAsia="Cambria" w:hAnsi="Cambria" w:cs="Cambria"/>
          <w:sz w:val="24"/>
          <w:szCs w:val="24"/>
        </w:rPr>
        <w:tab/>
      </w:r>
      <w:r>
        <w:rPr>
          <w:rFonts w:ascii="Cambria" w:eastAsia="Cambria" w:hAnsi="Cambria" w:cs="Cambria"/>
          <w:sz w:val="24"/>
          <w:szCs w:val="24"/>
          <w:u w:val="single"/>
        </w:rPr>
        <w:t>Cost to the Federal Government</w:t>
      </w:r>
    </w:p>
    <w:p w:rsidR="007832B2" w:rsidP="007832B2" w14:paraId="261408D1" w14:textId="77777777">
      <w:pPr>
        <w:spacing w:after="0" w:line="240" w:lineRule="auto"/>
        <w:rPr>
          <w:rFonts w:ascii="Cambria" w:eastAsia="Cambria" w:hAnsi="Cambria" w:cs="Cambria"/>
          <w:sz w:val="24"/>
          <w:szCs w:val="24"/>
        </w:rPr>
      </w:pPr>
    </w:p>
    <w:p w:rsidR="00272C8E" w:rsidRPr="00272C8E" w:rsidP="00272C8E" w14:paraId="4A774ACF" w14:textId="77777777">
      <w:pPr>
        <w:spacing w:after="0" w:line="240" w:lineRule="auto"/>
        <w:rPr>
          <w:rFonts w:asciiTheme="majorHAnsi" w:hAnsiTheme="majorHAnsi"/>
          <w:sz w:val="24"/>
        </w:rPr>
      </w:pPr>
      <w:r w:rsidRPr="00272C8E">
        <w:rPr>
          <w:rFonts w:asciiTheme="majorHAnsi" w:hAnsiTheme="majorHAnsi"/>
          <w:sz w:val="24"/>
        </w:rPr>
        <w:t>Part A: LABOR COST TO THE FEDERAL GOVERNMENT</w:t>
      </w:r>
    </w:p>
    <w:p w:rsidR="00272C8E" w:rsidRPr="00272C8E" w:rsidP="00272C8E" w14:paraId="5D7DB679" w14:textId="77777777">
      <w:pPr>
        <w:spacing w:after="0" w:line="240" w:lineRule="auto"/>
        <w:ind w:left="720"/>
        <w:contextualSpacing/>
        <w:rPr>
          <w:rFonts w:asciiTheme="majorHAnsi" w:hAnsiTheme="majorHAnsi"/>
          <w:sz w:val="24"/>
        </w:rPr>
      </w:pPr>
    </w:p>
    <w:p w:rsidR="00272C8E" w:rsidRPr="00272C8E" w:rsidP="00272C8E" w14:paraId="3ACE208A" w14:textId="77777777">
      <w:pPr>
        <w:numPr>
          <w:ilvl w:val="0"/>
          <w:numId w:val="18"/>
        </w:numPr>
        <w:spacing w:after="0" w:line="240" w:lineRule="auto"/>
        <w:contextualSpacing/>
        <w:rPr>
          <w:rFonts w:asciiTheme="majorHAnsi" w:hAnsiTheme="majorHAnsi"/>
          <w:sz w:val="24"/>
        </w:rPr>
      </w:pPr>
      <w:r w:rsidRPr="00272C8E">
        <w:rPr>
          <w:rFonts w:asciiTheme="majorHAnsi" w:hAnsiTheme="majorHAnsi"/>
          <w:sz w:val="24"/>
        </w:rPr>
        <w:t>Collection Instrument</w:t>
      </w:r>
    </w:p>
    <w:p w:rsidR="00272C8E" w:rsidRPr="00272C8E" w:rsidP="00272C8E" w14:paraId="10C32D25" w14:textId="77777777">
      <w:pPr>
        <w:spacing w:after="0" w:line="240" w:lineRule="auto"/>
        <w:ind w:left="720"/>
        <w:contextualSpacing/>
        <w:rPr>
          <w:rFonts w:asciiTheme="majorHAnsi" w:hAnsiTheme="majorHAnsi"/>
          <w:sz w:val="24"/>
        </w:rPr>
      </w:pPr>
      <w:r w:rsidRPr="00272C8E">
        <w:rPr>
          <w:rFonts w:asciiTheme="majorHAnsi" w:hAnsiTheme="majorHAnsi"/>
          <w:sz w:val="24"/>
        </w:rPr>
        <w:t xml:space="preserve">Blue and Gold Officer Application (USNA 1531/1) </w:t>
      </w:r>
    </w:p>
    <w:p w:rsidR="00272C8E" w:rsidRPr="00272C8E" w:rsidP="00272C8E" w14:paraId="2AA7A435" w14:textId="77777777">
      <w:pPr>
        <w:numPr>
          <w:ilvl w:val="0"/>
          <w:numId w:val="19"/>
        </w:numPr>
        <w:spacing w:after="0" w:line="240" w:lineRule="auto"/>
        <w:contextualSpacing/>
        <w:rPr>
          <w:rFonts w:asciiTheme="majorHAnsi" w:hAnsiTheme="majorHAnsi"/>
          <w:sz w:val="24"/>
        </w:rPr>
      </w:pPr>
      <w:r w:rsidRPr="00272C8E">
        <w:rPr>
          <w:rFonts w:asciiTheme="majorHAnsi" w:hAnsiTheme="majorHAnsi"/>
          <w:sz w:val="24"/>
        </w:rPr>
        <w:t>Number of Total Annual Responses: 250</w:t>
      </w:r>
    </w:p>
    <w:p w:rsidR="00272C8E" w:rsidRPr="00272C8E" w:rsidP="00272C8E" w14:paraId="7C534ED5" w14:textId="38AFBE00">
      <w:pPr>
        <w:numPr>
          <w:ilvl w:val="0"/>
          <w:numId w:val="19"/>
        </w:numPr>
        <w:spacing w:after="0" w:line="240" w:lineRule="auto"/>
        <w:contextualSpacing/>
        <w:rPr>
          <w:rFonts w:asciiTheme="majorHAnsi" w:hAnsiTheme="majorHAnsi"/>
          <w:sz w:val="24"/>
        </w:rPr>
      </w:pPr>
      <w:r w:rsidRPr="00272C8E">
        <w:rPr>
          <w:rFonts w:asciiTheme="majorHAnsi" w:hAnsiTheme="majorHAnsi"/>
          <w:sz w:val="24"/>
        </w:rPr>
        <w:t xml:space="preserve">Processing Time per Response: </w:t>
      </w:r>
      <w:r w:rsidR="00515403">
        <w:rPr>
          <w:rFonts w:asciiTheme="majorHAnsi" w:hAnsiTheme="majorHAnsi"/>
          <w:sz w:val="24"/>
        </w:rPr>
        <w:t>1</w:t>
      </w:r>
      <w:r w:rsidRPr="00272C8E">
        <w:rPr>
          <w:rFonts w:asciiTheme="majorHAnsi" w:hAnsiTheme="majorHAnsi"/>
          <w:sz w:val="24"/>
        </w:rPr>
        <w:t xml:space="preserve"> hour</w:t>
      </w:r>
    </w:p>
    <w:p w:rsidR="00272C8E" w:rsidRPr="00272C8E" w:rsidP="00272C8E" w14:paraId="23042975" w14:textId="4918D37A">
      <w:pPr>
        <w:numPr>
          <w:ilvl w:val="0"/>
          <w:numId w:val="19"/>
        </w:numPr>
        <w:spacing w:after="0" w:line="240" w:lineRule="auto"/>
        <w:contextualSpacing/>
        <w:rPr>
          <w:rFonts w:asciiTheme="majorHAnsi" w:hAnsiTheme="majorHAnsi"/>
          <w:sz w:val="24"/>
        </w:rPr>
      </w:pPr>
      <w:r w:rsidRPr="00272C8E">
        <w:rPr>
          <w:rFonts w:asciiTheme="majorHAnsi" w:hAnsiTheme="majorHAnsi"/>
          <w:sz w:val="24"/>
        </w:rPr>
        <w:t>Hourly Wage of Worker(s) Processing Responses: $</w:t>
      </w:r>
      <w:r w:rsidR="00A81E36">
        <w:rPr>
          <w:rFonts w:asciiTheme="majorHAnsi" w:hAnsiTheme="majorHAnsi"/>
          <w:sz w:val="24"/>
        </w:rPr>
        <w:t xml:space="preserve">25.77 </w:t>
      </w:r>
    </w:p>
    <w:p w:rsidR="00272C8E" w:rsidRPr="00272C8E" w:rsidP="00272C8E" w14:paraId="71B72C84" w14:textId="5875C21D">
      <w:pPr>
        <w:numPr>
          <w:ilvl w:val="0"/>
          <w:numId w:val="19"/>
        </w:numPr>
        <w:spacing w:after="0" w:line="240" w:lineRule="auto"/>
        <w:contextualSpacing/>
        <w:rPr>
          <w:rFonts w:asciiTheme="majorHAnsi" w:hAnsiTheme="majorHAnsi"/>
          <w:sz w:val="24"/>
        </w:rPr>
      </w:pPr>
      <w:r w:rsidRPr="00272C8E">
        <w:rPr>
          <w:rFonts w:asciiTheme="majorHAnsi" w:hAnsiTheme="majorHAnsi"/>
          <w:sz w:val="24"/>
        </w:rPr>
        <w:t>Cost to Process Each Response: $</w:t>
      </w:r>
      <w:r w:rsidR="00A81E36">
        <w:rPr>
          <w:rFonts w:asciiTheme="majorHAnsi" w:hAnsiTheme="majorHAnsi"/>
          <w:sz w:val="24"/>
        </w:rPr>
        <w:t>25.77</w:t>
      </w:r>
    </w:p>
    <w:p w:rsidR="00272C8E" w:rsidRPr="00272C8E" w:rsidP="00272C8E" w14:paraId="1B33BAF1" w14:textId="38A4C7B9">
      <w:pPr>
        <w:numPr>
          <w:ilvl w:val="0"/>
          <w:numId w:val="19"/>
        </w:numPr>
        <w:spacing w:after="0" w:line="240" w:lineRule="auto"/>
        <w:contextualSpacing/>
        <w:rPr>
          <w:rFonts w:asciiTheme="majorHAnsi" w:hAnsiTheme="majorHAnsi"/>
          <w:sz w:val="24"/>
        </w:rPr>
      </w:pPr>
      <w:r w:rsidRPr="00272C8E">
        <w:rPr>
          <w:rFonts w:asciiTheme="majorHAnsi" w:hAnsiTheme="majorHAnsi"/>
          <w:sz w:val="24"/>
        </w:rPr>
        <w:t>Total Cost to Process Responses: $</w:t>
      </w:r>
      <w:r w:rsidR="00F83A5B">
        <w:rPr>
          <w:rFonts w:asciiTheme="majorHAnsi" w:hAnsiTheme="majorHAnsi"/>
          <w:sz w:val="24"/>
        </w:rPr>
        <w:t>6,442.50</w:t>
      </w:r>
    </w:p>
    <w:p w:rsidR="00272C8E" w:rsidRPr="00272C8E" w:rsidP="00272C8E" w14:paraId="2A97741D" w14:textId="77777777">
      <w:pPr>
        <w:spacing w:after="0" w:line="240" w:lineRule="auto"/>
        <w:ind w:left="1440"/>
        <w:contextualSpacing/>
        <w:rPr>
          <w:rFonts w:asciiTheme="majorHAnsi" w:hAnsiTheme="majorHAnsi"/>
          <w:sz w:val="24"/>
        </w:rPr>
      </w:pPr>
    </w:p>
    <w:p w:rsidR="00272C8E" w:rsidRPr="00272C8E" w:rsidP="00272C8E" w14:paraId="0F4E37BB" w14:textId="77777777">
      <w:pPr>
        <w:numPr>
          <w:ilvl w:val="0"/>
          <w:numId w:val="18"/>
        </w:numPr>
        <w:spacing w:after="0" w:line="240" w:lineRule="auto"/>
        <w:contextualSpacing/>
        <w:rPr>
          <w:rFonts w:asciiTheme="majorHAnsi" w:hAnsiTheme="majorHAnsi"/>
          <w:sz w:val="24"/>
        </w:rPr>
      </w:pPr>
      <w:r w:rsidRPr="00272C8E">
        <w:rPr>
          <w:rFonts w:asciiTheme="majorHAnsi" w:hAnsiTheme="majorHAnsi"/>
          <w:sz w:val="24"/>
        </w:rPr>
        <w:t>Overall Labor Burden to the Federal Government</w:t>
      </w:r>
    </w:p>
    <w:p w:rsidR="00272C8E" w:rsidRPr="00272C8E" w:rsidP="00272C8E" w14:paraId="46BCC771" w14:textId="77777777">
      <w:pPr>
        <w:numPr>
          <w:ilvl w:val="1"/>
          <w:numId w:val="18"/>
        </w:numPr>
        <w:spacing w:after="0" w:line="240" w:lineRule="auto"/>
        <w:contextualSpacing/>
        <w:rPr>
          <w:rFonts w:asciiTheme="majorHAnsi" w:hAnsiTheme="majorHAnsi"/>
          <w:sz w:val="24"/>
        </w:rPr>
      </w:pPr>
      <w:r w:rsidRPr="00272C8E">
        <w:rPr>
          <w:rFonts w:asciiTheme="majorHAnsi" w:hAnsiTheme="majorHAnsi"/>
          <w:sz w:val="24"/>
        </w:rPr>
        <w:t>Total Number of Annual Responses: 250</w:t>
      </w:r>
    </w:p>
    <w:p w:rsidR="00272C8E" w:rsidRPr="00272C8E" w:rsidP="00272C8E" w14:paraId="533C10F7" w14:textId="248EE158">
      <w:pPr>
        <w:numPr>
          <w:ilvl w:val="1"/>
          <w:numId w:val="18"/>
        </w:numPr>
        <w:spacing w:after="0" w:line="240" w:lineRule="auto"/>
        <w:contextualSpacing/>
        <w:rPr>
          <w:rFonts w:asciiTheme="majorHAnsi" w:hAnsiTheme="majorHAnsi"/>
          <w:sz w:val="24"/>
        </w:rPr>
      </w:pPr>
      <w:r w:rsidRPr="00272C8E">
        <w:rPr>
          <w:rFonts w:asciiTheme="majorHAnsi" w:hAnsiTheme="majorHAnsi"/>
          <w:sz w:val="24"/>
        </w:rPr>
        <w:t>Total Labor Burden:</w:t>
      </w:r>
      <w:r w:rsidRPr="00272C8E">
        <w:rPr>
          <w:rFonts w:asciiTheme="majorHAnsi" w:hAnsiTheme="majorHAnsi"/>
          <w:i/>
          <w:sz w:val="24"/>
        </w:rPr>
        <w:t xml:space="preserve"> </w:t>
      </w:r>
      <w:r w:rsidRPr="00272C8E">
        <w:rPr>
          <w:rFonts w:asciiTheme="majorHAnsi" w:hAnsiTheme="majorHAnsi"/>
          <w:sz w:val="24"/>
        </w:rPr>
        <w:t>$</w:t>
      </w:r>
      <w:r w:rsidR="00A81E36">
        <w:rPr>
          <w:rFonts w:asciiTheme="majorHAnsi" w:hAnsiTheme="majorHAnsi"/>
          <w:sz w:val="24"/>
        </w:rPr>
        <w:t>6,44</w:t>
      </w:r>
      <w:r w:rsidR="001C2ED9">
        <w:rPr>
          <w:rFonts w:asciiTheme="majorHAnsi" w:hAnsiTheme="majorHAnsi"/>
          <w:sz w:val="24"/>
        </w:rPr>
        <w:t>2.50</w:t>
      </w:r>
    </w:p>
    <w:p w:rsidR="00325E3E" w:rsidP="00272C8E" w14:paraId="1BF3CFA9" w14:textId="77777777">
      <w:pPr>
        <w:spacing w:after="0" w:line="240" w:lineRule="auto"/>
        <w:rPr>
          <w:rFonts w:asciiTheme="majorHAnsi" w:hAnsiTheme="majorHAnsi"/>
          <w:sz w:val="24"/>
        </w:rPr>
      </w:pPr>
    </w:p>
    <w:p w:rsidR="00272C8E" w:rsidRPr="00272C8E" w:rsidP="00272C8E" w14:paraId="4263C88B" w14:textId="77777777">
      <w:pPr>
        <w:spacing w:after="0" w:line="240" w:lineRule="auto"/>
        <w:rPr>
          <w:rFonts w:asciiTheme="majorHAnsi" w:hAnsiTheme="majorHAnsi"/>
          <w:sz w:val="24"/>
        </w:rPr>
      </w:pPr>
      <w:r>
        <w:rPr>
          <w:rFonts w:asciiTheme="majorHAnsi" w:hAnsiTheme="majorHAnsi"/>
          <w:sz w:val="24"/>
        </w:rPr>
        <w:t xml:space="preserve">(Basic Pay LT 4 years according to 2022 Military Pay Tables </w:t>
      </w:r>
      <w:hyperlink r:id="rId18" w:history="1">
        <w:r w:rsidRPr="00A81E36">
          <w:rPr>
            <w:rStyle w:val="Hyperlink"/>
            <w:rFonts w:asciiTheme="majorHAnsi" w:hAnsiTheme="majorHAnsi"/>
            <w:sz w:val="24"/>
          </w:rPr>
          <w:t>https://www.dfas.mil/Portals/98/Documents/militarymembers/militarymembers/pay-tables/2022%20Military%20Pay%20Tables.pdf</w:t>
        </w:r>
      </w:hyperlink>
      <w:r>
        <w:rPr>
          <w:rFonts w:asciiTheme="majorHAnsi" w:hAnsiTheme="majorHAnsi"/>
          <w:sz w:val="24"/>
        </w:rPr>
        <w:t>)</w:t>
      </w:r>
    </w:p>
    <w:p w:rsidR="00325E3E" w:rsidRPr="00272C8E" w:rsidP="00272C8E" w14:paraId="7F70B9B3" w14:textId="77777777">
      <w:pPr>
        <w:spacing w:after="0" w:line="240" w:lineRule="auto"/>
        <w:rPr>
          <w:rFonts w:asciiTheme="majorHAnsi" w:hAnsiTheme="majorHAnsi"/>
          <w:sz w:val="24"/>
        </w:rPr>
      </w:pPr>
    </w:p>
    <w:p w:rsidR="00272C8E" w:rsidRPr="00272C8E" w:rsidP="00272C8E" w14:paraId="09115D28" w14:textId="77777777">
      <w:pPr>
        <w:spacing w:after="0" w:line="240" w:lineRule="auto"/>
        <w:rPr>
          <w:rFonts w:asciiTheme="majorHAnsi" w:hAnsiTheme="majorHAnsi"/>
          <w:sz w:val="24"/>
        </w:rPr>
      </w:pPr>
      <w:r w:rsidRPr="00272C8E">
        <w:rPr>
          <w:rFonts w:asciiTheme="majorHAnsi" w:hAnsiTheme="majorHAnsi"/>
          <w:sz w:val="24"/>
        </w:rPr>
        <w:t>Part B: OPERATIONAL AND MAINTENANCE COSTS</w:t>
      </w:r>
    </w:p>
    <w:p w:rsidR="00272C8E" w:rsidRPr="00272C8E" w:rsidP="00272C8E" w14:paraId="7A2F8724" w14:textId="77777777">
      <w:pPr>
        <w:spacing w:after="0" w:line="240" w:lineRule="auto"/>
        <w:rPr>
          <w:rFonts w:asciiTheme="majorHAnsi" w:hAnsiTheme="majorHAnsi"/>
          <w:sz w:val="24"/>
        </w:rPr>
      </w:pPr>
    </w:p>
    <w:p w:rsidR="00272C8E" w:rsidRPr="00272C8E" w:rsidP="00272C8E" w14:paraId="0C607873" w14:textId="77777777">
      <w:pPr>
        <w:numPr>
          <w:ilvl w:val="0"/>
          <w:numId w:val="20"/>
        </w:numPr>
        <w:spacing w:after="0" w:line="240" w:lineRule="auto"/>
        <w:contextualSpacing/>
        <w:rPr>
          <w:rFonts w:asciiTheme="majorHAnsi" w:hAnsiTheme="majorHAnsi"/>
          <w:i/>
          <w:sz w:val="24"/>
        </w:rPr>
      </w:pPr>
      <w:r w:rsidRPr="00272C8E">
        <w:rPr>
          <w:rFonts w:asciiTheme="majorHAnsi" w:hAnsiTheme="majorHAnsi"/>
          <w:sz w:val="24"/>
        </w:rPr>
        <w:t>Cost Categories</w:t>
      </w:r>
    </w:p>
    <w:p w:rsidR="00272C8E" w:rsidRPr="00272C8E" w:rsidP="00272C8E" w14:paraId="6BF99DBB" w14:textId="77777777">
      <w:pPr>
        <w:numPr>
          <w:ilvl w:val="1"/>
          <w:numId w:val="20"/>
        </w:numPr>
        <w:spacing w:after="0" w:line="240" w:lineRule="auto"/>
        <w:contextualSpacing/>
        <w:rPr>
          <w:rFonts w:asciiTheme="majorHAnsi" w:hAnsiTheme="majorHAnsi"/>
          <w:i/>
          <w:sz w:val="24"/>
        </w:rPr>
      </w:pPr>
      <w:r w:rsidRPr="00272C8E">
        <w:rPr>
          <w:rFonts w:asciiTheme="majorHAnsi" w:hAnsiTheme="majorHAnsi"/>
          <w:sz w:val="24"/>
        </w:rPr>
        <w:t>Equipment: $500</w:t>
      </w:r>
    </w:p>
    <w:p w:rsidR="00272C8E" w:rsidRPr="00272C8E" w:rsidP="00272C8E" w14:paraId="6224F37C" w14:textId="77777777">
      <w:pPr>
        <w:numPr>
          <w:ilvl w:val="1"/>
          <w:numId w:val="20"/>
        </w:numPr>
        <w:spacing w:after="0" w:line="240" w:lineRule="auto"/>
        <w:contextualSpacing/>
        <w:rPr>
          <w:rFonts w:asciiTheme="majorHAnsi" w:hAnsiTheme="majorHAnsi"/>
          <w:i/>
          <w:sz w:val="24"/>
        </w:rPr>
      </w:pPr>
      <w:r w:rsidRPr="00272C8E">
        <w:rPr>
          <w:rFonts w:asciiTheme="majorHAnsi" w:hAnsiTheme="majorHAnsi"/>
          <w:sz w:val="24"/>
        </w:rPr>
        <w:t>Printing: $0</w:t>
      </w:r>
    </w:p>
    <w:p w:rsidR="00272C8E" w:rsidRPr="00272C8E" w:rsidP="00272C8E" w14:paraId="3E9DD342" w14:textId="77777777">
      <w:pPr>
        <w:numPr>
          <w:ilvl w:val="1"/>
          <w:numId w:val="20"/>
        </w:numPr>
        <w:spacing w:after="0" w:line="240" w:lineRule="auto"/>
        <w:contextualSpacing/>
        <w:rPr>
          <w:rFonts w:asciiTheme="majorHAnsi" w:hAnsiTheme="majorHAnsi"/>
          <w:i/>
          <w:sz w:val="24"/>
        </w:rPr>
      </w:pPr>
      <w:r w:rsidRPr="00272C8E">
        <w:rPr>
          <w:rFonts w:asciiTheme="majorHAnsi" w:hAnsiTheme="majorHAnsi"/>
          <w:sz w:val="24"/>
        </w:rPr>
        <w:t>Postage: $0</w:t>
      </w:r>
    </w:p>
    <w:p w:rsidR="00272C8E" w:rsidRPr="00272C8E" w:rsidP="00272C8E" w14:paraId="47BE6471" w14:textId="77777777">
      <w:pPr>
        <w:numPr>
          <w:ilvl w:val="1"/>
          <w:numId w:val="20"/>
        </w:numPr>
        <w:spacing w:after="0" w:line="240" w:lineRule="auto"/>
        <w:contextualSpacing/>
        <w:rPr>
          <w:rFonts w:asciiTheme="majorHAnsi" w:hAnsiTheme="majorHAnsi"/>
          <w:i/>
          <w:sz w:val="24"/>
        </w:rPr>
      </w:pPr>
      <w:r w:rsidRPr="00272C8E">
        <w:rPr>
          <w:rFonts w:asciiTheme="majorHAnsi" w:hAnsiTheme="majorHAnsi"/>
          <w:sz w:val="24"/>
        </w:rPr>
        <w:t>Software Purchases: $0</w:t>
      </w:r>
    </w:p>
    <w:p w:rsidR="00272C8E" w:rsidRPr="00272C8E" w:rsidP="00272C8E" w14:paraId="6E20183E" w14:textId="77777777">
      <w:pPr>
        <w:numPr>
          <w:ilvl w:val="1"/>
          <w:numId w:val="20"/>
        </w:numPr>
        <w:spacing w:after="0" w:line="240" w:lineRule="auto"/>
        <w:contextualSpacing/>
        <w:rPr>
          <w:rFonts w:asciiTheme="majorHAnsi" w:hAnsiTheme="majorHAnsi"/>
          <w:i/>
          <w:sz w:val="24"/>
        </w:rPr>
      </w:pPr>
      <w:r w:rsidRPr="00272C8E">
        <w:rPr>
          <w:rFonts w:asciiTheme="majorHAnsi" w:hAnsiTheme="majorHAnsi"/>
          <w:sz w:val="24"/>
        </w:rPr>
        <w:t>Licensing Costs: $0</w:t>
      </w:r>
    </w:p>
    <w:p w:rsidR="00272C8E" w:rsidRPr="00272C8E" w:rsidP="00272C8E" w14:paraId="604EF084" w14:textId="77777777">
      <w:pPr>
        <w:numPr>
          <w:ilvl w:val="1"/>
          <w:numId w:val="20"/>
        </w:numPr>
        <w:spacing w:after="0" w:line="240" w:lineRule="auto"/>
        <w:contextualSpacing/>
        <w:rPr>
          <w:rFonts w:asciiTheme="majorHAnsi" w:hAnsiTheme="majorHAnsi"/>
          <w:i/>
          <w:sz w:val="24"/>
        </w:rPr>
      </w:pPr>
      <w:r w:rsidRPr="00272C8E">
        <w:rPr>
          <w:rFonts w:asciiTheme="majorHAnsi" w:hAnsiTheme="majorHAnsi"/>
          <w:sz w:val="24"/>
        </w:rPr>
        <w:t>Other: $0</w:t>
      </w:r>
    </w:p>
    <w:p w:rsidR="00272C8E" w:rsidRPr="00272C8E" w:rsidP="00272C8E" w14:paraId="4F6DEAAB" w14:textId="77777777">
      <w:pPr>
        <w:spacing w:after="0" w:line="240" w:lineRule="auto"/>
        <w:ind w:left="1440"/>
        <w:contextualSpacing/>
        <w:rPr>
          <w:rFonts w:asciiTheme="majorHAnsi" w:hAnsiTheme="majorHAnsi"/>
          <w:i/>
          <w:sz w:val="24"/>
        </w:rPr>
      </w:pPr>
    </w:p>
    <w:p w:rsidR="00272C8E" w:rsidRPr="00272C8E" w:rsidP="00272C8E" w14:paraId="46D07F7B" w14:textId="77777777">
      <w:pPr>
        <w:numPr>
          <w:ilvl w:val="0"/>
          <w:numId w:val="20"/>
        </w:numPr>
        <w:spacing w:after="0" w:line="240" w:lineRule="auto"/>
        <w:contextualSpacing/>
        <w:rPr>
          <w:rFonts w:asciiTheme="majorHAnsi" w:hAnsiTheme="majorHAnsi"/>
          <w:i/>
          <w:sz w:val="24"/>
        </w:rPr>
      </w:pPr>
      <w:r w:rsidRPr="00272C8E">
        <w:rPr>
          <w:rFonts w:asciiTheme="majorHAnsi" w:hAnsiTheme="majorHAnsi"/>
          <w:sz w:val="24"/>
        </w:rPr>
        <w:t>Total Operational and Maintenance Cost: $500</w:t>
      </w:r>
    </w:p>
    <w:p w:rsidR="00272C8E" w:rsidRPr="00272C8E" w:rsidP="00272C8E" w14:paraId="47B777F6" w14:textId="77777777">
      <w:pPr>
        <w:spacing w:after="0" w:line="240" w:lineRule="auto"/>
        <w:rPr>
          <w:rFonts w:asciiTheme="majorHAnsi" w:hAnsiTheme="majorHAnsi"/>
          <w:i/>
          <w:sz w:val="24"/>
        </w:rPr>
      </w:pPr>
    </w:p>
    <w:p w:rsidR="00272C8E" w:rsidRPr="00272C8E" w:rsidP="00272C8E" w14:paraId="6481EFE2" w14:textId="77777777">
      <w:pPr>
        <w:spacing w:after="0" w:line="240" w:lineRule="auto"/>
        <w:rPr>
          <w:rFonts w:asciiTheme="majorHAnsi" w:hAnsiTheme="majorHAnsi"/>
          <w:sz w:val="24"/>
        </w:rPr>
      </w:pPr>
      <w:r w:rsidRPr="00272C8E">
        <w:rPr>
          <w:rFonts w:asciiTheme="majorHAnsi" w:hAnsiTheme="majorHAnsi"/>
          <w:sz w:val="24"/>
        </w:rPr>
        <w:t>Part C: TOTAL COST TO THE FEDERAL GOVERNMENT</w:t>
      </w:r>
    </w:p>
    <w:p w:rsidR="00272C8E" w:rsidRPr="00272C8E" w:rsidP="00272C8E" w14:paraId="67DC90EF" w14:textId="77777777">
      <w:pPr>
        <w:spacing w:after="0" w:line="240" w:lineRule="auto"/>
        <w:rPr>
          <w:rFonts w:asciiTheme="majorHAnsi" w:hAnsiTheme="majorHAnsi"/>
          <w:sz w:val="24"/>
        </w:rPr>
      </w:pPr>
    </w:p>
    <w:p w:rsidR="00272C8E" w:rsidRPr="00272C8E" w:rsidP="00272C8E" w14:paraId="13B106E1" w14:textId="1867BE58">
      <w:pPr>
        <w:numPr>
          <w:ilvl w:val="0"/>
          <w:numId w:val="22"/>
        </w:numPr>
        <w:spacing w:after="0" w:line="240" w:lineRule="auto"/>
        <w:contextualSpacing/>
        <w:rPr>
          <w:rFonts w:asciiTheme="majorHAnsi" w:hAnsiTheme="majorHAnsi"/>
          <w:sz w:val="24"/>
        </w:rPr>
      </w:pPr>
      <w:r w:rsidRPr="00272C8E">
        <w:rPr>
          <w:rFonts w:asciiTheme="majorHAnsi" w:hAnsiTheme="majorHAnsi"/>
          <w:sz w:val="24"/>
        </w:rPr>
        <w:t>Total Labor Cost to the Federal Government: $</w:t>
      </w:r>
      <w:r w:rsidR="00A81E36">
        <w:rPr>
          <w:rFonts w:asciiTheme="majorHAnsi" w:hAnsiTheme="majorHAnsi"/>
          <w:sz w:val="24"/>
        </w:rPr>
        <w:t>6,44</w:t>
      </w:r>
      <w:r w:rsidR="001C2ED9">
        <w:rPr>
          <w:rFonts w:asciiTheme="majorHAnsi" w:hAnsiTheme="majorHAnsi"/>
          <w:sz w:val="24"/>
        </w:rPr>
        <w:t>2.50</w:t>
      </w:r>
    </w:p>
    <w:p w:rsidR="00272C8E" w:rsidRPr="00272C8E" w:rsidP="00272C8E" w14:paraId="0961A85A" w14:textId="77777777">
      <w:pPr>
        <w:spacing w:after="0" w:line="240" w:lineRule="auto"/>
        <w:ind w:left="720"/>
        <w:contextualSpacing/>
        <w:rPr>
          <w:rFonts w:asciiTheme="majorHAnsi" w:hAnsiTheme="majorHAnsi"/>
          <w:sz w:val="24"/>
        </w:rPr>
      </w:pPr>
    </w:p>
    <w:p w:rsidR="00272C8E" w:rsidP="00272C8E" w14:paraId="358E6D73" w14:textId="76F950A6">
      <w:pPr>
        <w:numPr>
          <w:ilvl w:val="0"/>
          <w:numId w:val="22"/>
        </w:numPr>
        <w:spacing w:after="0" w:line="240" w:lineRule="auto"/>
        <w:contextualSpacing/>
        <w:rPr>
          <w:rFonts w:asciiTheme="majorHAnsi" w:hAnsiTheme="majorHAnsi"/>
          <w:sz w:val="24"/>
        </w:rPr>
      </w:pPr>
      <w:r w:rsidRPr="00272C8E">
        <w:rPr>
          <w:rFonts w:asciiTheme="majorHAnsi" w:hAnsiTheme="majorHAnsi"/>
          <w:sz w:val="24"/>
        </w:rPr>
        <w:t>Total Operational and Maintenance Costs: $500</w:t>
      </w:r>
    </w:p>
    <w:p w:rsidR="00272C8E" w:rsidRPr="00272C8E" w:rsidP="00272C8E" w14:paraId="5597E438" w14:textId="0C9566C0">
      <w:pPr>
        <w:spacing w:after="0" w:line="240" w:lineRule="auto"/>
        <w:contextualSpacing/>
        <w:rPr>
          <w:rFonts w:asciiTheme="majorHAnsi" w:hAnsiTheme="majorHAnsi"/>
          <w:sz w:val="24"/>
        </w:rPr>
      </w:pPr>
    </w:p>
    <w:p w:rsidR="007832B2" w:rsidRPr="00272C8E" w:rsidP="00272C8E" w14:paraId="3F42CA72" w14:textId="5EFDF37C">
      <w:pPr>
        <w:numPr>
          <w:ilvl w:val="0"/>
          <w:numId w:val="22"/>
        </w:numPr>
        <w:spacing w:after="0" w:line="240" w:lineRule="auto"/>
        <w:contextualSpacing/>
        <w:rPr>
          <w:rFonts w:asciiTheme="majorHAnsi" w:hAnsiTheme="majorHAnsi"/>
          <w:sz w:val="24"/>
        </w:rPr>
      </w:pPr>
      <w:r w:rsidRPr="00272C8E">
        <w:rPr>
          <w:rFonts w:asciiTheme="majorHAnsi" w:hAnsiTheme="majorHAnsi"/>
          <w:sz w:val="24"/>
        </w:rPr>
        <w:t>Total Cost to the Federal Government: $</w:t>
      </w:r>
      <w:r w:rsidR="00A81E36">
        <w:rPr>
          <w:rFonts w:asciiTheme="majorHAnsi" w:hAnsiTheme="majorHAnsi"/>
          <w:sz w:val="24"/>
        </w:rPr>
        <w:t>6</w:t>
      </w:r>
      <w:r w:rsidR="001C2ED9">
        <w:rPr>
          <w:rFonts w:asciiTheme="majorHAnsi" w:hAnsiTheme="majorHAnsi"/>
          <w:sz w:val="24"/>
        </w:rPr>
        <w:t>,</w:t>
      </w:r>
      <w:r w:rsidR="00A81E36">
        <w:rPr>
          <w:rFonts w:asciiTheme="majorHAnsi" w:hAnsiTheme="majorHAnsi"/>
          <w:sz w:val="24"/>
        </w:rPr>
        <w:t>943</w:t>
      </w:r>
    </w:p>
    <w:p w:rsidR="00486235" w:rsidP="00486235" w14:paraId="005D5C59" w14:textId="77777777">
      <w:pPr>
        <w:spacing w:after="0" w:line="240" w:lineRule="auto"/>
        <w:rPr>
          <w:rFonts w:asciiTheme="majorHAnsi" w:hAnsiTheme="majorHAnsi"/>
          <w:sz w:val="24"/>
        </w:rPr>
      </w:pPr>
    </w:p>
    <w:p w:rsidR="00DA2B37" w:rsidP="00486235" w14:paraId="18AC6926" w14:textId="77777777">
      <w:pPr>
        <w:spacing w:after="0" w:line="240" w:lineRule="auto"/>
        <w:rPr>
          <w:rFonts w:asciiTheme="majorHAnsi" w:hAnsiTheme="majorHAnsi"/>
          <w:sz w:val="24"/>
          <w:u w:val="single"/>
        </w:rPr>
      </w:pPr>
      <w:r>
        <w:rPr>
          <w:rFonts w:asciiTheme="majorHAnsi" w:hAnsiTheme="majorHAnsi"/>
          <w:sz w:val="24"/>
        </w:rPr>
        <w:t xml:space="preserve">15. </w:t>
      </w:r>
      <w:r>
        <w:rPr>
          <w:rFonts w:asciiTheme="majorHAnsi" w:hAnsiTheme="majorHAnsi"/>
          <w:sz w:val="24"/>
        </w:rPr>
        <w:tab/>
      </w:r>
      <w:r w:rsidRPr="00DA2B37">
        <w:rPr>
          <w:rFonts w:asciiTheme="majorHAnsi" w:hAnsiTheme="majorHAnsi"/>
          <w:sz w:val="24"/>
          <w:u w:val="single"/>
        </w:rPr>
        <w:t>Reasons for Change in Burden</w:t>
      </w:r>
    </w:p>
    <w:p w:rsidR="00DA2B37" w:rsidP="00486235" w14:paraId="294A8DBB" w14:textId="04A13F77">
      <w:pPr>
        <w:spacing w:after="0" w:line="240" w:lineRule="auto"/>
        <w:rPr>
          <w:rFonts w:ascii="Cambria" w:hAnsi="Cambria" w:cs="Times New Roman"/>
          <w:sz w:val="24"/>
        </w:rPr>
      </w:pPr>
      <w:r w:rsidRPr="00906771">
        <w:rPr>
          <w:rFonts w:ascii="Cambria" w:hAnsi="Cambria" w:cs="Times New Roman"/>
          <w:sz w:val="24"/>
        </w:rPr>
        <w:t>This is an existing collection currently in use without an OMB Control Number.</w:t>
      </w:r>
    </w:p>
    <w:p w:rsidR="007832B2" w:rsidP="00486235" w14:paraId="2C2C0640" w14:textId="77777777">
      <w:pPr>
        <w:spacing w:after="0" w:line="240" w:lineRule="auto"/>
        <w:rPr>
          <w:rFonts w:asciiTheme="majorHAnsi" w:hAnsiTheme="majorHAnsi"/>
          <w:sz w:val="24"/>
        </w:rPr>
      </w:pPr>
    </w:p>
    <w:p w:rsidR="00DA2B37" w:rsidP="00486235" w14:paraId="2FF87D99" w14:textId="77777777">
      <w:pPr>
        <w:spacing w:after="0" w:line="240" w:lineRule="auto"/>
        <w:rPr>
          <w:rFonts w:asciiTheme="majorHAnsi" w:hAnsiTheme="majorHAnsi"/>
          <w:sz w:val="24"/>
        </w:rPr>
      </w:pPr>
      <w:r>
        <w:rPr>
          <w:rFonts w:asciiTheme="majorHAnsi" w:hAnsiTheme="majorHAnsi"/>
          <w:sz w:val="24"/>
        </w:rPr>
        <w:t xml:space="preserve">16. </w:t>
      </w:r>
      <w:r>
        <w:rPr>
          <w:rFonts w:asciiTheme="majorHAnsi" w:hAnsiTheme="majorHAnsi"/>
          <w:sz w:val="24"/>
        </w:rPr>
        <w:tab/>
      </w:r>
      <w:r w:rsidRPr="005C3A95">
        <w:rPr>
          <w:rFonts w:asciiTheme="majorHAnsi" w:hAnsiTheme="majorHAnsi"/>
          <w:sz w:val="24"/>
          <w:u w:val="single"/>
        </w:rPr>
        <w:t>Publication of Results</w:t>
      </w:r>
      <w:r>
        <w:rPr>
          <w:rFonts w:asciiTheme="majorHAnsi" w:hAnsiTheme="majorHAnsi"/>
          <w:sz w:val="24"/>
        </w:rPr>
        <w:t xml:space="preserve"> </w:t>
      </w:r>
    </w:p>
    <w:p w:rsidR="005C3A95" w:rsidP="00486235" w14:paraId="6AF720D5" w14:textId="390C584D">
      <w:pPr>
        <w:spacing w:after="0" w:line="240" w:lineRule="auto"/>
        <w:rPr>
          <w:rFonts w:ascii="Cambria" w:eastAsia="Cambria" w:hAnsi="Cambria" w:cs="Cambria"/>
          <w:sz w:val="24"/>
          <w:szCs w:val="24"/>
        </w:rPr>
      </w:pPr>
      <w:r>
        <w:rPr>
          <w:rFonts w:ascii="Cambria" w:eastAsia="Cambria" w:hAnsi="Cambria" w:cs="Cambria"/>
          <w:sz w:val="24"/>
          <w:szCs w:val="24"/>
        </w:rPr>
        <w:t>The results of this information collection will not be published.</w:t>
      </w:r>
    </w:p>
    <w:p w:rsidR="007832B2" w:rsidP="00486235" w14:paraId="25B38BCF" w14:textId="77777777">
      <w:pPr>
        <w:spacing w:after="0" w:line="240" w:lineRule="auto"/>
        <w:rPr>
          <w:rFonts w:asciiTheme="majorHAnsi" w:hAnsiTheme="majorHAnsi"/>
          <w:sz w:val="24"/>
        </w:rPr>
      </w:pPr>
    </w:p>
    <w:p w:rsidR="007832B2" w:rsidP="007832B2" w14:paraId="7407448F" w14:textId="77777777">
      <w:pPr>
        <w:spacing w:after="0" w:line="240" w:lineRule="auto"/>
        <w:rPr>
          <w:rFonts w:ascii="Cambria" w:eastAsia="Cambria" w:hAnsi="Cambria" w:cs="Cambria"/>
          <w:sz w:val="24"/>
          <w:szCs w:val="24"/>
        </w:rPr>
      </w:pPr>
      <w:r>
        <w:rPr>
          <w:rFonts w:ascii="Cambria" w:eastAsia="Cambria" w:hAnsi="Cambria" w:cs="Cambria"/>
          <w:sz w:val="24"/>
          <w:szCs w:val="24"/>
        </w:rPr>
        <w:t xml:space="preserve">17. </w:t>
      </w:r>
      <w:r>
        <w:rPr>
          <w:rFonts w:ascii="Cambria" w:eastAsia="Cambria" w:hAnsi="Cambria" w:cs="Cambria"/>
          <w:sz w:val="24"/>
          <w:szCs w:val="24"/>
        </w:rPr>
        <w:tab/>
      </w:r>
      <w:r>
        <w:rPr>
          <w:rFonts w:ascii="Cambria" w:eastAsia="Cambria" w:hAnsi="Cambria" w:cs="Cambria"/>
          <w:sz w:val="24"/>
          <w:szCs w:val="24"/>
          <w:u w:val="single"/>
        </w:rPr>
        <w:t>Non-Display of OMB Expiration Date</w:t>
      </w:r>
    </w:p>
    <w:p w:rsidR="00E45C02" w:rsidP="007832B2" w14:paraId="6EEBF708" w14:textId="643061F6">
      <w:pPr>
        <w:spacing w:after="0" w:line="240" w:lineRule="auto"/>
        <w:rPr>
          <w:rFonts w:ascii="Cambria" w:eastAsia="Cambria" w:hAnsi="Cambria" w:cs="Cambria"/>
          <w:sz w:val="24"/>
          <w:szCs w:val="24"/>
        </w:rPr>
      </w:pPr>
      <w:r>
        <w:rPr>
          <w:rFonts w:ascii="Cambria" w:eastAsia="Cambria" w:hAnsi="Cambria" w:cs="Cambria"/>
          <w:sz w:val="24"/>
          <w:szCs w:val="24"/>
        </w:rPr>
        <w:t xml:space="preserve">We are not seeking approval to omit the display of the expiration date </w:t>
      </w:r>
      <w:r>
        <w:rPr>
          <w:rFonts w:ascii="Cambria" w:eastAsia="Cambria" w:hAnsi="Cambria" w:cs="Cambria"/>
          <w:sz w:val="24"/>
          <w:szCs w:val="24"/>
        </w:rPr>
        <w:t>of</w:t>
      </w:r>
      <w:r>
        <w:rPr>
          <w:rFonts w:ascii="Cambria" w:eastAsia="Cambria" w:hAnsi="Cambria" w:cs="Cambria"/>
          <w:sz w:val="24"/>
          <w:szCs w:val="24"/>
        </w:rPr>
        <w:t xml:space="preserve"> the OMB approval on </w:t>
      </w:r>
      <w:r w:rsidR="00272A13">
        <w:rPr>
          <w:rFonts w:ascii="Cambria" w:eastAsia="Cambria" w:hAnsi="Cambria" w:cs="Cambria"/>
          <w:sz w:val="24"/>
          <w:szCs w:val="24"/>
        </w:rPr>
        <w:t>the collection instrument</w:t>
      </w:r>
      <w:r>
        <w:rPr>
          <w:rFonts w:ascii="Cambria" w:eastAsia="Cambria" w:hAnsi="Cambria" w:cs="Cambria"/>
          <w:sz w:val="24"/>
          <w:szCs w:val="24"/>
        </w:rPr>
        <w:t xml:space="preserve">. </w:t>
      </w:r>
      <w:r>
        <w:rPr>
          <w:rFonts w:ascii="Cambria" w:eastAsia="Cambria" w:hAnsi="Cambria" w:cs="Cambria"/>
          <w:sz w:val="24"/>
          <w:szCs w:val="24"/>
        </w:rPr>
        <w:t xml:space="preserve">  </w:t>
      </w:r>
    </w:p>
    <w:p w:rsidR="007832B2" w:rsidP="007832B2" w14:paraId="45FC220D" w14:textId="77777777">
      <w:pPr>
        <w:spacing w:after="0" w:line="240" w:lineRule="auto"/>
        <w:rPr>
          <w:rFonts w:ascii="Cambria" w:eastAsia="Cambria" w:hAnsi="Cambria" w:cs="Cambria"/>
          <w:sz w:val="24"/>
          <w:szCs w:val="24"/>
        </w:rPr>
      </w:pPr>
    </w:p>
    <w:p w:rsidR="007832B2" w:rsidP="007832B2" w14:paraId="74B31C98" w14:textId="77777777">
      <w:pPr>
        <w:spacing w:after="0" w:line="240" w:lineRule="auto"/>
        <w:rPr>
          <w:rFonts w:ascii="Cambria" w:eastAsia="Cambria" w:hAnsi="Cambria" w:cs="Cambria"/>
          <w:sz w:val="24"/>
          <w:szCs w:val="24"/>
          <w:u w:val="single"/>
        </w:rPr>
      </w:pPr>
      <w:r>
        <w:rPr>
          <w:rFonts w:ascii="Cambria" w:eastAsia="Cambria" w:hAnsi="Cambria" w:cs="Cambria"/>
          <w:sz w:val="24"/>
          <w:szCs w:val="24"/>
        </w:rPr>
        <w:t xml:space="preserve">18. </w:t>
      </w:r>
      <w:r>
        <w:rPr>
          <w:rFonts w:ascii="Cambria" w:eastAsia="Cambria" w:hAnsi="Cambria" w:cs="Cambria"/>
          <w:sz w:val="24"/>
          <w:szCs w:val="24"/>
        </w:rPr>
        <w:tab/>
      </w:r>
      <w:r>
        <w:rPr>
          <w:rFonts w:ascii="Cambria" w:eastAsia="Cambria" w:hAnsi="Cambria" w:cs="Cambria"/>
          <w:sz w:val="24"/>
          <w:szCs w:val="24"/>
          <w:u w:val="single"/>
        </w:rPr>
        <w:t>Exceptions to “Certification for Paperwork Reduction Submissions”</w:t>
      </w:r>
    </w:p>
    <w:p w:rsidR="007832B2" w:rsidP="007832B2" w14:paraId="165CE530" w14:textId="1FE79D4F">
      <w:pPr>
        <w:spacing w:after="0" w:line="240" w:lineRule="auto"/>
        <w:rPr>
          <w:rFonts w:ascii="Cambria" w:eastAsia="Cambria" w:hAnsi="Cambria" w:cs="Cambria"/>
          <w:i/>
          <w:sz w:val="24"/>
          <w:szCs w:val="24"/>
        </w:rPr>
      </w:pPr>
      <w:r>
        <w:rPr>
          <w:rFonts w:ascii="Cambria" w:eastAsia="Cambria" w:hAnsi="Cambria" w:cs="Cambria"/>
          <w:sz w:val="24"/>
          <w:szCs w:val="24"/>
        </w:rPr>
        <w:t xml:space="preserve">We are not requesting any exemptions to the provisions stated in 5 CFR 1320.9. </w:t>
      </w:r>
    </w:p>
    <w:p w:rsidR="00A50A0F" w:rsidRPr="00C62D17" w:rsidP="007832B2" w14:paraId="04D1208F" w14:textId="77777777">
      <w:pPr>
        <w:spacing w:after="0" w:line="240" w:lineRule="auto"/>
        <w:rPr>
          <w:rFonts w:asciiTheme="majorHAnsi" w:hAnsiTheme="majorHAnsi"/>
          <w:i/>
          <w:sz w:val="24"/>
        </w:rPr>
      </w:pPr>
    </w:p>
    <w:sectPr>
      <w:headerReference w:type="default" r:id="rId19"/>
      <w:footerReference w:type="default" r:id="rId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941A9" w:rsidRPr="00D462F7" w:rsidP="00F64216" w14:paraId="389C5D10" w14:textId="7AF7896B">
    <w:pPr>
      <w:pStyle w:val="Footer"/>
      <w:rPr>
        <w:i/>
        <w:sz w:val="21"/>
        <w:szCs w:val="21"/>
      </w:rPr>
    </w:pPr>
  </w:p>
  <w:p w:rsidR="00A941A9" w14:paraId="61AB0F1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F7A76" w14:paraId="2A2363E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F7158"/>
    <w:multiLevelType w:val="hybridMultilevel"/>
    <w:tmpl w:val="193EDF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B94C48"/>
    <w:multiLevelType w:val="hybridMultilevel"/>
    <w:tmpl w:val="745695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E297B5B"/>
    <w:multiLevelType w:val="hybridMultilevel"/>
    <w:tmpl w:val="0D34C3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6672224"/>
    <w:multiLevelType w:val="hybridMultilevel"/>
    <w:tmpl w:val="CF3854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B682C2E"/>
    <w:multiLevelType w:val="hybridMultilevel"/>
    <w:tmpl w:val="FC9EC5A8"/>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5B6749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26432073"/>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E04057D"/>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F2B352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32617BAB"/>
    <w:multiLevelType w:val="hybridMultilevel"/>
    <w:tmpl w:val="B4187010"/>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1">
    <w:nsid w:val="48C03DBF"/>
    <w:multiLevelType w:val="hybridMultilevel"/>
    <w:tmpl w:val="34F284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D3F410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4E0146D2"/>
    <w:multiLevelType w:val="hybridMultilevel"/>
    <w:tmpl w:val="A5AAF3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14A4843"/>
    <w:multiLevelType w:val="hybridMultilevel"/>
    <w:tmpl w:val="1BBA11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2D030AB"/>
    <w:multiLevelType w:val="hybridMultilevel"/>
    <w:tmpl w:val="84A6480E"/>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41E3FA9"/>
    <w:multiLevelType w:val="hybridMultilevel"/>
    <w:tmpl w:val="746CDD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4D10C0A"/>
    <w:multiLevelType w:val="hybridMultilevel"/>
    <w:tmpl w:val="6D609C64"/>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8">
    <w:nsid w:val="56BF2F70"/>
    <w:multiLevelType w:val="multilevel"/>
    <w:tmpl w:val="5246C6E4"/>
    <w:lvl w:ilvl="0">
      <w:start w:val="1"/>
      <w:numFmt w:val="lowerLetter"/>
      <w:lvlText w:val="%1."/>
      <w:lvlJc w:val="left"/>
      <w:pPr>
        <w:ind w:left="720" w:hanging="360"/>
      </w:p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9">
    <w:nsid w:val="57826981"/>
    <w:multiLevelType w:val="hybridMultilevel"/>
    <w:tmpl w:val="A0100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79A6816"/>
    <w:multiLevelType w:val="hybridMultilevel"/>
    <w:tmpl w:val="B00C5F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A523C83"/>
    <w:multiLevelType w:val="hybridMultilevel"/>
    <w:tmpl w:val="B4A489C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CF57507"/>
    <w:multiLevelType w:val="hybridMultilevel"/>
    <w:tmpl w:val="D2D83F8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51C239B"/>
    <w:multiLevelType w:val="hybridMultilevel"/>
    <w:tmpl w:val="4E22D6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79405E4A"/>
    <w:multiLevelType w:val="hybridMultilevel"/>
    <w:tmpl w:val="081C79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7A8A41DB"/>
    <w:multiLevelType w:val="hybridMultilevel"/>
    <w:tmpl w:val="582C05C0"/>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7D9224CF"/>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4"/>
  </w:num>
  <w:num w:numId="2">
    <w:abstractNumId w:val="0"/>
  </w:num>
  <w:num w:numId="3">
    <w:abstractNumId w:val="11"/>
  </w:num>
  <w:num w:numId="4">
    <w:abstractNumId w:val="10"/>
  </w:num>
  <w:num w:numId="5">
    <w:abstractNumId w:val="19"/>
  </w:num>
  <w:num w:numId="6">
    <w:abstractNumId w:val="1"/>
  </w:num>
  <w:num w:numId="7">
    <w:abstractNumId w:val="20"/>
  </w:num>
  <w:num w:numId="8">
    <w:abstractNumId w:val="16"/>
  </w:num>
  <w:num w:numId="9">
    <w:abstractNumId w:val="21"/>
  </w:num>
  <w:num w:numId="10">
    <w:abstractNumId w:val="3"/>
  </w:num>
  <w:num w:numId="11">
    <w:abstractNumId w:val="15"/>
  </w:num>
  <w:num w:numId="12">
    <w:abstractNumId w:val="17"/>
  </w:num>
  <w:num w:numId="13">
    <w:abstractNumId w:val="24"/>
  </w:num>
  <w:num w:numId="14">
    <w:abstractNumId w:val="26"/>
  </w:num>
  <w:num w:numId="15">
    <w:abstractNumId w:val="9"/>
  </w:num>
  <w:num w:numId="16">
    <w:abstractNumId w:val="8"/>
  </w:num>
  <w:num w:numId="17">
    <w:abstractNumId w:val="12"/>
  </w:num>
  <w:num w:numId="18">
    <w:abstractNumId w:val="7"/>
  </w:num>
  <w:num w:numId="19">
    <w:abstractNumId w:val="6"/>
  </w:num>
  <w:num w:numId="20">
    <w:abstractNumId w:val="5"/>
  </w:num>
  <w:num w:numId="21">
    <w:abstractNumId w:val="13"/>
  </w:num>
  <w:num w:numId="22">
    <w:abstractNumId w:val="2"/>
  </w:num>
  <w:num w:numId="23">
    <w:abstractNumId w:val="4"/>
  </w:num>
  <w:num w:numId="24">
    <w:abstractNumId w:val="22"/>
  </w:num>
  <w:num w:numId="25">
    <w:abstractNumId w:val="18"/>
  </w:num>
  <w:num w:numId="26">
    <w:abstractNumId w:val="25"/>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C04"/>
    <w:rsid w:val="00040104"/>
    <w:rsid w:val="00055518"/>
    <w:rsid w:val="00066346"/>
    <w:rsid w:val="0007273E"/>
    <w:rsid w:val="000B0E70"/>
    <w:rsid w:val="000C6256"/>
    <w:rsid w:val="000D702F"/>
    <w:rsid w:val="000E4D13"/>
    <w:rsid w:val="000E7270"/>
    <w:rsid w:val="00103F67"/>
    <w:rsid w:val="00105961"/>
    <w:rsid w:val="00105F45"/>
    <w:rsid w:val="00141162"/>
    <w:rsid w:val="00146E7E"/>
    <w:rsid w:val="0019309D"/>
    <w:rsid w:val="001C2ED9"/>
    <w:rsid w:val="001D6EE0"/>
    <w:rsid w:val="001E18BC"/>
    <w:rsid w:val="001F526C"/>
    <w:rsid w:val="00200261"/>
    <w:rsid w:val="00203BC2"/>
    <w:rsid w:val="00211832"/>
    <w:rsid w:val="00222D1B"/>
    <w:rsid w:val="00227D1E"/>
    <w:rsid w:val="00235D71"/>
    <w:rsid w:val="0024335E"/>
    <w:rsid w:val="00254DCF"/>
    <w:rsid w:val="002567F9"/>
    <w:rsid w:val="00272A13"/>
    <w:rsid w:val="00272C8E"/>
    <w:rsid w:val="00275510"/>
    <w:rsid w:val="0027743E"/>
    <w:rsid w:val="00294E92"/>
    <w:rsid w:val="002B0C5B"/>
    <w:rsid w:val="002D7713"/>
    <w:rsid w:val="00302A65"/>
    <w:rsid w:val="003132E7"/>
    <w:rsid w:val="00325E3E"/>
    <w:rsid w:val="00331D7E"/>
    <w:rsid w:val="00337EF1"/>
    <w:rsid w:val="00340D9B"/>
    <w:rsid w:val="00346300"/>
    <w:rsid w:val="003836D9"/>
    <w:rsid w:val="00394A8A"/>
    <w:rsid w:val="003A0542"/>
    <w:rsid w:val="003B1892"/>
    <w:rsid w:val="003B226B"/>
    <w:rsid w:val="003B7910"/>
    <w:rsid w:val="003C0540"/>
    <w:rsid w:val="003C06B9"/>
    <w:rsid w:val="003D4A26"/>
    <w:rsid w:val="003E182B"/>
    <w:rsid w:val="003E2A69"/>
    <w:rsid w:val="0040484E"/>
    <w:rsid w:val="0040769A"/>
    <w:rsid w:val="00420AE9"/>
    <w:rsid w:val="00426936"/>
    <w:rsid w:val="004324DE"/>
    <w:rsid w:val="00440E38"/>
    <w:rsid w:val="00441520"/>
    <w:rsid w:val="00472BCB"/>
    <w:rsid w:val="00473254"/>
    <w:rsid w:val="00480AFF"/>
    <w:rsid w:val="00484424"/>
    <w:rsid w:val="00486235"/>
    <w:rsid w:val="00490797"/>
    <w:rsid w:val="004B4F7B"/>
    <w:rsid w:val="004C74D6"/>
    <w:rsid w:val="004E2946"/>
    <w:rsid w:val="004E45DA"/>
    <w:rsid w:val="004E7A4F"/>
    <w:rsid w:val="004F4AF8"/>
    <w:rsid w:val="004F4F5D"/>
    <w:rsid w:val="00502FF3"/>
    <w:rsid w:val="00510F0C"/>
    <w:rsid w:val="00515403"/>
    <w:rsid w:val="00516DFC"/>
    <w:rsid w:val="00520B36"/>
    <w:rsid w:val="0053212D"/>
    <w:rsid w:val="00546639"/>
    <w:rsid w:val="00565C5D"/>
    <w:rsid w:val="00567B09"/>
    <w:rsid w:val="00571698"/>
    <w:rsid w:val="00576EDB"/>
    <w:rsid w:val="00596BBA"/>
    <w:rsid w:val="005C3A95"/>
    <w:rsid w:val="005C7428"/>
    <w:rsid w:val="005D04FA"/>
    <w:rsid w:val="005D5C81"/>
    <w:rsid w:val="00621DA8"/>
    <w:rsid w:val="00642741"/>
    <w:rsid w:val="0065530D"/>
    <w:rsid w:val="006A13FA"/>
    <w:rsid w:val="006A2B26"/>
    <w:rsid w:val="006E2A10"/>
    <w:rsid w:val="006E563D"/>
    <w:rsid w:val="006F2DF8"/>
    <w:rsid w:val="00701F05"/>
    <w:rsid w:val="00722FDB"/>
    <w:rsid w:val="00727F72"/>
    <w:rsid w:val="00766275"/>
    <w:rsid w:val="00770994"/>
    <w:rsid w:val="0077261C"/>
    <w:rsid w:val="007832B2"/>
    <w:rsid w:val="00786E68"/>
    <w:rsid w:val="00796401"/>
    <w:rsid w:val="007D391A"/>
    <w:rsid w:val="0081126C"/>
    <w:rsid w:val="008153FB"/>
    <w:rsid w:val="0082032F"/>
    <w:rsid w:val="00820DFD"/>
    <w:rsid w:val="00827322"/>
    <w:rsid w:val="00833CE2"/>
    <w:rsid w:val="00840097"/>
    <w:rsid w:val="0085164A"/>
    <w:rsid w:val="008635C4"/>
    <w:rsid w:val="0087243C"/>
    <w:rsid w:val="008755EE"/>
    <w:rsid w:val="008A06EF"/>
    <w:rsid w:val="008B28A2"/>
    <w:rsid w:val="008B7E98"/>
    <w:rsid w:val="008D1294"/>
    <w:rsid w:val="008D7617"/>
    <w:rsid w:val="008E3029"/>
    <w:rsid w:val="008E639E"/>
    <w:rsid w:val="008F4BB8"/>
    <w:rsid w:val="00900EE0"/>
    <w:rsid w:val="009022CC"/>
    <w:rsid w:val="00906771"/>
    <w:rsid w:val="00940EB2"/>
    <w:rsid w:val="00972658"/>
    <w:rsid w:val="00981074"/>
    <w:rsid w:val="0098628F"/>
    <w:rsid w:val="00994F2B"/>
    <w:rsid w:val="00996894"/>
    <w:rsid w:val="00997C3A"/>
    <w:rsid w:val="009A6246"/>
    <w:rsid w:val="009B2D3E"/>
    <w:rsid w:val="009E1536"/>
    <w:rsid w:val="009F2544"/>
    <w:rsid w:val="009F41B0"/>
    <w:rsid w:val="00A16C5B"/>
    <w:rsid w:val="00A32450"/>
    <w:rsid w:val="00A41F12"/>
    <w:rsid w:val="00A50A0F"/>
    <w:rsid w:val="00A646CC"/>
    <w:rsid w:val="00A76F7E"/>
    <w:rsid w:val="00A77157"/>
    <w:rsid w:val="00A81E36"/>
    <w:rsid w:val="00A941A9"/>
    <w:rsid w:val="00AC26DA"/>
    <w:rsid w:val="00AE17FD"/>
    <w:rsid w:val="00B41920"/>
    <w:rsid w:val="00B52F4E"/>
    <w:rsid w:val="00B55E9F"/>
    <w:rsid w:val="00B73AA8"/>
    <w:rsid w:val="00B75D33"/>
    <w:rsid w:val="00B933B0"/>
    <w:rsid w:val="00BA74BF"/>
    <w:rsid w:val="00BB7CAD"/>
    <w:rsid w:val="00BD7755"/>
    <w:rsid w:val="00C034B5"/>
    <w:rsid w:val="00C27483"/>
    <w:rsid w:val="00C33607"/>
    <w:rsid w:val="00C33684"/>
    <w:rsid w:val="00C40850"/>
    <w:rsid w:val="00C55B37"/>
    <w:rsid w:val="00C62D17"/>
    <w:rsid w:val="00C72F8F"/>
    <w:rsid w:val="00C751F8"/>
    <w:rsid w:val="00C76027"/>
    <w:rsid w:val="00C808F4"/>
    <w:rsid w:val="00C943F2"/>
    <w:rsid w:val="00C95929"/>
    <w:rsid w:val="00CA15B1"/>
    <w:rsid w:val="00CB1BD1"/>
    <w:rsid w:val="00CC24D5"/>
    <w:rsid w:val="00CC2835"/>
    <w:rsid w:val="00CD56B3"/>
    <w:rsid w:val="00CE5336"/>
    <w:rsid w:val="00CF7EA8"/>
    <w:rsid w:val="00D15B0F"/>
    <w:rsid w:val="00D16805"/>
    <w:rsid w:val="00D21AA6"/>
    <w:rsid w:val="00D23917"/>
    <w:rsid w:val="00D35F7B"/>
    <w:rsid w:val="00D462F7"/>
    <w:rsid w:val="00D65B6C"/>
    <w:rsid w:val="00D734A2"/>
    <w:rsid w:val="00D904F4"/>
    <w:rsid w:val="00D91113"/>
    <w:rsid w:val="00D91825"/>
    <w:rsid w:val="00D9480E"/>
    <w:rsid w:val="00DA2B37"/>
    <w:rsid w:val="00DC1306"/>
    <w:rsid w:val="00DC4C06"/>
    <w:rsid w:val="00DF5967"/>
    <w:rsid w:val="00DF7A76"/>
    <w:rsid w:val="00E429EE"/>
    <w:rsid w:val="00E45C02"/>
    <w:rsid w:val="00E5030C"/>
    <w:rsid w:val="00E5409A"/>
    <w:rsid w:val="00E608C1"/>
    <w:rsid w:val="00E8789E"/>
    <w:rsid w:val="00E95FFB"/>
    <w:rsid w:val="00EA6C04"/>
    <w:rsid w:val="00EB6B75"/>
    <w:rsid w:val="00EF4BF9"/>
    <w:rsid w:val="00F01DC9"/>
    <w:rsid w:val="00F25499"/>
    <w:rsid w:val="00F5195C"/>
    <w:rsid w:val="00F64216"/>
    <w:rsid w:val="00F83A5B"/>
    <w:rsid w:val="00F86C35"/>
    <w:rsid w:val="00F97482"/>
    <w:rsid w:val="00FB2CDF"/>
    <w:rsid w:val="00FB569C"/>
    <w:rsid w:val="00FD7400"/>
    <w:rsid w:val="00FE031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1747D23"/>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character" w:styleId="Emphasis">
    <w:name w:val="Emphasis"/>
    <w:basedOn w:val="DefaultParagraphFont"/>
    <w:uiPriority w:val="20"/>
    <w:qFormat/>
    <w:rsid w:val="00C95929"/>
    <w:rPr>
      <w:i/>
      <w:iCs/>
    </w:rPr>
  </w:style>
  <w:style w:type="character" w:customStyle="1" w:styleId="apple-tab-span">
    <w:name w:val="apple-tab-span"/>
    <w:basedOn w:val="DefaultParagraphFont"/>
    <w:rsid w:val="00E8789E"/>
  </w:style>
  <w:style w:type="character" w:customStyle="1" w:styleId="UnresolvedMention1">
    <w:name w:val="Unresolved Mention1"/>
    <w:basedOn w:val="DefaultParagraphFont"/>
    <w:uiPriority w:val="99"/>
    <w:semiHidden/>
    <w:unhideWhenUsed/>
    <w:rsid w:val="00346300"/>
    <w:rPr>
      <w:color w:val="605E5C"/>
      <w:shd w:val="clear" w:color="auto" w:fill="E1DFDD"/>
    </w:rPr>
  </w:style>
  <w:style w:type="character" w:styleId="CommentReference">
    <w:name w:val="annotation reference"/>
    <w:basedOn w:val="DefaultParagraphFont"/>
    <w:uiPriority w:val="99"/>
    <w:semiHidden/>
    <w:unhideWhenUsed/>
    <w:rsid w:val="009F41B0"/>
    <w:rPr>
      <w:sz w:val="16"/>
      <w:szCs w:val="16"/>
    </w:rPr>
  </w:style>
  <w:style w:type="paragraph" w:styleId="CommentText">
    <w:name w:val="annotation text"/>
    <w:basedOn w:val="Normal"/>
    <w:link w:val="CommentTextChar"/>
    <w:uiPriority w:val="99"/>
    <w:semiHidden/>
    <w:unhideWhenUsed/>
    <w:rsid w:val="009F41B0"/>
    <w:pPr>
      <w:spacing w:line="240" w:lineRule="auto"/>
    </w:pPr>
    <w:rPr>
      <w:sz w:val="20"/>
      <w:szCs w:val="20"/>
    </w:rPr>
  </w:style>
  <w:style w:type="character" w:customStyle="1" w:styleId="CommentTextChar">
    <w:name w:val="Comment Text Char"/>
    <w:basedOn w:val="DefaultParagraphFont"/>
    <w:link w:val="CommentText"/>
    <w:uiPriority w:val="99"/>
    <w:semiHidden/>
    <w:rsid w:val="009F41B0"/>
    <w:rPr>
      <w:sz w:val="20"/>
      <w:szCs w:val="20"/>
    </w:rPr>
  </w:style>
  <w:style w:type="paragraph" w:styleId="CommentSubject">
    <w:name w:val="annotation subject"/>
    <w:basedOn w:val="CommentText"/>
    <w:next w:val="CommentText"/>
    <w:link w:val="CommentSubjectChar"/>
    <w:uiPriority w:val="99"/>
    <w:semiHidden/>
    <w:unhideWhenUsed/>
    <w:rsid w:val="009F41B0"/>
    <w:rPr>
      <w:b/>
      <w:bCs/>
    </w:rPr>
  </w:style>
  <w:style w:type="character" w:customStyle="1" w:styleId="CommentSubjectChar">
    <w:name w:val="Comment Subject Char"/>
    <w:basedOn w:val="CommentTextChar"/>
    <w:link w:val="CommentSubject"/>
    <w:uiPriority w:val="99"/>
    <w:semiHidden/>
    <w:rsid w:val="009F41B0"/>
    <w:rPr>
      <w:b/>
      <w:bCs/>
      <w:sz w:val="20"/>
      <w:szCs w:val="20"/>
    </w:rPr>
  </w:style>
  <w:style w:type="paragraph" w:styleId="Revision">
    <w:name w:val="Revision"/>
    <w:hidden/>
    <w:uiPriority w:val="99"/>
    <w:semiHidden/>
    <w:rsid w:val="00786E68"/>
    <w:pPr>
      <w:spacing w:after="0" w:line="240" w:lineRule="auto"/>
    </w:pPr>
  </w:style>
  <w:style w:type="character" w:customStyle="1" w:styleId="UnresolvedMention">
    <w:name w:val="Unresolved Mention"/>
    <w:basedOn w:val="DefaultParagraphFont"/>
    <w:uiPriority w:val="99"/>
    <w:semiHidden/>
    <w:unhideWhenUsed/>
    <w:rsid w:val="00DF7A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esd.whs.mil/Portals/54/Documents/DD/issuances/dodi/132222p.pdf" TargetMode="External" /><Relationship Id="rId11" Type="http://schemas.openxmlformats.org/officeDocument/2006/relationships/hyperlink" Target="https://www.secnav.navy.mil/doni/Directives/01000%20Military%20Personnel%20Support/01-600%20Performance%20and%20Discipline%20Programs/1650.1J.pdf" TargetMode="External" /><Relationship Id="rId12" Type="http://schemas.openxmlformats.org/officeDocument/2006/relationships/hyperlink" Target="https://www.secnav.navy.mil/doni/Directives/01000%20Military%20Personnel%20Support/01-500%20Military%20Training%20and%20Education%20Services/1531.2C.PDF" TargetMode="External" /><Relationship Id="rId13" Type="http://schemas.openxmlformats.org/officeDocument/2006/relationships/hyperlink" Target="https://www.usna.edu/AdminSupport/_files/documents/instructions/1000-1999/1531.46C.pdf" TargetMode="External" /><Relationship Id="rId14" Type="http://schemas.openxmlformats.org/officeDocument/2006/relationships/hyperlink" Target="https://www.usna.edu/AdminSupport/_files/documents/instructions/1000-1999/1650.4C.pdf" TargetMode="External" /><Relationship Id="rId15" Type="http://schemas.openxmlformats.org/officeDocument/2006/relationships/hyperlink" Target="https://www.usna.edu/AdminSupport/FormsProgram/USNAOfficialFormsList.php" TargetMode="External" /><Relationship Id="rId16" Type="http://schemas.openxmlformats.org/officeDocument/2006/relationships/hyperlink" Target="https://www.doncio.navy.mil/(m4jrto45tnpm4b45jxmngz3v)/ContentView.aspx?id=678" TargetMode="External" /><Relationship Id="rId17" Type="http://schemas.openxmlformats.org/officeDocument/2006/relationships/hyperlink" Target="https://www.bls.gov/oes/current/oes113121.htm" TargetMode="External" /><Relationship Id="rId18" Type="http://schemas.openxmlformats.org/officeDocument/2006/relationships/hyperlink" Target="https://www.dfas.mil/Portals/98/Documents/militarymembers/militarymembers/pay-tables/2022%20Military%20Pay%20Tables.pdf" TargetMode="External" /><Relationship Id="rId19" Type="http://schemas.openxmlformats.org/officeDocument/2006/relationships/header" Target="header1.xml" /><Relationship Id="rId2" Type="http://schemas.openxmlformats.org/officeDocument/2006/relationships/webSettings" Target="webSettings.xml" /><Relationship Id="rId20" Type="http://schemas.openxmlformats.org/officeDocument/2006/relationships/footer" Target="footer1.xm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gpo.gov/fdsys/granule/USCODE-2010-title10/USCODE-2010-title10-subtitleC-partI-chap503-sec5013" TargetMode="External" /><Relationship Id="rId6" Type="http://schemas.openxmlformats.org/officeDocument/2006/relationships/hyperlink" Target="https://www.govinfo.gov/app/details/USCODE-2015-title10/USCODE-2015-title10-subtitleC-partI-chap506-sec5041" TargetMode="External" /><Relationship Id="rId7" Type="http://schemas.openxmlformats.org/officeDocument/2006/relationships/hyperlink" Target="https://www.govregs.com/uscode/expand/title10_subtitleC_partIII_chapter853_section8462" TargetMode="External" /><Relationship Id="rId8" Type="http://schemas.openxmlformats.org/officeDocument/2006/relationships/hyperlink" Target="https://www.govinfo.gov/app/details/USCODE-2011-title10/USCODE-2011-title10-subtitleE-partI-chap1005-sec10141" TargetMode="External" /><Relationship Id="rId9" Type="http://schemas.openxmlformats.org/officeDocument/2006/relationships/hyperlink" Target="https://www.govinfo.gov/app/details/USCODE-2006-title10/USCODE-2006-title10-subtitleE-partI-chap1007-sec1021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BF5F5A-A736-4E2A-A9C2-936007012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2307</Words>
  <Characters>13151</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15428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Schuff, Nicholas A CTR WHS ESD</cp:lastModifiedBy>
  <cp:revision>5</cp:revision>
  <cp:lastPrinted>2021-06-30T13:51:00Z</cp:lastPrinted>
  <dcterms:created xsi:type="dcterms:W3CDTF">2022-08-29T16:55:00Z</dcterms:created>
  <dcterms:modified xsi:type="dcterms:W3CDTF">2022-09-26T12:55:00Z</dcterms:modified>
</cp:coreProperties>
</file>