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6C04" w:rsidR="008D1294" w:rsidP="00EA6C04" w:rsidRDefault="00B00BB0">
      <w:pPr>
        <w:jc w:val="center"/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  <w:u w:val="single"/>
        </w:rPr>
        <w:t xml:space="preserve">SUPPORTING STATEMENT </w:t>
      </w:r>
      <w:r w:rsidRPr="00EA6C04" w:rsidR="00EA6C04">
        <w:rPr>
          <w:rFonts w:asciiTheme="majorHAnsi" w:hAnsiTheme="majorHAnsi"/>
          <w:sz w:val="28"/>
          <w:u w:val="single"/>
        </w:rPr>
        <w:t>- PART A</w:t>
      </w:r>
    </w:p>
    <w:p w:rsidR="00EA6C04" w:rsidP="00466EA0" w:rsidRDefault="00F058EB">
      <w:pPr>
        <w:jc w:val="center"/>
        <w:rPr>
          <w:rFonts w:asciiTheme="majorHAnsi" w:hAnsiTheme="majorHAnsi"/>
          <w:sz w:val="24"/>
        </w:rPr>
      </w:pPr>
      <w:r w:rsidRPr="00F058EB">
        <w:rPr>
          <w:rFonts w:asciiTheme="majorHAnsi" w:hAnsiTheme="majorHAnsi"/>
          <w:sz w:val="24"/>
        </w:rPr>
        <w:t>End-Use Certificate – OMB Control Number 0704-0382</w:t>
      </w:r>
    </w:p>
    <w:p w:rsidRPr="005C7428" w:rsidR="005C7428" w:rsidP="006E563D" w:rsidRDefault="0027743E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Need for the Information Collection</w:t>
      </w:r>
    </w:p>
    <w:p w:rsidRPr="006511AC" w:rsidR="00997C70" w:rsidP="006E563D" w:rsidRDefault="00F058EB">
      <w:pPr>
        <w:spacing w:after="0" w:line="240" w:lineRule="auto"/>
        <w:rPr>
          <w:rFonts w:asciiTheme="majorHAnsi" w:hAnsiTheme="majorHAnsi"/>
          <w:sz w:val="24"/>
        </w:rPr>
      </w:pPr>
      <w:r w:rsidRPr="006511AC">
        <w:rPr>
          <w:rFonts w:asciiTheme="majorHAnsi" w:hAnsiTheme="majorHAnsi"/>
          <w:sz w:val="24"/>
        </w:rPr>
        <w:t>The End-Use Certificate (DLA Form 1822) is submitted by individuals prior to releasing export controlled personal property out of Department of Defense</w:t>
      </w:r>
      <w:r w:rsidRPr="006511AC" w:rsidR="00997C70">
        <w:rPr>
          <w:rFonts w:asciiTheme="majorHAnsi" w:hAnsiTheme="majorHAnsi"/>
          <w:sz w:val="24"/>
        </w:rPr>
        <w:t xml:space="preserve"> (DoD)</w:t>
      </w:r>
      <w:r w:rsidRPr="006511AC">
        <w:rPr>
          <w:rFonts w:asciiTheme="majorHAnsi" w:hAnsiTheme="majorHAnsi"/>
          <w:sz w:val="24"/>
        </w:rPr>
        <w:t xml:space="preserve"> control.  Export-controlled personal property are items listed on the United States Munitions Lists (USML) or Commerce Control List (CCL), and includes articles, items, technical data, technology or software.</w:t>
      </w:r>
      <w:r w:rsidRPr="006511AC" w:rsidR="00997C70">
        <w:rPr>
          <w:rFonts w:asciiTheme="majorHAnsi" w:hAnsiTheme="majorHAnsi"/>
          <w:sz w:val="24"/>
        </w:rPr>
        <w:t xml:space="preserve">  Transfers of export-controlled personal property out of DoD control may be in tangible and non-tangible forms.  </w:t>
      </w:r>
      <w:r w:rsidRPr="006511AC">
        <w:rPr>
          <w:rFonts w:asciiTheme="majorHAnsi" w:hAnsiTheme="majorHAnsi"/>
          <w:sz w:val="24"/>
        </w:rPr>
        <w:t>The information collected is for th</w:t>
      </w:r>
      <w:r w:rsidRPr="006511AC" w:rsidR="00997C70">
        <w:rPr>
          <w:rFonts w:asciiTheme="majorHAnsi" w:hAnsiTheme="majorHAnsi"/>
          <w:sz w:val="24"/>
        </w:rPr>
        <w:t xml:space="preserve">e purpose of determining bidder or </w:t>
      </w:r>
      <w:r w:rsidRPr="006511AC">
        <w:rPr>
          <w:rFonts w:asciiTheme="majorHAnsi" w:hAnsiTheme="majorHAnsi"/>
          <w:sz w:val="24"/>
        </w:rPr>
        <w:t xml:space="preserve">transferee eligibility to </w:t>
      </w:r>
      <w:r w:rsidRPr="006511AC" w:rsidR="00997C70">
        <w:rPr>
          <w:rFonts w:asciiTheme="majorHAnsi" w:hAnsiTheme="majorHAnsi"/>
          <w:sz w:val="24"/>
        </w:rPr>
        <w:t xml:space="preserve">receive export-controlled personal property, </w:t>
      </w:r>
      <w:r w:rsidRPr="006511AC">
        <w:rPr>
          <w:rFonts w:asciiTheme="majorHAnsi" w:hAnsiTheme="majorHAnsi"/>
          <w:sz w:val="24"/>
        </w:rPr>
        <w:t>and to ensure that property recipient</w:t>
      </w:r>
      <w:r w:rsidRPr="006511AC" w:rsidR="00997C70">
        <w:rPr>
          <w:rFonts w:asciiTheme="majorHAnsi" w:hAnsiTheme="majorHAnsi"/>
          <w:sz w:val="24"/>
        </w:rPr>
        <w:t>s comply with the terms of sale or Military Critical Technical Data Agreement</w:t>
      </w:r>
      <w:r w:rsidRPr="006511AC">
        <w:rPr>
          <w:rFonts w:asciiTheme="majorHAnsi" w:hAnsiTheme="majorHAnsi"/>
          <w:sz w:val="24"/>
        </w:rPr>
        <w:t xml:space="preserve"> regarding end-use of the property. </w:t>
      </w:r>
      <w:r w:rsidRPr="006511AC" w:rsidR="00997C70">
        <w:rPr>
          <w:rFonts w:asciiTheme="majorHAnsi" w:hAnsiTheme="majorHAnsi"/>
          <w:sz w:val="24"/>
        </w:rPr>
        <w:t xml:space="preserve">This form is to be used by the </w:t>
      </w:r>
      <w:r w:rsidRPr="006511AC">
        <w:rPr>
          <w:rFonts w:asciiTheme="majorHAnsi" w:hAnsiTheme="majorHAnsi"/>
          <w:sz w:val="24"/>
        </w:rPr>
        <w:t>DoD Compo</w:t>
      </w:r>
      <w:r w:rsidRPr="006511AC" w:rsidR="00997C70">
        <w:rPr>
          <w:rFonts w:asciiTheme="majorHAnsi" w:hAnsiTheme="majorHAnsi"/>
          <w:sz w:val="24"/>
        </w:rPr>
        <w:t>nents and other Federal agencies and or their contractors prior to releasing export-controlled perso</w:t>
      </w:r>
      <w:r w:rsidR="00B00BB0">
        <w:rPr>
          <w:rFonts w:asciiTheme="majorHAnsi" w:hAnsiTheme="majorHAnsi"/>
          <w:sz w:val="24"/>
        </w:rPr>
        <w:t>nal property out DoD control</w:t>
      </w:r>
      <w:r w:rsidRPr="006511AC" w:rsidR="00997C70">
        <w:rPr>
          <w:rFonts w:asciiTheme="majorHAnsi" w:hAnsiTheme="majorHAnsi"/>
          <w:sz w:val="24"/>
        </w:rPr>
        <w:t>. End-</w:t>
      </w:r>
      <w:r w:rsidRPr="006511AC">
        <w:rPr>
          <w:rFonts w:asciiTheme="majorHAnsi" w:hAnsiTheme="majorHAnsi"/>
          <w:sz w:val="24"/>
        </w:rPr>
        <w:t>use checks are required by the following: DoD Instruction 2030.08, “Implementation of Trade Security Controls (TSCs) for Transfers of DoD U.S. Munitions List (USML) and Commerce Control List (CCL) Personal Property to Parties Outs</w:t>
      </w:r>
      <w:r w:rsidRPr="006511AC" w:rsidR="00997C70">
        <w:rPr>
          <w:rFonts w:asciiTheme="majorHAnsi" w:hAnsiTheme="majorHAnsi"/>
          <w:sz w:val="24"/>
        </w:rPr>
        <w:t>ide DoD Control;” DoDM 4160.28</w:t>
      </w:r>
      <w:r w:rsidRPr="006511AC">
        <w:rPr>
          <w:rFonts w:asciiTheme="majorHAnsi" w:hAnsiTheme="majorHAnsi"/>
          <w:sz w:val="24"/>
        </w:rPr>
        <w:t>,</w:t>
      </w:r>
      <w:r w:rsidR="00B00BB0">
        <w:rPr>
          <w:rFonts w:asciiTheme="majorHAnsi" w:hAnsiTheme="majorHAnsi"/>
          <w:sz w:val="24"/>
        </w:rPr>
        <w:t xml:space="preserve"> “DoD Demilitarization (DEMIL) </w:t>
      </w:r>
      <w:r w:rsidRPr="006511AC">
        <w:rPr>
          <w:rFonts w:asciiTheme="majorHAnsi" w:hAnsiTheme="majorHAnsi"/>
          <w:sz w:val="24"/>
        </w:rPr>
        <w:t>Man</w:t>
      </w:r>
      <w:r w:rsidRPr="006511AC" w:rsidR="00997C70">
        <w:rPr>
          <w:rFonts w:asciiTheme="majorHAnsi" w:hAnsiTheme="majorHAnsi"/>
          <w:sz w:val="24"/>
        </w:rPr>
        <w:t>ual</w:t>
      </w:r>
      <w:r w:rsidRPr="006511AC">
        <w:rPr>
          <w:rFonts w:asciiTheme="majorHAnsi" w:hAnsiTheme="majorHAnsi"/>
          <w:sz w:val="24"/>
        </w:rPr>
        <w:t>, Vol. 1, 2, 3</w:t>
      </w:r>
      <w:r w:rsidR="00B00BB0">
        <w:rPr>
          <w:rFonts w:asciiTheme="majorHAnsi" w:hAnsiTheme="majorHAnsi"/>
          <w:sz w:val="24"/>
        </w:rPr>
        <w:t xml:space="preserve">;” and the </w:t>
      </w:r>
      <w:r w:rsidRPr="006511AC" w:rsidR="00997C70">
        <w:rPr>
          <w:rFonts w:asciiTheme="majorHAnsi" w:hAnsiTheme="majorHAnsi"/>
          <w:sz w:val="24"/>
        </w:rPr>
        <w:t>DoDM 4160.21, Vol 1</w:t>
      </w:r>
      <w:r w:rsidRPr="006511AC">
        <w:rPr>
          <w:rFonts w:asciiTheme="majorHAnsi" w:hAnsiTheme="majorHAnsi"/>
          <w:sz w:val="24"/>
        </w:rPr>
        <w:t>-4</w:t>
      </w:r>
      <w:r w:rsidRPr="006511AC" w:rsidR="00997C70">
        <w:rPr>
          <w:rFonts w:asciiTheme="majorHAnsi" w:hAnsiTheme="majorHAnsi"/>
          <w:sz w:val="24"/>
        </w:rPr>
        <w:t>, Defense Materiel Disposition Manual.</w:t>
      </w:r>
    </w:p>
    <w:p w:rsidRPr="006511AC" w:rsidR="00222D1B" w:rsidP="006E563D" w:rsidRDefault="00222D1B">
      <w:pPr>
        <w:spacing w:after="0" w:line="240" w:lineRule="auto"/>
        <w:rPr>
          <w:rFonts w:asciiTheme="majorHAnsi" w:hAnsiTheme="majorHAnsi"/>
          <w:sz w:val="24"/>
        </w:rPr>
      </w:pPr>
      <w:r w:rsidRPr="006511AC">
        <w:rPr>
          <w:rFonts w:asciiTheme="majorHAnsi" w:hAnsiTheme="majorHAnsi"/>
          <w:sz w:val="24"/>
        </w:rPr>
        <w:t xml:space="preserve"> </w:t>
      </w:r>
    </w:p>
    <w:p w:rsidRPr="007A413E" w:rsidR="00510F0C" w:rsidP="006E563D" w:rsidRDefault="00997C70">
      <w:pPr>
        <w:spacing w:after="0" w:line="240" w:lineRule="auto"/>
        <w:rPr>
          <w:rFonts w:asciiTheme="majorHAnsi" w:hAnsiTheme="majorHAnsi"/>
          <w:i/>
          <w:sz w:val="24"/>
        </w:rPr>
      </w:pPr>
      <w:r w:rsidRPr="006511AC">
        <w:rPr>
          <w:rFonts w:asciiTheme="majorHAnsi" w:hAnsiTheme="majorHAnsi"/>
          <w:sz w:val="24"/>
        </w:rPr>
        <w:t>Other authorities for this collection include: 10 U.S.C. 133b, “Under Secretary of Defense for Acquisition</w:t>
      </w:r>
      <w:r w:rsidRPr="006511AC" w:rsidR="00372953">
        <w:rPr>
          <w:rFonts w:asciiTheme="majorHAnsi" w:hAnsiTheme="majorHAnsi"/>
          <w:sz w:val="24"/>
        </w:rPr>
        <w:t xml:space="preserve"> and Sustainment</w:t>
      </w:r>
      <w:r w:rsidRPr="006511AC">
        <w:rPr>
          <w:rFonts w:asciiTheme="majorHAnsi" w:hAnsiTheme="majorHAnsi"/>
          <w:sz w:val="24"/>
        </w:rPr>
        <w:t>;” 22 U.S.C. 27</w:t>
      </w:r>
      <w:r w:rsidR="00A06586">
        <w:rPr>
          <w:rFonts w:asciiTheme="majorHAnsi" w:hAnsiTheme="majorHAnsi"/>
          <w:sz w:val="24"/>
        </w:rPr>
        <w:t>51-2799, “Arms Export Control;”</w:t>
      </w:r>
      <w:r w:rsidRPr="006511AC">
        <w:rPr>
          <w:rFonts w:asciiTheme="majorHAnsi" w:hAnsiTheme="majorHAnsi"/>
          <w:sz w:val="24"/>
        </w:rPr>
        <w:t xml:space="preserve"> Export Administration Act of 1979, as amended (Pub. L. 96-72, 93 Stat. 503, 50 U.S.C. 4601 - 4623) as continued under Executive Order 13222, as amended</w:t>
      </w:r>
      <w:r w:rsidRPr="006511AC" w:rsidR="00372953">
        <w:rPr>
          <w:rFonts w:asciiTheme="majorHAnsi" w:hAnsiTheme="majorHAnsi"/>
          <w:sz w:val="24"/>
        </w:rPr>
        <w:t xml:space="preserve">”; </w:t>
      </w:r>
      <w:r w:rsidRPr="006511AC">
        <w:rPr>
          <w:rFonts w:asciiTheme="majorHAnsi" w:hAnsiTheme="majorHAnsi"/>
          <w:sz w:val="24"/>
        </w:rPr>
        <w:t xml:space="preserve">E.O. 12738 and E.O 12981, “Export Controls;” 22 CFR 122, 15 CFR 762, and 41 CFR 101-102; DoD Directives 2040.3, “End-Use Certificates (EUCs);” DoD Instruction 2040.02, “International Transfers of Technology, Articles, and Services;” DoD Instruction 4161.2, “Management, Control and Disposal of Government Property in </w:t>
      </w:r>
      <w:r w:rsidRPr="006511AC" w:rsidR="00372953">
        <w:rPr>
          <w:rFonts w:asciiTheme="majorHAnsi" w:hAnsiTheme="majorHAnsi"/>
          <w:sz w:val="24"/>
        </w:rPr>
        <w:t>the Possession of Contractors;”</w:t>
      </w:r>
      <w:r w:rsidRPr="006511AC">
        <w:rPr>
          <w:rFonts w:asciiTheme="majorHAnsi" w:hAnsiTheme="majorHAnsi"/>
          <w:sz w:val="24"/>
        </w:rPr>
        <w:t xml:space="preserve"> and E.O. 9397, as amended. </w:t>
      </w:r>
      <w:r w:rsidRPr="006E563D" w:rsidR="006E563D">
        <w:rPr>
          <w:rFonts w:asciiTheme="majorHAnsi" w:hAnsiTheme="majorHAnsi"/>
          <w:i/>
          <w:sz w:val="24"/>
        </w:rPr>
        <w:t xml:space="preserve"> </w:t>
      </w:r>
    </w:p>
    <w:p w:rsidR="00510F0C" w:rsidP="006E563D" w:rsidRDefault="00510F0C">
      <w:pPr>
        <w:spacing w:after="0" w:line="240" w:lineRule="auto"/>
        <w:rPr>
          <w:rFonts w:asciiTheme="majorHAnsi" w:hAnsiTheme="majorHAnsi"/>
          <w:sz w:val="24"/>
        </w:rPr>
      </w:pPr>
    </w:p>
    <w:p w:rsidR="005C7428" w:rsidP="006E563D" w:rsidRDefault="00510F0C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Use of the Information</w:t>
      </w:r>
    </w:p>
    <w:p w:rsidRPr="00B23DF9" w:rsidR="00510F0C" w:rsidP="006E563D" w:rsidRDefault="00372953">
      <w:pPr>
        <w:spacing w:after="0" w:line="240" w:lineRule="auto"/>
        <w:rPr>
          <w:rFonts w:asciiTheme="majorHAnsi" w:hAnsiTheme="majorHAnsi"/>
          <w:sz w:val="24"/>
        </w:rPr>
      </w:pPr>
      <w:r w:rsidRPr="00372953">
        <w:rPr>
          <w:rFonts w:asciiTheme="majorHAnsi" w:hAnsiTheme="majorHAnsi"/>
          <w:sz w:val="24"/>
        </w:rPr>
        <w:t xml:space="preserve">Respondents are individuals and businesses wishing to acquire </w:t>
      </w:r>
      <w:r>
        <w:rPr>
          <w:rFonts w:asciiTheme="majorHAnsi" w:hAnsiTheme="majorHAnsi"/>
          <w:sz w:val="24"/>
        </w:rPr>
        <w:t xml:space="preserve">or gain access to </w:t>
      </w:r>
      <w:r w:rsidRPr="00372953">
        <w:rPr>
          <w:rFonts w:asciiTheme="majorHAnsi" w:hAnsiTheme="majorHAnsi"/>
          <w:sz w:val="24"/>
        </w:rPr>
        <w:t xml:space="preserve">DoD </w:t>
      </w:r>
      <w:r>
        <w:rPr>
          <w:rFonts w:asciiTheme="majorHAnsi" w:hAnsiTheme="majorHAnsi"/>
          <w:sz w:val="24"/>
        </w:rPr>
        <w:t xml:space="preserve">export-controlled personal </w:t>
      </w:r>
      <w:r w:rsidRPr="00372953">
        <w:rPr>
          <w:rFonts w:asciiTheme="majorHAnsi" w:hAnsiTheme="majorHAnsi"/>
          <w:sz w:val="24"/>
        </w:rPr>
        <w:t>property. T</w:t>
      </w:r>
      <w:r>
        <w:rPr>
          <w:rFonts w:asciiTheme="majorHAnsi" w:hAnsiTheme="majorHAnsi"/>
          <w:sz w:val="24"/>
        </w:rPr>
        <w:t>he information is used to determine</w:t>
      </w:r>
      <w:r w:rsidRPr="00372953">
        <w:rPr>
          <w:rFonts w:asciiTheme="majorHAnsi" w:hAnsiTheme="majorHAnsi"/>
          <w:sz w:val="24"/>
        </w:rPr>
        <w:t xml:space="preserve"> recipients’ eligibility to </w:t>
      </w:r>
      <w:r>
        <w:rPr>
          <w:rFonts w:asciiTheme="majorHAnsi" w:hAnsiTheme="majorHAnsi"/>
          <w:sz w:val="24"/>
        </w:rPr>
        <w:t xml:space="preserve">receive such property transfers in order to </w:t>
      </w:r>
      <w:r w:rsidRPr="00372953">
        <w:rPr>
          <w:rFonts w:asciiTheme="majorHAnsi" w:hAnsiTheme="majorHAnsi"/>
          <w:sz w:val="24"/>
        </w:rPr>
        <w:t>conduct business with the government. The information is use</w:t>
      </w:r>
      <w:r>
        <w:rPr>
          <w:rFonts w:asciiTheme="majorHAnsi" w:hAnsiTheme="majorHAnsi"/>
          <w:sz w:val="24"/>
        </w:rPr>
        <w:t xml:space="preserve">d to determine if transferees </w:t>
      </w:r>
      <w:r w:rsidR="006511AC">
        <w:rPr>
          <w:rFonts w:asciiTheme="majorHAnsi" w:hAnsiTheme="majorHAnsi"/>
          <w:sz w:val="24"/>
        </w:rPr>
        <w:t>are</w:t>
      </w:r>
      <w:r w:rsidRPr="00372953">
        <w:rPr>
          <w:rFonts w:asciiTheme="majorHAnsi" w:hAnsiTheme="majorHAnsi"/>
          <w:sz w:val="24"/>
        </w:rPr>
        <w:t xml:space="preserve"> </w:t>
      </w:r>
      <w:r w:rsidR="00FD2068">
        <w:rPr>
          <w:rFonts w:asciiTheme="majorHAnsi" w:hAnsiTheme="majorHAnsi"/>
          <w:sz w:val="24"/>
        </w:rPr>
        <w:t>qualified contractors as described by the Federal Acquisition Regulation System (48 CFR 9 et. seq.)</w:t>
      </w:r>
      <w:r w:rsidRPr="00372953">
        <w:rPr>
          <w:rFonts w:asciiTheme="majorHAnsi" w:hAnsiTheme="majorHAnsi"/>
          <w:sz w:val="24"/>
        </w:rPr>
        <w:t xml:space="preserve">; </w:t>
      </w:r>
      <w:r w:rsidR="006511AC">
        <w:rPr>
          <w:rFonts w:asciiTheme="majorHAnsi" w:hAnsiTheme="majorHAnsi"/>
          <w:sz w:val="24"/>
        </w:rPr>
        <w:t xml:space="preserve">identified on the Lists of Parties of Concern (person and entity); on </w:t>
      </w:r>
      <w:r w:rsidRPr="00372953">
        <w:rPr>
          <w:rFonts w:asciiTheme="majorHAnsi" w:hAnsiTheme="majorHAnsi"/>
          <w:sz w:val="24"/>
        </w:rPr>
        <w:t xml:space="preserve">specially designated nationals (SDNs) or blocked persons; or have violated U.S. export laws or regulations. The End-Use Certificate (EUC) informs the recipients that when this property is to be </w:t>
      </w:r>
      <w:r w:rsidR="00B00BB0">
        <w:rPr>
          <w:rFonts w:asciiTheme="majorHAnsi" w:hAnsiTheme="majorHAnsi"/>
          <w:sz w:val="24"/>
        </w:rPr>
        <w:t>exported, they must comply with</w:t>
      </w:r>
      <w:r w:rsidRPr="00372953">
        <w:rPr>
          <w:rFonts w:asciiTheme="majorHAnsi" w:hAnsiTheme="majorHAnsi"/>
          <w:sz w:val="24"/>
        </w:rPr>
        <w:t xml:space="preserve"> the International Traffic in Arms Regulations (ITAR) (22 CFR 120 et. seq.); Export Administration Regulations (EAR) (15 CFR 730 et. seq.); and other applicable export laws and regulations.</w:t>
      </w:r>
    </w:p>
    <w:p w:rsidR="005C7428" w:rsidP="006E563D" w:rsidRDefault="005C7428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00BB0" w:rsidP="006E563D" w:rsidRDefault="005C7428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:rsidRPr="00B00BB0" w:rsidR="008635C4" w:rsidP="006E563D" w:rsidRDefault="00A41A83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lastRenderedPageBreak/>
        <w:t>The DL 1822 End-Use-Certificate is accessible in a digital form fillable PDF format from the Defense Logistics Agency public website.  At this time, forms are required to be</w:t>
      </w:r>
      <w:r w:rsidR="00B23DF9">
        <w:rPr>
          <w:rFonts w:asciiTheme="majorHAnsi" w:hAnsiTheme="majorHAnsi"/>
          <w:sz w:val="24"/>
        </w:rPr>
        <w:t xml:space="preserve"> printed to apply a</w:t>
      </w:r>
      <w:r>
        <w:rPr>
          <w:rFonts w:asciiTheme="majorHAnsi" w:hAnsiTheme="majorHAnsi"/>
          <w:sz w:val="24"/>
        </w:rPr>
        <w:t xml:space="preserve"> signature.  Once signed, scanned copies of the completed DL1822 may then be submitted </w:t>
      </w:r>
      <w:r w:rsidR="00753EFE">
        <w:rPr>
          <w:rFonts w:asciiTheme="majorHAnsi" w:hAnsiTheme="majorHAnsi"/>
          <w:sz w:val="24"/>
        </w:rPr>
        <w:t xml:space="preserve">via email </w:t>
      </w:r>
      <w:r>
        <w:rPr>
          <w:rFonts w:asciiTheme="majorHAnsi" w:hAnsiTheme="majorHAnsi"/>
          <w:sz w:val="24"/>
        </w:rPr>
        <w:t>back to the D</w:t>
      </w:r>
      <w:r w:rsidR="00BE7109">
        <w:rPr>
          <w:rFonts w:asciiTheme="majorHAnsi" w:hAnsiTheme="majorHAnsi"/>
          <w:sz w:val="24"/>
        </w:rPr>
        <w:t>oD Component, Fede</w:t>
      </w:r>
      <w:r w:rsidR="00753EFE">
        <w:rPr>
          <w:rFonts w:asciiTheme="majorHAnsi" w:hAnsiTheme="majorHAnsi"/>
          <w:sz w:val="24"/>
        </w:rPr>
        <w:t>ral Agency, or their contractor</w:t>
      </w:r>
      <w:r w:rsidR="00B23DF9">
        <w:rPr>
          <w:rFonts w:asciiTheme="majorHAnsi" w:hAnsiTheme="majorHAnsi"/>
          <w:sz w:val="24"/>
        </w:rPr>
        <w:t xml:space="preserve">.  </w:t>
      </w:r>
      <w:r w:rsidR="00BE7109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 xml:space="preserve">  </w:t>
      </w:r>
    </w:p>
    <w:p w:rsidR="00BE7109" w:rsidP="006E563D" w:rsidRDefault="00BE7109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P="006E563D" w:rsidRDefault="008635C4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8635C4" w:rsidP="006E563D" w:rsidRDefault="008635C4">
      <w:pPr>
        <w:spacing w:after="0" w:line="240" w:lineRule="auto"/>
        <w:rPr>
          <w:rFonts w:asciiTheme="majorHAnsi" w:hAnsiTheme="majorHAnsi"/>
          <w:i/>
          <w:sz w:val="24"/>
        </w:rPr>
      </w:pPr>
      <w:r w:rsidRPr="00AD518A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AD518A" w:rsidR="00CA15B1">
        <w:rPr>
          <w:rFonts w:asciiTheme="majorHAnsi" w:hAnsiTheme="majorHAnsi"/>
          <w:sz w:val="24"/>
        </w:rPr>
        <w:t xml:space="preserve">is </w:t>
      </w:r>
      <w:r w:rsidRPr="00AD518A">
        <w:rPr>
          <w:rFonts w:asciiTheme="majorHAnsi" w:hAnsiTheme="majorHAnsi"/>
          <w:sz w:val="24"/>
        </w:rPr>
        <w:t>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:rsidRDefault="00CA15B1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:rsidRDefault="00CA15B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>
        <w:rPr>
          <w:rFonts w:asciiTheme="majorHAnsi" w:hAnsiTheme="majorHAnsi"/>
          <w:sz w:val="24"/>
        </w:rPr>
        <w:t xml:space="preserve"> </w:t>
      </w:r>
    </w:p>
    <w:p w:rsidR="00CA15B1" w:rsidP="006E563D" w:rsidRDefault="002567F9">
      <w:pPr>
        <w:spacing w:after="0" w:line="240" w:lineRule="auto"/>
        <w:rPr>
          <w:rFonts w:asciiTheme="majorHAnsi" w:hAnsiTheme="majorHAnsi"/>
          <w:i/>
          <w:sz w:val="24"/>
        </w:rPr>
      </w:pPr>
      <w:r w:rsidRPr="00546F2E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:rsidRDefault="002567F9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6E563D" w:rsidRDefault="002567F9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 Frequent Collection</w:t>
      </w:r>
    </w:p>
    <w:p w:rsidRPr="00546F2E" w:rsidR="00F86C35" w:rsidP="007C72F3" w:rsidRDefault="007C72F3">
      <w:pPr>
        <w:spacing w:after="0" w:line="240" w:lineRule="auto"/>
        <w:rPr>
          <w:rFonts w:asciiTheme="majorHAnsi" w:hAnsiTheme="majorHAnsi"/>
          <w:sz w:val="24"/>
        </w:rPr>
      </w:pPr>
      <w:r w:rsidRPr="00546F2E">
        <w:rPr>
          <w:rFonts w:asciiTheme="majorHAnsi" w:hAnsiTheme="majorHAnsi"/>
          <w:sz w:val="24"/>
        </w:rPr>
        <w:t>The information in DLA Form 1822 is collected as necessary to meet Department of Defense mission requirements.</w:t>
      </w:r>
    </w:p>
    <w:p w:rsidR="00F86C35" w:rsidP="006E563D" w:rsidRDefault="00F86C35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7C72F3" w:rsidP="007C72F3" w:rsidRDefault="00F86C35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00BB0">
        <w:rPr>
          <w:rFonts w:asciiTheme="majorHAnsi" w:hAnsiTheme="majorHAnsi"/>
          <w:sz w:val="24"/>
        </w:rPr>
        <w:t>7.</w:t>
      </w:r>
      <w:r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:rsidRPr="00A06586" w:rsidR="00200261" w:rsidP="007C72F3" w:rsidRDefault="0020026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A06586">
        <w:rPr>
          <w:rFonts w:asciiTheme="majorHAnsi" w:hAnsiTheme="majorHAnsi"/>
          <w:sz w:val="24"/>
          <w:szCs w:val="24"/>
        </w:rPr>
        <w:t xml:space="preserve">This collection of information does not require collection to be conducted in a manner inconsistent with the guidelines delineated in 5 CFR 1320.5(d)(2). </w:t>
      </w:r>
    </w:p>
    <w:p w:rsidR="00200261" w:rsidP="00200261" w:rsidRDefault="00200261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</w:p>
    <w:p w:rsidRPr="00424112" w:rsidR="00424112" w:rsidP="00424112" w:rsidRDefault="00424112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24112">
        <w:rPr>
          <w:rFonts w:asciiTheme="majorHAnsi" w:hAnsiTheme="majorHAnsi" w:eastAsiaTheme="minorHAnsi" w:cstheme="minorBidi"/>
          <w:szCs w:val="22"/>
        </w:rPr>
        <w:t>Part A: PUBLIC NOTICE</w:t>
      </w:r>
    </w:p>
    <w:p w:rsidRPr="00424112" w:rsidR="00424112" w:rsidP="00424112" w:rsidRDefault="00424112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24112">
        <w:rPr>
          <w:rFonts w:asciiTheme="majorHAnsi" w:hAnsiTheme="majorHAnsi" w:eastAsiaTheme="minorHAnsi" w:cstheme="minorBidi"/>
          <w:szCs w:val="22"/>
        </w:rPr>
        <w:t xml:space="preserve">A 60-Day Federal Register Notice (FRN) for the collection published on </w:t>
      </w:r>
      <w:r w:rsidR="00B00BB0">
        <w:rPr>
          <w:rFonts w:asciiTheme="majorHAnsi" w:hAnsiTheme="majorHAnsi" w:eastAsiaTheme="minorHAnsi" w:cstheme="minorBidi"/>
          <w:szCs w:val="22"/>
        </w:rPr>
        <w:t>Tues</w:t>
      </w:r>
      <w:r>
        <w:rPr>
          <w:rFonts w:asciiTheme="majorHAnsi" w:hAnsiTheme="majorHAnsi" w:eastAsiaTheme="minorHAnsi" w:cstheme="minorBidi"/>
          <w:szCs w:val="22"/>
        </w:rPr>
        <w:t xml:space="preserve">day, </w:t>
      </w:r>
      <w:r w:rsidR="00B00BB0">
        <w:rPr>
          <w:rFonts w:asciiTheme="majorHAnsi" w:hAnsiTheme="majorHAnsi" w:eastAsiaTheme="minorHAnsi" w:cstheme="minorBidi"/>
          <w:szCs w:val="22"/>
        </w:rPr>
        <w:t>January 25, 2022</w:t>
      </w:r>
      <w:r w:rsidRPr="00424112">
        <w:rPr>
          <w:rFonts w:asciiTheme="majorHAnsi" w:hAnsiTheme="majorHAnsi" w:eastAsiaTheme="minorHAnsi" w:cstheme="minorBidi"/>
          <w:szCs w:val="22"/>
        </w:rPr>
        <w:t xml:space="preserve">.  The 60-Day FRN citation is </w:t>
      </w:r>
      <w:r w:rsidR="00B00BB0">
        <w:rPr>
          <w:rFonts w:asciiTheme="majorHAnsi" w:hAnsiTheme="majorHAnsi" w:eastAsiaTheme="minorHAnsi" w:cstheme="minorBidi"/>
          <w:szCs w:val="22"/>
        </w:rPr>
        <w:t>87 FR 3781</w:t>
      </w:r>
      <w:r w:rsidRPr="00424112">
        <w:rPr>
          <w:rFonts w:asciiTheme="majorHAnsi" w:hAnsiTheme="majorHAnsi" w:eastAsiaTheme="minorHAnsi" w:cstheme="minorBidi"/>
          <w:szCs w:val="22"/>
        </w:rPr>
        <w:t xml:space="preserve">. </w:t>
      </w:r>
    </w:p>
    <w:p w:rsidRPr="00424112" w:rsidR="00424112" w:rsidP="00424112" w:rsidRDefault="00424112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24112">
        <w:rPr>
          <w:rFonts w:asciiTheme="majorHAnsi" w:hAnsiTheme="majorHAnsi" w:eastAsiaTheme="minorHAnsi" w:cstheme="minorBidi"/>
          <w:szCs w:val="22"/>
        </w:rPr>
        <w:t xml:space="preserve">No comments were received during the 60-Day Comment Period. </w:t>
      </w:r>
    </w:p>
    <w:p w:rsidR="00424112" w:rsidP="00424112" w:rsidRDefault="00424112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24112">
        <w:rPr>
          <w:rFonts w:asciiTheme="majorHAnsi" w:hAnsiTheme="majorHAnsi" w:eastAsiaTheme="minorHAnsi" w:cstheme="minorBidi"/>
          <w:szCs w:val="22"/>
        </w:rPr>
        <w:t>A 30-Day Federal Register Notice f</w:t>
      </w:r>
      <w:r>
        <w:rPr>
          <w:rFonts w:asciiTheme="majorHAnsi" w:hAnsiTheme="majorHAnsi" w:eastAsiaTheme="minorHAnsi" w:cstheme="minorBidi"/>
          <w:szCs w:val="22"/>
        </w:rPr>
        <w:t xml:space="preserve">or the collection published on </w:t>
      </w:r>
      <w:r w:rsidR="00B00BB0">
        <w:rPr>
          <w:rFonts w:asciiTheme="majorHAnsi" w:hAnsiTheme="majorHAnsi" w:eastAsiaTheme="minorHAnsi" w:cstheme="minorBidi"/>
          <w:szCs w:val="22"/>
        </w:rPr>
        <w:t>Monday, March 21, 2022</w:t>
      </w:r>
      <w:r w:rsidRPr="00424112">
        <w:rPr>
          <w:rFonts w:asciiTheme="majorHAnsi" w:hAnsiTheme="majorHAnsi" w:eastAsiaTheme="minorHAnsi" w:cstheme="minorBidi"/>
          <w:szCs w:val="22"/>
        </w:rPr>
        <w:t>.  The</w:t>
      </w:r>
      <w:r w:rsidR="00B00BB0">
        <w:rPr>
          <w:rFonts w:asciiTheme="majorHAnsi" w:hAnsiTheme="majorHAnsi" w:eastAsiaTheme="minorHAnsi" w:cstheme="minorBidi"/>
          <w:szCs w:val="22"/>
        </w:rPr>
        <w:t xml:space="preserve"> 30-Day FRN citation is 87 FR</w:t>
      </w:r>
      <w:r w:rsidRPr="00424112">
        <w:rPr>
          <w:rFonts w:asciiTheme="majorHAnsi" w:hAnsiTheme="majorHAnsi" w:eastAsiaTheme="minorHAnsi" w:cstheme="minorBidi"/>
          <w:szCs w:val="22"/>
        </w:rPr>
        <w:t xml:space="preserve"> </w:t>
      </w:r>
      <w:r w:rsidRPr="00B00BB0" w:rsidR="00B00BB0">
        <w:rPr>
          <w:rFonts w:asciiTheme="majorHAnsi" w:hAnsiTheme="majorHAnsi" w:eastAsiaTheme="minorHAnsi" w:cstheme="minorBidi"/>
          <w:szCs w:val="22"/>
        </w:rPr>
        <w:t>15964</w:t>
      </w:r>
      <w:r w:rsidRPr="00424112">
        <w:rPr>
          <w:rFonts w:asciiTheme="majorHAnsi" w:hAnsiTheme="majorHAnsi" w:eastAsiaTheme="minorHAnsi" w:cstheme="minorBidi"/>
          <w:szCs w:val="22"/>
        </w:rPr>
        <w:t>.</w:t>
      </w:r>
    </w:p>
    <w:p w:rsidR="00200261" w:rsidP="00424112" w:rsidRDefault="00200261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</w:p>
    <w:p w:rsidRPr="007C72F3" w:rsidR="00571698" w:rsidP="007C72F3" w:rsidRDefault="00571698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7C72F3">
        <w:rPr>
          <w:rFonts w:asciiTheme="majorHAnsi" w:hAnsiTheme="majorHAnsi" w:eastAsiaTheme="minorHAnsi" w:cstheme="minorBidi"/>
          <w:szCs w:val="22"/>
        </w:rPr>
        <w:t>No additional consultation apart from soliciting public comments through the 60-Day Federal Register Noticed was conducted for this submission.</w:t>
      </w:r>
      <w:r w:rsidR="007C72F3">
        <w:rPr>
          <w:rFonts w:asciiTheme="majorHAnsi" w:hAnsiTheme="majorHAnsi" w:eastAsiaTheme="minorHAnsi" w:cstheme="minorBidi"/>
          <w:szCs w:val="22"/>
        </w:rPr>
        <w:t xml:space="preserve"> </w:t>
      </w:r>
    </w:p>
    <w:p w:rsidR="00571698" w:rsidP="006E563D" w:rsidRDefault="006A13FA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:rsidR="006A13FA" w:rsidP="006A13FA" w:rsidRDefault="006A13FA">
      <w:pPr>
        <w:spacing w:after="0" w:line="240" w:lineRule="auto"/>
        <w:rPr>
          <w:rFonts w:asciiTheme="majorHAnsi" w:hAnsiTheme="majorHAnsi"/>
          <w:i/>
          <w:sz w:val="24"/>
        </w:rPr>
      </w:pPr>
      <w:r w:rsidRPr="007C72F3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:rsidRDefault="006A13FA">
      <w:pPr>
        <w:spacing w:after="0" w:line="240" w:lineRule="auto"/>
        <w:rPr>
          <w:rFonts w:asciiTheme="majorHAnsi" w:hAnsiTheme="majorHAnsi"/>
          <w:sz w:val="24"/>
        </w:rPr>
      </w:pPr>
    </w:p>
    <w:p w:rsidR="00F97482" w:rsidP="006A13FA" w:rsidRDefault="00F97482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:rsidRPr="00424112" w:rsidR="00E95FFB" w:rsidP="007C72F3" w:rsidRDefault="007C72F3">
      <w:pPr>
        <w:spacing w:after="0" w:line="240" w:lineRule="auto"/>
        <w:rPr>
          <w:rFonts w:asciiTheme="majorHAnsi" w:hAnsiTheme="majorHAnsi"/>
          <w:sz w:val="24"/>
        </w:rPr>
      </w:pPr>
      <w:r w:rsidRPr="00424112">
        <w:rPr>
          <w:rFonts w:cs="Times New Roman" w:asciiTheme="majorHAnsi" w:hAnsiTheme="majorHAnsi"/>
          <w:sz w:val="24"/>
        </w:rPr>
        <w:t xml:space="preserve">A Privacy Act Statement is required and is present on the DL 1822, End Use Certificate.  The top of the DL 1822 states, “Please read Privacy Act Statement on page 2 before completing </w:t>
      </w:r>
      <w:r w:rsidRPr="00424112">
        <w:rPr>
          <w:rFonts w:cs="Times New Roman" w:asciiTheme="majorHAnsi" w:hAnsiTheme="majorHAnsi"/>
          <w:sz w:val="24"/>
        </w:rPr>
        <w:lastRenderedPageBreak/>
        <w:t>this form.” The Privacy Act Statement on page 2 conforms with DoD and DLA policy requirements</w:t>
      </w:r>
      <w:r w:rsidRPr="00424112">
        <w:rPr>
          <w:rFonts w:asciiTheme="majorHAnsi" w:hAnsiTheme="majorHAnsi"/>
          <w:i/>
          <w:sz w:val="24"/>
        </w:rPr>
        <w:t>.</w:t>
      </w:r>
      <w:r w:rsidRPr="00424112" w:rsidR="00E95FFB">
        <w:rPr>
          <w:rFonts w:asciiTheme="majorHAnsi" w:hAnsiTheme="majorHAnsi"/>
          <w:sz w:val="24"/>
        </w:rPr>
        <w:t xml:space="preserve"> </w:t>
      </w:r>
    </w:p>
    <w:p w:rsidR="00E95FFB" w:rsidP="00E95FFB" w:rsidRDefault="00E95FFB">
      <w:pPr>
        <w:spacing w:after="0" w:line="240" w:lineRule="auto"/>
        <w:rPr>
          <w:rFonts w:asciiTheme="majorHAnsi" w:hAnsiTheme="majorHAnsi"/>
          <w:sz w:val="24"/>
        </w:rPr>
      </w:pPr>
    </w:p>
    <w:p w:rsidRPr="00546F2E" w:rsidR="00490797" w:rsidP="00424112" w:rsidRDefault="0042411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System of Record Notice for this collection is required.</w:t>
      </w:r>
      <w:r w:rsidRPr="00546F2E" w:rsidR="007C72F3">
        <w:rPr>
          <w:rFonts w:asciiTheme="majorHAnsi" w:hAnsiTheme="majorHAnsi"/>
          <w:sz w:val="24"/>
        </w:rPr>
        <w:t xml:space="preserve">  It can be located at: </w:t>
      </w:r>
      <w:hyperlink w:history="1" r:id="rId7">
        <w:r w:rsidRPr="00546F2E" w:rsidR="00932EC9">
          <w:rPr>
            <w:rStyle w:val="Hyperlink"/>
            <w:rFonts w:asciiTheme="majorHAnsi" w:hAnsiTheme="majorHAnsi"/>
            <w:sz w:val="24"/>
          </w:rPr>
          <w:t>https://dpcld.defense.gov/Privacy/SORNsIndex/DOD-wide-SORN-Article-View/Article/570273/s64045/</w:t>
        </w:r>
      </w:hyperlink>
      <w:r w:rsidRPr="00546F2E" w:rsidR="00932EC9">
        <w:rPr>
          <w:rFonts w:asciiTheme="majorHAnsi" w:hAnsiTheme="majorHAnsi"/>
          <w:sz w:val="24"/>
        </w:rPr>
        <w:t xml:space="preserve"> </w:t>
      </w:r>
    </w:p>
    <w:p w:rsidR="005D5C81" w:rsidP="00490797" w:rsidRDefault="005D5C81">
      <w:pPr>
        <w:spacing w:after="0" w:line="240" w:lineRule="auto"/>
        <w:rPr>
          <w:rFonts w:asciiTheme="majorHAnsi" w:hAnsiTheme="majorHAnsi"/>
          <w:sz w:val="24"/>
        </w:rPr>
      </w:pPr>
    </w:p>
    <w:p w:rsidR="00424112" w:rsidP="005B6C5A" w:rsidRDefault="00650BE0">
      <w:pPr>
        <w:spacing w:after="0" w:line="240" w:lineRule="auto"/>
        <w:rPr>
          <w:rFonts w:asciiTheme="majorHAnsi" w:hAnsiTheme="majorHAnsi"/>
          <w:sz w:val="24"/>
        </w:rPr>
      </w:pPr>
      <w:r w:rsidRPr="00650BE0">
        <w:rPr>
          <w:rFonts w:asciiTheme="majorHAnsi" w:hAnsiTheme="majorHAnsi"/>
          <w:sz w:val="24"/>
        </w:rPr>
        <w:t xml:space="preserve">A draft copy of the PIA, </w:t>
      </w:r>
      <w:r>
        <w:rPr>
          <w:rFonts w:asciiTheme="majorHAnsi" w:hAnsiTheme="majorHAnsi"/>
          <w:sz w:val="24"/>
        </w:rPr>
        <w:t>Activity Management for Investigators and Analyst System</w:t>
      </w:r>
      <w:r w:rsidRPr="00650BE0">
        <w:rPr>
          <w:rFonts w:asciiTheme="majorHAnsi" w:hAnsiTheme="majorHAnsi"/>
          <w:sz w:val="24"/>
        </w:rPr>
        <w:t>, has been provided with this package for OMB’s review.</w:t>
      </w:r>
    </w:p>
    <w:p w:rsidR="00650BE0" w:rsidP="005B6C5A" w:rsidRDefault="00650BE0">
      <w:pPr>
        <w:spacing w:after="0" w:line="240" w:lineRule="auto"/>
        <w:rPr>
          <w:rFonts w:asciiTheme="majorHAnsi" w:hAnsiTheme="majorHAnsi"/>
          <w:sz w:val="24"/>
        </w:rPr>
      </w:pPr>
    </w:p>
    <w:p w:rsidRPr="00546F2E" w:rsidR="00424112" w:rsidP="005B6C5A" w:rsidRDefault="00424112">
      <w:pPr>
        <w:spacing w:after="0" w:line="240" w:lineRule="auto"/>
        <w:rPr>
          <w:rFonts w:asciiTheme="majorHAnsi" w:hAnsiTheme="majorHAnsi"/>
          <w:sz w:val="24"/>
        </w:rPr>
      </w:pPr>
      <w:r w:rsidRPr="00424112">
        <w:rPr>
          <w:rFonts w:asciiTheme="majorHAnsi" w:hAnsiTheme="majorHAnsi"/>
          <w:sz w:val="24"/>
        </w:rPr>
        <w:t>Records are destroyed 7 years after bid award date. Sales records involving violation of law or regulation are destroyed 15 years after case adjudication is completed.</w:t>
      </w:r>
    </w:p>
    <w:p w:rsidR="00996894" w:rsidP="00996894" w:rsidRDefault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:rsidRDefault="00337EF1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:rsidR="00B80EF5" w:rsidP="00337EF1" w:rsidRDefault="004C2A5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Social Security Number is collected on the DLA Form 1822. A SSN</w:t>
      </w:r>
      <w:r w:rsidR="00B80EF5">
        <w:rPr>
          <w:rFonts w:asciiTheme="majorHAnsi" w:hAnsiTheme="majorHAnsi"/>
          <w:sz w:val="24"/>
        </w:rPr>
        <w:t xml:space="preserve"> Justification Memo is </w:t>
      </w:r>
      <w:r>
        <w:rPr>
          <w:rFonts w:asciiTheme="majorHAnsi" w:hAnsiTheme="majorHAnsi"/>
          <w:sz w:val="24"/>
        </w:rPr>
        <w:t>included in</w:t>
      </w:r>
      <w:r w:rsidR="00B80EF5">
        <w:rPr>
          <w:rFonts w:asciiTheme="majorHAnsi" w:hAnsiTheme="majorHAnsi"/>
          <w:sz w:val="24"/>
        </w:rPr>
        <w:t xml:space="preserve"> this package</w:t>
      </w:r>
      <w:r>
        <w:rPr>
          <w:rFonts w:asciiTheme="majorHAnsi" w:hAnsiTheme="majorHAnsi"/>
          <w:sz w:val="24"/>
        </w:rPr>
        <w:t xml:space="preserve"> for OMB’s review</w:t>
      </w:r>
      <w:r w:rsidR="00B80EF5">
        <w:rPr>
          <w:rFonts w:asciiTheme="majorHAnsi" w:hAnsiTheme="majorHAnsi"/>
          <w:sz w:val="24"/>
        </w:rPr>
        <w:t>.</w:t>
      </w:r>
    </w:p>
    <w:p w:rsidR="00D21AA6" w:rsidP="00337EF1" w:rsidRDefault="00D21AA6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Pr="00E65CB4" w:rsidR="00E65CB4" w:rsidP="00E65CB4" w:rsidRDefault="00E65CB4">
      <w:pPr>
        <w:spacing w:before="100" w:beforeAutospacing="1" w:after="0" w:line="288" w:lineRule="atLeast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Part A: ESTIMATION OF RESPONDENT BURDEN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E65CB4" w:rsidR="00E65CB4" w:rsidP="00E65CB4" w:rsidRDefault="00E65CB4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Collection Instrument(s)</w:t>
      </w:r>
    </w:p>
    <w:p w:rsidRPr="00E65CB4" w:rsidR="00E65CB4" w:rsidP="00E65CB4" w:rsidRDefault="00E65CB4">
      <w:pPr>
        <w:spacing w:after="0" w:line="240" w:lineRule="auto"/>
        <w:ind w:left="720"/>
        <w:contextualSpacing/>
        <w:rPr>
          <w:rFonts w:asciiTheme="majorHAnsi" w:hAnsiTheme="majorHAnsi"/>
          <w:b/>
          <w:sz w:val="24"/>
        </w:rPr>
      </w:pPr>
      <w:r w:rsidRPr="00E65CB4">
        <w:rPr>
          <w:rFonts w:asciiTheme="majorHAnsi" w:hAnsiTheme="majorHAnsi"/>
          <w:b/>
          <w:sz w:val="24"/>
        </w:rPr>
        <w:t xml:space="preserve">DLA Form 1822 </w:t>
      </w:r>
    </w:p>
    <w:p w:rsidRPr="00E65CB4" w:rsidR="00E65CB4" w:rsidP="00E65CB4" w:rsidRDefault="00E65CB4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Number of Respondents: 42,000</w:t>
      </w:r>
    </w:p>
    <w:p w:rsidRPr="00E65CB4" w:rsidR="00E65CB4" w:rsidP="00E65CB4" w:rsidRDefault="00E65CB4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Number of Responses Per Respondent: 1</w:t>
      </w:r>
    </w:p>
    <w:p w:rsidRPr="00E65CB4" w:rsidR="00E65CB4" w:rsidP="00E65CB4" w:rsidRDefault="00E65CB4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Number of Total Annual Responses: 42,000</w:t>
      </w:r>
    </w:p>
    <w:p w:rsidRPr="00E65CB4" w:rsidR="00E65CB4" w:rsidP="00E65CB4" w:rsidRDefault="00E65CB4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Response Time: 20 minutes</w:t>
      </w:r>
    </w:p>
    <w:p w:rsidRPr="00E65CB4" w:rsidR="00E65CB4" w:rsidP="00E65CB4" w:rsidRDefault="00E65CB4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 xml:space="preserve">Respondent Burden Hours: 14,000 hours </w:t>
      </w:r>
    </w:p>
    <w:p w:rsidRPr="00E65CB4" w:rsidR="00E65CB4" w:rsidP="00E65CB4" w:rsidRDefault="00E65CB4">
      <w:pPr>
        <w:spacing w:after="0" w:line="240" w:lineRule="auto"/>
        <w:ind w:left="1440"/>
        <w:contextualSpacing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 xml:space="preserve">Total Submission Burden </w:t>
      </w:r>
    </w:p>
    <w:p w:rsidRPr="00E65CB4" w:rsidR="00E65CB4" w:rsidP="00E65CB4" w:rsidRDefault="00E65CB4">
      <w:pPr>
        <w:numPr>
          <w:ilvl w:val="1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Number of Respondents: 42,000</w:t>
      </w:r>
    </w:p>
    <w:p w:rsidRPr="00E65CB4" w:rsidR="00E65CB4" w:rsidP="00E65CB4" w:rsidRDefault="00E65CB4">
      <w:pPr>
        <w:numPr>
          <w:ilvl w:val="1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Number of Annual Respons</w:t>
      </w:r>
      <w:r w:rsidR="006F6306">
        <w:rPr>
          <w:rFonts w:asciiTheme="majorHAnsi" w:hAnsiTheme="majorHAnsi"/>
          <w:sz w:val="24"/>
        </w:rPr>
        <w:t>es:</w:t>
      </w:r>
      <w:r w:rsidRPr="00E65CB4">
        <w:rPr>
          <w:rFonts w:asciiTheme="majorHAnsi" w:hAnsiTheme="majorHAnsi"/>
          <w:sz w:val="24"/>
        </w:rPr>
        <w:t xml:space="preserve"> 42,000</w:t>
      </w:r>
    </w:p>
    <w:p w:rsidRPr="00E65CB4" w:rsidR="00E65CB4" w:rsidP="00E65CB4" w:rsidRDefault="00E65CB4">
      <w:pPr>
        <w:numPr>
          <w:ilvl w:val="1"/>
          <w:numId w:val="17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Respondent Burden Hours: 14,000 hours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Part B: LABOR COST OF RESPONDENT BURDEN</w:t>
      </w:r>
    </w:p>
    <w:p w:rsidRPr="00E65CB4" w:rsidR="00E65CB4" w:rsidP="00E65CB4" w:rsidRDefault="00E65CB4">
      <w:pPr>
        <w:spacing w:after="0" w:line="240" w:lineRule="auto"/>
        <w:ind w:left="720"/>
        <w:contextualSpacing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9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Collection Instrument(s)</w:t>
      </w:r>
    </w:p>
    <w:p w:rsidRPr="00E65CB4" w:rsidR="00E65CB4" w:rsidP="00E65CB4" w:rsidRDefault="00E65CB4">
      <w:pPr>
        <w:spacing w:after="0" w:line="240" w:lineRule="auto"/>
        <w:ind w:left="720"/>
        <w:contextualSpacing/>
        <w:rPr>
          <w:rFonts w:asciiTheme="majorHAnsi" w:hAnsiTheme="majorHAnsi"/>
          <w:b/>
          <w:sz w:val="24"/>
        </w:rPr>
      </w:pPr>
      <w:r w:rsidRPr="00E65CB4">
        <w:rPr>
          <w:rFonts w:asciiTheme="majorHAnsi" w:hAnsiTheme="majorHAnsi"/>
          <w:b/>
          <w:sz w:val="24"/>
        </w:rPr>
        <w:t xml:space="preserve">DLA Form 1822 </w:t>
      </w:r>
    </w:p>
    <w:p w:rsidRPr="00E65CB4" w:rsidR="00E65CB4" w:rsidP="00E65CB4" w:rsidRDefault="00E65CB4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Number of Total Annual Responses: 42,000</w:t>
      </w:r>
    </w:p>
    <w:p w:rsidRPr="00E65CB4" w:rsidR="00E65CB4" w:rsidP="00E65CB4" w:rsidRDefault="00E65CB4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Response Time: 20 minutes</w:t>
      </w:r>
    </w:p>
    <w:p w:rsidRPr="00E65CB4" w:rsidR="00E65CB4" w:rsidP="00E65CB4" w:rsidRDefault="00E65CB4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Respondent Hourly Wage: $21.83</w:t>
      </w:r>
    </w:p>
    <w:p w:rsidRPr="00E65CB4" w:rsidR="00E65CB4" w:rsidP="00E65CB4" w:rsidRDefault="00E65CB4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Labor Burden per Response: $7.28</w:t>
      </w:r>
    </w:p>
    <w:p w:rsidRPr="00E65CB4" w:rsidR="00E65CB4" w:rsidP="00E65CB4" w:rsidRDefault="00031DED">
      <w:pPr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Burden: $305,760</w:t>
      </w:r>
      <w:r w:rsidRPr="00E65CB4" w:rsidR="00E65CB4">
        <w:rPr>
          <w:rFonts w:asciiTheme="majorHAnsi" w:hAnsiTheme="majorHAnsi"/>
          <w:sz w:val="24"/>
        </w:rPr>
        <w:t>.00</w:t>
      </w:r>
    </w:p>
    <w:p w:rsidRPr="00E65CB4" w:rsidR="00E65CB4" w:rsidP="00E65CB4" w:rsidRDefault="00E65CB4">
      <w:pPr>
        <w:spacing w:after="0" w:line="240" w:lineRule="auto"/>
        <w:ind w:left="1440"/>
        <w:contextualSpacing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9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 xml:space="preserve">Overall Labor Burden </w:t>
      </w:r>
    </w:p>
    <w:p w:rsidRPr="00E65CB4" w:rsidR="00E65CB4" w:rsidP="00E65CB4" w:rsidRDefault="00E65CB4">
      <w:pPr>
        <w:numPr>
          <w:ilvl w:val="1"/>
          <w:numId w:val="19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Number of Annual Responses: 42,000</w:t>
      </w:r>
    </w:p>
    <w:p w:rsidRPr="00E65CB4" w:rsidR="00E65CB4" w:rsidP="00E65CB4" w:rsidRDefault="00031DED">
      <w:pPr>
        <w:numPr>
          <w:ilvl w:val="1"/>
          <w:numId w:val="19"/>
        </w:numPr>
        <w:spacing w:after="0" w:line="240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Total Labor Burden: $305,760</w:t>
      </w:r>
      <w:bookmarkStart w:name="_GoBack" w:id="0"/>
      <w:bookmarkEnd w:id="0"/>
      <w:r w:rsidRPr="00E65CB4" w:rsidR="00E65CB4">
        <w:rPr>
          <w:rFonts w:asciiTheme="majorHAnsi" w:hAnsiTheme="majorHAnsi"/>
          <w:sz w:val="24"/>
        </w:rPr>
        <w:t>.00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 xml:space="preserve">The Respondent hourly wage was determined by using the 2018 Q1 median wage, which is comparable to the GS-9 hourly wage, on the Bureau of Labor Statistics website. 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13.</w:t>
      </w:r>
      <w:r w:rsidRPr="00E65CB4">
        <w:rPr>
          <w:rFonts w:asciiTheme="majorHAnsi" w:hAnsiTheme="majorHAnsi"/>
          <w:sz w:val="24"/>
        </w:rPr>
        <w:tab/>
      </w:r>
      <w:r w:rsidRPr="00E65CB4">
        <w:rPr>
          <w:rFonts w:asciiTheme="majorHAnsi" w:hAnsiTheme="majorHAnsi"/>
          <w:sz w:val="24"/>
          <w:u w:val="single"/>
        </w:rPr>
        <w:t>Respondent Costs Other Than Burden Hour Costs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 xml:space="preserve">14. </w:t>
      </w:r>
      <w:r w:rsidRPr="00E65CB4">
        <w:rPr>
          <w:rFonts w:asciiTheme="majorHAnsi" w:hAnsiTheme="majorHAnsi"/>
          <w:sz w:val="24"/>
        </w:rPr>
        <w:tab/>
      </w:r>
      <w:r w:rsidRPr="00E65CB4">
        <w:rPr>
          <w:rFonts w:asciiTheme="majorHAnsi" w:hAnsiTheme="majorHAnsi"/>
          <w:sz w:val="24"/>
          <w:u w:val="single"/>
        </w:rPr>
        <w:t>Cost to the Federal Government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Part A: LABOR COST TO THE FEDERAL GOVERNMENT</w:t>
      </w:r>
    </w:p>
    <w:p w:rsidRPr="00E65CB4" w:rsidR="00E65CB4" w:rsidP="00E65CB4" w:rsidRDefault="00E65CB4">
      <w:pPr>
        <w:spacing w:after="0" w:line="240" w:lineRule="auto"/>
        <w:ind w:left="720"/>
        <w:contextualSpacing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Collection Instrument(s)</w:t>
      </w:r>
    </w:p>
    <w:p w:rsidRPr="00E65CB4" w:rsidR="00E65CB4" w:rsidP="00E65CB4" w:rsidRDefault="00E65CB4">
      <w:pPr>
        <w:spacing w:after="0" w:line="240" w:lineRule="auto"/>
        <w:ind w:left="720"/>
        <w:contextualSpacing/>
        <w:rPr>
          <w:rFonts w:asciiTheme="majorHAnsi" w:hAnsiTheme="majorHAnsi"/>
          <w:b/>
          <w:sz w:val="24"/>
        </w:rPr>
      </w:pPr>
      <w:r w:rsidRPr="00E65CB4">
        <w:rPr>
          <w:rFonts w:asciiTheme="majorHAnsi" w:hAnsiTheme="majorHAnsi"/>
          <w:b/>
          <w:sz w:val="24"/>
        </w:rPr>
        <w:t>DLA Form 1822</w:t>
      </w:r>
    </w:p>
    <w:p w:rsidRPr="00E65CB4" w:rsidR="00E65CB4" w:rsidP="00E65CB4" w:rsidRDefault="00E65CB4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Number of Total Annual Responses: 42,000</w:t>
      </w:r>
    </w:p>
    <w:p w:rsidRPr="00E65CB4" w:rsidR="00E65CB4" w:rsidP="00E65CB4" w:rsidRDefault="00E65CB4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Processing Time per Response: 15 minutes</w:t>
      </w:r>
    </w:p>
    <w:p w:rsidRPr="00E65CB4" w:rsidR="00E65CB4" w:rsidP="00E65CB4" w:rsidRDefault="00E65CB4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Hourly Wage of</w:t>
      </w:r>
      <w:r w:rsidR="00B00BB0">
        <w:rPr>
          <w:rFonts w:asciiTheme="majorHAnsi" w:hAnsiTheme="majorHAnsi"/>
          <w:sz w:val="24"/>
        </w:rPr>
        <w:t xml:space="preserve"> Worker(s) Processing Responses</w:t>
      </w:r>
      <w:r w:rsidRPr="00E65CB4">
        <w:rPr>
          <w:rFonts w:asciiTheme="majorHAnsi" w:hAnsiTheme="majorHAnsi"/>
          <w:sz w:val="24"/>
        </w:rPr>
        <w:t>: $26.94</w:t>
      </w:r>
    </w:p>
    <w:p w:rsidRPr="00E65CB4" w:rsidR="00E65CB4" w:rsidP="00E65CB4" w:rsidRDefault="00E65CB4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Cost to Process Each Response: $6.74</w:t>
      </w:r>
    </w:p>
    <w:p w:rsidRPr="00E65CB4" w:rsidR="00E65CB4" w:rsidP="00E65CB4" w:rsidRDefault="00E65CB4">
      <w:pPr>
        <w:numPr>
          <w:ilvl w:val="0"/>
          <w:numId w:val="14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Cost to Process Responses: $283,080</w:t>
      </w:r>
    </w:p>
    <w:p w:rsidRPr="00E65CB4" w:rsidR="00E65CB4" w:rsidP="00E65CB4" w:rsidRDefault="00E65CB4">
      <w:pPr>
        <w:spacing w:after="0" w:line="240" w:lineRule="auto"/>
        <w:ind w:left="1440"/>
        <w:contextualSpacing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Overall Labor Burden to the Federal Government</w:t>
      </w:r>
    </w:p>
    <w:p w:rsidRPr="00E65CB4" w:rsidR="00E65CB4" w:rsidP="00E65CB4" w:rsidRDefault="00E65CB4">
      <w:pPr>
        <w:numPr>
          <w:ilvl w:val="1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Number of Annual Responses: 42,000</w:t>
      </w:r>
    </w:p>
    <w:p w:rsidRPr="00E65CB4" w:rsidR="00E65CB4" w:rsidP="00E65CB4" w:rsidRDefault="00E65CB4">
      <w:pPr>
        <w:numPr>
          <w:ilvl w:val="1"/>
          <w:numId w:val="13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Labor Burden</w:t>
      </w:r>
      <w:r w:rsidRPr="00E65CB4">
        <w:rPr>
          <w:rFonts w:asciiTheme="majorHAnsi" w:hAnsiTheme="majorHAnsi"/>
          <w:i/>
          <w:sz w:val="24"/>
        </w:rPr>
        <w:t xml:space="preserve">: </w:t>
      </w:r>
      <w:r w:rsidRPr="00E65CB4">
        <w:rPr>
          <w:rFonts w:asciiTheme="majorHAnsi" w:hAnsiTheme="majorHAnsi"/>
          <w:sz w:val="24"/>
        </w:rPr>
        <w:t>$283,080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Part B: OPERATIONAL AND MAINTENANCE COSTS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Cost Categories</w:t>
      </w:r>
    </w:p>
    <w:p w:rsidRPr="00E65CB4" w:rsidR="00E65CB4" w:rsidP="00E65CB4" w:rsidRDefault="00E65CB4">
      <w:pPr>
        <w:numPr>
          <w:ilvl w:val="1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Equipment: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numPr>
          <w:ilvl w:val="1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Printing: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numPr>
          <w:ilvl w:val="1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Postage: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numPr>
          <w:ilvl w:val="1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Software Purchases: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numPr>
          <w:ilvl w:val="1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Licensing Costs: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numPr>
          <w:ilvl w:val="1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Other: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spacing w:after="0" w:line="240" w:lineRule="auto"/>
        <w:ind w:left="1440"/>
        <w:contextualSpacing/>
        <w:rPr>
          <w:rFonts w:asciiTheme="majorHAnsi" w:hAnsiTheme="majorHAnsi"/>
          <w:i/>
          <w:sz w:val="24"/>
        </w:rPr>
      </w:pPr>
    </w:p>
    <w:p w:rsidRPr="00E65CB4" w:rsidR="00E65CB4" w:rsidP="00E65CB4" w:rsidRDefault="00E65CB4">
      <w:pPr>
        <w:numPr>
          <w:ilvl w:val="0"/>
          <w:numId w:val="15"/>
        </w:numPr>
        <w:spacing w:after="0" w:line="240" w:lineRule="auto"/>
        <w:contextualSpacing/>
        <w:rPr>
          <w:rFonts w:asciiTheme="majorHAnsi" w:hAnsiTheme="majorHAnsi"/>
          <w:i/>
          <w:sz w:val="24"/>
        </w:rPr>
      </w:pPr>
      <w:r w:rsidRPr="00E65CB4">
        <w:rPr>
          <w:rFonts w:asciiTheme="majorHAnsi" w:hAnsiTheme="majorHAnsi"/>
          <w:sz w:val="24"/>
        </w:rPr>
        <w:t>Total Operational and Maintenance Cost: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Part C: TOTAL COST TO THE FEDERAL GOVERNMENT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Labor Cost to the Federal Government: $</w:t>
      </w:r>
      <w:r w:rsidR="00424112">
        <w:rPr>
          <w:rFonts w:asciiTheme="majorHAnsi" w:hAnsiTheme="majorHAnsi"/>
          <w:sz w:val="24"/>
        </w:rPr>
        <w:t>283,080</w:t>
      </w:r>
    </w:p>
    <w:p w:rsidRPr="00E65CB4" w:rsidR="00E65CB4" w:rsidP="00E65CB4" w:rsidRDefault="00E65CB4">
      <w:pPr>
        <w:spacing w:after="0" w:line="240" w:lineRule="auto"/>
        <w:ind w:left="720"/>
        <w:contextualSpacing/>
        <w:rPr>
          <w:rFonts w:asciiTheme="majorHAnsi" w:hAnsiTheme="majorHAnsi"/>
          <w:sz w:val="24"/>
        </w:rPr>
      </w:pPr>
    </w:p>
    <w:p w:rsidRPr="00E65CB4" w:rsidR="00E65CB4" w:rsidP="00E65CB4" w:rsidRDefault="00E65CB4">
      <w:pPr>
        <w:numPr>
          <w:ilvl w:val="0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Operational and Maintenance Costs: $</w:t>
      </w:r>
      <w:r w:rsidR="00424112">
        <w:rPr>
          <w:rFonts w:asciiTheme="majorHAnsi" w:hAnsiTheme="majorHAnsi"/>
          <w:sz w:val="24"/>
        </w:rPr>
        <w:t>0</w:t>
      </w:r>
    </w:p>
    <w:p w:rsidRPr="00E65CB4" w:rsidR="00E65CB4" w:rsidP="00E65CB4" w:rsidRDefault="00E65CB4">
      <w:pPr>
        <w:spacing w:after="0" w:line="240" w:lineRule="auto"/>
        <w:rPr>
          <w:rFonts w:asciiTheme="majorHAnsi" w:hAnsiTheme="majorHAnsi"/>
          <w:sz w:val="24"/>
        </w:rPr>
      </w:pPr>
    </w:p>
    <w:p w:rsidRPr="00E65CB4" w:rsidR="00486235" w:rsidP="00E65CB4" w:rsidRDefault="00E65CB4">
      <w:pPr>
        <w:numPr>
          <w:ilvl w:val="0"/>
          <w:numId w:val="16"/>
        </w:numPr>
        <w:spacing w:after="0" w:line="240" w:lineRule="auto"/>
        <w:contextualSpacing/>
        <w:rPr>
          <w:rFonts w:asciiTheme="majorHAnsi" w:hAnsiTheme="majorHAnsi"/>
          <w:sz w:val="24"/>
        </w:rPr>
      </w:pPr>
      <w:r w:rsidRPr="00E65CB4">
        <w:rPr>
          <w:rFonts w:asciiTheme="majorHAnsi" w:hAnsiTheme="majorHAnsi"/>
          <w:sz w:val="24"/>
        </w:rPr>
        <w:t>Total Cost to the Federal Government: $</w:t>
      </w:r>
      <w:r w:rsidR="00424112">
        <w:rPr>
          <w:rFonts w:asciiTheme="majorHAnsi" w:hAnsiTheme="majorHAnsi"/>
          <w:sz w:val="24"/>
        </w:rPr>
        <w:t>283,080</w:t>
      </w:r>
    </w:p>
    <w:p w:rsidR="00DA2B37" w:rsidP="00486235" w:rsidRDefault="00DA2B3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DA2B3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:rsidRPr="00932EC9" w:rsidR="00DA2B37" w:rsidP="00486235" w:rsidRDefault="00B00BB0">
      <w:pPr>
        <w:spacing w:after="0" w:line="240" w:lineRule="auto"/>
        <w:rPr>
          <w:rFonts w:asciiTheme="majorHAnsi" w:hAnsiTheme="majorHAnsi"/>
          <w:sz w:val="24"/>
        </w:rPr>
      </w:pPr>
      <w:r w:rsidRPr="00B00BB0">
        <w:rPr>
          <w:rFonts w:asciiTheme="majorHAnsi" w:hAnsiTheme="majorHAnsi"/>
          <w:sz w:val="24"/>
        </w:rPr>
        <w:lastRenderedPageBreak/>
        <w:t>There has been no change in burden since the last approval.</w:t>
      </w:r>
    </w:p>
    <w:p w:rsidR="00DA2B37" w:rsidP="00486235" w:rsidRDefault="00DA2B37">
      <w:pPr>
        <w:spacing w:after="0" w:line="240" w:lineRule="auto"/>
        <w:rPr>
          <w:rFonts w:asciiTheme="majorHAnsi" w:hAnsiTheme="majorHAnsi"/>
          <w:sz w:val="24"/>
        </w:rPr>
      </w:pPr>
    </w:p>
    <w:p w:rsidRPr="00932EC9" w:rsidR="00DA2B37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  <w:r w:rsidRPr="00932EC9">
        <w:rPr>
          <w:rFonts w:asciiTheme="majorHAnsi" w:hAnsiTheme="majorHAnsi"/>
          <w:sz w:val="24"/>
        </w:rPr>
        <w:t xml:space="preserve">16. </w:t>
      </w:r>
      <w:r w:rsidRPr="00932EC9">
        <w:rPr>
          <w:rFonts w:asciiTheme="majorHAnsi" w:hAnsiTheme="majorHAnsi"/>
          <w:sz w:val="24"/>
        </w:rPr>
        <w:tab/>
      </w:r>
      <w:r w:rsidRPr="00932EC9">
        <w:rPr>
          <w:rFonts w:asciiTheme="majorHAnsi" w:hAnsiTheme="majorHAnsi"/>
          <w:sz w:val="24"/>
          <w:u w:val="single"/>
        </w:rPr>
        <w:t>Publication of Results</w:t>
      </w:r>
      <w:r w:rsidRPr="00932EC9">
        <w:rPr>
          <w:rFonts w:asciiTheme="majorHAnsi" w:hAnsiTheme="majorHAnsi"/>
          <w:sz w:val="24"/>
        </w:rPr>
        <w:t xml:space="preserve"> </w:t>
      </w:r>
    </w:p>
    <w:p w:rsidR="005C3A95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  <w:r w:rsidRPr="00932EC9">
        <w:rPr>
          <w:rFonts w:asciiTheme="majorHAnsi" w:hAnsiTheme="majorHAnsi"/>
          <w:sz w:val="24"/>
        </w:rPr>
        <w:t xml:space="preserve"> 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</w:p>
    <w:p w:rsidR="005C3A95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62D17" w:rsidP="00486235" w:rsidRDefault="00C62D17">
      <w:pPr>
        <w:spacing w:after="0" w:line="240" w:lineRule="auto"/>
        <w:rPr>
          <w:rFonts w:asciiTheme="majorHAnsi" w:hAnsiTheme="majorHAnsi"/>
          <w:sz w:val="24"/>
        </w:rPr>
      </w:pPr>
      <w:r w:rsidRPr="00932EC9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:rsidRDefault="00C62D17">
      <w:pPr>
        <w:spacing w:after="0" w:line="240" w:lineRule="auto"/>
        <w:rPr>
          <w:rFonts w:asciiTheme="majorHAnsi" w:hAnsiTheme="majorHAnsi"/>
          <w:sz w:val="24"/>
        </w:rPr>
      </w:pPr>
    </w:p>
    <w:p w:rsidR="00C62D17" w:rsidP="00486235" w:rsidRDefault="00C62D1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C62D17" w:rsidR="00A50A0F" w:rsidP="00932EC9" w:rsidRDefault="00932EC9">
      <w:pPr>
        <w:spacing w:after="0" w:line="240" w:lineRule="auto"/>
        <w:rPr>
          <w:rFonts w:asciiTheme="majorHAnsi" w:hAnsiTheme="majorHAnsi"/>
          <w:i/>
          <w:sz w:val="24"/>
        </w:rPr>
      </w:pPr>
      <w:r w:rsidRPr="00932EC9">
        <w:rPr>
          <w:rFonts w:asciiTheme="majorHAnsi" w:hAnsiTheme="majorHAnsi"/>
          <w:sz w:val="24"/>
        </w:rPr>
        <w:t>We are not requesting any exemptions to the provisions stated in 5 CFR 1320.9</w:t>
      </w:r>
      <w:r w:rsidRPr="00932EC9">
        <w:rPr>
          <w:rFonts w:asciiTheme="majorHAnsi" w:hAnsiTheme="majorHAnsi"/>
          <w:i/>
          <w:sz w:val="24"/>
        </w:rPr>
        <w:t>.</w:t>
      </w:r>
    </w:p>
    <w:sectPr w:rsidRPr="00C62D17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B4" w:rsidRDefault="00E65CB4" w:rsidP="00FB569C">
      <w:pPr>
        <w:spacing w:after="0" w:line="240" w:lineRule="auto"/>
      </w:pPr>
      <w:r>
        <w:separator/>
      </w:r>
    </w:p>
  </w:endnote>
  <w:endnote w:type="continuationSeparator" w:id="0">
    <w:p w:rsidR="00E65CB4" w:rsidRDefault="00E65CB4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B4" w:rsidRDefault="00E65CB4" w:rsidP="00FB569C">
      <w:pPr>
        <w:spacing w:after="0" w:line="240" w:lineRule="auto"/>
      </w:pPr>
      <w:r>
        <w:separator/>
      </w:r>
    </w:p>
  </w:footnote>
  <w:footnote w:type="continuationSeparator" w:id="0">
    <w:p w:rsidR="00E65CB4" w:rsidRDefault="00E65CB4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9EC"/>
    <w:multiLevelType w:val="hybridMultilevel"/>
    <w:tmpl w:val="3E60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1"/>
  </w:num>
  <w:num w:numId="7">
    <w:abstractNumId w:val="17"/>
  </w:num>
  <w:num w:numId="8">
    <w:abstractNumId w:val="14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2"/>
  </w:num>
  <w:num w:numId="17">
    <w:abstractNumId w:val="20"/>
  </w:num>
  <w:num w:numId="18">
    <w:abstractNumId w:val="8"/>
  </w:num>
  <w:num w:numId="19">
    <w:abstractNumId w:val="7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159BC"/>
    <w:rsid w:val="00031DED"/>
    <w:rsid w:val="000B0E70"/>
    <w:rsid w:val="00105F45"/>
    <w:rsid w:val="0019309D"/>
    <w:rsid w:val="001F526C"/>
    <w:rsid w:val="00200261"/>
    <w:rsid w:val="00211832"/>
    <w:rsid w:val="00222D1B"/>
    <w:rsid w:val="0024335E"/>
    <w:rsid w:val="00254DCF"/>
    <w:rsid w:val="002567F9"/>
    <w:rsid w:val="0027743E"/>
    <w:rsid w:val="00294E92"/>
    <w:rsid w:val="003132E7"/>
    <w:rsid w:val="00331D7E"/>
    <w:rsid w:val="00337EF1"/>
    <w:rsid w:val="00372953"/>
    <w:rsid w:val="00394A8A"/>
    <w:rsid w:val="003C0540"/>
    <w:rsid w:val="00420AE9"/>
    <w:rsid w:val="00424112"/>
    <w:rsid w:val="00466EA0"/>
    <w:rsid w:val="00480AFF"/>
    <w:rsid w:val="00486235"/>
    <w:rsid w:val="00490797"/>
    <w:rsid w:val="004B1E88"/>
    <w:rsid w:val="004C2A52"/>
    <w:rsid w:val="004C74D6"/>
    <w:rsid w:val="004F4F5D"/>
    <w:rsid w:val="00510F0C"/>
    <w:rsid w:val="00520B36"/>
    <w:rsid w:val="00546F2E"/>
    <w:rsid w:val="00571698"/>
    <w:rsid w:val="00576EDB"/>
    <w:rsid w:val="00596BBA"/>
    <w:rsid w:val="005B6C5A"/>
    <w:rsid w:val="005C3A95"/>
    <w:rsid w:val="005C7428"/>
    <w:rsid w:val="005D5C81"/>
    <w:rsid w:val="00642741"/>
    <w:rsid w:val="00650BE0"/>
    <w:rsid w:val="006511AC"/>
    <w:rsid w:val="006A13FA"/>
    <w:rsid w:val="006C511D"/>
    <w:rsid w:val="006E563D"/>
    <w:rsid w:val="006F2DF8"/>
    <w:rsid w:val="006F6306"/>
    <w:rsid w:val="00722FDB"/>
    <w:rsid w:val="00753EFE"/>
    <w:rsid w:val="0077261C"/>
    <w:rsid w:val="007A413E"/>
    <w:rsid w:val="007C72F3"/>
    <w:rsid w:val="008635C4"/>
    <w:rsid w:val="008D1294"/>
    <w:rsid w:val="008E3029"/>
    <w:rsid w:val="00932EC9"/>
    <w:rsid w:val="00942F2E"/>
    <w:rsid w:val="0098628F"/>
    <w:rsid w:val="00996894"/>
    <w:rsid w:val="00997C70"/>
    <w:rsid w:val="009A6246"/>
    <w:rsid w:val="009F2544"/>
    <w:rsid w:val="00A06586"/>
    <w:rsid w:val="00A41A83"/>
    <w:rsid w:val="00A50A0F"/>
    <w:rsid w:val="00A76F7E"/>
    <w:rsid w:val="00A77157"/>
    <w:rsid w:val="00AD518A"/>
    <w:rsid w:val="00B00BB0"/>
    <w:rsid w:val="00B23DF9"/>
    <w:rsid w:val="00B4729B"/>
    <w:rsid w:val="00B52F4E"/>
    <w:rsid w:val="00B80EF5"/>
    <w:rsid w:val="00B933B0"/>
    <w:rsid w:val="00BD67F5"/>
    <w:rsid w:val="00BE7109"/>
    <w:rsid w:val="00C62D17"/>
    <w:rsid w:val="00C808F4"/>
    <w:rsid w:val="00CA15B1"/>
    <w:rsid w:val="00CC24D5"/>
    <w:rsid w:val="00D21AA6"/>
    <w:rsid w:val="00D462F7"/>
    <w:rsid w:val="00DA2B37"/>
    <w:rsid w:val="00E5409A"/>
    <w:rsid w:val="00E65CB4"/>
    <w:rsid w:val="00E95FFB"/>
    <w:rsid w:val="00EA6C04"/>
    <w:rsid w:val="00F058EB"/>
    <w:rsid w:val="00F25499"/>
    <w:rsid w:val="00F86C35"/>
    <w:rsid w:val="00F97482"/>
    <w:rsid w:val="00FB569C"/>
    <w:rsid w:val="00F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63FE"/>
  <w15:docId w15:val="{EA4A539F-1B0A-4748-A93A-5DDC9A5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5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C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cld.defense.gov/Privacy/SORNsIndex/DOD-wide-SORN-Article-View/Article/570273/s640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Schuff, Nicholas A CTR WHS ESD</cp:lastModifiedBy>
  <cp:revision>5</cp:revision>
  <cp:lastPrinted>2016-09-20T19:55:00Z</cp:lastPrinted>
  <dcterms:created xsi:type="dcterms:W3CDTF">2022-03-25T20:12:00Z</dcterms:created>
  <dcterms:modified xsi:type="dcterms:W3CDTF">2022-03-30T19:41:00Z</dcterms:modified>
</cp:coreProperties>
</file>