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2550" w:rsidRDefault="00ED196A" w14:paraId="2E8FEAF1" w14:textId="77777777">
      <w:pPr>
        <w:spacing w:after="0" w:line="259" w:lineRule="auto"/>
        <w:jc w:val="center"/>
      </w:pPr>
      <w:r>
        <w:t xml:space="preserve">UNITED STATES FOOD &amp; DRUG ADMINISTRATION </w:t>
      </w:r>
    </w:p>
    <w:p w:rsidR="00922550" w:rsidRDefault="00ED196A" w14:paraId="6234F0D9" w14:textId="77777777">
      <w:pPr>
        <w:spacing w:after="0" w:line="259" w:lineRule="auto"/>
        <w:ind w:left="60" w:right="0" w:firstLine="0"/>
        <w:jc w:val="center"/>
      </w:pPr>
      <w:r>
        <w:t xml:space="preserve"> </w:t>
      </w:r>
    </w:p>
    <w:p w:rsidR="00E35FEA" w:rsidRDefault="00E35FEA" w14:paraId="63A222A8" w14:textId="77777777">
      <w:pPr>
        <w:spacing w:after="0" w:line="259" w:lineRule="auto"/>
        <w:ind w:left="60" w:right="0" w:firstLine="0"/>
        <w:jc w:val="center"/>
        <w:rPr>
          <w:color w:val="000000" w:themeColor="text1"/>
          <w:szCs w:val="24"/>
        </w:rPr>
      </w:pPr>
      <w:r>
        <w:rPr>
          <w:color w:val="000000" w:themeColor="text1"/>
          <w:szCs w:val="24"/>
        </w:rPr>
        <w:t>Expanded Access to Investigational Drugs for Treatment Use</w:t>
      </w:r>
    </w:p>
    <w:p w:rsidR="00922550" w:rsidRDefault="00ED196A" w14:paraId="77CC08DA" w14:textId="259F1981">
      <w:pPr>
        <w:spacing w:after="0" w:line="259" w:lineRule="auto"/>
        <w:ind w:left="60" w:right="0" w:firstLine="0"/>
        <w:jc w:val="center"/>
      </w:pPr>
      <w:r>
        <w:t xml:space="preserve"> </w:t>
      </w:r>
    </w:p>
    <w:p w:rsidR="00922550" w:rsidRDefault="00ED196A" w14:paraId="697C8370" w14:textId="77777777">
      <w:pPr>
        <w:spacing w:after="5" w:line="259" w:lineRule="auto"/>
        <w:ind w:left="0" w:firstLine="0"/>
        <w:jc w:val="center"/>
      </w:pPr>
      <w:r>
        <w:rPr>
          <w:u w:val="single" w:color="000000"/>
        </w:rPr>
        <w:t>OMB Control No</w:t>
      </w:r>
      <w:r>
        <w:t xml:space="preserve">. 0910-0814 </w:t>
      </w:r>
    </w:p>
    <w:p w:rsidR="00922550" w:rsidRDefault="00ED196A" w14:paraId="68CB3D6C" w14:textId="77777777">
      <w:pPr>
        <w:spacing w:after="0" w:line="259" w:lineRule="auto"/>
        <w:ind w:left="0" w:right="0" w:firstLine="0"/>
      </w:pPr>
      <w:r>
        <w:t xml:space="preserve"> </w:t>
      </w:r>
      <w:r>
        <w:tab/>
        <w:t xml:space="preserve"> </w:t>
      </w:r>
    </w:p>
    <w:p w:rsidR="00922550" w:rsidRDefault="00ED196A" w14:paraId="58003AFD" w14:textId="77777777">
      <w:pPr>
        <w:spacing w:after="0" w:line="259" w:lineRule="auto"/>
        <w:ind w:left="0" w:right="0" w:firstLine="0"/>
      </w:pPr>
      <w:r>
        <w:t xml:space="preserve">SUPPORTING STATEMENT </w:t>
      </w:r>
      <w:r>
        <w:rPr>
          <w:b/>
        </w:rPr>
        <w:t>Part A:  Justification:</w:t>
      </w:r>
      <w:r>
        <w:t xml:space="preserve"> </w:t>
      </w:r>
    </w:p>
    <w:p w:rsidR="00922550" w:rsidRDefault="00ED196A" w14:paraId="1BE3E530" w14:textId="77777777">
      <w:pPr>
        <w:spacing w:after="0" w:line="259" w:lineRule="auto"/>
        <w:ind w:left="0" w:right="0" w:firstLine="0"/>
      </w:pPr>
      <w:r>
        <w:t xml:space="preserve"> </w:t>
      </w:r>
    </w:p>
    <w:p w:rsidR="00922550" w:rsidRDefault="00ED196A" w14:paraId="10DC1DC9" w14:textId="77777777">
      <w:pPr>
        <w:pStyle w:val="Heading1"/>
        <w:spacing w:after="10" w:line="249" w:lineRule="auto"/>
        <w:ind w:left="-5"/>
      </w:pPr>
      <w:r>
        <w:rPr>
          <w:i w:val="0"/>
        </w:rPr>
        <w:t xml:space="preserve">1.  </w:t>
      </w:r>
      <w:r>
        <w:rPr>
          <w:i w:val="0"/>
          <w:u w:val="single" w:color="000000"/>
        </w:rPr>
        <w:t>Circumstances Making the Collection of Information Necessary</w:t>
      </w:r>
      <w:r>
        <w:rPr>
          <w:i w:val="0"/>
        </w:rPr>
        <w:t xml:space="preserve"> </w:t>
      </w:r>
    </w:p>
    <w:p w:rsidR="00922550" w:rsidRDefault="00ED196A" w14:paraId="676F5619" w14:textId="77777777">
      <w:pPr>
        <w:spacing w:after="0" w:line="259" w:lineRule="auto"/>
        <w:ind w:left="0" w:right="0" w:firstLine="0"/>
      </w:pPr>
      <w:r>
        <w:t xml:space="preserve"> </w:t>
      </w:r>
    </w:p>
    <w:p w:rsidR="00922550" w:rsidRDefault="00ED196A" w14:paraId="3546F21F" w14:textId="3808D57D">
      <w:pPr>
        <w:ind w:left="-5" w:right="0"/>
      </w:pPr>
      <w:r>
        <w:t>This information collection supports Food and Drug Administration (FDA, agency, us or we) regulations, as well as agency forms and associated guidance.  Provisions in section 561 of the Federal Food, Drug, and Cosmetic Act (as codified in 21 U.S.C. 360bbb), set forth general requirements relating to expanded access to unapproved therapies and diagnostics. Sometimes called “</w:t>
      </w:r>
      <w:r>
        <w:rPr>
          <w:i/>
        </w:rPr>
        <w:t>compassionate use</w:t>
      </w:r>
      <w:r>
        <w:t>,” expanded access (EA) is a potential pathway for a patient with an immediately life-threatening condition or serious disease or condition to gain access to an investigational medical product (drug, biologic, or medical device) for treatment outside of clinical trials when no comparable or satisfactory alternative therapy options are available.  To facilitate expanded access to investigational drugs by patients, regulations in 21 CFR part 312; subpart I (</w:t>
      </w:r>
      <w:r>
        <w:rPr>
          <w:i/>
        </w:rPr>
        <w:t>Expanded Access to Investigational Drugs for Treatment Use</w:t>
      </w:r>
      <w:r>
        <w:t xml:space="preserve">) establish submission requirements that include demonstrating certain criteria have been met, and that content and format requirements have been satisfied. </w:t>
      </w:r>
      <w:r w:rsidR="005F45A2">
        <w:t>This ICR revision consolidates the burden associated with the expanded access guidances for industry, Form FDA 3926 and the expanded access programs covered under FDA regulations 21 CFR 312.300 – 21 CFR 312.320,</w:t>
      </w:r>
      <w:r w:rsidR="007B6055">
        <w:t xml:space="preserve"> </w:t>
      </w:r>
      <w:r w:rsidR="005F45A2">
        <w:t>previously included under OMB control number 0910-0014</w:t>
      </w:r>
      <w:r w:rsidR="00673D74">
        <w:t xml:space="preserve">. </w:t>
      </w:r>
    </w:p>
    <w:p w:rsidR="00922550" w:rsidRDefault="00ED196A" w14:paraId="7DC35E75" w14:textId="77777777">
      <w:pPr>
        <w:spacing w:after="0" w:line="259" w:lineRule="auto"/>
        <w:ind w:left="0" w:right="0" w:firstLine="0"/>
      </w:pPr>
      <w:r>
        <w:t xml:space="preserve"> </w:t>
      </w:r>
    </w:p>
    <w:p w:rsidR="00922550" w:rsidP="00C6797B" w:rsidRDefault="007B6055" w14:paraId="2D663D70" w14:textId="7956C1EA">
      <w:pPr>
        <w:spacing w:after="30"/>
        <w:ind w:left="-5" w:right="0"/>
      </w:pPr>
      <w:r>
        <w:t xml:space="preserve">We have developed </w:t>
      </w:r>
      <w:r w:rsidR="00673D74">
        <w:t>an expanded access website (</w:t>
      </w:r>
      <w:hyperlink w:history="1" r:id="rId7">
        <w:r w:rsidRPr="00BC1DAA" w:rsidR="00673D74">
          <w:rPr>
            <w:rStyle w:val="Hyperlink"/>
          </w:rPr>
          <w:t>www.fda.gov/news-events/public-health-focus/expanded-access</w:t>
        </w:r>
      </w:hyperlink>
      <w:r w:rsidR="00673D74">
        <w:t xml:space="preserve">) and </w:t>
      </w:r>
      <w:r w:rsidR="00A81CCE">
        <w:t>a</w:t>
      </w:r>
      <w:r w:rsidR="00673D74">
        <w:t xml:space="preserve"> </w:t>
      </w:r>
      <w:r>
        <w:t>Form FDA 3926 entitled, “Individual Patient Expanded Access -- Investigational New Drug Application (IND) t</w:t>
      </w:r>
      <w:r w:rsidR="00ED196A">
        <w:t xml:space="preserve">o assist respondents </w:t>
      </w:r>
      <w:r w:rsidR="00AA0B33">
        <w:t>with</w:t>
      </w:r>
      <w:r w:rsidR="00ED196A">
        <w:t xml:space="preserve"> the information collection, .”  </w:t>
      </w:r>
      <w:r w:rsidR="00B90EEE">
        <w:t xml:space="preserve">The </w:t>
      </w:r>
      <w:r w:rsidR="00ED196A">
        <w:t>Form</w:t>
      </w:r>
      <w:r w:rsidR="00C6797B">
        <w:t xml:space="preserve"> </w:t>
      </w:r>
      <w:r w:rsidR="00B90EEE">
        <w:t>FDA</w:t>
      </w:r>
      <w:r w:rsidR="00ED196A">
        <w:t xml:space="preserve"> 3926 requires the completion of data fields that enable us to uniformly collect the minimum information necessary from licensed physicians </w:t>
      </w:r>
      <w:r w:rsidR="00673D74">
        <w:t xml:space="preserve">or industry </w:t>
      </w:r>
      <w:r w:rsidR="00ED196A">
        <w:t xml:space="preserve">who want to request expanded access as prescribed in the applicable regulations.  </w:t>
      </w:r>
    </w:p>
    <w:p w:rsidR="00922550" w:rsidRDefault="00ED196A" w14:paraId="464FB5B9" w14:textId="77777777">
      <w:pPr>
        <w:spacing w:after="0" w:line="259" w:lineRule="auto"/>
        <w:ind w:left="0" w:right="0" w:firstLine="0"/>
      </w:pPr>
      <w:r>
        <w:t xml:space="preserve"> </w:t>
      </w:r>
    </w:p>
    <w:p w:rsidR="00673D74" w:rsidP="00673D74" w:rsidRDefault="00673D74" w14:paraId="07502542" w14:textId="331D6DB5">
      <w:pPr>
        <w:ind w:left="-5" w:right="0"/>
      </w:pPr>
      <w:r>
        <w:t xml:space="preserve">Under § 312.310(d), in an emergency situation requiring a patient to be treated before a written </w:t>
      </w:r>
      <w:r w:rsidR="008B0A1F">
        <w:t xml:space="preserve">submission </w:t>
      </w:r>
      <w:r>
        <w:t>for FDA approval can be made, a request to use an investigational drug for individual patient expanded access may be made by telephone (or other rapid means of communication) to the appropriate FDA review division.  Authorization of the emergency use may be given by an FDA official by telephone, provided the</w:t>
      </w:r>
      <w:r w:rsidR="001E7E72">
        <w:t xml:space="preserve"> requesting </w:t>
      </w:r>
      <w:r>
        <w:t xml:space="preserve">physician explains how the expanded access use will meet the requirements of §§ 312.305 and 312.310 and agrees to submit an expanded access application within 15 working days of FDA’s initial authorization of the expanded access use (§ 312.310(d)(2)).  The </w:t>
      </w:r>
      <w:r w:rsidR="001E7E72">
        <w:t xml:space="preserve">requesting </w:t>
      </w:r>
      <w:r>
        <w:t xml:space="preserve">physician may choose to use Form FDA 3926 for the expanded access application or the Form FDA 1571 for submission of INDs.  </w:t>
      </w:r>
    </w:p>
    <w:p w:rsidR="00673D74" w:rsidP="00673D74" w:rsidRDefault="00673D74" w14:paraId="4FAF8FE3" w14:textId="522C4497">
      <w:pPr>
        <w:ind w:left="-5" w:right="0"/>
      </w:pPr>
      <w:r>
        <w:lastRenderedPageBreak/>
        <w:t xml:space="preserve"> </w:t>
      </w:r>
    </w:p>
    <w:p w:rsidR="00922550" w:rsidP="00D213B8" w:rsidRDefault="00ED196A" w14:paraId="166CA6B1" w14:textId="2D7C174F">
      <w:pPr>
        <w:ind w:left="-5" w:right="0"/>
      </w:pPr>
      <w:r>
        <w:t>A physician requesting individual patient expanded access may satisfy some of the submission requirements by referring to information in an existing IND, ordinarily one held by the investigational drug’s manufacturer, if the physician obtains permission from that IND holder (e.g., the drug manufacturer or pharmaceutical company) (§ 312.305(b)(1)).  If permission is obtained, the physician should then provide us with a letter of authorization (LOA) from the existing IND holder permitting us to reference that IND.  Information collection associated with other provisions of Investigational New Drugs and Form FDA 1571 (“</w:t>
      </w:r>
      <w:r>
        <w:rPr>
          <w:i/>
        </w:rPr>
        <w:t>Investigational New Drug Application (IND)</w:t>
      </w:r>
      <w:r>
        <w:t>”) and Form FDA 1572 (“</w:t>
      </w:r>
      <w:r>
        <w:rPr>
          <w:i/>
        </w:rPr>
        <w:t>Statement of Investigator</w:t>
      </w:r>
      <w:r>
        <w:t xml:space="preserve">”) is currently approved under OMB Control No. 0910-0014.  </w:t>
      </w:r>
    </w:p>
    <w:p w:rsidR="00922550" w:rsidRDefault="00922550" w14:paraId="75EDB846" w14:textId="06C953D7">
      <w:pPr>
        <w:spacing w:after="0" w:line="259" w:lineRule="auto"/>
        <w:ind w:left="0" w:right="0" w:firstLine="0"/>
      </w:pPr>
    </w:p>
    <w:p w:rsidR="00922550" w:rsidRDefault="006B000C" w14:paraId="3BC34AFE" w14:textId="27BC1621">
      <w:pPr>
        <w:ind w:left="-5" w:right="0"/>
      </w:pPr>
      <w:r>
        <w:t>W</w:t>
      </w:r>
      <w:r w:rsidR="00ED196A">
        <w:t>e are requesting continued approval of the</w:t>
      </w:r>
      <w:r w:rsidR="001E7E72">
        <w:t xml:space="preserve"> revised</w:t>
      </w:r>
      <w:r w:rsidR="00ED196A">
        <w:t xml:space="preserve"> information collection associated with expanded access applications includ</w:t>
      </w:r>
      <w:r>
        <w:t>ing</w:t>
      </w:r>
      <w:r w:rsidR="00ED196A">
        <w:t xml:space="preserve"> Form FDA 3926, associated guidance</w:t>
      </w:r>
      <w:r w:rsidR="003E6EBB">
        <w:t>s</w:t>
      </w:r>
      <w:r w:rsidR="00ED196A">
        <w:t>,</w:t>
      </w:r>
      <w:r>
        <w:t xml:space="preserve"> the FDA website for expanded access programs, and expanded access information collection as required</w:t>
      </w:r>
      <w:r w:rsidR="00ED196A">
        <w:t xml:space="preserve"> by our regulations in 21 CFR 312; subpart I (§§312.300 – 312.320)</w:t>
      </w:r>
      <w:r>
        <w:t>.</w:t>
      </w:r>
    </w:p>
    <w:p w:rsidR="00922550" w:rsidRDefault="00ED196A" w14:paraId="4E20CBF6" w14:textId="77777777">
      <w:pPr>
        <w:spacing w:after="0" w:line="259" w:lineRule="auto"/>
        <w:ind w:left="0" w:right="0" w:firstLine="0"/>
      </w:pPr>
      <w:r>
        <w:t xml:space="preserve"> </w:t>
      </w:r>
    </w:p>
    <w:p w:rsidR="00922550" w:rsidRDefault="00ED196A" w14:paraId="5B3D8677" w14:textId="77777777">
      <w:pPr>
        <w:pStyle w:val="Heading2"/>
        <w:ind w:left="-5" w:right="0"/>
      </w:pPr>
      <w:r>
        <w:rPr>
          <w:u w:val="none"/>
        </w:rPr>
        <w:t xml:space="preserve">2.  </w:t>
      </w:r>
      <w:r>
        <w:t>Purpose and Use of the Information Collection</w:t>
      </w:r>
      <w:r>
        <w:rPr>
          <w:u w:val="none"/>
        </w:rPr>
        <w:t xml:space="preserve">  </w:t>
      </w:r>
    </w:p>
    <w:p w:rsidR="00922550" w:rsidRDefault="00ED196A" w14:paraId="625C64DC" w14:textId="77777777">
      <w:pPr>
        <w:spacing w:after="0" w:line="259" w:lineRule="auto"/>
        <w:ind w:left="0" w:right="0" w:firstLine="0"/>
      </w:pPr>
      <w:r>
        <w:t xml:space="preserve"> </w:t>
      </w:r>
    </w:p>
    <w:p w:rsidR="00922550" w:rsidRDefault="00ED196A" w14:paraId="0D963FC4" w14:textId="11BEE4F9">
      <w:pPr>
        <w:ind w:left="-5" w:right="0"/>
      </w:pPr>
      <w:r>
        <w:t xml:space="preserve">This ICR collects information from licensed physicians who submit requests for expanded access to investigational drugs on behalf of individual patients.  Physicians may use Form FDA 3926 instead of Form FDA 1571 for the submission of information as described in the regulations (e.g., the rationale for the intended use of the drug and the physician’s qualifications).  We use the information to determine whether the access request can be granted.  Form FDA 3926 may also be used for certain follow-up submissions to existing individual patient expanded access INDs as described in FDA regulations (e.g., to submit an annual report or summary of expanded access use (treatment completed)). </w:t>
      </w:r>
    </w:p>
    <w:p w:rsidR="003E6EBB" w:rsidRDefault="003E6EBB" w14:paraId="6362F0B9" w14:textId="65B9D6B6">
      <w:pPr>
        <w:ind w:left="-5" w:right="0"/>
      </w:pPr>
    </w:p>
    <w:p w:rsidRPr="006B000C" w:rsidR="003E6EBB" w:rsidP="003E6EBB" w:rsidRDefault="003E6EBB" w14:paraId="34463156" w14:textId="78FADBDD">
      <w:pPr>
        <w:ind w:left="-5" w:right="0"/>
      </w:pPr>
      <w:r>
        <w:t xml:space="preserve">Under expanded access to investigational drugs for treatment use regulations, 21 CFR 312.300-312.320, this collection covers the information pertaining to expanded access programs, including individual patient access requirements, emergency use of investigational new drugs, expanded access and treatment for intermediate-sized patient populations, treatment INDs and treatment protocols as summarized in 21 CFR 312, Subpart I – Expanded Access to Investigational Drugs for Treatment Use.  By collecting only the information necessary for processing an expanded access request, Form FDA 3926 streamlines the application process for physicians </w:t>
      </w:r>
      <w:r w:rsidRPr="006B000C">
        <w:t xml:space="preserve">and reduces time that might otherwise be spent on patient care.  </w:t>
      </w:r>
    </w:p>
    <w:p w:rsidRPr="00C6797B" w:rsidR="006B000C" w:rsidRDefault="006B000C" w14:paraId="148C5A2A" w14:textId="77777777">
      <w:pPr>
        <w:spacing w:after="160" w:line="240" w:lineRule="auto"/>
        <w:ind w:left="0" w:right="0" w:firstLine="0"/>
        <w:rPr>
          <w:rFonts w:eastAsiaTheme="minorHAnsi"/>
          <w:color w:val="auto"/>
          <w:szCs w:val="24"/>
        </w:rPr>
      </w:pPr>
    </w:p>
    <w:p w:rsidRPr="00C6797B" w:rsidR="002277A9" w:rsidP="00C6797B" w:rsidRDefault="002277A9" w14:paraId="381BB8B3" w14:textId="3F17F12E">
      <w:pPr>
        <w:spacing w:after="160" w:line="240" w:lineRule="auto"/>
        <w:ind w:left="0" w:right="0" w:firstLine="0"/>
        <w:rPr>
          <w:rFonts w:eastAsiaTheme="minorHAnsi"/>
          <w:color w:val="auto"/>
          <w:szCs w:val="24"/>
        </w:rPr>
      </w:pPr>
      <w:r w:rsidRPr="00C6797B">
        <w:rPr>
          <w:rFonts w:eastAsiaTheme="minorHAnsi"/>
          <w:color w:val="auto"/>
          <w:szCs w:val="24"/>
        </w:rPr>
        <w:t xml:space="preserve">This ICR also </w:t>
      </w:r>
      <w:r w:rsidRPr="00C6797B" w:rsidR="003E6EBB">
        <w:rPr>
          <w:rFonts w:eastAsiaTheme="minorHAnsi"/>
          <w:color w:val="auto"/>
          <w:szCs w:val="24"/>
        </w:rPr>
        <w:t>includes</w:t>
      </w:r>
      <w:r w:rsidRPr="00C6797B">
        <w:rPr>
          <w:rFonts w:eastAsiaTheme="minorHAnsi"/>
          <w:color w:val="auto"/>
          <w:szCs w:val="24"/>
        </w:rPr>
        <w:t xml:space="preserve"> the following associated GUIDANCES FOR INDUSTRY:</w:t>
      </w:r>
    </w:p>
    <w:p w:rsidRPr="00C6797B" w:rsidR="005F45A2" w:rsidP="00C6797B" w:rsidRDefault="002277A9" w14:paraId="49F27604" w14:textId="3C8507F0">
      <w:pPr>
        <w:pStyle w:val="ListParagraph"/>
        <w:numPr>
          <w:ilvl w:val="0"/>
          <w:numId w:val="2"/>
        </w:numPr>
        <w:spacing w:after="30"/>
        <w:ind w:right="0"/>
        <w:rPr>
          <w:i/>
          <w:iCs/>
          <w:color w:val="333333"/>
          <w:kern w:val="36"/>
          <w:szCs w:val="24"/>
        </w:rPr>
      </w:pPr>
      <w:r w:rsidRPr="00C6797B">
        <w:rPr>
          <w:i/>
          <w:iCs/>
          <w:color w:val="333333"/>
          <w:kern w:val="36"/>
          <w:szCs w:val="24"/>
        </w:rPr>
        <w:t>Individual Patient Expanded Access Applications: Form FDA 3926</w:t>
      </w:r>
      <w:r w:rsidRPr="00C6797B" w:rsidR="005F45A2">
        <w:rPr>
          <w:i/>
          <w:iCs/>
          <w:color w:val="333333"/>
          <w:kern w:val="36"/>
          <w:szCs w:val="24"/>
        </w:rPr>
        <w:t xml:space="preserve"> </w:t>
      </w:r>
    </w:p>
    <w:p w:rsidRPr="00C6797B" w:rsidR="002277A9" w:rsidP="00C6797B" w:rsidRDefault="002277A9" w14:paraId="26B5A19A" w14:textId="36A671AF">
      <w:pPr>
        <w:pStyle w:val="ListParagraph"/>
        <w:numPr>
          <w:ilvl w:val="0"/>
          <w:numId w:val="2"/>
        </w:numPr>
        <w:spacing w:after="160" w:line="240" w:lineRule="auto"/>
        <w:ind w:right="0"/>
        <w:rPr>
          <w:rFonts w:eastAsiaTheme="minorHAnsi"/>
          <w:i/>
          <w:iCs/>
          <w:color w:val="333333"/>
          <w:szCs w:val="24"/>
        </w:rPr>
      </w:pPr>
      <w:r w:rsidRPr="00C6797B">
        <w:rPr>
          <w:rFonts w:eastAsiaTheme="minorHAnsi"/>
          <w:i/>
          <w:iCs/>
          <w:color w:val="333333"/>
          <w:szCs w:val="24"/>
        </w:rPr>
        <w:t>Expanded Access to Investigational Drugs for Treatment Use</w:t>
      </w:r>
      <w:r w:rsidRPr="00C6797B" w:rsidR="00B347BC">
        <w:rPr>
          <w:rFonts w:eastAsiaTheme="minorHAnsi"/>
          <w:i/>
          <w:iCs/>
          <w:color w:val="333333"/>
          <w:szCs w:val="24"/>
        </w:rPr>
        <w:t xml:space="preserve"> </w:t>
      </w:r>
      <w:r w:rsidRPr="00C6797B">
        <w:rPr>
          <w:rFonts w:eastAsiaTheme="minorHAnsi"/>
          <w:i/>
          <w:iCs/>
          <w:color w:val="333333"/>
          <w:szCs w:val="24"/>
        </w:rPr>
        <w:t>-</w:t>
      </w:r>
      <w:r w:rsidRPr="00C6797B" w:rsidR="00B347BC">
        <w:rPr>
          <w:rFonts w:eastAsiaTheme="minorHAnsi"/>
          <w:i/>
          <w:iCs/>
          <w:color w:val="333333"/>
          <w:szCs w:val="24"/>
        </w:rPr>
        <w:t xml:space="preserve"> </w:t>
      </w:r>
      <w:r w:rsidRPr="00C6797B">
        <w:rPr>
          <w:rFonts w:eastAsiaTheme="minorHAnsi"/>
          <w:i/>
          <w:iCs/>
          <w:color w:val="333333"/>
          <w:szCs w:val="24"/>
        </w:rPr>
        <w:t>Questions and Answers; Guidance for Industry</w:t>
      </w:r>
    </w:p>
    <w:p w:rsidRPr="00C6797B" w:rsidR="002277A9" w:rsidP="00C6797B" w:rsidRDefault="002277A9" w14:paraId="210550DD" w14:textId="0F1E0814">
      <w:pPr>
        <w:pStyle w:val="ListParagraph"/>
        <w:numPr>
          <w:ilvl w:val="0"/>
          <w:numId w:val="2"/>
        </w:numPr>
        <w:spacing w:after="160" w:line="240" w:lineRule="auto"/>
        <w:ind w:right="0"/>
        <w:rPr>
          <w:rFonts w:eastAsiaTheme="minorHAnsi"/>
          <w:i/>
          <w:iCs/>
          <w:color w:val="333333"/>
          <w:kern w:val="36"/>
          <w:szCs w:val="24"/>
        </w:rPr>
      </w:pPr>
      <w:r w:rsidRPr="00C6797B">
        <w:rPr>
          <w:rFonts w:eastAsiaTheme="minorHAnsi"/>
          <w:i/>
          <w:iCs/>
          <w:color w:val="333333"/>
          <w:kern w:val="36"/>
          <w:szCs w:val="24"/>
        </w:rPr>
        <w:lastRenderedPageBreak/>
        <w:t>Institutional Review Board (IRB) Review of Individual Patient Expanded Access Requests for Investigational Drugs and Biological Products During the COVID-19 Public Health Emergency</w:t>
      </w:r>
    </w:p>
    <w:p w:rsidR="00C6797B" w:rsidP="00C6797B" w:rsidRDefault="003E6EBB" w14:paraId="6C64198A" w14:textId="77777777">
      <w:pPr>
        <w:spacing w:after="160" w:line="240" w:lineRule="auto"/>
        <w:ind w:left="0" w:right="0" w:firstLine="0"/>
      </w:pPr>
      <w:r>
        <w:rPr>
          <w:rFonts w:eastAsiaTheme="minorHAnsi"/>
          <w:color w:val="333333"/>
          <w:kern w:val="36"/>
          <w:szCs w:val="24"/>
        </w:rPr>
        <w:t>These guidances are available at https://www.fda.gov</w:t>
      </w:r>
      <w:r w:rsidR="00302FBA">
        <w:t>/regulatory-information/</w:t>
      </w:r>
      <w:hyperlink w:history="1" w:anchor="guidancesearch" r:id="rId8">
        <w:r>
          <w:rPr>
            <w:rStyle w:val="Hyperlink"/>
          </w:rPr>
          <w:t>Search</w:t>
        </w:r>
        <w:r w:rsidR="00302FBA">
          <w:rPr>
            <w:rStyle w:val="Hyperlink"/>
          </w:rPr>
          <w:t>-</w:t>
        </w:r>
        <w:r>
          <w:rPr>
            <w:rStyle w:val="Hyperlink"/>
          </w:rPr>
          <w:t>FDA</w:t>
        </w:r>
        <w:r w:rsidR="00302FBA">
          <w:rPr>
            <w:rStyle w:val="Hyperlink"/>
          </w:rPr>
          <w:t>-</w:t>
        </w:r>
        <w:r>
          <w:rPr>
            <w:rStyle w:val="Hyperlink"/>
          </w:rPr>
          <w:t>Guidance</w:t>
        </w:r>
        <w:r w:rsidR="00302FBA">
          <w:rPr>
            <w:rStyle w:val="Hyperlink"/>
          </w:rPr>
          <w:t>-</w:t>
        </w:r>
        <w:r>
          <w:rPr>
            <w:rStyle w:val="Hyperlink"/>
          </w:rPr>
          <w:t>Documents</w:t>
        </w:r>
        <w:r w:rsidR="00302FBA">
          <w:rPr>
            <w:rStyle w:val="Hyperlink"/>
          </w:rPr>
          <w:t>#guidancesearch</w:t>
        </w:r>
      </w:hyperlink>
    </w:p>
    <w:p w:rsidR="00C6797B" w:rsidP="00C6797B" w:rsidRDefault="00C6797B" w14:paraId="1D08B9A5" w14:textId="77777777">
      <w:pPr>
        <w:spacing w:after="160" w:line="240" w:lineRule="auto"/>
        <w:ind w:left="0" w:right="0" w:firstLine="0"/>
      </w:pPr>
    </w:p>
    <w:p w:rsidRPr="001770A8" w:rsidR="00922550" w:rsidP="00C6797B" w:rsidRDefault="00ED196A" w14:paraId="4F87B20A" w14:textId="5734BB77">
      <w:pPr>
        <w:spacing w:after="160" w:line="240" w:lineRule="auto"/>
        <w:ind w:left="0" w:right="0" w:firstLine="0"/>
        <w:rPr>
          <w:u w:val="single"/>
        </w:rPr>
      </w:pPr>
      <w:r>
        <w:rPr>
          <w:u w:color="000000"/>
        </w:rPr>
        <w:t xml:space="preserve">3.  </w:t>
      </w:r>
      <w:r w:rsidRPr="001770A8">
        <w:rPr>
          <w:u w:val="single"/>
        </w:rPr>
        <w:t xml:space="preserve">Use of Improved Information Technology and Burden Reduction  </w:t>
      </w:r>
    </w:p>
    <w:p w:rsidR="00922550" w:rsidRDefault="00ED196A" w14:paraId="23C606C5" w14:textId="77777777">
      <w:pPr>
        <w:spacing w:after="0" w:line="259" w:lineRule="auto"/>
        <w:ind w:left="0" w:right="0" w:firstLine="0"/>
      </w:pPr>
      <w:r>
        <w:t xml:space="preserve"> </w:t>
      </w:r>
    </w:p>
    <w:p w:rsidR="00922550" w:rsidP="003E6EBB" w:rsidRDefault="00ED196A" w14:paraId="053ECF12" w14:textId="4E5A7C24">
      <w:pPr>
        <w:ind w:left="-5" w:right="0"/>
      </w:pPr>
      <w:r>
        <w:t>Form FDA 3926 is available</w:t>
      </w:r>
      <w:r w:rsidR="00B347BC">
        <w:t xml:space="preserve"> </w:t>
      </w:r>
      <w:r w:rsidR="00C366C1">
        <w:t xml:space="preserve">as a fillable PDF document for expanded access sponsors and can be used </w:t>
      </w:r>
      <w:r w:rsidR="00B347BC">
        <w:t>as an alternative cover sheet to completion of Form FDA 1571</w:t>
      </w:r>
      <w:r w:rsidR="00302FBA">
        <w:t xml:space="preserve"> - Investigational New Drug Application</w:t>
      </w:r>
      <w:r w:rsidR="00C366C1">
        <w:t xml:space="preserve">.  </w:t>
      </w:r>
      <w:r>
        <w:t xml:space="preserve">We </w:t>
      </w:r>
      <w:r w:rsidR="00B347BC">
        <w:t xml:space="preserve">encourage all </w:t>
      </w:r>
      <w:r>
        <w:t xml:space="preserve">respondents </w:t>
      </w:r>
      <w:r w:rsidR="00B347BC">
        <w:t>to</w:t>
      </w:r>
      <w:r>
        <w:t xml:space="preserve"> </w:t>
      </w:r>
      <w:r w:rsidR="00C366C1">
        <w:t>utilize</w:t>
      </w:r>
      <w:r>
        <w:t xml:space="preserve"> the fillable features of </w:t>
      </w:r>
      <w:r w:rsidR="00C366C1">
        <w:t>Form FDA 3926</w:t>
      </w:r>
      <w:r>
        <w:t xml:space="preserve">.  We </w:t>
      </w:r>
      <w:r w:rsidR="00C366C1">
        <w:t xml:space="preserve">also </w:t>
      </w:r>
      <w:r>
        <w:t>continue to consider additional ways to facilitate submission of the information</w:t>
      </w:r>
      <w:r w:rsidR="001F6B8F">
        <w:t>,</w:t>
      </w:r>
      <w:r>
        <w:t xml:space="preserve"> including direct electronic submissions and possible development</w:t>
      </w:r>
      <w:r w:rsidR="00C366C1">
        <w:t>s</w:t>
      </w:r>
      <w:r>
        <w:t xml:space="preserve"> of mobile application</w:t>
      </w:r>
      <w:r w:rsidR="00C366C1">
        <w:t>s</w:t>
      </w:r>
      <w:r>
        <w:t xml:space="preserve">.  </w:t>
      </w:r>
    </w:p>
    <w:p w:rsidR="00922550" w:rsidRDefault="00ED196A" w14:paraId="559A9DF6" w14:textId="77777777">
      <w:pPr>
        <w:spacing w:after="0" w:line="259" w:lineRule="auto"/>
        <w:ind w:left="0" w:right="0" w:firstLine="0"/>
      </w:pPr>
      <w:r>
        <w:t xml:space="preserve"> </w:t>
      </w:r>
    </w:p>
    <w:p w:rsidR="00922550" w:rsidRDefault="00ED196A" w14:paraId="27AAB797" w14:textId="77777777">
      <w:pPr>
        <w:pStyle w:val="Heading2"/>
        <w:ind w:left="-5" w:right="0"/>
      </w:pPr>
      <w:r>
        <w:rPr>
          <w:u w:val="none"/>
        </w:rPr>
        <w:t xml:space="preserve">4.  </w:t>
      </w:r>
      <w:r>
        <w:t>Efforts to Identify Duplication and Use of Similar Information</w:t>
      </w:r>
      <w:r>
        <w:rPr>
          <w:u w:val="none"/>
        </w:rPr>
        <w:t xml:space="preserve">  </w:t>
      </w:r>
    </w:p>
    <w:p w:rsidR="00922550" w:rsidRDefault="00ED196A" w14:paraId="5B51F1CC" w14:textId="77777777">
      <w:pPr>
        <w:spacing w:after="0" w:line="259" w:lineRule="auto"/>
        <w:ind w:left="0" w:right="0" w:firstLine="0"/>
      </w:pPr>
      <w:r>
        <w:t xml:space="preserve"> </w:t>
      </w:r>
    </w:p>
    <w:p w:rsidR="00922550" w:rsidP="00302FBA" w:rsidRDefault="00ED196A" w14:paraId="71B6060F" w14:textId="443CEB6B">
      <w:pPr>
        <w:ind w:left="-5" w:right="0"/>
      </w:pPr>
      <w:r>
        <w:t xml:space="preserve">We are unaware of duplicative information collection. </w:t>
      </w:r>
      <w:r w:rsidR="006B000C">
        <w:t xml:space="preserve"> </w:t>
      </w:r>
      <w:r w:rsidR="00C366C1">
        <w:t>This ICR revision consolidates the burden associated with</w:t>
      </w:r>
      <w:r w:rsidR="00C6797B">
        <w:t xml:space="preserve"> </w:t>
      </w:r>
      <w:r w:rsidR="00C366C1">
        <w:t xml:space="preserve">the expanded access guidances for industry, Form FDA 3926 and the expanded access programs covered under FDA regulations 21 CFR 312.300 – 21 CFR 312.320, previously included under OMB control number 0910-0014.  </w:t>
      </w:r>
      <w:r>
        <w:t>By collecting only the information necessary for processing an</w:t>
      </w:r>
      <w:r w:rsidR="00302FBA">
        <w:t xml:space="preserve"> expanded</w:t>
      </w:r>
      <w:r>
        <w:t xml:space="preserve"> access request, Form FDA 3926 streamlines the process </w:t>
      </w:r>
      <w:r w:rsidR="00A6209E">
        <w:t xml:space="preserve">for sponsors (usually licensed physicians requesting compassionate use of investigational drug or biologic products) </w:t>
      </w:r>
      <w:r>
        <w:t xml:space="preserve">and reduces </w:t>
      </w:r>
      <w:r w:rsidR="00A6209E">
        <w:t xml:space="preserve">the </w:t>
      </w:r>
      <w:r>
        <w:t xml:space="preserve">time that </w:t>
      </w:r>
      <w:r w:rsidR="00A6209E">
        <w:t xml:space="preserve">would </w:t>
      </w:r>
      <w:r>
        <w:t xml:space="preserve">otherwise be spent on </w:t>
      </w:r>
      <w:r w:rsidR="00A6209E">
        <w:t xml:space="preserve">completing </w:t>
      </w:r>
      <w:r>
        <w:t>other</w:t>
      </w:r>
      <w:r w:rsidR="00302FBA">
        <w:t xml:space="preserve"> </w:t>
      </w:r>
      <w:r w:rsidR="00A6209E">
        <w:t xml:space="preserve">information </w:t>
      </w:r>
      <w:r>
        <w:t>elements included in Form FDA 157</w:t>
      </w:r>
      <w:r w:rsidR="00A6209E">
        <w:t>1 that</w:t>
      </w:r>
      <w:r w:rsidR="00CC69E4">
        <w:t xml:space="preserve"> </w:t>
      </w:r>
      <w:r w:rsidR="00A6209E">
        <w:t>are unnecessary for an</w:t>
      </w:r>
      <w:r w:rsidR="00CC69E4">
        <w:t xml:space="preserve"> </w:t>
      </w:r>
      <w:r w:rsidR="00A6209E">
        <w:t>expanded access application.</w:t>
      </w:r>
    </w:p>
    <w:p w:rsidR="00922550" w:rsidRDefault="00ED196A" w14:paraId="6F135D51" w14:textId="77868D29">
      <w:pPr>
        <w:spacing w:after="0" w:line="259" w:lineRule="auto"/>
        <w:ind w:left="0" w:right="0" w:firstLine="0"/>
      </w:pPr>
      <w:r>
        <w:t xml:space="preserve"> </w:t>
      </w:r>
    </w:p>
    <w:p w:rsidR="00922550" w:rsidRDefault="00ED196A" w14:paraId="54EFCD9B" w14:textId="77777777">
      <w:pPr>
        <w:pStyle w:val="Heading2"/>
        <w:ind w:left="-5" w:right="0"/>
      </w:pPr>
      <w:r>
        <w:rPr>
          <w:u w:val="none"/>
        </w:rPr>
        <w:t xml:space="preserve">5.  </w:t>
      </w:r>
      <w:r>
        <w:t>Impact on Small Businesses or Other Small Entities</w:t>
      </w:r>
      <w:r>
        <w:rPr>
          <w:u w:val="none"/>
        </w:rPr>
        <w:t xml:space="preserve"> </w:t>
      </w:r>
    </w:p>
    <w:p w:rsidR="00922550" w:rsidRDefault="00ED196A" w14:paraId="0EAFA3C7" w14:textId="77777777">
      <w:pPr>
        <w:spacing w:after="0" w:line="259" w:lineRule="auto"/>
        <w:ind w:left="0" w:right="0" w:firstLine="0"/>
      </w:pPr>
      <w:r>
        <w:t xml:space="preserve"> </w:t>
      </w:r>
    </w:p>
    <w:p w:rsidR="00922550" w:rsidP="00C6797B" w:rsidRDefault="00CC69E4" w14:paraId="032AD56D" w14:textId="0F0B5B79">
      <w:pPr>
        <w:ind w:left="-15" w:right="0" w:firstLine="0"/>
      </w:pPr>
      <w:r>
        <w:t>In most cases</w:t>
      </w:r>
      <w:r w:rsidR="00302FBA">
        <w:t>, r</w:t>
      </w:r>
      <w:r w:rsidR="00ED196A">
        <w:t xml:space="preserve">espondents to the information collection are licensed physicians submitting requests on behalf of individual patients who have met specific criteria, as set forth in the applicable regulations.  </w:t>
      </w:r>
      <w:r w:rsidR="00302FBA">
        <w:t>Commercial entities or research facilities may submit emergency applications, or expanded access applications for treatment INDs or treatment protocols provided the product meets the expanded access criteria</w:t>
      </w:r>
      <w:r w:rsidR="00A6209E">
        <w:t xml:space="preserve"> in the regulations</w:t>
      </w:r>
      <w:r w:rsidR="00302FBA">
        <w:t xml:space="preserve">.  </w:t>
      </w:r>
      <w:r w:rsidR="00ED196A">
        <w:t xml:space="preserve">There is no undue burden on small entities.  </w:t>
      </w:r>
    </w:p>
    <w:p w:rsidR="00922550" w:rsidRDefault="00ED196A" w14:paraId="1D4A58B1" w14:textId="77777777">
      <w:pPr>
        <w:spacing w:after="0" w:line="259" w:lineRule="auto"/>
        <w:ind w:left="0" w:right="0" w:firstLine="0"/>
      </w:pPr>
      <w:r>
        <w:t xml:space="preserve"> </w:t>
      </w:r>
    </w:p>
    <w:p w:rsidR="00922550" w:rsidRDefault="00ED196A" w14:paraId="48394A94" w14:textId="77777777">
      <w:pPr>
        <w:pStyle w:val="Heading2"/>
        <w:ind w:left="-5" w:right="0"/>
      </w:pPr>
      <w:r>
        <w:rPr>
          <w:u w:val="none"/>
        </w:rPr>
        <w:t xml:space="preserve">6.  </w:t>
      </w:r>
      <w:r>
        <w:t>Consequences of Collecting the Information Less Frequently</w:t>
      </w:r>
      <w:r>
        <w:rPr>
          <w:u w:val="none"/>
        </w:rPr>
        <w:t xml:space="preserve"> </w:t>
      </w:r>
    </w:p>
    <w:p w:rsidR="00922550" w:rsidRDefault="00ED196A" w14:paraId="58EEFD29" w14:textId="77777777">
      <w:pPr>
        <w:spacing w:after="0" w:line="259" w:lineRule="auto"/>
        <w:ind w:left="0" w:right="0" w:firstLine="0"/>
      </w:pPr>
      <w:r>
        <w:t xml:space="preserve"> </w:t>
      </w:r>
    </w:p>
    <w:p w:rsidR="00922550" w:rsidRDefault="00ED196A" w14:paraId="6372EF39" w14:textId="3DF162C7">
      <w:pPr>
        <w:ind w:left="-5" w:right="0"/>
      </w:pPr>
      <w:r>
        <w:t xml:space="preserve">The information collection schedule is consistent with regulatory requirements and intended to be most beneficial to respondents.  Submissions are made on behalf of patients by their </w:t>
      </w:r>
      <w:r>
        <w:lastRenderedPageBreak/>
        <w:t>licensed physicians</w:t>
      </w:r>
      <w:r w:rsidR="00764BAC">
        <w:t>, research facilities, or commercial entities</w:t>
      </w:r>
      <w:r>
        <w:t xml:space="preserve">.  We are unaware of any legal obstacles to reducing burden. </w:t>
      </w:r>
    </w:p>
    <w:p w:rsidR="00922550" w:rsidRDefault="00ED196A" w14:paraId="4B505C09" w14:textId="77777777">
      <w:pPr>
        <w:spacing w:after="0" w:line="259" w:lineRule="auto"/>
        <w:ind w:left="0" w:right="0" w:firstLine="0"/>
      </w:pPr>
      <w:r>
        <w:t xml:space="preserve"> </w:t>
      </w:r>
    </w:p>
    <w:p w:rsidR="00922550" w:rsidRDefault="00ED196A" w14:paraId="64E7A88C" w14:textId="77777777">
      <w:pPr>
        <w:spacing w:after="10"/>
        <w:ind w:left="-5" w:right="0"/>
      </w:pPr>
      <w:r>
        <w:t xml:space="preserve">7.  </w:t>
      </w:r>
      <w:r>
        <w:rPr>
          <w:u w:val="single" w:color="000000"/>
        </w:rPr>
        <w:t>Special Circumstances Relating to the Guidelines of 5 CFR 1320.5</w:t>
      </w:r>
      <w:r>
        <w:t xml:space="preserve"> </w:t>
      </w:r>
    </w:p>
    <w:p w:rsidR="00922550" w:rsidRDefault="00ED196A" w14:paraId="2639F68D" w14:textId="77777777">
      <w:pPr>
        <w:spacing w:after="0" w:line="259" w:lineRule="auto"/>
        <w:ind w:left="0" w:right="0" w:firstLine="0"/>
      </w:pPr>
      <w:r>
        <w:t xml:space="preserve"> </w:t>
      </w:r>
    </w:p>
    <w:p w:rsidR="00922550" w:rsidRDefault="00ED196A" w14:paraId="18B44416" w14:textId="77777777">
      <w:pPr>
        <w:ind w:left="-5" w:right="0"/>
      </w:pPr>
      <w:r>
        <w:t xml:space="preserve">There are no special circumstances relating to this information collection.   </w:t>
      </w:r>
    </w:p>
    <w:p w:rsidR="00922550" w:rsidRDefault="00ED196A" w14:paraId="56A4B0B2" w14:textId="77777777">
      <w:pPr>
        <w:spacing w:after="0" w:line="259" w:lineRule="auto"/>
        <w:ind w:left="0" w:right="0" w:firstLine="0"/>
      </w:pPr>
      <w:r>
        <w:t xml:space="preserve"> </w:t>
      </w:r>
    </w:p>
    <w:p w:rsidR="00922550" w:rsidP="001770A8" w:rsidRDefault="00ED196A" w14:paraId="43FFC023" w14:textId="62C4EA63">
      <w:pPr>
        <w:pStyle w:val="Heading2"/>
        <w:ind w:left="-5" w:right="0"/>
      </w:pPr>
      <w:r>
        <w:rPr>
          <w:u w:val="none"/>
        </w:rPr>
        <w:t xml:space="preserve">8.  </w:t>
      </w:r>
      <w:r>
        <w:t>Comments in Response to the Federal Register Notice and Efforts to Consult Outside the</w:t>
      </w:r>
      <w:r>
        <w:rPr>
          <w:u w:val="none"/>
        </w:rPr>
        <w:t xml:space="preserve"> </w:t>
      </w:r>
      <w:r>
        <w:t>Agency</w:t>
      </w:r>
      <w:r>
        <w:rPr>
          <w:u w:val="none"/>
        </w:rPr>
        <w:t xml:space="preserve"> </w:t>
      </w:r>
      <w:r>
        <w:t xml:space="preserve"> </w:t>
      </w:r>
    </w:p>
    <w:p w:rsidR="00922550" w:rsidP="00C6797B" w:rsidRDefault="00ED196A" w14:paraId="046A8F90" w14:textId="47D4F8FB">
      <w:pPr>
        <w:spacing w:before="240"/>
        <w:ind w:left="-5" w:right="0"/>
      </w:pPr>
      <w:r w:rsidRPr="00C6797B">
        <w:t>In accordance with 5 CFR 1320.8(d), we published a 60-day notice soliciting public comment on the information collection in the</w:t>
      </w:r>
      <w:r w:rsidRPr="00C6797B" w:rsidR="00C6797B">
        <w:t xml:space="preserve"> December 14, 2021</w:t>
      </w:r>
      <w:r w:rsidRPr="00A96EE1" w:rsidR="00C6797B">
        <w:t>,</w:t>
      </w:r>
      <w:r w:rsidRPr="00A96EE1">
        <w:t xml:space="preserve"> </w:t>
      </w:r>
      <w:r w:rsidRPr="001770A8">
        <w:rPr>
          <w:i/>
          <w:iCs/>
        </w:rPr>
        <w:t>Federal Register</w:t>
      </w:r>
      <w:r w:rsidRPr="001770A8" w:rsidR="00C6797B">
        <w:t xml:space="preserve"> (86 FR 71069).</w:t>
      </w:r>
      <w:r w:rsidR="00C6797B">
        <w:t xml:space="preserve">  </w:t>
      </w:r>
      <w:r w:rsidR="00554E24">
        <w:t>Although one comment was received, it was not responsive to the four collection of information topics solicited.</w:t>
      </w:r>
      <w:r>
        <w:t xml:space="preserve"> </w:t>
      </w:r>
    </w:p>
    <w:p w:rsidR="00922550" w:rsidRDefault="00922550" w14:paraId="07124941" w14:textId="506080A3">
      <w:pPr>
        <w:spacing w:after="0" w:line="259" w:lineRule="auto"/>
        <w:ind w:left="0" w:right="0" w:firstLine="0"/>
      </w:pPr>
    </w:p>
    <w:p w:rsidR="00922550" w:rsidRDefault="00ED196A" w14:paraId="6390F018" w14:textId="77777777">
      <w:pPr>
        <w:spacing w:after="10"/>
        <w:ind w:left="-5" w:right="0"/>
      </w:pPr>
      <w:r>
        <w:t xml:space="preserve">9.  </w:t>
      </w:r>
      <w:r>
        <w:rPr>
          <w:u w:val="single" w:color="000000"/>
        </w:rPr>
        <w:t>Explanation of Any Payment or Gift to Respondents</w:t>
      </w:r>
      <w:r>
        <w:t xml:space="preserve"> </w:t>
      </w:r>
    </w:p>
    <w:p w:rsidR="00922550" w:rsidRDefault="00ED196A" w14:paraId="4A57AC60" w14:textId="77777777">
      <w:pPr>
        <w:spacing w:after="0" w:line="259" w:lineRule="auto"/>
        <w:ind w:left="0" w:right="0" w:firstLine="0"/>
      </w:pPr>
      <w:r>
        <w:t xml:space="preserve"> </w:t>
      </w:r>
    </w:p>
    <w:p w:rsidR="00922550" w:rsidRDefault="00ED196A" w14:paraId="207CA8AE" w14:textId="77777777">
      <w:pPr>
        <w:ind w:left="-5" w:right="0"/>
      </w:pPr>
      <w:r>
        <w:t xml:space="preserve">No remuneration is provided to respondents to the information collection. </w:t>
      </w:r>
    </w:p>
    <w:p w:rsidR="00922550" w:rsidRDefault="00ED196A" w14:paraId="695FF1D3" w14:textId="77777777">
      <w:pPr>
        <w:spacing w:after="0" w:line="259" w:lineRule="auto"/>
        <w:ind w:left="0" w:right="0" w:firstLine="0"/>
      </w:pPr>
      <w:r>
        <w:t xml:space="preserve"> </w:t>
      </w:r>
    </w:p>
    <w:p w:rsidR="00922550" w:rsidRDefault="00ED196A" w14:paraId="20CD2AF5" w14:textId="77777777">
      <w:pPr>
        <w:pStyle w:val="Heading2"/>
        <w:ind w:left="-5" w:right="0"/>
      </w:pPr>
      <w:r>
        <w:t>10.  Assurance of Confidentiality Provided to Respondents</w:t>
      </w:r>
      <w:r>
        <w:rPr>
          <w:u w:val="none"/>
        </w:rPr>
        <w:t xml:space="preserve"> </w:t>
      </w:r>
    </w:p>
    <w:p w:rsidR="00922550" w:rsidRDefault="00ED196A" w14:paraId="79F5C3C7" w14:textId="77777777">
      <w:pPr>
        <w:spacing w:after="0" w:line="259" w:lineRule="auto"/>
        <w:ind w:left="0" w:right="0" w:firstLine="0"/>
      </w:pPr>
      <w:r>
        <w:t xml:space="preserve"> </w:t>
      </w:r>
    </w:p>
    <w:p w:rsidR="002F2AA2" w:rsidP="002F2AA2" w:rsidRDefault="002F2AA2" w14:paraId="6EDADF07" w14:textId="4DE8F83F">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2F2AA2" w:rsidP="002F2AA2" w:rsidRDefault="002F2AA2" w14:paraId="7D886CC3" w14:textId="75C179E9"/>
    <w:p w:rsidR="002F2AA2" w:rsidP="002F2AA2" w:rsidRDefault="002F2AA2" w14:paraId="3EDBEC44" w14:textId="0316403E">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via Form FDA 3926 (Individual Patient Expanded Access Investigational New Drug Application (IND)) is name, address, email address, telephone number, fax number, and physician IND number.  </w:t>
      </w:r>
      <w:r>
        <w:rPr>
          <w:szCs w:val="24"/>
        </w:rPr>
        <w:t xml:space="preserve">FDA determined that although PII is collected it is not subject to the Privacy Act of 1974 and the particular notice and other requirements of the Act do not apply. Specifically, FDA does not use name or any other personal identifier to retrieve records from the information collected. </w:t>
      </w:r>
      <w:r>
        <w:t xml:space="preserve">Through appropriate form design, </w:t>
      </w:r>
      <w:r w:rsidRPr="00D66147">
        <w:t xml:space="preserve">FDA </w:t>
      </w:r>
      <w:r>
        <w:t xml:space="preserve">limited submission fields and </w:t>
      </w:r>
      <w:r w:rsidRPr="00D66147">
        <w:t>minimized the PII collected to protect the privacy of the individuals.</w:t>
      </w:r>
    </w:p>
    <w:p w:rsidR="002F2AA2" w:rsidP="002F2AA2" w:rsidRDefault="002F2AA2" w14:paraId="07AB32FD" w14:textId="4DCFCAAF"/>
    <w:p w:rsidR="008213D2" w:rsidP="002F2AA2" w:rsidRDefault="002F2AA2" w14:paraId="20DB6E04" w14:textId="5D61FE31">
      <w:bookmarkStart w:name="_Hlk94771711" w:id="0"/>
      <w:r w:rsidRPr="00C61647">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bookmarkEnd w:id="0"/>
    </w:p>
    <w:p w:rsidR="008213D2" w:rsidP="002F2AA2" w:rsidRDefault="008213D2" w14:paraId="1361874E" w14:textId="39D9CBB6"/>
    <w:p w:rsidR="008213D2" w:rsidP="002F2AA2" w:rsidRDefault="008213D2" w14:paraId="7368D2BD" w14:textId="77777777"/>
    <w:p w:rsidR="002F2AA2" w:rsidP="002F2AA2" w:rsidRDefault="002F2AA2" w14:paraId="1603B217" w14:textId="77777777">
      <w:pPr>
        <w:ind w:left="720"/>
      </w:pPr>
    </w:p>
    <w:p w:rsidR="00922550" w:rsidRDefault="00ED196A" w14:paraId="15D300F0" w14:textId="77777777">
      <w:pPr>
        <w:numPr>
          <w:ilvl w:val="0"/>
          <w:numId w:val="1"/>
        </w:numPr>
        <w:spacing w:after="10"/>
        <w:ind w:right="0" w:hanging="421"/>
      </w:pPr>
      <w:r>
        <w:rPr>
          <w:u w:val="single" w:color="000000"/>
        </w:rPr>
        <w:lastRenderedPageBreak/>
        <w:t>Justification for Sensitive Questions</w:t>
      </w:r>
      <w:r>
        <w:t xml:space="preserve"> </w:t>
      </w:r>
    </w:p>
    <w:p w:rsidR="00922550" w:rsidRDefault="00ED196A" w14:paraId="5AD7A9C3" w14:textId="77777777">
      <w:pPr>
        <w:spacing w:after="0" w:line="259" w:lineRule="auto"/>
        <w:ind w:left="0" w:right="0" w:firstLine="0"/>
      </w:pPr>
      <w:r>
        <w:t xml:space="preserve"> </w:t>
      </w:r>
    </w:p>
    <w:p w:rsidR="00922550" w:rsidRDefault="00ED196A" w14:paraId="1E988EFC" w14:textId="530C5DEE">
      <w:pPr>
        <w:ind w:left="-5" w:right="0"/>
      </w:pPr>
      <w:r>
        <w:t xml:space="preserve">There are no questions of a sensitive nature applicable to this collection of information. </w:t>
      </w:r>
      <w:r w:rsidR="00A6209E">
        <w:t xml:space="preserve"> </w:t>
      </w:r>
    </w:p>
    <w:p w:rsidR="00922550" w:rsidRDefault="00ED196A" w14:paraId="5DB217A9" w14:textId="77777777">
      <w:pPr>
        <w:spacing w:after="0" w:line="259" w:lineRule="auto"/>
        <w:ind w:left="0" w:right="0" w:firstLine="0"/>
      </w:pPr>
      <w:r>
        <w:t xml:space="preserve"> </w:t>
      </w:r>
    </w:p>
    <w:p w:rsidR="00922550" w:rsidRDefault="00ED196A" w14:paraId="14429E7E" w14:textId="77777777">
      <w:pPr>
        <w:numPr>
          <w:ilvl w:val="0"/>
          <w:numId w:val="1"/>
        </w:numPr>
        <w:spacing w:after="10"/>
        <w:ind w:right="0" w:hanging="421"/>
      </w:pPr>
      <w:r>
        <w:rPr>
          <w:u w:val="single" w:color="000000"/>
        </w:rPr>
        <w:t>Estimates of Annualized Burden Hours and Costs</w:t>
      </w:r>
      <w:r>
        <w:t xml:space="preserve"> </w:t>
      </w:r>
    </w:p>
    <w:p w:rsidR="00922550" w:rsidRDefault="00ED196A" w14:paraId="5AC6F10F" w14:textId="77777777">
      <w:pPr>
        <w:spacing w:after="0" w:line="259" w:lineRule="auto"/>
        <w:ind w:left="0" w:right="0" w:firstLine="0"/>
      </w:pPr>
      <w:r>
        <w:t xml:space="preserve"> </w:t>
      </w:r>
    </w:p>
    <w:p w:rsidR="00922550" w:rsidRDefault="00ED196A" w14:paraId="1D1AA983" w14:textId="77777777">
      <w:pPr>
        <w:ind w:left="-5" w:right="0"/>
      </w:pPr>
      <w:r>
        <w:t xml:space="preserve">We estimate the burden of the information collection as follows: </w:t>
      </w:r>
    </w:p>
    <w:p w:rsidR="00922550" w:rsidRDefault="00ED196A" w14:paraId="22E5D0FF" w14:textId="77777777">
      <w:pPr>
        <w:spacing w:after="0" w:line="259" w:lineRule="auto"/>
        <w:ind w:left="0" w:right="0" w:firstLine="0"/>
      </w:pPr>
      <w:r>
        <w:t xml:space="preserve"> </w:t>
      </w:r>
    </w:p>
    <w:p w:rsidR="00922550" w:rsidRDefault="00ED196A" w14:paraId="658F8846" w14:textId="77777777">
      <w:pPr>
        <w:pStyle w:val="Heading1"/>
        <w:tabs>
          <w:tab w:val="center" w:pos="2616"/>
        </w:tabs>
        <w:ind w:left="-15" w:firstLine="0"/>
      </w:pPr>
      <w:r>
        <w:rPr>
          <w:i w:val="0"/>
        </w:rPr>
        <w:t xml:space="preserve"> </w:t>
      </w:r>
      <w:r>
        <w:rPr>
          <w:i w:val="0"/>
        </w:rPr>
        <w:tab/>
      </w:r>
      <w:r>
        <w:t xml:space="preserve">12a. Annualized Hour Burden Estimate </w:t>
      </w:r>
    </w:p>
    <w:p w:rsidR="00922550" w:rsidRDefault="00ED196A" w14:paraId="4E6BC3C4" w14:textId="77777777">
      <w:pPr>
        <w:spacing w:after="5" w:line="259" w:lineRule="auto"/>
        <w:ind w:left="0" w:right="0" w:firstLine="0"/>
      </w:pPr>
      <w:r>
        <w:t xml:space="preserve"> </w:t>
      </w:r>
    </w:p>
    <w:p w:rsidR="00922550" w:rsidRDefault="00ED196A" w14:paraId="174203FB" w14:textId="60E6C5E7">
      <w:pPr>
        <w:ind w:left="-5" w:right="0"/>
      </w:pPr>
      <w:r>
        <w:t xml:space="preserve"> </w:t>
      </w:r>
      <w:r>
        <w:tab/>
        <w:t>As indicated in table 1, the total annual estimated burden for the information collection is 140,205.75 hours.</w:t>
      </w:r>
    </w:p>
    <w:p w:rsidR="00922550" w:rsidRDefault="00ED196A" w14:paraId="5A9F7C7D" w14:textId="77777777">
      <w:pPr>
        <w:spacing w:after="0" w:line="259" w:lineRule="auto"/>
        <w:ind w:left="0" w:right="0" w:firstLine="0"/>
      </w:pPr>
      <w:r>
        <w:t xml:space="preserve"> </w:t>
      </w:r>
    </w:p>
    <w:tbl>
      <w:tblPr>
        <w:tblW w:w="9356" w:type="dxa"/>
        <w:tblInd w:w="-180" w:type="dxa"/>
        <w:tblCellMar>
          <w:left w:w="0" w:type="dxa"/>
          <w:right w:w="0" w:type="dxa"/>
        </w:tblCellMar>
        <w:tblLook w:val="04A0" w:firstRow="1" w:lastRow="0" w:firstColumn="1" w:lastColumn="0" w:noHBand="0" w:noVBand="1"/>
      </w:tblPr>
      <w:tblGrid>
        <w:gridCol w:w="3401"/>
        <w:gridCol w:w="1250"/>
        <w:gridCol w:w="1400"/>
        <w:gridCol w:w="1077"/>
        <w:gridCol w:w="1235"/>
        <w:gridCol w:w="993"/>
      </w:tblGrid>
      <w:tr w:rsidR="001E32AF" w:rsidTr="001E32AF" w14:paraId="02506264" w14:textId="77777777">
        <w:trPr>
          <w:trHeight w:val="92"/>
        </w:trPr>
        <w:tc>
          <w:tcPr>
            <w:tcW w:w="9356" w:type="dxa"/>
            <w:gridSpan w:val="6"/>
            <w:tcBorders>
              <w:bottom w:val="single" w:color="auto" w:sz="8" w:space="0"/>
            </w:tcBorders>
            <w:tcMar>
              <w:top w:w="0" w:type="dxa"/>
              <w:left w:w="108" w:type="dxa"/>
              <w:bottom w:w="0" w:type="dxa"/>
              <w:right w:w="108" w:type="dxa"/>
            </w:tcMar>
            <w:hideMark/>
          </w:tcPr>
          <w:p w:rsidRPr="001E32AF" w:rsidR="001E32AF" w:rsidP="000E6C42" w:rsidRDefault="001E32AF" w14:paraId="685E3CD3" w14:textId="77777777">
            <w:pPr>
              <w:jc w:val="center"/>
              <w:rPr>
                <w:sz w:val="20"/>
                <w:szCs w:val="20"/>
                <w:vertAlign w:val="superscript"/>
              </w:rPr>
            </w:pPr>
            <w:r w:rsidRPr="001E32AF">
              <w:rPr>
                <w:sz w:val="20"/>
                <w:szCs w:val="20"/>
              </w:rPr>
              <w:t>Table 1.--Estimated Annual Reporting Burden--Center for Drug Evaluation and Research</w:t>
            </w:r>
            <w:r w:rsidRPr="001E32AF">
              <w:rPr>
                <w:sz w:val="20"/>
                <w:szCs w:val="20"/>
                <w:vertAlign w:val="superscript"/>
              </w:rPr>
              <w:t>1</w:t>
            </w:r>
          </w:p>
        </w:tc>
      </w:tr>
      <w:tr w:rsidR="009569BD" w:rsidTr="00ED2FFC" w14:paraId="2CF97858" w14:textId="77777777">
        <w:trPr>
          <w:trHeight w:val="739"/>
        </w:trPr>
        <w:tc>
          <w:tcPr>
            <w:tcW w:w="3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2AF" w:rsidR="001E32AF" w:rsidP="000E6C42" w:rsidRDefault="001E32AF" w14:paraId="60DB53D8" w14:textId="77777777">
            <w:pPr>
              <w:jc w:val="center"/>
              <w:rPr>
                <w:sz w:val="20"/>
                <w:szCs w:val="20"/>
              </w:rPr>
            </w:pPr>
            <w:r w:rsidRPr="001E32AF">
              <w:rPr>
                <w:sz w:val="20"/>
                <w:szCs w:val="20"/>
              </w:rPr>
              <w:t>21 CFR part 312, subpart I; Information Collection Activity</w:t>
            </w:r>
          </w:p>
        </w:tc>
        <w:tc>
          <w:tcPr>
            <w:tcW w:w="125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1E32AF" w:rsidP="000E6C42" w:rsidRDefault="001E32AF" w14:paraId="592C642E" w14:textId="77777777">
            <w:pPr>
              <w:jc w:val="center"/>
              <w:rPr>
                <w:sz w:val="20"/>
                <w:szCs w:val="20"/>
              </w:rPr>
            </w:pPr>
            <w:r w:rsidRPr="001E32AF">
              <w:rPr>
                <w:sz w:val="20"/>
                <w:szCs w:val="20"/>
              </w:rPr>
              <w:t>No. of Respondents</w:t>
            </w:r>
          </w:p>
        </w:tc>
        <w:tc>
          <w:tcPr>
            <w:tcW w:w="140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1E32AF" w:rsidP="000E6C42" w:rsidRDefault="001E32AF" w14:paraId="170C19F8" w14:textId="77777777">
            <w:pPr>
              <w:jc w:val="center"/>
              <w:rPr>
                <w:sz w:val="20"/>
                <w:szCs w:val="20"/>
              </w:rPr>
            </w:pPr>
            <w:r w:rsidRPr="001E32AF">
              <w:rPr>
                <w:sz w:val="20"/>
                <w:szCs w:val="20"/>
              </w:rPr>
              <w:t>No. of Responses per Respondent</w:t>
            </w:r>
          </w:p>
        </w:tc>
        <w:tc>
          <w:tcPr>
            <w:tcW w:w="1077"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1E32AF" w:rsidP="000E6C42" w:rsidRDefault="001E32AF" w14:paraId="464D1017" w14:textId="77777777">
            <w:pPr>
              <w:jc w:val="center"/>
              <w:rPr>
                <w:sz w:val="20"/>
                <w:szCs w:val="20"/>
              </w:rPr>
            </w:pPr>
            <w:r w:rsidRPr="001E32AF">
              <w:rPr>
                <w:sz w:val="20"/>
                <w:szCs w:val="20"/>
              </w:rPr>
              <w:t>Total Annual Responses</w:t>
            </w:r>
          </w:p>
        </w:tc>
        <w:tc>
          <w:tcPr>
            <w:tcW w:w="1235"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1E32AF" w:rsidP="000E6C42" w:rsidRDefault="001E32AF" w14:paraId="156F29C2" w14:textId="77777777">
            <w:pPr>
              <w:jc w:val="center"/>
              <w:rPr>
                <w:sz w:val="20"/>
                <w:szCs w:val="20"/>
              </w:rPr>
            </w:pPr>
            <w:r w:rsidRPr="001E32AF">
              <w:rPr>
                <w:sz w:val="20"/>
                <w:szCs w:val="20"/>
              </w:rPr>
              <w:t>Average Burden per Response</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1E32AF" w:rsidP="000E6C42" w:rsidRDefault="001E32AF" w14:paraId="64A1C46D" w14:textId="77777777">
            <w:pPr>
              <w:jc w:val="center"/>
              <w:rPr>
                <w:sz w:val="20"/>
                <w:szCs w:val="20"/>
              </w:rPr>
            </w:pPr>
            <w:r w:rsidRPr="001E32AF">
              <w:rPr>
                <w:sz w:val="20"/>
                <w:szCs w:val="20"/>
              </w:rPr>
              <w:t>Total Hours</w:t>
            </w:r>
          </w:p>
        </w:tc>
      </w:tr>
      <w:tr w:rsidR="009569BD" w:rsidTr="00ED2FFC" w14:paraId="51F73F75" w14:textId="77777777">
        <w:trPr>
          <w:trHeight w:val="727"/>
        </w:trPr>
        <w:tc>
          <w:tcPr>
            <w:tcW w:w="3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798A8D46" w14:textId="550D3FD6">
            <w:pPr>
              <w:rPr>
                <w:sz w:val="20"/>
                <w:szCs w:val="20"/>
              </w:rPr>
            </w:pPr>
            <w:r w:rsidRPr="00F73465">
              <w:rPr>
                <w:sz w:val="20"/>
                <w:szCs w:val="20"/>
              </w:rPr>
              <w:t>§§ 312.310(b) and 312.305(b); submissions related to expanded access and treatment of an individual patient</w:t>
            </w:r>
          </w:p>
        </w:tc>
        <w:tc>
          <w:tcPr>
            <w:tcW w:w="125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535AB74E" w14:textId="369BCC27">
            <w:pPr>
              <w:jc w:val="right"/>
              <w:rPr>
                <w:sz w:val="20"/>
                <w:szCs w:val="20"/>
              </w:rPr>
            </w:pPr>
            <w:r w:rsidRPr="00F73465">
              <w:rPr>
                <w:sz w:val="20"/>
                <w:szCs w:val="20"/>
              </w:rPr>
              <w:t>1,204</w:t>
            </w:r>
          </w:p>
        </w:tc>
        <w:tc>
          <w:tcPr>
            <w:tcW w:w="140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5A37155C" w14:textId="512774EA">
            <w:pPr>
              <w:jc w:val="right"/>
              <w:rPr>
                <w:sz w:val="20"/>
                <w:szCs w:val="20"/>
              </w:rPr>
            </w:pPr>
            <w:r w:rsidRPr="00F73465">
              <w:rPr>
                <w:sz w:val="20"/>
                <w:szCs w:val="20"/>
              </w:rPr>
              <w:t>2.</w:t>
            </w:r>
            <w:r>
              <w:rPr>
                <w:sz w:val="20"/>
                <w:szCs w:val="20"/>
              </w:rPr>
              <w:t>5</w:t>
            </w:r>
          </w:p>
        </w:tc>
        <w:tc>
          <w:tcPr>
            <w:tcW w:w="1077"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0E3B4517" w14:textId="7F5690D3">
            <w:pPr>
              <w:jc w:val="right"/>
              <w:rPr>
                <w:sz w:val="20"/>
                <w:szCs w:val="20"/>
              </w:rPr>
            </w:pPr>
            <w:r w:rsidRPr="00F73465">
              <w:rPr>
                <w:sz w:val="20"/>
                <w:szCs w:val="20"/>
              </w:rPr>
              <w:t>3,0</w:t>
            </w:r>
            <w:r>
              <w:rPr>
                <w:sz w:val="20"/>
                <w:szCs w:val="20"/>
              </w:rPr>
              <w:t>10</w:t>
            </w:r>
          </w:p>
        </w:tc>
        <w:tc>
          <w:tcPr>
            <w:tcW w:w="1235"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3DC62947" w14:textId="6D1E194E">
            <w:pPr>
              <w:jc w:val="right"/>
              <w:rPr>
                <w:sz w:val="20"/>
                <w:szCs w:val="20"/>
              </w:rPr>
            </w:pPr>
            <w:r w:rsidRPr="00F73465">
              <w:rPr>
                <w:sz w:val="20"/>
                <w:szCs w:val="20"/>
              </w:rPr>
              <w:t>0.75</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762A5B23" w14:textId="248A67EC">
            <w:pPr>
              <w:jc w:val="right"/>
              <w:rPr>
                <w:sz w:val="20"/>
                <w:szCs w:val="20"/>
              </w:rPr>
            </w:pPr>
            <w:r w:rsidRPr="00F73465">
              <w:rPr>
                <w:sz w:val="20"/>
                <w:szCs w:val="20"/>
              </w:rPr>
              <w:t>2,25</w:t>
            </w:r>
            <w:r>
              <w:rPr>
                <w:sz w:val="20"/>
                <w:szCs w:val="20"/>
              </w:rPr>
              <w:t>8</w:t>
            </w:r>
          </w:p>
        </w:tc>
      </w:tr>
      <w:tr w:rsidR="009569BD" w:rsidTr="00ED2FFC" w14:paraId="5C1D38FB" w14:textId="77777777">
        <w:trPr>
          <w:trHeight w:val="739"/>
        </w:trPr>
        <w:tc>
          <w:tcPr>
            <w:tcW w:w="3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154A3B28" w14:textId="55CF94E6">
            <w:pPr>
              <w:rPr>
                <w:sz w:val="20"/>
                <w:szCs w:val="20"/>
              </w:rPr>
            </w:pPr>
            <w:r w:rsidRPr="00F73465">
              <w:rPr>
                <w:sz w:val="20"/>
                <w:szCs w:val="20"/>
              </w:rPr>
              <w:t>§ 312.310(d); submissions related to emergency use of an investigational new drug</w:t>
            </w:r>
          </w:p>
        </w:tc>
        <w:tc>
          <w:tcPr>
            <w:tcW w:w="125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5BCC243A" w14:textId="1168A923">
            <w:pPr>
              <w:jc w:val="right"/>
              <w:rPr>
                <w:sz w:val="20"/>
                <w:szCs w:val="20"/>
              </w:rPr>
            </w:pPr>
            <w:r w:rsidRPr="00F73465">
              <w:rPr>
                <w:sz w:val="20"/>
                <w:szCs w:val="20"/>
              </w:rPr>
              <w:t>1,265</w:t>
            </w:r>
          </w:p>
        </w:tc>
        <w:tc>
          <w:tcPr>
            <w:tcW w:w="140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4196B5D6" w14:textId="22E6B3EC">
            <w:pPr>
              <w:jc w:val="right"/>
              <w:rPr>
                <w:sz w:val="20"/>
                <w:szCs w:val="20"/>
              </w:rPr>
            </w:pPr>
            <w:r w:rsidRPr="00F73465">
              <w:rPr>
                <w:sz w:val="20"/>
                <w:szCs w:val="20"/>
              </w:rPr>
              <w:t>2.8</w:t>
            </w:r>
          </w:p>
        </w:tc>
        <w:tc>
          <w:tcPr>
            <w:tcW w:w="1077"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4DCABABE" w14:textId="005945AD">
            <w:pPr>
              <w:jc w:val="right"/>
              <w:rPr>
                <w:sz w:val="20"/>
                <w:szCs w:val="20"/>
              </w:rPr>
            </w:pPr>
            <w:r w:rsidRPr="00F73465">
              <w:rPr>
                <w:sz w:val="20"/>
                <w:szCs w:val="20"/>
              </w:rPr>
              <w:t>3,5</w:t>
            </w:r>
            <w:r w:rsidR="00350204">
              <w:rPr>
                <w:sz w:val="20"/>
                <w:szCs w:val="20"/>
              </w:rPr>
              <w:t>42</w:t>
            </w:r>
          </w:p>
        </w:tc>
        <w:tc>
          <w:tcPr>
            <w:tcW w:w="1235"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756AE95B" w14:textId="6C65BDCC">
            <w:pPr>
              <w:jc w:val="right"/>
              <w:rPr>
                <w:sz w:val="20"/>
                <w:szCs w:val="20"/>
              </w:rPr>
            </w:pPr>
            <w:r w:rsidRPr="00F73465">
              <w:rPr>
                <w:sz w:val="20"/>
                <w:szCs w:val="20"/>
              </w:rPr>
              <w:t>16</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350204" w14:paraId="21873C33" w14:textId="7BD2B418">
            <w:pPr>
              <w:jc w:val="right"/>
              <w:rPr>
                <w:sz w:val="20"/>
                <w:szCs w:val="20"/>
              </w:rPr>
            </w:pPr>
            <w:r>
              <w:rPr>
                <w:sz w:val="20"/>
                <w:szCs w:val="20"/>
              </w:rPr>
              <w:t>56,672</w:t>
            </w:r>
          </w:p>
        </w:tc>
      </w:tr>
      <w:tr w:rsidR="009569BD" w:rsidTr="00ED2FFC" w14:paraId="29159309" w14:textId="77777777">
        <w:trPr>
          <w:trHeight w:val="727"/>
        </w:trPr>
        <w:tc>
          <w:tcPr>
            <w:tcW w:w="34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681FE7D2" w14:textId="4A2E0031">
            <w:pPr>
              <w:rPr>
                <w:sz w:val="20"/>
                <w:szCs w:val="20"/>
              </w:rPr>
            </w:pPr>
            <w:r w:rsidRPr="00F73465">
              <w:rPr>
                <w:sz w:val="20"/>
                <w:szCs w:val="20"/>
              </w:rPr>
              <w:t>§§ 312.315(c) and 312.305(b); submissions related to expanded access and treatment of an intermediate-size patient population</w:t>
            </w:r>
          </w:p>
        </w:tc>
        <w:tc>
          <w:tcPr>
            <w:tcW w:w="125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2B0D600C" w14:textId="2441195D">
            <w:pPr>
              <w:jc w:val="right"/>
              <w:rPr>
                <w:sz w:val="20"/>
                <w:szCs w:val="20"/>
              </w:rPr>
            </w:pPr>
            <w:r w:rsidRPr="00F73465">
              <w:rPr>
                <w:sz w:val="20"/>
                <w:szCs w:val="20"/>
              </w:rPr>
              <w:t>88</w:t>
            </w:r>
          </w:p>
        </w:tc>
        <w:tc>
          <w:tcPr>
            <w:tcW w:w="1400"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3B2A7065" w14:textId="1AAF18A7">
            <w:pPr>
              <w:jc w:val="right"/>
              <w:rPr>
                <w:sz w:val="20"/>
                <w:szCs w:val="20"/>
              </w:rPr>
            </w:pPr>
            <w:r w:rsidRPr="00F73465">
              <w:rPr>
                <w:sz w:val="20"/>
                <w:szCs w:val="20"/>
              </w:rPr>
              <w:t>3.6</w:t>
            </w:r>
          </w:p>
        </w:tc>
        <w:tc>
          <w:tcPr>
            <w:tcW w:w="1077"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6626A9D5" w14:textId="5D53EA0A">
            <w:pPr>
              <w:jc w:val="right"/>
              <w:rPr>
                <w:sz w:val="20"/>
                <w:szCs w:val="20"/>
              </w:rPr>
            </w:pPr>
            <w:r w:rsidRPr="00F73465">
              <w:rPr>
                <w:sz w:val="20"/>
                <w:szCs w:val="20"/>
              </w:rPr>
              <w:t>3</w:t>
            </w:r>
            <w:r w:rsidR="00350204">
              <w:rPr>
                <w:sz w:val="20"/>
                <w:szCs w:val="20"/>
              </w:rPr>
              <w:t>17</w:t>
            </w:r>
          </w:p>
        </w:tc>
        <w:tc>
          <w:tcPr>
            <w:tcW w:w="1235"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744E33BB" w14:textId="3DC6054B">
            <w:pPr>
              <w:jc w:val="right"/>
              <w:rPr>
                <w:sz w:val="20"/>
                <w:szCs w:val="20"/>
              </w:rPr>
            </w:pPr>
            <w:r w:rsidRPr="00F73465">
              <w:rPr>
                <w:sz w:val="20"/>
                <w:szCs w:val="20"/>
              </w:rPr>
              <w:t>120</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1E32AF" w:rsidR="00ED2FFC" w:rsidP="00ED2FFC" w:rsidRDefault="00ED2FFC" w14:paraId="77238797" w14:textId="77466A74">
            <w:pPr>
              <w:jc w:val="right"/>
              <w:rPr>
                <w:sz w:val="20"/>
                <w:szCs w:val="20"/>
              </w:rPr>
            </w:pPr>
            <w:r w:rsidRPr="00F73465">
              <w:rPr>
                <w:sz w:val="20"/>
                <w:szCs w:val="20"/>
              </w:rPr>
              <w:t>38,</w:t>
            </w:r>
            <w:r w:rsidR="00350204">
              <w:rPr>
                <w:sz w:val="20"/>
                <w:szCs w:val="20"/>
              </w:rPr>
              <w:t>040</w:t>
            </w:r>
          </w:p>
        </w:tc>
      </w:tr>
      <w:tr w:rsidR="009569BD" w:rsidTr="00ED2FFC" w14:paraId="63F10F79" w14:textId="77777777">
        <w:trPr>
          <w:trHeight w:val="493"/>
        </w:trPr>
        <w:tc>
          <w:tcPr>
            <w:tcW w:w="340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1E32AF" w:rsidR="00ED2FFC" w:rsidP="00ED2FFC" w:rsidRDefault="00ED2FFC" w14:paraId="3BB67864" w14:textId="3A64C0C0">
            <w:pPr>
              <w:rPr>
                <w:sz w:val="20"/>
                <w:szCs w:val="20"/>
              </w:rPr>
            </w:pPr>
            <w:r w:rsidRPr="00F73465">
              <w:rPr>
                <w:sz w:val="20"/>
                <w:szCs w:val="20"/>
              </w:rPr>
              <w:t>§ 312.320(b); submissions related to a treatment IND or treatment protocol</w:t>
            </w:r>
          </w:p>
        </w:tc>
        <w:tc>
          <w:tcPr>
            <w:tcW w:w="125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F73465" w:rsidR="00ED2FFC" w:rsidP="003F7107" w:rsidRDefault="00ED2FFC" w14:paraId="202D273F" w14:textId="77777777">
            <w:pPr>
              <w:spacing w:after="0" w:line="240" w:lineRule="auto"/>
              <w:jc w:val="right"/>
              <w:rPr>
                <w:sz w:val="20"/>
                <w:szCs w:val="20"/>
              </w:rPr>
            </w:pPr>
            <w:r w:rsidRPr="00F73465">
              <w:rPr>
                <w:sz w:val="20"/>
                <w:szCs w:val="20"/>
              </w:rPr>
              <w:t>20</w:t>
            </w:r>
          </w:p>
          <w:p w:rsidRPr="001E32AF" w:rsidR="00ED2FFC" w:rsidP="00ED2FFC" w:rsidRDefault="00ED2FFC" w14:paraId="6235700A" w14:textId="46435553">
            <w:pPr>
              <w:jc w:val="right"/>
              <w:rPr>
                <w:sz w:val="20"/>
                <w:szCs w:val="20"/>
              </w:rPr>
            </w:pPr>
          </w:p>
        </w:tc>
        <w:tc>
          <w:tcPr>
            <w:tcW w:w="140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E32AF" w:rsidR="00ED2FFC" w:rsidP="00ED2FFC" w:rsidRDefault="00ED2FFC" w14:paraId="37181610" w14:textId="71CA25C5">
            <w:pPr>
              <w:jc w:val="right"/>
              <w:rPr>
                <w:sz w:val="20"/>
                <w:szCs w:val="20"/>
              </w:rPr>
            </w:pPr>
            <w:r w:rsidRPr="00F73465">
              <w:rPr>
                <w:sz w:val="20"/>
                <w:szCs w:val="20"/>
              </w:rPr>
              <w:t>7</w:t>
            </w:r>
          </w:p>
        </w:tc>
        <w:tc>
          <w:tcPr>
            <w:tcW w:w="107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E32AF" w:rsidR="00ED2FFC" w:rsidP="00ED2FFC" w:rsidRDefault="00ED2FFC" w14:paraId="321322E7" w14:textId="74D9698F">
            <w:pPr>
              <w:jc w:val="right"/>
              <w:rPr>
                <w:sz w:val="20"/>
                <w:szCs w:val="20"/>
              </w:rPr>
            </w:pPr>
            <w:r w:rsidRPr="00F73465">
              <w:rPr>
                <w:sz w:val="20"/>
                <w:szCs w:val="20"/>
              </w:rPr>
              <w:t>140</w:t>
            </w:r>
          </w:p>
        </w:tc>
        <w:tc>
          <w:tcPr>
            <w:tcW w:w="1235"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E32AF" w:rsidR="00ED2FFC" w:rsidP="00ED2FFC" w:rsidRDefault="00ED2FFC" w14:paraId="232ECF83" w14:textId="28A8AD5E">
            <w:pPr>
              <w:jc w:val="right"/>
              <w:rPr>
                <w:sz w:val="20"/>
                <w:szCs w:val="20"/>
              </w:rPr>
            </w:pPr>
            <w:r w:rsidRPr="00F73465">
              <w:rPr>
                <w:sz w:val="20"/>
                <w:szCs w:val="20"/>
              </w:rPr>
              <w:t>300</w:t>
            </w:r>
          </w:p>
        </w:tc>
        <w:tc>
          <w:tcPr>
            <w:tcW w:w="99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E32AF" w:rsidR="00ED2FFC" w:rsidP="00ED2FFC" w:rsidRDefault="00ED2FFC" w14:paraId="55DB9507" w14:textId="797C10A4">
            <w:pPr>
              <w:jc w:val="right"/>
              <w:rPr>
                <w:sz w:val="20"/>
                <w:szCs w:val="20"/>
              </w:rPr>
            </w:pPr>
            <w:r w:rsidRPr="00F73465">
              <w:rPr>
                <w:sz w:val="20"/>
                <w:szCs w:val="20"/>
              </w:rPr>
              <w:t>42,000</w:t>
            </w:r>
          </w:p>
        </w:tc>
      </w:tr>
      <w:tr w:rsidR="00350204" w:rsidTr="00ED2FFC" w14:paraId="7B99FA23" w14:textId="77777777">
        <w:trPr>
          <w:trHeight w:val="246"/>
        </w:trPr>
        <w:tc>
          <w:tcPr>
            <w:tcW w:w="3401" w:type="dxa"/>
            <w:tcBorders>
              <w:top w:val="single" w:color="auto" w:sz="4"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00ED2FFC" w:rsidP="00ED2FFC" w:rsidRDefault="00ED2FFC" w14:paraId="74ED2C0F" w14:textId="77777777">
            <w:pPr>
              <w:spacing w:after="0" w:line="240" w:lineRule="auto"/>
              <w:rPr>
                <w:sz w:val="20"/>
                <w:szCs w:val="20"/>
              </w:rPr>
            </w:pPr>
          </w:p>
          <w:p w:rsidRPr="001E32AF" w:rsidR="00ED2FFC" w:rsidP="00ED2FFC" w:rsidRDefault="00ED2FFC" w14:paraId="31EB7E4F" w14:textId="49C037FB">
            <w:pPr>
              <w:rPr>
                <w:sz w:val="20"/>
                <w:szCs w:val="20"/>
              </w:rPr>
            </w:pPr>
            <w:r>
              <w:rPr>
                <w:sz w:val="20"/>
                <w:szCs w:val="20"/>
              </w:rPr>
              <w:t>Total</w:t>
            </w:r>
          </w:p>
        </w:tc>
        <w:tc>
          <w:tcPr>
            <w:tcW w:w="1250" w:type="dxa"/>
            <w:tcBorders>
              <w:top w:val="single" w:color="auto" w:sz="4"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1E32AF" w:rsidR="00ED2FFC" w:rsidP="00ED2FFC" w:rsidRDefault="00ED2FFC" w14:paraId="32595F03" w14:textId="77777777">
            <w:pPr>
              <w:jc w:val="right"/>
              <w:rPr>
                <w:sz w:val="20"/>
                <w:szCs w:val="20"/>
                <w:highlight w:val="lightGray"/>
              </w:rPr>
            </w:pPr>
          </w:p>
        </w:tc>
        <w:tc>
          <w:tcPr>
            <w:tcW w:w="1400" w:type="dxa"/>
            <w:tcBorders>
              <w:top w:val="single" w:color="auto" w:sz="4"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1E32AF" w:rsidR="00ED2FFC" w:rsidP="00ED2FFC" w:rsidRDefault="00ED2FFC" w14:paraId="299EC66A" w14:textId="77777777">
            <w:pPr>
              <w:jc w:val="right"/>
              <w:rPr>
                <w:sz w:val="20"/>
                <w:szCs w:val="20"/>
                <w:highlight w:val="lightGray"/>
              </w:rPr>
            </w:pPr>
          </w:p>
        </w:tc>
        <w:tc>
          <w:tcPr>
            <w:tcW w:w="1077"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tcPr>
          <w:p w:rsidRPr="001E32AF" w:rsidR="00ED2FFC" w:rsidP="00ED2FFC" w:rsidRDefault="00ED2FFC" w14:paraId="4B2E9F8F" w14:textId="6E306DD3">
            <w:pPr>
              <w:jc w:val="right"/>
              <w:rPr>
                <w:sz w:val="20"/>
                <w:szCs w:val="20"/>
              </w:rPr>
            </w:pPr>
          </w:p>
        </w:tc>
        <w:tc>
          <w:tcPr>
            <w:tcW w:w="123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tcPr>
          <w:p w:rsidRPr="001E32AF" w:rsidR="00ED2FFC" w:rsidP="00ED2FFC" w:rsidRDefault="00ED2FFC" w14:paraId="56ABFCA0" w14:textId="77777777">
            <w:pPr>
              <w:jc w:val="right"/>
              <w:rPr>
                <w:sz w:val="20"/>
                <w:szCs w:val="20"/>
              </w:rPr>
            </w:pPr>
          </w:p>
        </w:tc>
        <w:tc>
          <w:tcPr>
            <w:tcW w:w="99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tcPr>
          <w:p w:rsidRPr="001E32AF" w:rsidR="00ED2FFC" w:rsidP="00ED2FFC" w:rsidRDefault="009569BD" w14:paraId="1F077180" w14:textId="636EE8C3">
            <w:pPr>
              <w:jc w:val="right"/>
              <w:rPr>
                <w:sz w:val="20"/>
                <w:szCs w:val="20"/>
              </w:rPr>
            </w:pPr>
            <w:r>
              <w:rPr>
                <w:sz w:val="20"/>
                <w:szCs w:val="20"/>
              </w:rPr>
              <w:t>138,970</w:t>
            </w:r>
          </w:p>
        </w:tc>
      </w:tr>
    </w:tbl>
    <w:p w:rsidRPr="001E32AF" w:rsidR="001E32AF" w:rsidP="001E32AF" w:rsidRDefault="001E32AF" w14:paraId="5D1E0B39" w14:textId="77777777">
      <w:pPr>
        <w:rPr>
          <w:sz w:val="20"/>
          <w:szCs w:val="20"/>
        </w:rPr>
      </w:pPr>
      <w:r w:rsidRPr="001E32AF">
        <w:rPr>
          <w:sz w:val="20"/>
          <w:szCs w:val="20"/>
          <w:vertAlign w:val="superscript"/>
        </w:rPr>
        <w:t xml:space="preserve">1 </w:t>
      </w:r>
      <w:r w:rsidRPr="001E32AF">
        <w:rPr>
          <w:sz w:val="20"/>
          <w:szCs w:val="20"/>
        </w:rPr>
        <w:t>There are no capital costs or operating and maintenance costs associated with this collection of information.</w:t>
      </w:r>
    </w:p>
    <w:p w:rsidRPr="001E32AF" w:rsidR="001E32AF" w:rsidP="001E32AF" w:rsidRDefault="001E32AF" w14:paraId="64A162F2" w14:textId="77777777">
      <w:pPr>
        <w:rPr>
          <w:sz w:val="20"/>
          <w:szCs w:val="20"/>
        </w:rPr>
      </w:pPr>
      <w:r w:rsidRPr="001E32AF">
        <w:rPr>
          <w:sz w:val="20"/>
          <w:szCs w:val="20"/>
          <w:vertAlign w:val="superscript"/>
        </w:rPr>
        <w:t>2</w:t>
      </w:r>
      <w:r w:rsidRPr="001E32AF">
        <w:rPr>
          <w:sz w:val="20"/>
          <w:szCs w:val="20"/>
        </w:rPr>
        <w:t xml:space="preserve"> Data elements are reported in Forms FDA 1571 and 1572, approved under OMB control number 0910-0014.</w:t>
      </w:r>
    </w:p>
    <w:p w:rsidR="00077F89" w:rsidP="00077F89" w:rsidRDefault="00077F89" w14:paraId="23E288D6" w14:textId="46F23D2A">
      <w:pPr>
        <w:rPr>
          <w:color w:val="auto"/>
          <w:szCs w:val="24"/>
        </w:rPr>
      </w:pPr>
    </w:p>
    <w:tbl>
      <w:tblPr>
        <w:tblW w:w="938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3680"/>
        <w:gridCol w:w="1146"/>
        <w:gridCol w:w="1308"/>
        <w:gridCol w:w="990"/>
        <w:gridCol w:w="1063"/>
        <w:gridCol w:w="1196"/>
      </w:tblGrid>
      <w:tr w:rsidR="00077F89" w:rsidTr="004D0432" w14:paraId="075C3B29" w14:textId="77777777">
        <w:trPr>
          <w:cantSplit/>
          <w:trHeight w:val="217"/>
        </w:trPr>
        <w:tc>
          <w:tcPr>
            <w:tcW w:w="9383" w:type="dxa"/>
            <w:gridSpan w:val="6"/>
            <w:tcBorders>
              <w:top w:val="nil"/>
              <w:left w:val="nil"/>
              <w:bottom w:val="single" w:color="auto" w:sz="4" w:space="0"/>
              <w:right w:val="nil"/>
            </w:tcBorders>
            <w:tcMar>
              <w:top w:w="0" w:type="dxa"/>
              <w:left w:w="108" w:type="dxa"/>
              <w:bottom w:w="0" w:type="dxa"/>
              <w:right w:w="108" w:type="dxa"/>
            </w:tcMar>
            <w:hideMark/>
          </w:tcPr>
          <w:p w:rsidRPr="003F7107" w:rsidR="00077F89" w:rsidRDefault="00077F89" w14:paraId="44A84B44" w14:textId="77777777">
            <w:pPr>
              <w:jc w:val="center"/>
              <w:rPr>
                <w:sz w:val="20"/>
                <w:szCs w:val="20"/>
                <w:vertAlign w:val="superscript"/>
              </w:rPr>
            </w:pPr>
            <w:r w:rsidRPr="003F7107">
              <w:rPr>
                <w:sz w:val="20"/>
                <w:szCs w:val="20"/>
              </w:rPr>
              <w:t>Table 2.--Estimated Annual Reporting Burden--Center for Biologics Evaluation and Research</w:t>
            </w:r>
            <w:r w:rsidRPr="003F7107">
              <w:rPr>
                <w:sz w:val="20"/>
                <w:szCs w:val="20"/>
                <w:vertAlign w:val="superscript"/>
              </w:rPr>
              <w:t>1</w:t>
            </w:r>
          </w:p>
        </w:tc>
      </w:tr>
      <w:tr w:rsidRPr="00C87517" w:rsidR="00077F89" w:rsidTr="004D0432" w14:paraId="329340F1" w14:textId="77777777">
        <w:trPr>
          <w:cantSplit/>
          <w:trHeight w:val="653"/>
        </w:trPr>
        <w:tc>
          <w:tcPr>
            <w:tcW w:w="3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785643FF" w14:textId="77777777">
            <w:pPr>
              <w:jc w:val="center"/>
              <w:rPr>
                <w:color w:val="000000" w:themeColor="text1"/>
                <w:sz w:val="20"/>
                <w:szCs w:val="20"/>
              </w:rPr>
            </w:pPr>
            <w:r w:rsidRPr="00C87517">
              <w:rPr>
                <w:color w:val="000000" w:themeColor="text1"/>
                <w:sz w:val="20"/>
                <w:szCs w:val="20"/>
              </w:rPr>
              <w:t>Part 312, subpart I; Activity</w:t>
            </w:r>
          </w:p>
        </w:tc>
        <w:tc>
          <w:tcPr>
            <w:tcW w:w="1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207B7F01" w14:textId="77777777">
            <w:pPr>
              <w:jc w:val="center"/>
              <w:rPr>
                <w:color w:val="000000" w:themeColor="text1"/>
                <w:sz w:val="20"/>
                <w:szCs w:val="20"/>
              </w:rPr>
            </w:pPr>
            <w:r w:rsidRPr="00C87517">
              <w:rPr>
                <w:color w:val="000000" w:themeColor="text1"/>
                <w:sz w:val="20"/>
                <w:szCs w:val="20"/>
              </w:rPr>
              <w:t>No. of Respondents</w:t>
            </w:r>
          </w:p>
        </w:tc>
        <w:tc>
          <w:tcPr>
            <w:tcW w:w="13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3CC41C76" w14:textId="77777777">
            <w:pPr>
              <w:jc w:val="center"/>
              <w:rPr>
                <w:color w:val="000000" w:themeColor="text1"/>
                <w:sz w:val="20"/>
                <w:szCs w:val="20"/>
              </w:rPr>
            </w:pPr>
            <w:r w:rsidRPr="00C87517">
              <w:rPr>
                <w:color w:val="000000" w:themeColor="text1"/>
                <w:sz w:val="20"/>
                <w:szCs w:val="20"/>
              </w:rPr>
              <w:t>No. of Responses per Respondent</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4A849F34" w14:textId="77777777">
            <w:pPr>
              <w:jc w:val="center"/>
              <w:rPr>
                <w:color w:val="000000" w:themeColor="text1"/>
                <w:sz w:val="20"/>
                <w:szCs w:val="20"/>
              </w:rPr>
            </w:pPr>
            <w:r w:rsidRPr="00C87517">
              <w:rPr>
                <w:color w:val="000000" w:themeColor="text1"/>
                <w:sz w:val="20"/>
                <w:szCs w:val="20"/>
              </w:rPr>
              <w:t>Total Annual Responses</w:t>
            </w:r>
          </w:p>
        </w:tc>
        <w:tc>
          <w:tcPr>
            <w:tcW w:w="10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5CDC5A8A" w14:textId="77777777">
            <w:pPr>
              <w:jc w:val="center"/>
              <w:rPr>
                <w:color w:val="000000" w:themeColor="text1"/>
                <w:sz w:val="20"/>
                <w:szCs w:val="20"/>
              </w:rPr>
            </w:pPr>
            <w:r w:rsidRPr="00C87517">
              <w:rPr>
                <w:color w:val="000000" w:themeColor="text1"/>
                <w:sz w:val="20"/>
                <w:szCs w:val="20"/>
              </w:rPr>
              <w:t>Average Burden per Response</w:t>
            </w:r>
          </w:p>
        </w:tc>
        <w:tc>
          <w:tcPr>
            <w:tcW w:w="11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0C8A595F" w14:textId="77777777">
            <w:pPr>
              <w:jc w:val="center"/>
              <w:rPr>
                <w:color w:val="000000" w:themeColor="text1"/>
                <w:sz w:val="20"/>
                <w:szCs w:val="20"/>
              </w:rPr>
            </w:pPr>
            <w:r w:rsidRPr="00C87517">
              <w:rPr>
                <w:color w:val="000000" w:themeColor="text1"/>
                <w:sz w:val="20"/>
                <w:szCs w:val="20"/>
              </w:rPr>
              <w:t>Total Hours</w:t>
            </w:r>
          </w:p>
        </w:tc>
      </w:tr>
      <w:tr w:rsidRPr="00C87517" w:rsidR="00077F89" w:rsidTr="004D0432" w14:paraId="27190FB8" w14:textId="77777777">
        <w:trPr>
          <w:cantSplit/>
          <w:trHeight w:val="871"/>
        </w:trPr>
        <w:tc>
          <w:tcPr>
            <w:tcW w:w="3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562F3691" w14:textId="4A72A0C8">
            <w:pPr>
              <w:rPr>
                <w:color w:val="000000" w:themeColor="text1"/>
                <w:sz w:val="20"/>
                <w:szCs w:val="20"/>
              </w:rPr>
            </w:pPr>
            <w:r w:rsidRPr="00C87517">
              <w:rPr>
                <w:color w:val="000000" w:themeColor="text1"/>
                <w:sz w:val="20"/>
                <w:szCs w:val="20"/>
              </w:rPr>
              <w:t xml:space="preserve">§§ 312.310(b) and 312.305(b); </w:t>
            </w:r>
            <w:r w:rsidR="005F179A">
              <w:rPr>
                <w:color w:val="000000" w:themeColor="text1"/>
                <w:sz w:val="20"/>
                <w:szCs w:val="20"/>
              </w:rPr>
              <w:t>su</w:t>
            </w:r>
            <w:r w:rsidRPr="00C87517">
              <w:rPr>
                <w:color w:val="000000" w:themeColor="text1"/>
                <w:sz w:val="20"/>
                <w:szCs w:val="20"/>
              </w:rPr>
              <w:t>bmissions related to expanded access and treatment of an individual patient:  Form FDA 3926</w:t>
            </w:r>
          </w:p>
        </w:tc>
        <w:tc>
          <w:tcPr>
            <w:tcW w:w="1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6C4D2A6C" w14:textId="77777777">
            <w:pPr>
              <w:jc w:val="right"/>
              <w:rPr>
                <w:color w:val="000000" w:themeColor="text1"/>
                <w:sz w:val="20"/>
                <w:szCs w:val="20"/>
              </w:rPr>
            </w:pPr>
            <w:r w:rsidRPr="00C87517">
              <w:rPr>
                <w:color w:val="000000" w:themeColor="text1"/>
                <w:sz w:val="20"/>
                <w:szCs w:val="20"/>
              </w:rPr>
              <w:t>118</w:t>
            </w:r>
          </w:p>
        </w:tc>
        <w:tc>
          <w:tcPr>
            <w:tcW w:w="13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67615197" w14:textId="77777777">
            <w:pPr>
              <w:jc w:val="right"/>
              <w:rPr>
                <w:color w:val="000000" w:themeColor="text1"/>
                <w:sz w:val="20"/>
                <w:szCs w:val="20"/>
              </w:rPr>
            </w:pPr>
            <w:r w:rsidRPr="00C87517">
              <w:rPr>
                <w:color w:val="000000" w:themeColor="text1"/>
                <w:sz w:val="20"/>
                <w:szCs w:val="20"/>
              </w:rPr>
              <w:t>1.305</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1B83FE7A" w14:textId="77777777">
            <w:pPr>
              <w:jc w:val="right"/>
              <w:rPr>
                <w:color w:val="000000" w:themeColor="text1"/>
                <w:sz w:val="20"/>
                <w:szCs w:val="20"/>
              </w:rPr>
            </w:pPr>
            <w:r w:rsidRPr="00C87517">
              <w:rPr>
                <w:color w:val="000000" w:themeColor="text1"/>
                <w:sz w:val="20"/>
                <w:szCs w:val="20"/>
              </w:rPr>
              <w:t>154</w:t>
            </w:r>
          </w:p>
        </w:tc>
        <w:tc>
          <w:tcPr>
            <w:tcW w:w="10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31C64206" w14:textId="77777777">
            <w:pPr>
              <w:jc w:val="right"/>
              <w:rPr>
                <w:color w:val="000000" w:themeColor="text1"/>
                <w:sz w:val="20"/>
                <w:szCs w:val="20"/>
              </w:rPr>
            </w:pPr>
            <w:r w:rsidRPr="00C87517">
              <w:rPr>
                <w:color w:val="000000" w:themeColor="text1"/>
                <w:sz w:val="20"/>
                <w:szCs w:val="20"/>
              </w:rPr>
              <w:t>8</w:t>
            </w:r>
          </w:p>
        </w:tc>
        <w:tc>
          <w:tcPr>
            <w:tcW w:w="11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1DDFA065" w14:textId="77777777">
            <w:pPr>
              <w:jc w:val="right"/>
              <w:rPr>
                <w:color w:val="000000" w:themeColor="text1"/>
                <w:sz w:val="20"/>
                <w:szCs w:val="20"/>
              </w:rPr>
            </w:pPr>
            <w:r w:rsidRPr="00C87517">
              <w:rPr>
                <w:color w:val="000000" w:themeColor="text1"/>
                <w:sz w:val="20"/>
                <w:szCs w:val="20"/>
              </w:rPr>
              <w:t>1,232</w:t>
            </w:r>
          </w:p>
        </w:tc>
      </w:tr>
      <w:tr w:rsidRPr="00C87517" w:rsidR="00077F89" w:rsidTr="004D0432" w14:paraId="3754FAB6" w14:textId="77777777">
        <w:trPr>
          <w:cantSplit/>
          <w:trHeight w:val="653"/>
        </w:trPr>
        <w:tc>
          <w:tcPr>
            <w:tcW w:w="3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077CD532" w14:textId="7B831D9A">
            <w:pPr>
              <w:rPr>
                <w:color w:val="000000" w:themeColor="text1"/>
                <w:sz w:val="20"/>
                <w:szCs w:val="20"/>
              </w:rPr>
            </w:pPr>
            <w:r w:rsidRPr="00C87517">
              <w:rPr>
                <w:color w:val="000000" w:themeColor="text1"/>
                <w:sz w:val="20"/>
                <w:szCs w:val="20"/>
              </w:rPr>
              <w:t>§ 312.310(d); submissions related to emergency use of an investigational new drug:  Form FDA 3926</w:t>
            </w:r>
          </w:p>
        </w:tc>
        <w:tc>
          <w:tcPr>
            <w:tcW w:w="1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5B0BA05A" w14:textId="77777777">
            <w:pPr>
              <w:jc w:val="right"/>
              <w:rPr>
                <w:color w:val="000000" w:themeColor="text1"/>
                <w:sz w:val="20"/>
                <w:szCs w:val="20"/>
              </w:rPr>
            </w:pPr>
            <w:r w:rsidRPr="00C87517">
              <w:rPr>
                <w:color w:val="000000" w:themeColor="text1"/>
                <w:sz w:val="20"/>
                <w:szCs w:val="20"/>
              </w:rPr>
              <w:t>1,591</w:t>
            </w:r>
          </w:p>
        </w:tc>
        <w:tc>
          <w:tcPr>
            <w:tcW w:w="13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68137795" w14:textId="77777777">
            <w:pPr>
              <w:jc w:val="right"/>
              <w:rPr>
                <w:color w:val="000000" w:themeColor="text1"/>
                <w:sz w:val="20"/>
                <w:szCs w:val="20"/>
              </w:rPr>
            </w:pPr>
            <w:r w:rsidRPr="00C87517">
              <w:rPr>
                <w:color w:val="000000" w:themeColor="text1"/>
                <w:sz w:val="20"/>
                <w:szCs w:val="20"/>
              </w:rPr>
              <w:t>4.2137</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4DDF75A1" w14:textId="77777777">
            <w:pPr>
              <w:jc w:val="right"/>
              <w:rPr>
                <w:color w:val="000000" w:themeColor="text1"/>
                <w:sz w:val="20"/>
                <w:szCs w:val="20"/>
              </w:rPr>
            </w:pPr>
            <w:r w:rsidRPr="00C87517">
              <w:rPr>
                <w:color w:val="000000" w:themeColor="text1"/>
                <w:sz w:val="20"/>
                <w:szCs w:val="20"/>
              </w:rPr>
              <w:t>6,704</w:t>
            </w:r>
          </w:p>
        </w:tc>
        <w:tc>
          <w:tcPr>
            <w:tcW w:w="10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10B08DEA" w14:textId="77777777">
            <w:pPr>
              <w:jc w:val="right"/>
              <w:rPr>
                <w:color w:val="000000" w:themeColor="text1"/>
                <w:sz w:val="20"/>
                <w:szCs w:val="20"/>
              </w:rPr>
            </w:pPr>
            <w:r w:rsidRPr="00C87517">
              <w:rPr>
                <w:color w:val="000000" w:themeColor="text1"/>
                <w:sz w:val="20"/>
                <w:szCs w:val="20"/>
              </w:rPr>
              <w:t>16</w:t>
            </w:r>
          </w:p>
        </w:tc>
        <w:tc>
          <w:tcPr>
            <w:tcW w:w="11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6040F71D" w14:textId="77777777">
            <w:pPr>
              <w:jc w:val="right"/>
              <w:rPr>
                <w:color w:val="000000" w:themeColor="text1"/>
                <w:sz w:val="20"/>
                <w:szCs w:val="20"/>
              </w:rPr>
            </w:pPr>
            <w:r w:rsidRPr="00C87517">
              <w:rPr>
                <w:color w:val="000000" w:themeColor="text1"/>
                <w:sz w:val="20"/>
                <w:szCs w:val="20"/>
              </w:rPr>
              <w:t>107,264</w:t>
            </w:r>
          </w:p>
        </w:tc>
      </w:tr>
      <w:tr w:rsidRPr="00C87517" w:rsidR="00077F89" w:rsidTr="004D0432" w14:paraId="5A0E8298" w14:textId="77777777">
        <w:trPr>
          <w:cantSplit/>
          <w:trHeight w:val="871"/>
        </w:trPr>
        <w:tc>
          <w:tcPr>
            <w:tcW w:w="3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5222F687" w14:textId="7CCCF2CF">
            <w:pPr>
              <w:rPr>
                <w:color w:val="000000" w:themeColor="text1"/>
                <w:sz w:val="20"/>
                <w:szCs w:val="20"/>
              </w:rPr>
            </w:pPr>
            <w:r w:rsidRPr="00C87517">
              <w:rPr>
                <w:color w:val="000000" w:themeColor="text1"/>
                <w:sz w:val="20"/>
                <w:szCs w:val="20"/>
              </w:rPr>
              <w:lastRenderedPageBreak/>
              <w:t>§§ 312.315(c) and 312.305(b);</w:t>
            </w:r>
            <w:r w:rsidR="005F179A">
              <w:rPr>
                <w:color w:val="000000" w:themeColor="text1"/>
                <w:sz w:val="20"/>
                <w:szCs w:val="20"/>
              </w:rPr>
              <w:t xml:space="preserve"> </w:t>
            </w:r>
            <w:r w:rsidRPr="00C87517">
              <w:rPr>
                <w:color w:val="000000" w:themeColor="text1"/>
                <w:sz w:val="20"/>
                <w:szCs w:val="20"/>
              </w:rPr>
              <w:t>submissions related to expanded access and treatment of an intermediate-size patient population</w:t>
            </w:r>
            <w:r w:rsidRPr="00C87517">
              <w:rPr>
                <w:color w:val="000000" w:themeColor="text1"/>
                <w:sz w:val="20"/>
                <w:szCs w:val="20"/>
                <w:vertAlign w:val="superscript"/>
              </w:rPr>
              <w:t>2</w:t>
            </w:r>
          </w:p>
        </w:tc>
        <w:tc>
          <w:tcPr>
            <w:tcW w:w="1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22586DCA" w14:textId="77777777">
            <w:pPr>
              <w:jc w:val="right"/>
              <w:rPr>
                <w:color w:val="000000" w:themeColor="text1"/>
                <w:sz w:val="20"/>
                <w:szCs w:val="20"/>
              </w:rPr>
            </w:pPr>
            <w:r w:rsidRPr="00C87517">
              <w:rPr>
                <w:color w:val="000000" w:themeColor="text1"/>
                <w:sz w:val="20"/>
                <w:szCs w:val="20"/>
              </w:rPr>
              <w:t>28</w:t>
            </w:r>
          </w:p>
        </w:tc>
        <w:tc>
          <w:tcPr>
            <w:tcW w:w="13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3578A292" w14:textId="77777777">
            <w:pPr>
              <w:jc w:val="right"/>
              <w:rPr>
                <w:color w:val="000000" w:themeColor="text1"/>
                <w:sz w:val="20"/>
                <w:szCs w:val="20"/>
              </w:rPr>
            </w:pPr>
            <w:r w:rsidRPr="00C87517">
              <w:rPr>
                <w:color w:val="000000" w:themeColor="text1"/>
                <w:sz w:val="20"/>
                <w:szCs w:val="20"/>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700179C0" w14:textId="77777777">
            <w:pPr>
              <w:jc w:val="right"/>
              <w:rPr>
                <w:color w:val="000000" w:themeColor="text1"/>
                <w:sz w:val="20"/>
                <w:szCs w:val="20"/>
              </w:rPr>
            </w:pPr>
            <w:r w:rsidRPr="00C87517">
              <w:rPr>
                <w:color w:val="000000" w:themeColor="text1"/>
                <w:sz w:val="20"/>
                <w:szCs w:val="20"/>
              </w:rPr>
              <w:t>28</w:t>
            </w:r>
          </w:p>
        </w:tc>
        <w:tc>
          <w:tcPr>
            <w:tcW w:w="10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03A8BC3B" w14:textId="77777777">
            <w:pPr>
              <w:jc w:val="right"/>
              <w:rPr>
                <w:color w:val="000000" w:themeColor="text1"/>
                <w:sz w:val="20"/>
                <w:szCs w:val="20"/>
              </w:rPr>
            </w:pPr>
            <w:r w:rsidRPr="00C87517">
              <w:rPr>
                <w:color w:val="000000" w:themeColor="text1"/>
                <w:sz w:val="20"/>
                <w:szCs w:val="20"/>
              </w:rPr>
              <w:t>120</w:t>
            </w:r>
          </w:p>
        </w:tc>
        <w:tc>
          <w:tcPr>
            <w:tcW w:w="11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7B49D21C" w14:textId="77777777">
            <w:pPr>
              <w:jc w:val="right"/>
              <w:rPr>
                <w:color w:val="000000" w:themeColor="text1"/>
                <w:sz w:val="20"/>
                <w:szCs w:val="20"/>
              </w:rPr>
            </w:pPr>
            <w:r w:rsidRPr="00C87517">
              <w:rPr>
                <w:color w:val="000000" w:themeColor="text1"/>
                <w:sz w:val="20"/>
                <w:szCs w:val="20"/>
              </w:rPr>
              <w:t>3,360</w:t>
            </w:r>
          </w:p>
        </w:tc>
      </w:tr>
      <w:tr w:rsidRPr="00C87517" w:rsidR="00077F89" w:rsidTr="004D0432" w14:paraId="1F0240F3" w14:textId="77777777">
        <w:trPr>
          <w:cantSplit/>
          <w:trHeight w:val="435"/>
        </w:trPr>
        <w:tc>
          <w:tcPr>
            <w:tcW w:w="3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79B4D5F6" w14:textId="2EAE7848">
            <w:pPr>
              <w:rPr>
                <w:color w:val="000000" w:themeColor="text1"/>
                <w:sz w:val="20"/>
                <w:szCs w:val="20"/>
              </w:rPr>
            </w:pPr>
            <w:r w:rsidRPr="00C87517">
              <w:rPr>
                <w:color w:val="000000" w:themeColor="text1"/>
                <w:sz w:val="20"/>
                <w:szCs w:val="20"/>
              </w:rPr>
              <w:t>§ 312.320(b); submissions related to a treatment IND or treatment protocol</w:t>
            </w:r>
            <w:r w:rsidRPr="00C87517">
              <w:rPr>
                <w:color w:val="000000" w:themeColor="text1"/>
                <w:sz w:val="20"/>
                <w:szCs w:val="20"/>
                <w:vertAlign w:val="superscript"/>
              </w:rPr>
              <w:t>2</w:t>
            </w:r>
          </w:p>
        </w:tc>
        <w:tc>
          <w:tcPr>
            <w:tcW w:w="1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298128EB" w14:textId="77777777">
            <w:pPr>
              <w:jc w:val="right"/>
              <w:rPr>
                <w:color w:val="000000" w:themeColor="text1"/>
                <w:sz w:val="20"/>
                <w:szCs w:val="20"/>
              </w:rPr>
            </w:pPr>
            <w:r w:rsidRPr="00C87517">
              <w:rPr>
                <w:color w:val="000000" w:themeColor="text1"/>
                <w:sz w:val="20"/>
                <w:szCs w:val="20"/>
              </w:rPr>
              <w:t>15</w:t>
            </w:r>
          </w:p>
        </w:tc>
        <w:tc>
          <w:tcPr>
            <w:tcW w:w="13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5B0B7E3C" w14:textId="77777777">
            <w:pPr>
              <w:jc w:val="right"/>
              <w:rPr>
                <w:color w:val="000000" w:themeColor="text1"/>
                <w:sz w:val="20"/>
                <w:szCs w:val="20"/>
              </w:rPr>
            </w:pPr>
            <w:r w:rsidRPr="00C87517">
              <w:rPr>
                <w:color w:val="000000" w:themeColor="text1"/>
                <w:sz w:val="20"/>
                <w:szCs w:val="20"/>
              </w:rPr>
              <w:t>1</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62F6ACD8" w14:textId="77777777">
            <w:pPr>
              <w:jc w:val="right"/>
              <w:rPr>
                <w:color w:val="000000" w:themeColor="text1"/>
                <w:sz w:val="20"/>
                <w:szCs w:val="20"/>
              </w:rPr>
            </w:pPr>
            <w:r w:rsidRPr="00C87517">
              <w:rPr>
                <w:color w:val="000000" w:themeColor="text1"/>
                <w:sz w:val="20"/>
                <w:szCs w:val="20"/>
              </w:rPr>
              <w:t>15</w:t>
            </w:r>
          </w:p>
        </w:tc>
        <w:tc>
          <w:tcPr>
            <w:tcW w:w="10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2C51CDA3" w14:textId="77777777">
            <w:pPr>
              <w:jc w:val="right"/>
              <w:rPr>
                <w:color w:val="000000" w:themeColor="text1"/>
                <w:sz w:val="20"/>
                <w:szCs w:val="20"/>
              </w:rPr>
            </w:pPr>
            <w:r w:rsidRPr="00C87517">
              <w:rPr>
                <w:color w:val="000000" w:themeColor="text1"/>
                <w:sz w:val="20"/>
                <w:szCs w:val="20"/>
              </w:rPr>
              <w:t>300</w:t>
            </w:r>
          </w:p>
        </w:tc>
        <w:tc>
          <w:tcPr>
            <w:tcW w:w="11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87517" w:rsidR="00077F89" w:rsidRDefault="00077F89" w14:paraId="594AA0A8" w14:textId="77777777">
            <w:pPr>
              <w:jc w:val="right"/>
              <w:rPr>
                <w:color w:val="000000" w:themeColor="text1"/>
                <w:sz w:val="20"/>
                <w:szCs w:val="20"/>
              </w:rPr>
            </w:pPr>
            <w:r w:rsidRPr="00C87517">
              <w:rPr>
                <w:color w:val="000000" w:themeColor="text1"/>
                <w:sz w:val="20"/>
                <w:szCs w:val="20"/>
              </w:rPr>
              <w:t>4,500</w:t>
            </w:r>
          </w:p>
        </w:tc>
      </w:tr>
      <w:tr w:rsidRPr="00C87517" w:rsidR="00077F89" w:rsidTr="004D0432" w14:paraId="3EEB3FF0" w14:textId="77777777">
        <w:trPr>
          <w:cantSplit/>
          <w:trHeight w:val="194"/>
        </w:trPr>
        <w:tc>
          <w:tcPr>
            <w:tcW w:w="368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C87517" w:rsidR="00077F89" w:rsidRDefault="00077F89" w14:paraId="34825DAE" w14:textId="77777777">
            <w:pPr>
              <w:rPr>
                <w:color w:val="000000" w:themeColor="text1"/>
                <w:sz w:val="20"/>
                <w:szCs w:val="20"/>
              </w:rPr>
            </w:pPr>
            <w:r w:rsidRPr="00C87517">
              <w:rPr>
                <w:color w:val="000000" w:themeColor="text1"/>
                <w:sz w:val="20"/>
                <w:szCs w:val="20"/>
              </w:rPr>
              <w:t>Total</w:t>
            </w:r>
          </w:p>
        </w:tc>
        <w:tc>
          <w:tcPr>
            <w:tcW w:w="114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C87517" w:rsidR="00077F89" w:rsidRDefault="00077F89" w14:paraId="0850A6EB" w14:textId="77777777">
            <w:pPr>
              <w:jc w:val="right"/>
              <w:rPr>
                <w:color w:val="000000" w:themeColor="text1"/>
                <w:sz w:val="20"/>
                <w:szCs w:val="20"/>
              </w:rPr>
            </w:pPr>
          </w:p>
        </w:tc>
        <w:tc>
          <w:tcPr>
            <w:tcW w:w="130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C87517" w:rsidR="00077F89" w:rsidRDefault="00077F89" w14:paraId="19203C85" w14:textId="77777777">
            <w:pPr>
              <w:jc w:val="right"/>
              <w:rPr>
                <w:color w:val="000000" w:themeColor="text1"/>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C87517" w:rsidR="00077F89" w:rsidRDefault="00077F89" w14:paraId="04BE882C" w14:textId="77777777">
            <w:pPr>
              <w:jc w:val="right"/>
              <w:rPr>
                <w:color w:val="000000" w:themeColor="text1"/>
                <w:sz w:val="20"/>
                <w:szCs w:val="20"/>
              </w:rPr>
            </w:pPr>
            <w:r w:rsidRPr="00C87517">
              <w:rPr>
                <w:noProof/>
                <w:color w:val="000000" w:themeColor="text1"/>
                <w:sz w:val="20"/>
                <w:szCs w:val="20"/>
              </w:rPr>
              <w:t>6,901</w:t>
            </w:r>
          </w:p>
        </w:tc>
        <w:tc>
          <w:tcPr>
            <w:tcW w:w="1063"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C87517" w:rsidR="00077F89" w:rsidRDefault="00077F89" w14:paraId="1C7AA8E6" w14:textId="77777777">
            <w:pPr>
              <w:spacing w:line="480" w:lineRule="auto"/>
              <w:jc w:val="right"/>
              <w:rPr>
                <w:color w:val="000000" w:themeColor="text1"/>
                <w:sz w:val="20"/>
                <w:szCs w:val="20"/>
              </w:rPr>
            </w:pP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C87517" w:rsidR="00077F89" w:rsidRDefault="00077F89" w14:paraId="28AE39C7" w14:textId="77777777">
            <w:pPr>
              <w:spacing w:line="480" w:lineRule="auto"/>
              <w:jc w:val="right"/>
              <w:rPr>
                <w:color w:val="000000" w:themeColor="text1"/>
                <w:sz w:val="20"/>
                <w:szCs w:val="20"/>
              </w:rPr>
            </w:pPr>
            <w:r w:rsidRPr="00C87517">
              <w:rPr>
                <w:color w:val="000000" w:themeColor="text1"/>
                <w:sz w:val="20"/>
                <w:szCs w:val="20"/>
              </w:rPr>
              <w:t>116,356</w:t>
            </w:r>
          </w:p>
        </w:tc>
      </w:tr>
    </w:tbl>
    <w:p w:rsidRPr="001E32AF" w:rsidR="00077F89" w:rsidP="00077F89" w:rsidRDefault="00077F89" w14:paraId="6200C050" w14:textId="77777777">
      <w:pPr>
        <w:rPr>
          <w:color w:val="auto"/>
          <w:sz w:val="20"/>
          <w:szCs w:val="20"/>
        </w:rPr>
      </w:pPr>
      <w:r w:rsidRPr="001E32AF">
        <w:rPr>
          <w:sz w:val="20"/>
          <w:szCs w:val="20"/>
          <w:vertAlign w:val="superscript"/>
        </w:rPr>
        <w:t xml:space="preserve">1 </w:t>
      </w:r>
      <w:r w:rsidRPr="001E32AF">
        <w:rPr>
          <w:sz w:val="20"/>
          <w:szCs w:val="20"/>
        </w:rPr>
        <w:t>There are no capital costs or operating and maintenance costs associated with this collection of information.</w:t>
      </w:r>
    </w:p>
    <w:p w:rsidRPr="001E32AF" w:rsidR="00077F89" w:rsidP="00077F89" w:rsidRDefault="00077F89" w14:paraId="51DEAD01" w14:textId="77777777">
      <w:pPr>
        <w:rPr>
          <w:sz w:val="20"/>
          <w:szCs w:val="20"/>
        </w:rPr>
      </w:pPr>
      <w:r w:rsidRPr="001E32AF">
        <w:rPr>
          <w:sz w:val="20"/>
          <w:szCs w:val="20"/>
          <w:vertAlign w:val="superscript"/>
        </w:rPr>
        <w:t>2</w:t>
      </w:r>
      <w:r w:rsidRPr="001E32AF">
        <w:rPr>
          <w:sz w:val="20"/>
          <w:szCs w:val="20"/>
        </w:rPr>
        <w:t xml:space="preserve"> Data elements are reported in Forms FDA 1571 and 1572, approved under OMB control number 0910-0014.</w:t>
      </w:r>
    </w:p>
    <w:p w:rsidR="00077F89" w:rsidRDefault="00077F89" w14:paraId="2164A965" w14:textId="3745C0D6">
      <w:pPr>
        <w:spacing w:after="0" w:line="259" w:lineRule="auto"/>
        <w:ind w:left="0" w:right="0" w:firstLine="0"/>
      </w:pPr>
    </w:p>
    <w:p w:rsidR="00077F89" w:rsidRDefault="00077F89" w14:paraId="0A0397E1" w14:textId="77777777">
      <w:pPr>
        <w:spacing w:after="0" w:line="259" w:lineRule="auto"/>
        <w:ind w:left="0" w:right="0" w:firstLine="0"/>
      </w:pPr>
    </w:p>
    <w:p w:rsidR="00922550" w:rsidRDefault="00ED196A" w14:paraId="585DE9A7" w14:textId="5E5B3FC3">
      <w:pPr>
        <w:pStyle w:val="Heading1"/>
        <w:tabs>
          <w:tab w:val="center" w:pos="2583"/>
        </w:tabs>
        <w:ind w:left="-15" w:firstLine="0"/>
      </w:pPr>
      <w:r>
        <w:rPr>
          <w:i w:val="0"/>
        </w:rPr>
        <w:tab/>
      </w:r>
      <w:r>
        <w:t xml:space="preserve">12b. Annualized Cost Burden Estimate </w:t>
      </w:r>
    </w:p>
    <w:p w:rsidR="00922550" w:rsidRDefault="00ED196A" w14:paraId="25D982E3" w14:textId="77777777">
      <w:pPr>
        <w:spacing w:after="5" w:line="259" w:lineRule="auto"/>
        <w:ind w:left="0" w:right="0" w:firstLine="0"/>
      </w:pPr>
      <w:r>
        <w:t xml:space="preserve"> </w:t>
      </w:r>
    </w:p>
    <w:p w:rsidR="00922550" w:rsidRDefault="00ED196A" w14:paraId="247F026D" w14:textId="77777777">
      <w:pPr>
        <w:ind w:left="-5" w:right="0"/>
      </w:pPr>
      <w:r>
        <w:t xml:space="preserve"> </w:t>
      </w:r>
      <w:r>
        <w:tab/>
        <w:t xml:space="preserve">We assume industry labor costs by physicians using an hourly wage rate from U.S. Department of Labor, Bureau of Labor Statistics, as below: </w:t>
      </w:r>
    </w:p>
    <w:p w:rsidR="00922550" w:rsidRDefault="00ED196A" w14:paraId="378CDFC6" w14:textId="77777777">
      <w:pPr>
        <w:spacing w:after="0" w:line="259" w:lineRule="auto"/>
        <w:ind w:left="0" w:right="0" w:firstLine="0"/>
      </w:pPr>
      <w:r>
        <w:t xml:space="preserve"> </w:t>
      </w:r>
    </w:p>
    <w:tbl>
      <w:tblPr>
        <w:tblStyle w:val="TableGrid"/>
        <w:tblW w:w="9180" w:type="dxa"/>
        <w:tblInd w:w="0" w:type="dxa"/>
        <w:tblCellMar>
          <w:top w:w="58" w:type="dxa"/>
          <w:left w:w="107" w:type="dxa"/>
          <w:right w:w="115" w:type="dxa"/>
        </w:tblCellMar>
        <w:tblLook w:val="04A0" w:firstRow="1" w:lastRow="0" w:firstColumn="1" w:lastColumn="0" w:noHBand="0" w:noVBand="1"/>
      </w:tblPr>
      <w:tblGrid>
        <w:gridCol w:w="2853"/>
        <w:gridCol w:w="1783"/>
        <w:gridCol w:w="2365"/>
        <w:gridCol w:w="2179"/>
      </w:tblGrid>
      <w:tr w:rsidR="00922550" w14:paraId="64D69AC3" w14:textId="77777777">
        <w:trPr>
          <w:trHeight w:val="516"/>
        </w:trPr>
        <w:tc>
          <w:tcPr>
            <w:tcW w:w="2852" w:type="dxa"/>
            <w:tcBorders>
              <w:top w:val="single" w:color="000000" w:sz="4" w:space="0"/>
              <w:left w:val="single" w:color="000000" w:sz="4" w:space="0"/>
              <w:bottom w:val="single" w:color="000000" w:sz="4" w:space="0"/>
              <w:right w:val="single" w:color="000000" w:sz="4" w:space="0"/>
            </w:tcBorders>
          </w:tcPr>
          <w:p w:rsidR="00922550" w:rsidRDefault="00ED196A" w14:paraId="3271700B" w14:textId="77777777">
            <w:pPr>
              <w:spacing w:after="0" w:line="259" w:lineRule="auto"/>
              <w:ind w:left="1" w:right="0" w:firstLine="0"/>
            </w:pPr>
            <w:r>
              <w:rPr>
                <w:sz w:val="22"/>
              </w:rPr>
              <w:t xml:space="preserve">Type of Respondent </w:t>
            </w:r>
          </w:p>
        </w:tc>
        <w:tc>
          <w:tcPr>
            <w:tcW w:w="1783" w:type="dxa"/>
            <w:tcBorders>
              <w:top w:val="single" w:color="000000" w:sz="4" w:space="0"/>
              <w:left w:val="single" w:color="000000" w:sz="4" w:space="0"/>
              <w:bottom w:val="single" w:color="000000" w:sz="4" w:space="0"/>
              <w:right w:val="single" w:color="000000" w:sz="4" w:space="0"/>
            </w:tcBorders>
          </w:tcPr>
          <w:p w:rsidR="00922550" w:rsidRDefault="00ED196A" w14:paraId="44E429EA" w14:textId="77777777">
            <w:pPr>
              <w:spacing w:after="0" w:line="259" w:lineRule="auto"/>
              <w:ind w:left="1" w:right="0" w:firstLine="0"/>
            </w:pPr>
            <w:r>
              <w:rPr>
                <w:sz w:val="22"/>
              </w:rPr>
              <w:t xml:space="preserve">Total Burden Hours </w:t>
            </w:r>
          </w:p>
        </w:tc>
        <w:tc>
          <w:tcPr>
            <w:tcW w:w="2365" w:type="dxa"/>
            <w:tcBorders>
              <w:top w:val="single" w:color="000000" w:sz="4" w:space="0"/>
              <w:left w:val="single" w:color="000000" w:sz="4" w:space="0"/>
              <w:bottom w:val="single" w:color="000000" w:sz="4" w:space="0"/>
              <w:right w:val="single" w:color="000000" w:sz="4" w:space="0"/>
            </w:tcBorders>
          </w:tcPr>
          <w:p w:rsidR="00922550" w:rsidRDefault="00ED196A" w14:paraId="0028E0A3" w14:textId="77777777">
            <w:pPr>
              <w:spacing w:after="0" w:line="259" w:lineRule="auto"/>
              <w:ind w:left="0" w:right="0" w:firstLine="0"/>
            </w:pPr>
            <w:r>
              <w:rPr>
                <w:sz w:val="22"/>
              </w:rPr>
              <w:t xml:space="preserve">Hourly Wage Rate </w:t>
            </w:r>
          </w:p>
        </w:tc>
        <w:tc>
          <w:tcPr>
            <w:tcW w:w="2179" w:type="dxa"/>
            <w:tcBorders>
              <w:top w:val="single" w:color="000000" w:sz="4" w:space="0"/>
              <w:left w:val="single" w:color="000000" w:sz="4" w:space="0"/>
              <w:bottom w:val="single" w:color="000000" w:sz="4" w:space="0"/>
              <w:right w:val="single" w:color="000000" w:sz="4" w:space="0"/>
            </w:tcBorders>
          </w:tcPr>
          <w:p w:rsidR="00922550" w:rsidRDefault="00ED196A" w14:paraId="3B3E6C89" w14:textId="77777777">
            <w:pPr>
              <w:spacing w:after="0" w:line="259" w:lineRule="auto"/>
              <w:ind w:left="1" w:right="0" w:firstLine="0"/>
            </w:pPr>
            <w:r>
              <w:rPr>
                <w:sz w:val="22"/>
              </w:rPr>
              <w:t xml:space="preserve">Total Respondent Costs </w:t>
            </w:r>
          </w:p>
        </w:tc>
      </w:tr>
      <w:tr w:rsidR="00922550" w14:paraId="494606D4" w14:textId="77777777">
        <w:trPr>
          <w:trHeight w:val="263"/>
        </w:trPr>
        <w:tc>
          <w:tcPr>
            <w:tcW w:w="2852" w:type="dxa"/>
            <w:tcBorders>
              <w:top w:val="single" w:color="000000" w:sz="4" w:space="0"/>
              <w:left w:val="single" w:color="000000" w:sz="4" w:space="0"/>
              <w:bottom w:val="single" w:color="000000" w:sz="4" w:space="0"/>
              <w:right w:val="single" w:color="000000" w:sz="4" w:space="0"/>
            </w:tcBorders>
          </w:tcPr>
          <w:p w:rsidR="00922550" w:rsidRDefault="00ED196A" w14:paraId="17FC0EA6" w14:textId="77777777">
            <w:pPr>
              <w:spacing w:after="0" w:line="259" w:lineRule="auto"/>
              <w:ind w:left="1" w:right="0" w:firstLine="0"/>
            </w:pPr>
            <w:r>
              <w:rPr>
                <w:sz w:val="22"/>
              </w:rPr>
              <w:t xml:space="preserve">Physicians </w:t>
            </w:r>
          </w:p>
        </w:tc>
        <w:tc>
          <w:tcPr>
            <w:tcW w:w="1783" w:type="dxa"/>
            <w:tcBorders>
              <w:top w:val="single" w:color="000000" w:sz="4" w:space="0"/>
              <w:left w:val="single" w:color="000000" w:sz="4" w:space="0"/>
              <w:bottom w:val="single" w:color="000000" w:sz="4" w:space="0"/>
              <w:right w:val="single" w:color="000000" w:sz="4" w:space="0"/>
            </w:tcBorders>
          </w:tcPr>
          <w:p w:rsidR="00922550" w:rsidP="002154E7" w:rsidRDefault="00F853EE" w14:paraId="3BCAA7AF" w14:textId="30E46E29">
            <w:pPr>
              <w:spacing w:after="0" w:line="259" w:lineRule="auto"/>
              <w:ind w:left="4" w:right="0" w:firstLine="0"/>
              <w:jc w:val="center"/>
            </w:pPr>
            <w:r>
              <w:rPr>
                <w:sz w:val="20"/>
                <w:szCs w:val="20"/>
              </w:rPr>
              <w:t>255,326</w:t>
            </w:r>
          </w:p>
        </w:tc>
        <w:tc>
          <w:tcPr>
            <w:tcW w:w="2365" w:type="dxa"/>
            <w:tcBorders>
              <w:top w:val="single" w:color="000000" w:sz="4" w:space="0"/>
              <w:left w:val="single" w:color="000000" w:sz="4" w:space="0"/>
              <w:bottom w:val="single" w:color="000000" w:sz="4" w:space="0"/>
              <w:right w:val="single" w:color="000000" w:sz="4" w:space="0"/>
            </w:tcBorders>
          </w:tcPr>
          <w:p w:rsidR="00922550" w:rsidRDefault="00ED196A" w14:paraId="688FB2F2" w14:textId="4C953C74">
            <w:pPr>
              <w:spacing w:after="0" w:line="259" w:lineRule="auto"/>
              <w:ind w:left="2" w:right="0" w:firstLine="0"/>
            </w:pPr>
            <w:r>
              <w:rPr>
                <w:sz w:val="22"/>
              </w:rPr>
              <w:t>$</w:t>
            </w:r>
            <w:r w:rsidR="00B04FC0">
              <w:rPr>
                <w:sz w:val="22"/>
              </w:rPr>
              <w:t>103.06</w:t>
            </w:r>
          </w:p>
        </w:tc>
        <w:tc>
          <w:tcPr>
            <w:tcW w:w="2179" w:type="dxa"/>
            <w:tcBorders>
              <w:top w:val="single" w:color="000000" w:sz="4" w:space="0"/>
              <w:left w:val="single" w:color="000000" w:sz="4" w:space="0"/>
              <w:bottom w:val="single" w:color="000000" w:sz="4" w:space="0"/>
              <w:right w:val="single" w:color="000000" w:sz="4" w:space="0"/>
            </w:tcBorders>
          </w:tcPr>
          <w:p w:rsidR="00922550" w:rsidRDefault="00B04FC0" w14:paraId="6BD0EDF7" w14:textId="4662F542">
            <w:pPr>
              <w:spacing w:after="0" w:line="259" w:lineRule="auto"/>
              <w:ind w:left="3" w:right="0" w:firstLine="0"/>
            </w:pPr>
            <w:r>
              <w:rPr>
                <w:sz w:val="22"/>
              </w:rPr>
              <w:t>$</w:t>
            </w:r>
            <w:r w:rsidR="00F853EE">
              <w:rPr>
                <w:sz w:val="22"/>
              </w:rPr>
              <w:t>26,313,89</w:t>
            </w:r>
            <w:r w:rsidR="00B64E6F">
              <w:rPr>
                <w:sz w:val="22"/>
              </w:rPr>
              <w:t>7.56</w:t>
            </w:r>
          </w:p>
        </w:tc>
      </w:tr>
    </w:tbl>
    <w:p w:rsidR="00922550" w:rsidRDefault="00ED196A" w14:paraId="1E80D4A6" w14:textId="77777777">
      <w:pPr>
        <w:spacing w:after="0" w:line="259" w:lineRule="auto"/>
        <w:ind w:left="0" w:right="0" w:firstLine="0"/>
      </w:pPr>
      <w:r>
        <w:t xml:space="preserve"> </w:t>
      </w:r>
    </w:p>
    <w:p w:rsidR="00922550" w:rsidRDefault="00ED196A" w14:paraId="4F6AB1C8" w14:textId="77777777">
      <w:pPr>
        <w:pStyle w:val="Heading2"/>
        <w:ind w:left="-5" w:right="0"/>
      </w:pPr>
      <w:r>
        <w:rPr>
          <w:u w:val="none"/>
        </w:rPr>
        <w:t xml:space="preserve">13.  </w:t>
      </w:r>
      <w:r>
        <w:t>Estimates of Other Total Annual Costs to Respondents and/or Recordkeepers/Capital</w:t>
      </w:r>
      <w:r>
        <w:rPr>
          <w:u w:val="none"/>
        </w:rPr>
        <w:t xml:space="preserve"> </w:t>
      </w:r>
      <w:r>
        <w:t>Costs</w:t>
      </w:r>
      <w:r>
        <w:rPr>
          <w:u w:val="none"/>
        </w:rPr>
        <w:t xml:space="preserve"> </w:t>
      </w:r>
    </w:p>
    <w:p w:rsidR="00922550" w:rsidRDefault="00ED196A" w14:paraId="4B331874" w14:textId="77777777">
      <w:pPr>
        <w:spacing w:after="0" w:line="259" w:lineRule="auto"/>
        <w:ind w:left="0" w:right="0" w:firstLine="0"/>
      </w:pPr>
      <w:r>
        <w:t xml:space="preserve"> </w:t>
      </w:r>
    </w:p>
    <w:p w:rsidR="00922550" w:rsidRDefault="00ED196A" w14:paraId="023DE8F8" w14:textId="77777777">
      <w:pPr>
        <w:ind w:left="-5" w:right="0"/>
      </w:pPr>
      <w:r>
        <w:t xml:space="preserve">There are no capital, start-up, operating, or maintenance costs associated with this information collection. </w:t>
      </w:r>
    </w:p>
    <w:p w:rsidR="00922550" w:rsidRDefault="00ED196A" w14:paraId="1C1F28DE" w14:textId="77777777">
      <w:pPr>
        <w:spacing w:after="0" w:line="259" w:lineRule="auto"/>
        <w:ind w:left="0" w:right="0" w:firstLine="0"/>
      </w:pPr>
      <w:r>
        <w:t xml:space="preserve"> </w:t>
      </w:r>
    </w:p>
    <w:p w:rsidR="00922550" w:rsidRDefault="00ED196A" w14:paraId="726F9E05" w14:textId="77777777">
      <w:pPr>
        <w:pStyle w:val="Heading2"/>
        <w:ind w:left="-5" w:right="0"/>
      </w:pPr>
      <w:r>
        <w:rPr>
          <w:u w:val="none"/>
        </w:rPr>
        <w:t xml:space="preserve">14.  </w:t>
      </w:r>
      <w:r>
        <w:t>Annualized Cost to the Federal Government</w:t>
      </w:r>
      <w:r>
        <w:rPr>
          <w:u w:val="none"/>
        </w:rPr>
        <w:t xml:space="preserve"> </w:t>
      </w:r>
    </w:p>
    <w:p w:rsidR="00922550" w:rsidRDefault="00ED196A" w14:paraId="3F0E20B3" w14:textId="77777777">
      <w:pPr>
        <w:spacing w:after="0" w:line="259" w:lineRule="auto"/>
        <w:ind w:left="0" w:right="0" w:firstLine="0"/>
      </w:pPr>
      <w:r>
        <w:t xml:space="preserve"> </w:t>
      </w:r>
    </w:p>
    <w:p w:rsidR="00922550" w:rsidRDefault="0051485C" w14:paraId="1C0948AC" w14:textId="585FCEE7">
      <w:pPr>
        <w:ind w:left="-5" w:right="0"/>
      </w:pPr>
      <w:r>
        <w:t xml:space="preserve">Review, processing, and responding to applications requires scientific expertise across various disciplines.  Our estimate is based on the submissions we have received since establishing the information collection and the number of burden hours allotted for review of expanded access submissions.  FDA estimates that 67.4 FTEs are required.  Where the cost of each FTE is approximately $175,000 (fully-loaded), the total cost burden to the Federal Government is estimated at $11,795,000. </w:t>
      </w:r>
    </w:p>
    <w:p w:rsidR="00922550" w:rsidRDefault="00ED196A" w14:paraId="2B35B990" w14:textId="77777777">
      <w:pPr>
        <w:spacing w:after="0" w:line="259" w:lineRule="auto"/>
        <w:ind w:left="0" w:right="0" w:firstLine="0"/>
      </w:pPr>
      <w:r>
        <w:t xml:space="preserve"> </w:t>
      </w:r>
    </w:p>
    <w:p w:rsidR="00922550" w:rsidRDefault="00ED196A" w14:paraId="471CA34D" w14:textId="77777777">
      <w:pPr>
        <w:pStyle w:val="Heading2"/>
        <w:ind w:left="-5" w:right="0"/>
      </w:pPr>
      <w:r>
        <w:rPr>
          <w:u w:val="none"/>
        </w:rPr>
        <w:t xml:space="preserve">15.  </w:t>
      </w:r>
      <w:r>
        <w:t>Explanation for Program Changes or Adjustments</w:t>
      </w:r>
      <w:r>
        <w:rPr>
          <w:u w:val="none"/>
        </w:rPr>
        <w:t xml:space="preserve"> </w:t>
      </w:r>
    </w:p>
    <w:p w:rsidR="00922550" w:rsidRDefault="00ED196A" w14:paraId="30B1A095" w14:textId="77777777">
      <w:pPr>
        <w:spacing w:after="0" w:line="259" w:lineRule="auto"/>
        <w:ind w:left="0" w:right="0" w:firstLine="0"/>
      </w:pPr>
      <w:r>
        <w:t xml:space="preserve"> </w:t>
      </w:r>
    </w:p>
    <w:p w:rsidR="00922550" w:rsidRDefault="00ED196A" w14:paraId="296A4547" w14:textId="0314FA70">
      <w:pPr>
        <w:ind w:left="-5" w:right="0"/>
      </w:pPr>
      <w:r>
        <w:t>We have made no program changes</w:t>
      </w:r>
      <w:r w:rsidR="0051485C">
        <w:t>, however</w:t>
      </w:r>
      <w:r w:rsidR="003B2D42">
        <w:t>, on our own initiative, and for efficiency Agency operations,</w:t>
      </w:r>
      <w:r w:rsidR="001E32AF">
        <w:t xml:space="preserve"> </w:t>
      </w:r>
      <w:r w:rsidR="0051485C">
        <w:t xml:space="preserve">we </w:t>
      </w:r>
      <w:r w:rsidR="008836A8">
        <w:t xml:space="preserve">are </w:t>
      </w:r>
      <w:r w:rsidR="00B371FC">
        <w:t>revising</w:t>
      </w:r>
      <w:r w:rsidR="0051485C">
        <w:t xml:space="preserve"> </w:t>
      </w:r>
      <w:r>
        <w:t>the information collection</w:t>
      </w:r>
      <w:r w:rsidR="0051485C">
        <w:t xml:space="preserve"> to consolidate all of the expanded access programs </w:t>
      </w:r>
      <w:r w:rsidR="00B0270E">
        <w:t>from 0910-0014</w:t>
      </w:r>
      <w:r w:rsidR="006F5DAA">
        <w:t xml:space="preserve"> into 0910-0814. </w:t>
      </w:r>
      <w:r w:rsidR="006A45D7">
        <w:t xml:space="preserve">The change of the reported burden in OMB Control No. 0910-0014 will be adjusted as appropriate. </w:t>
      </w:r>
      <w:r w:rsidR="003A72FC">
        <w:rPr>
          <w:szCs w:val="24"/>
        </w:rPr>
        <w:t xml:space="preserve">The information collection reflects an increase in </w:t>
      </w:r>
      <w:r w:rsidR="003A72FC">
        <w:rPr>
          <w:szCs w:val="24"/>
        </w:rPr>
        <w:t>253,530</w:t>
      </w:r>
      <w:r w:rsidR="003A72FC">
        <w:rPr>
          <w:szCs w:val="24"/>
        </w:rPr>
        <w:t xml:space="preserve"> burden hours and 11,</w:t>
      </w:r>
      <w:r w:rsidR="003A72FC">
        <w:rPr>
          <w:szCs w:val="24"/>
        </w:rPr>
        <w:t>516</w:t>
      </w:r>
      <w:r w:rsidR="003A72FC">
        <w:rPr>
          <w:szCs w:val="24"/>
        </w:rPr>
        <w:t xml:space="preserve"> responses annually</w:t>
      </w:r>
      <w:r w:rsidR="00613EB1">
        <w:rPr>
          <w:szCs w:val="24"/>
        </w:rPr>
        <w:t>.</w:t>
      </w:r>
    </w:p>
    <w:p w:rsidR="004D0432" w:rsidRDefault="004D0432" w14:paraId="39953CCF" w14:textId="77777777">
      <w:pPr>
        <w:ind w:left="-5" w:right="0"/>
      </w:pPr>
    </w:p>
    <w:p w:rsidRPr="00077F89" w:rsidR="00922550" w:rsidP="001770A8" w:rsidRDefault="00ED196A" w14:paraId="61FBE146" w14:textId="77777777">
      <w:pPr>
        <w:spacing w:after="0" w:line="259" w:lineRule="auto"/>
        <w:ind w:left="0" w:right="0" w:firstLine="0"/>
      </w:pPr>
      <w:r>
        <w:lastRenderedPageBreak/>
        <w:t xml:space="preserve">16.  </w:t>
      </w:r>
      <w:r w:rsidRPr="001770A8">
        <w:rPr>
          <w:u w:val="single"/>
        </w:rPr>
        <w:t xml:space="preserve">Plans for Tabulation and Publication and Project Time Schedule </w:t>
      </w:r>
    </w:p>
    <w:p w:rsidR="00922550" w:rsidRDefault="00ED196A" w14:paraId="16FE2A00" w14:textId="0D24564F">
      <w:pPr>
        <w:spacing w:after="18" w:line="259" w:lineRule="auto"/>
        <w:ind w:left="0" w:right="0" w:firstLine="0"/>
      </w:pPr>
      <w:r>
        <w:t xml:space="preserve"> </w:t>
      </w:r>
    </w:p>
    <w:p w:rsidR="00922550" w:rsidP="00D213B8" w:rsidRDefault="005A5E40" w14:paraId="2F9E073C" w14:textId="54BF2905">
      <w:pPr>
        <w:spacing w:after="18" w:line="259" w:lineRule="auto"/>
        <w:ind w:left="0" w:right="0" w:firstLine="0"/>
      </w:pPr>
      <w:r>
        <w:t>There is no plan to tabulate or publish data from this information collection.</w:t>
      </w:r>
      <w:r w:rsidR="00ED196A">
        <w:t xml:space="preserve"> </w:t>
      </w:r>
    </w:p>
    <w:p w:rsidR="00922550" w:rsidRDefault="00ED196A" w14:paraId="5C885C57" w14:textId="77777777">
      <w:pPr>
        <w:spacing w:after="0" w:line="259" w:lineRule="auto"/>
        <w:ind w:left="0" w:right="0" w:firstLine="0"/>
      </w:pPr>
      <w:r>
        <w:t xml:space="preserve"> </w:t>
      </w:r>
    </w:p>
    <w:p w:rsidR="00922550" w:rsidRDefault="00ED196A" w14:paraId="764B63BF" w14:textId="77777777">
      <w:pPr>
        <w:pStyle w:val="Heading2"/>
        <w:ind w:left="-5" w:right="0"/>
      </w:pPr>
      <w:r>
        <w:rPr>
          <w:u w:val="none"/>
        </w:rPr>
        <w:t xml:space="preserve">17.  </w:t>
      </w:r>
      <w:r>
        <w:t>Reason(s) Display of OMB Expiration Date is Inappropriate</w:t>
      </w:r>
      <w:r>
        <w:rPr>
          <w:u w:val="none"/>
        </w:rPr>
        <w:t xml:space="preserve"> </w:t>
      </w:r>
    </w:p>
    <w:p w:rsidR="00922550" w:rsidRDefault="00ED196A" w14:paraId="453E970A" w14:textId="77777777">
      <w:pPr>
        <w:spacing w:after="0" w:line="259" w:lineRule="auto"/>
        <w:ind w:left="0" w:right="0" w:firstLine="0"/>
      </w:pPr>
      <w:r>
        <w:t xml:space="preserve"> </w:t>
      </w:r>
    </w:p>
    <w:p w:rsidR="00922550" w:rsidP="001770A8" w:rsidRDefault="00ED196A" w14:paraId="0D352FD4" w14:textId="4610DB72">
      <w:pPr>
        <w:pStyle w:val="NormalWeb"/>
        <w:kinsoku w:val="0"/>
        <w:overflowPunct w:val="0"/>
        <w:spacing w:after="0"/>
        <w:textAlignment w:val="baseline"/>
      </w:pPr>
      <w:r>
        <w:t>Display of the OMB expiration date is appropriate and included on</w:t>
      </w:r>
      <w:r w:rsidR="001F6B8F">
        <w:t xml:space="preserve"> </w:t>
      </w:r>
      <w:r w:rsidRPr="001F6B8F">
        <w:t>Form FDA 3</w:t>
      </w:r>
      <w:r w:rsidRPr="001F6B8F" w:rsidR="00AA7B2F">
        <w:t>926</w:t>
      </w:r>
      <w:r w:rsidRPr="001F6B8F">
        <w:t xml:space="preserve">. </w:t>
      </w:r>
      <w:r w:rsidRPr="00C6797B" w:rsidR="001F6B8F">
        <w:rPr>
          <w:rFonts w:eastAsia="+mn-ea" w:cs="Calibri"/>
          <w:kern w:val="24"/>
        </w:rPr>
        <w:t>Consistent with established practice</w:t>
      </w:r>
      <w:r w:rsidR="001F6B8F">
        <w:rPr>
          <w:rFonts w:eastAsia="+mn-ea" w:cs="Calibri"/>
          <w:kern w:val="24"/>
        </w:rPr>
        <w:t>,</w:t>
      </w:r>
      <w:r w:rsidRPr="001F6B8F" w:rsidR="001F6B8F">
        <w:rPr>
          <w:rFonts w:eastAsia="+mn-ea" w:cs="Calibri"/>
          <w:kern w:val="24"/>
          <w:sz w:val="40"/>
          <w:szCs w:val="40"/>
        </w:rPr>
        <w:t xml:space="preserve"> </w:t>
      </w:r>
      <w:r w:rsidRPr="00C6797B" w:rsidR="001F6B8F">
        <w:rPr>
          <w:rFonts w:eastAsia="+mn-ea" w:cs="Calibri"/>
          <w:kern w:val="24"/>
        </w:rPr>
        <w:t xml:space="preserve">FDA will publish a </w:t>
      </w:r>
      <w:r w:rsidRPr="00C6797B" w:rsidR="001F6B8F">
        <w:rPr>
          <w:rFonts w:eastAsia="+mn-ea" w:cs="Calibri"/>
          <w:i/>
          <w:iCs/>
          <w:kern w:val="24"/>
        </w:rPr>
        <w:t>Federal Register</w:t>
      </w:r>
      <w:r w:rsidRPr="00C6797B" w:rsidR="001F6B8F">
        <w:rPr>
          <w:rFonts w:eastAsia="+mn-ea" w:cs="Calibri"/>
          <w:kern w:val="24"/>
        </w:rPr>
        <w:t xml:space="preserve"> notice announcing OMB approval of the information collection associated with</w:t>
      </w:r>
      <w:r w:rsidR="001F6B8F">
        <w:rPr>
          <w:rFonts w:eastAsia="+mn-ea" w:cs="Calibri"/>
          <w:kern w:val="24"/>
        </w:rPr>
        <w:t xml:space="preserve"> all </w:t>
      </w:r>
      <w:r w:rsidRPr="00C6797B" w:rsidR="001F6B8F">
        <w:rPr>
          <w:rFonts w:eastAsia="+mn-ea" w:cs="Calibri"/>
          <w:kern w:val="24"/>
        </w:rPr>
        <w:t>guidance document</w:t>
      </w:r>
      <w:r w:rsidR="001F6B8F">
        <w:rPr>
          <w:rFonts w:eastAsia="+mn-ea" w:cs="Calibri"/>
          <w:kern w:val="24"/>
        </w:rPr>
        <w:t>s</w:t>
      </w:r>
      <w:r w:rsidRPr="00C6797B" w:rsidR="001F6B8F">
        <w:rPr>
          <w:rFonts w:eastAsia="+mn-ea" w:cs="Calibri"/>
          <w:kern w:val="24"/>
        </w:rPr>
        <w:t xml:space="preserve"> and will display in that notice both the OMB control number and </w:t>
      </w:r>
      <w:r w:rsidR="001F6B8F">
        <w:rPr>
          <w:rFonts w:eastAsia="+mn-ea" w:cs="Calibri"/>
          <w:kern w:val="24"/>
        </w:rPr>
        <w:t xml:space="preserve">the </w:t>
      </w:r>
      <w:r w:rsidRPr="00C6797B" w:rsidR="001F6B8F">
        <w:rPr>
          <w:rFonts w:eastAsia="+mn-ea" w:cs="Calibri"/>
          <w:kern w:val="24"/>
        </w:rPr>
        <w:t xml:space="preserve">current expiration date. </w:t>
      </w:r>
      <w:r w:rsidR="001F6B8F">
        <w:rPr>
          <w:rFonts w:eastAsia="+mn-ea" w:cs="Calibri"/>
          <w:kern w:val="24"/>
        </w:rPr>
        <w:t xml:space="preserve"> </w:t>
      </w:r>
      <w:r w:rsidRPr="00C6797B" w:rsidR="001F6B8F">
        <w:rPr>
          <w:rFonts w:eastAsia="+mn-ea" w:cs="Calibri"/>
          <w:kern w:val="24"/>
        </w:rPr>
        <w:t xml:space="preserve">In addition, the OMB control number will be displayed on the guidance document cover page and include a link to </w:t>
      </w:r>
      <w:hyperlink w:history="1" r:id="rId9">
        <w:r w:rsidRPr="00C6797B" w:rsidR="001F6B8F">
          <w:rPr>
            <w:rFonts w:eastAsia="+mn-ea" w:cs="Calibri"/>
            <w:kern w:val="24"/>
            <w:u w:val="single"/>
          </w:rPr>
          <w:t>www.reginfo.gov</w:t>
        </w:r>
      </w:hyperlink>
      <w:r w:rsidRPr="00C6797B" w:rsidR="001F6B8F">
        <w:rPr>
          <w:rFonts w:eastAsia="+mn-ea" w:cs="Calibri"/>
          <w:kern w:val="24"/>
        </w:rPr>
        <w:t xml:space="preserve"> to identify the current expiration date.</w:t>
      </w:r>
    </w:p>
    <w:p w:rsidR="00922550" w:rsidRDefault="00ED196A" w14:paraId="4C789FA6" w14:textId="77777777">
      <w:pPr>
        <w:spacing w:after="0" w:line="259" w:lineRule="auto"/>
        <w:ind w:left="0" w:right="0" w:firstLine="0"/>
      </w:pPr>
      <w:r>
        <w:t xml:space="preserve"> </w:t>
      </w:r>
    </w:p>
    <w:p w:rsidR="00922550" w:rsidRDefault="00ED196A" w14:paraId="4A916FA8" w14:textId="77777777">
      <w:pPr>
        <w:pStyle w:val="Heading2"/>
        <w:ind w:left="-5" w:right="0"/>
      </w:pPr>
      <w:r>
        <w:rPr>
          <w:u w:val="none"/>
        </w:rPr>
        <w:t xml:space="preserve">18.  </w:t>
      </w:r>
      <w:r>
        <w:t>Exceptions to Certification for Paperwork Reduction Act Submissions</w:t>
      </w:r>
      <w:r>
        <w:rPr>
          <w:u w:val="none"/>
        </w:rPr>
        <w:t xml:space="preserve"> </w:t>
      </w:r>
    </w:p>
    <w:p w:rsidR="00922550" w:rsidRDefault="00ED196A" w14:paraId="48755D64" w14:textId="77777777">
      <w:pPr>
        <w:spacing w:after="0" w:line="259" w:lineRule="auto"/>
        <w:ind w:left="0" w:right="0" w:firstLine="0"/>
      </w:pPr>
      <w:r>
        <w:t xml:space="preserve"> </w:t>
      </w:r>
    </w:p>
    <w:p w:rsidR="00922550" w:rsidRDefault="00ED196A" w14:paraId="598CAB9B" w14:textId="77777777">
      <w:pPr>
        <w:ind w:left="-5" w:right="0"/>
      </w:pPr>
      <w:r>
        <w:t xml:space="preserve">There are no exceptions to the certification. </w:t>
      </w:r>
    </w:p>
    <w:sectPr w:rsidR="00922550">
      <w:headerReference w:type="even" r:id="rId10"/>
      <w:headerReference w:type="default" r:id="rId11"/>
      <w:headerReference w:type="first" r:id="rId12"/>
      <w:footnotePr>
        <w:numRestart w:val="eachPage"/>
      </w:footnotePr>
      <w:pgSz w:w="12240" w:h="15840"/>
      <w:pgMar w:top="1642" w:right="1727" w:bottom="15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B5CA" w14:textId="77777777" w:rsidR="00612685" w:rsidRDefault="00612685">
      <w:pPr>
        <w:spacing w:after="0" w:line="240" w:lineRule="auto"/>
      </w:pPr>
      <w:r>
        <w:separator/>
      </w:r>
    </w:p>
  </w:endnote>
  <w:endnote w:type="continuationSeparator" w:id="0">
    <w:p w14:paraId="2A7F34D4" w14:textId="77777777" w:rsidR="00612685" w:rsidRDefault="0061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F0A6" w14:textId="77777777" w:rsidR="00612685" w:rsidRDefault="00612685">
      <w:pPr>
        <w:spacing w:after="0" w:line="275" w:lineRule="auto"/>
        <w:ind w:left="0" w:right="0" w:firstLine="0"/>
      </w:pPr>
      <w:r>
        <w:separator/>
      </w:r>
    </w:p>
  </w:footnote>
  <w:footnote w:type="continuationSeparator" w:id="0">
    <w:p w14:paraId="71F4781C" w14:textId="77777777" w:rsidR="00612685" w:rsidRDefault="00612685">
      <w:pPr>
        <w:spacing w:after="0" w:line="275" w:lineRule="auto"/>
        <w:ind w:left="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EB54" w14:textId="77777777" w:rsidR="00922550" w:rsidRDefault="00ED196A">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18C6EF47" w14:textId="77777777" w:rsidR="00922550" w:rsidRDefault="00ED196A">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9F9F" w14:textId="77777777" w:rsidR="00922550" w:rsidRDefault="00ED196A">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3B5340A6" w14:textId="77777777" w:rsidR="00922550" w:rsidRDefault="00ED196A">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EDC3" w14:textId="0F94A5E9" w:rsidR="00922550" w:rsidRDefault="0092255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410"/>
    <w:multiLevelType w:val="hybridMultilevel"/>
    <w:tmpl w:val="54C6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8D2BA1"/>
    <w:multiLevelType w:val="hybridMultilevel"/>
    <w:tmpl w:val="CA720B20"/>
    <w:lvl w:ilvl="0" w:tplc="9704E612">
      <w:start w:val="1"/>
      <w:numFmt w:val="decimal"/>
      <w:lvlText w:val="%1."/>
      <w:lvlJc w:val="left"/>
      <w:pPr>
        <w:ind w:left="1080" w:hanging="360"/>
      </w:pPr>
      <w:rPr>
        <w:rFonts w:eastAsiaTheme="majorEastAsia" w:hint="default"/>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1852FB"/>
    <w:multiLevelType w:val="hybridMultilevel"/>
    <w:tmpl w:val="4E5EEB22"/>
    <w:lvl w:ilvl="0" w:tplc="231AFB46">
      <w:start w:val="11"/>
      <w:numFmt w:val="decimal"/>
      <w:lvlText w:val="%1."/>
      <w:lvlJc w:val="left"/>
      <w:pPr>
        <w:ind w:left="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09C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AB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C9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610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E6D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EA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A1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689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50"/>
    <w:rsid w:val="0006339D"/>
    <w:rsid w:val="00077F89"/>
    <w:rsid w:val="000A14B7"/>
    <w:rsid w:val="001338A0"/>
    <w:rsid w:val="001770A8"/>
    <w:rsid w:val="00177CA0"/>
    <w:rsid w:val="001E32AF"/>
    <w:rsid w:val="001E7E72"/>
    <w:rsid w:val="001F32DA"/>
    <w:rsid w:val="001F6B8F"/>
    <w:rsid w:val="002154E7"/>
    <w:rsid w:val="00226F8C"/>
    <w:rsid w:val="002277A9"/>
    <w:rsid w:val="0027603D"/>
    <w:rsid w:val="002A1A20"/>
    <w:rsid w:val="002F2AA2"/>
    <w:rsid w:val="00302FBA"/>
    <w:rsid w:val="00350204"/>
    <w:rsid w:val="003570D1"/>
    <w:rsid w:val="00385F4D"/>
    <w:rsid w:val="003A72FC"/>
    <w:rsid w:val="003B2D42"/>
    <w:rsid w:val="003E4FBD"/>
    <w:rsid w:val="003E6EBB"/>
    <w:rsid w:val="003F7107"/>
    <w:rsid w:val="004326D3"/>
    <w:rsid w:val="00472EDE"/>
    <w:rsid w:val="00486968"/>
    <w:rsid w:val="004D0432"/>
    <w:rsid w:val="0051485C"/>
    <w:rsid w:val="005549A8"/>
    <w:rsid w:val="00554E24"/>
    <w:rsid w:val="00570C38"/>
    <w:rsid w:val="00584AD2"/>
    <w:rsid w:val="005A4444"/>
    <w:rsid w:val="005A5E40"/>
    <w:rsid w:val="005F179A"/>
    <w:rsid w:val="005F45A2"/>
    <w:rsid w:val="00612685"/>
    <w:rsid w:val="00613EB1"/>
    <w:rsid w:val="006713E3"/>
    <w:rsid w:val="00673D74"/>
    <w:rsid w:val="00677065"/>
    <w:rsid w:val="006A45D7"/>
    <w:rsid w:val="006B000C"/>
    <w:rsid w:val="006E0D1D"/>
    <w:rsid w:val="006F5DAA"/>
    <w:rsid w:val="00764BAC"/>
    <w:rsid w:val="007B6055"/>
    <w:rsid w:val="007C6668"/>
    <w:rsid w:val="007E5831"/>
    <w:rsid w:val="008213D2"/>
    <w:rsid w:val="0085773D"/>
    <w:rsid w:val="008836A8"/>
    <w:rsid w:val="008A3800"/>
    <w:rsid w:val="008A4EF3"/>
    <w:rsid w:val="008B0A1F"/>
    <w:rsid w:val="008D27AE"/>
    <w:rsid w:val="00922550"/>
    <w:rsid w:val="009569BD"/>
    <w:rsid w:val="009973E2"/>
    <w:rsid w:val="009B0A12"/>
    <w:rsid w:val="00A460E1"/>
    <w:rsid w:val="00A6209E"/>
    <w:rsid w:val="00A81CCE"/>
    <w:rsid w:val="00A96EE1"/>
    <w:rsid w:val="00AA0B33"/>
    <w:rsid w:val="00AA7B2F"/>
    <w:rsid w:val="00B0270E"/>
    <w:rsid w:val="00B04FC0"/>
    <w:rsid w:val="00B1239B"/>
    <w:rsid w:val="00B347BC"/>
    <w:rsid w:val="00B371FC"/>
    <w:rsid w:val="00B441B1"/>
    <w:rsid w:val="00B4577D"/>
    <w:rsid w:val="00B64E6F"/>
    <w:rsid w:val="00B71DCD"/>
    <w:rsid w:val="00B90EEE"/>
    <w:rsid w:val="00B94E8E"/>
    <w:rsid w:val="00BC484E"/>
    <w:rsid w:val="00BF7DDB"/>
    <w:rsid w:val="00C311A4"/>
    <w:rsid w:val="00C366C1"/>
    <w:rsid w:val="00C637D6"/>
    <w:rsid w:val="00C6797B"/>
    <w:rsid w:val="00C87517"/>
    <w:rsid w:val="00CC69E4"/>
    <w:rsid w:val="00CD61B9"/>
    <w:rsid w:val="00CE1F70"/>
    <w:rsid w:val="00CF13CA"/>
    <w:rsid w:val="00D213B8"/>
    <w:rsid w:val="00D534A0"/>
    <w:rsid w:val="00D54656"/>
    <w:rsid w:val="00D574E3"/>
    <w:rsid w:val="00DB0147"/>
    <w:rsid w:val="00E2303C"/>
    <w:rsid w:val="00E35FEA"/>
    <w:rsid w:val="00E72B71"/>
    <w:rsid w:val="00E94E77"/>
    <w:rsid w:val="00ED196A"/>
    <w:rsid w:val="00ED2FFC"/>
    <w:rsid w:val="00ED5F59"/>
    <w:rsid w:val="00F12059"/>
    <w:rsid w:val="00F50FAD"/>
    <w:rsid w:val="00F853EE"/>
    <w:rsid w:val="00FA2D3F"/>
    <w:rsid w:val="00FA6FD3"/>
    <w:rsid w:val="00FD14A0"/>
    <w:rsid w:val="00FD313E"/>
    <w:rsid w:val="00FD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56DF"/>
  <w15:docId w15:val="{6349C676-B1E2-4451-838B-FAAB41CA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i/>
      <w:color w:val="000000"/>
      <w:sz w:val="24"/>
    </w:rPr>
  </w:style>
  <w:style w:type="paragraph" w:styleId="Heading2">
    <w:name w:val="heading 2"/>
    <w:next w:val="Normal"/>
    <w:link w:val="Heading2Char"/>
    <w:uiPriority w:val="9"/>
    <w:unhideWhenUsed/>
    <w:qFormat/>
    <w:pPr>
      <w:keepNext/>
      <w:keepLines/>
      <w:spacing w:after="10" w:line="249" w:lineRule="auto"/>
      <w:ind w:left="10" w:right="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75"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E6EBB"/>
    <w:rPr>
      <w:sz w:val="16"/>
      <w:szCs w:val="16"/>
    </w:rPr>
  </w:style>
  <w:style w:type="paragraph" w:styleId="CommentText">
    <w:name w:val="annotation text"/>
    <w:basedOn w:val="Normal"/>
    <w:link w:val="CommentTextChar"/>
    <w:uiPriority w:val="99"/>
    <w:semiHidden/>
    <w:unhideWhenUsed/>
    <w:rsid w:val="003E6EBB"/>
    <w:pPr>
      <w:spacing w:line="240" w:lineRule="auto"/>
    </w:pPr>
    <w:rPr>
      <w:sz w:val="20"/>
      <w:szCs w:val="20"/>
    </w:rPr>
  </w:style>
  <w:style w:type="character" w:customStyle="1" w:styleId="CommentTextChar">
    <w:name w:val="Comment Text Char"/>
    <w:basedOn w:val="DefaultParagraphFont"/>
    <w:link w:val="CommentText"/>
    <w:uiPriority w:val="99"/>
    <w:semiHidden/>
    <w:rsid w:val="003E6EB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E6EBB"/>
    <w:rPr>
      <w:b/>
      <w:bCs/>
    </w:rPr>
  </w:style>
  <w:style w:type="character" w:customStyle="1" w:styleId="CommentSubjectChar">
    <w:name w:val="Comment Subject Char"/>
    <w:basedOn w:val="CommentTextChar"/>
    <w:link w:val="CommentSubject"/>
    <w:uiPriority w:val="99"/>
    <w:semiHidden/>
    <w:rsid w:val="003E6EBB"/>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3E6EBB"/>
    <w:rPr>
      <w:color w:val="0000FF"/>
      <w:u w:val="single"/>
    </w:rPr>
  </w:style>
  <w:style w:type="character" w:styleId="UnresolvedMention">
    <w:name w:val="Unresolved Mention"/>
    <w:basedOn w:val="DefaultParagraphFont"/>
    <w:uiPriority w:val="99"/>
    <w:semiHidden/>
    <w:unhideWhenUsed/>
    <w:rsid w:val="00673D74"/>
    <w:rPr>
      <w:color w:val="605E5C"/>
      <w:shd w:val="clear" w:color="auto" w:fill="E1DFDD"/>
    </w:rPr>
  </w:style>
  <w:style w:type="paragraph" w:styleId="ListParagraph">
    <w:name w:val="List Paragraph"/>
    <w:basedOn w:val="Normal"/>
    <w:uiPriority w:val="34"/>
    <w:qFormat/>
    <w:rsid w:val="006B000C"/>
    <w:pPr>
      <w:ind w:left="720"/>
      <w:contextualSpacing/>
    </w:pPr>
  </w:style>
  <w:style w:type="paragraph" w:styleId="NormalWeb">
    <w:name w:val="Normal (Web)"/>
    <w:basedOn w:val="Normal"/>
    <w:uiPriority w:val="99"/>
    <w:unhideWhenUsed/>
    <w:rsid w:val="001F6B8F"/>
    <w:rPr>
      <w:szCs w:val="24"/>
    </w:rPr>
  </w:style>
  <w:style w:type="paragraph" w:styleId="Footer">
    <w:name w:val="footer"/>
    <w:basedOn w:val="Normal"/>
    <w:link w:val="FooterChar"/>
    <w:uiPriority w:val="99"/>
    <w:unhideWhenUsed/>
    <w:rsid w:val="00BF7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DDB"/>
    <w:rPr>
      <w:rFonts w:ascii="Times New Roman" w:eastAsia="Times New Roman" w:hAnsi="Times New Roman" w:cs="Times New Roman"/>
      <w:color w:val="000000"/>
      <w:sz w:val="24"/>
    </w:rPr>
  </w:style>
  <w:style w:type="paragraph" w:styleId="NoSpacing">
    <w:name w:val="No Spacing"/>
    <w:basedOn w:val="Normal"/>
    <w:uiPriority w:val="1"/>
    <w:qFormat/>
    <w:rsid w:val="002F2AA2"/>
    <w:pPr>
      <w:spacing w:after="0" w:line="240" w:lineRule="auto"/>
      <w:ind w:left="0" w:right="0" w:firstLine="0"/>
    </w:pPr>
    <w:rPr>
      <w:rFonts w:ascii="Calibri" w:eastAsiaTheme="minorHAnsi" w:hAnsi="Calibri" w:cs="Calibri"/>
      <w:color w:val="auto"/>
      <w:sz w:val="22"/>
    </w:rPr>
  </w:style>
  <w:style w:type="character" w:styleId="FollowedHyperlink">
    <w:name w:val="FollowedHyperlink"/>
    <w:basedOn w:val="DefaultParagraphFont"/>
    <w:uiPriority w:val="99"/>
    <w:semiHidden/>
    <w:unhideWhenUsed/>
    <w:rsid w:val="00D21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22203">
      <w:bodyDiv w:val="1"/>
      <w:marLeft w:val="0"/>
      <w:marRight w:val="0"/>
      <w:marTop w:val="0"/>
      <w:marBottom w:val="0"/>
      <w:divBdr>
        <w:top w:val="none" w:sz="0" w:space="0" w:color="auto"/>
        <w:left w:val="none" w:sz="0" w:space="0" w:color="auto"/>
        <w:bottom w:val="none" w:sz="0" w:space="0" w:color="auto"/>
        <w:right w:val="none" w:sz="0" w:space="0" w:color="auto"/>
      </w:divBdr>
    </w:div>
    <w:div w:id="1024862378">
      <w:bodyDiv w:val="1"/>
      <w:marLeft w:val="0"/>
      <w:marRight w:val="0"/>
      <w:marTop w:val="0"/>
      <w:marBottom w:val="0"/>
      <w:divBdr>
        <w:top w:val="none" w:sz="0" w:space="0" w:color="auto"/>
        <w:left w:val="none" w:sz="0" w:space="0" w:color="auto"/>
        <w:bottom w:val="none" w:sz="0" w:space="0" w:color="auto"/>
        <w:right w:val="none" w:sz="0" w:space="0" w:color="auto"/>
      </w:divBdr>
    </w:div>
    <w:div w:id="1242956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da.gov/news-events/public-health-focus/expanded-acces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inf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7</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Microsoft Word - 0814 Exp Access SSA 2019 Ext Final.doc</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- 0814 Exp Access SSA 2019 Ext Final.doc</dc:title>
  <dc:subject/>
  <dc:creator>DHC</dc:creator>
  <cp:keywords/>
  <cp:lastModifiedBy>Sanford, Amber</cp:lastModifiedBy>
  <cp:revision>9</cp:revision>
  <dcterms:created xsi:type="dcterms:W3CDTF">2022-04-28T18:43:00Z</dcterms:created>
  <dcterms:modified xsi:type="dcterms:W3CDTF">2022-04-29T13:50:00Z</dcterms:modified>
</cp:coreProperties>
</file>