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3D9E" w:rsidR="00CC3D9E" w:rsidP="00CC3D9E" w:rsidRDefault="00CC3D9E" w14:paraId="7D394C9E" w14:textId="77777777">
      <w:pPr>
        <w:spacing w:line="276" w:lineRule="auto"/>
        <w:rPr>
          <w:rFonts w:eastAsia="MS Mincho"/>
          <w:b/>
        </w:rPr>
      </w:pPr>
      <w:bookmarkStart w:name="_GoBack" w:id="0"/>
      <w:bookmarkEnd w:id="0"/>
    </w:p>
    <w:p w:rsidRPr="00CC3D9E" w:rsidR="00CC3D9E" w:rsidP="00CC3D9E" w:rsidRDefault="00CC3D9E" w14:paraId="1A3D37EC" w14:textId="77777777">
      <w:pPr>
        <w:spacing w:line="276" w:lineRule="auto"/>
        <w:rPr>
          <w:rFonts w:eastAsia="MS Mincho"/>
          <w:b/>
        </w:rPr>
      </w:pPr>
    </w:p>
    <w:p w:rsidRPr="00CC3D9E" w:rsidR="00CC3D9E" w:rsidP="00CC3D9E" w:rsidRDefault="00CC3D9E" w14:paraId="39970937" w14:textId="77777777">
      <w:pPr>
        <w:spacing w:line="276" w:lineRule="auto"/>
        <w:rPr>
          <w:rFonts w:eastAsia="MS Mincho"/>
        </w:rPr>
      </w:pPr>
    </w:p>
    <w:p w:rsidRPr="00CC3D9E" w:rsidR="00CC3D9E" w:rsidP="00CC3D9E" w:rsidRDefault="00CC3D9E" w14:paraId="72494A76" w14:textId="77777777">
      <w:pPr>
        <w:spacing w:line="276" w:lineRule="auto"/>
        <w:jc w:val="center"/>
        <w:rPr>
          <w:rFonts w:eastAsia="MS Mincho"/>
          <w:b/>
        </w:rPr>
      </w:pPr>
    </w:p>
    <w:p w:rsidRPr="00CC3D9E" w:rsidR="00CC3D9E" w:rsidP="00CC3D9E" w:rsidRDefault="00CC3D9E" w14:paraId="00BA75A6" w14:textId="77777777">
      <w:pPr>
        <w:spacing w:line="276" w:lineRule="auto"/>
        <w:jc w:val="center"/>
        <w:rPr>
          <w:rFonts w:eastAsia="Calibri"/>
          <w:b/>
          <w:sz w:val="40"/>
          <w:szCs w:val="40"/>
        </w:rPr>
      </w:pPr>
      <w:r w:rsidRPr="00CC3D9E">
        <w:rPr>
          <w:rFonts w:eastAsia="Calibri"/>
          <w:b/>
          <w:sz w:val="40"/>
          <w:szCs w:val="40"/>
        </w:rPr>
        <w:t xml:space="preserve">Information Collection for Tuberculosis Data from Referring Entities to </w:t>
      </w:r>
      <w:proofErr w:type="spellStart"/>
      <w:r w:rsidRPr="00CC3D9E">
        <w:rPr>
          <w:rFonts w:eastAsia="Calibri"/>
          <w:b/>
          <w:sz w:val="40"/>
          <w:szCs w:val="40"/>
        </w:rPr>
        <w:t>CureTB</w:t>
      </w:r>
      <w:proofErr w:type="spellEnd"/>
    </w:p>
    <w:p w:rsidRPr="00CC3D9E" w:rsidR="00CC3D9E" w:rsidP="00CC3D9E" w:rsidRDefault="00CC3D9E" w14:paraId="0C40209F" w14:textId="77777777">
      <w:pPr>
        <w:spacing w:line="276" w:lineRule="auto"/>
        <w:jc w:val="center"/>
        <w:rPr>
          <w:rFonts w:eastAsia="Calibri"/>
          <w:b/>
        </w:rPr>
      </w:pPr>
    </w:p>
    <w:p w:rsidRPr="00CC3D9E" w:rsidR="00CC3D9E" w:rsidP="00CC3D9E" w:rsidRDefault="00CC3D9E" w14:paraId="133039E6" w14:textId="77777777">
      <w:pPr>
        <w:jc w:val="center"/>
        <w:outlineLvl w:val="2"/>
        <w:rPr>
          <w:rFonts w:eastAsia="Calibri"/>
          <w:sz w:val="32"/>
          <w:szCs w:val="32"/>
        </w:rPr>
      </w:pPr>
      <w:bookmarkStart w:name="_Toc473880016" w:id="1"/>
      <w:r w:rsidRPr="00CC3D9E">
        <w:rPr>
          <w:rFonts w:eastAsia="Calibri"/>
          <w:sz w:val="32"/>
          <w:szCs w:val="32"/>
        </w:rPr>
        <w:t>Request for OMB approval of a Revision Information Collection</w:t>
      </w:r>
      <w:bookmarkEnd w:id="1"/>
      <w:r w:rsidRPr="00CC3D9E">
        <w:rPr>
          <w:rFonts w:eastAsia="Calibri"/>
          <w:sz w:val="32"/>
          <w:szCs w:val="32"/>
        </w:rPr>
        <w:t xml:space="preserve"> (OMB Control No. 0920-1186)</w:t>
      </w:r>
    </w:p>
    <w:p w:rsidRPr="00CC3D9E" w:rsidR="00CC3D9E" w:rsidP="00CC3D9E" w:rsidRDefault="00CC3D9E" w14:paraId="3C29EC22" w14:textId="77777777">
      <w:pPr>
        <w:spacing w:line="276" w:lineRule="auto"/>
        <w:rPr>
          <w:rFonts w:eastAsia="MS Mincho"/>
          <w:b/>
        </w:rPr>
      </w:pPr>
    </w:p>
    <w:p w:rsidRPr="004D7B72" w:rsidR="00CC3D9E" w:rsidP="004D7B72" w:rsidRDefault="004D7B72" w14:paraId="53FC1660" w14:textId="7ED516EC">
      <w:pPr>
        <w:spacing w:after="200" w:line="276" w:lineRule="auto"/>
        <w:jc w:val="center"/>
        <w:rPr>
          <w:rFonts w:eastAsia="Calibri"/>
          <w:b/>
          <w:szCs w:val="22"/>
        </w:rPr>
      </w:pPr>
      <w:r w:rsidRPr="004D7B72">
        <w:rPr>
          <w:rFonts w:eastAsia="Calibri"/>
          <w:b/>
          <w:szCs w:val="22"/>
        </w:rPr>
        <w:t xml:space="preserve">May </w:t>
      </w:r>
      <w:r w:rsidR="005D4C46">
        <w:rPr>
          <w:rFonts w:eastAsia="Calibri"/>
          <w:b/>
          <w:szCs w:val="22"/>
        </w:rPr>
        <w:t>29</w:t>
      </w:r>
      <w:r w:rsidRPr="004D7B72">
        <w:rPr>
          <w:rFonts w:eastAsia="Calibri"/>
          <w:b/>
          <w:szCs w:val="22"/>
        </w:rPr>
        <w:t>, 2020</w:t>
      </w:r>
    </w:p>
    <w:p w:rsidRPr="00CC3D9E" w:rsidR="00CC3D9E" w:rsidP="00CC3D9E" w:rsidRDefault="00CC3D9E" w14:paraId="08F349B4" w14:textId="77777777">
      <w:pPr>
        <w:spacing w:after="200" w:line="276" w:lineRule="auto"/>
        <w:rPr>
          <w:rFonts w:eastAsia="Calibri"/>
          <w:szCs w:val="22"/>
        </w:rPr>
      </w:pPr>
    </w:p>
    <w:p w:rsidRPr="00CC3D9E" w:rsidR="00CC3D9E" w:rsidP="00CC3D9E" w:rsidRDefault="00CC3D9E" w14:paraId="785F3649" w14:textId="77777777">
      <w:pPr>
        <w:jc w:val="center"/>
        <w:rPr>
          <w:rFonts w:eastAsia="Calibri"/>
          <w:b/>
          <w:szCs w:val="22"/>
        </w:rPr>
      </w:pPr>
    </w:p>
    <w:p w:rsidRPr="00CC3D9E" w:rsidR="00CC3D9E" w:rsidP="00CC3D9E" w:rsidRDefault="00CC3D9E" w14:paraId="77B27BB0" w14:textId="140BE953">
      <w:pPr>
        <w:jc w:val="center"/>
        <w:outlineLvl w:val="3"/>
        <w:rPr>
          <w:rFonts w:eastAsia="Calibri"/>
          <w:b/>
          <w:szCs w:val="22"/>
        </w:rPr>
      </w:pPr>
      <w:r w:rsidRPr="00CC3D9E">
        <w:rPr>
          <w:rFonts w:eastAsia="Calibri"/>
          <w:b/>
          <w:szCs w:val="22"/>
        </w:rPr>
        <w:t xml:space="preserve">Supporting Statement </w:t>
      </w:r>
      <w:r>
        <w:rPr>
          <w:rFonts w:eastAsia="Calibri"/>
          <w:b/>
          <w:szCs w:val="22"/>
        </w:rPr>
        <w:t>B</w:t>
      </w:r>
    </w:p>
    <w:p w:rsidRPr="00CC3D9E" w:rsidR="00CC3D9E" w:rsidP="00CC3D9E" w:rsidRDefault="00CC3D9E" w14:paraId="154001CE" w14:textId="77777777">
      <w:pPr>
        <w:spacing w:line="276" w:lineRule="auto"/>
        <w:rPr>
          <w:rFonts w:eastAsia="MS Mincho"/>
          <w:b/>
        </w:rPr>
      </w:pPr>
    </w:p>
    <w:p w:rsidRPr="00CC3D9E" w:rsidR="00CC3D9E" w:rsidP="00CC3D9E" w:rsidRDefault="00CC3D9E" w14:paraId="539200D8" w14:textId="77777777">
      <w:pPr>
        <w:spacing w:line="276" w:lineRule="auto"/>
        <w:rPr>
          <w:rFonts w:eastAsia="MS Mincho"/>
          <w:b/>
        </w:rPr>
      </w:pPr>
    </w:p>
    <w:p w:rsidRPr="00CC3D9E" w:rsidR="00CC3D9E" w:rsidP="00CC3D9E" w:rsidRDefault="00CC3D9E" w14:paraId="23374379" w14:textId="77777777">
      <w:pPr>
        <w:spacing w:line="276" w:lineRule="auto"/>
        <w:rPr>
          <w:rFonts w:eastAsia="MS Mincho"/>
          <w:b/>
        </w:rPr>
      </w:pPr>
    </w:p>
    <w:p w:rsidRPr="00CC3D9E" w:rsidR="00CC3D9E" w:rsidP="00CC3D9E" w:rsidRDefault="00CC3D9E" w14:paraId="1A244D1B" w14:textId="77777777">
      <w:pPr>
        <w:spacing w:line="276" w:lineRule="auto"/>
        <w:rPr>
          <w:rFonts w:eastAsia="MS Mincho"/>
          <w:b/>
        </w:rPr>
      </w:pPr>
    </w:p>
    <w:p w:rsidRPr="00CC3D9E" w:rsidR="00CC3D9E" w:rsidP="00CC3D9E" w:rsidRDefault="00CC3D9E" w14:paraId="7DAEB79B" w14:textId="77777777">
      <w:pPr>
        <w:spacing w:line="276" w:lineRule="auto"/>
        <w:rPr>
          <w:rFonts w:eastAsia="MS Mincho"/>
          <w:b/>
        </w:rPr>
      </w:pPr>
    </w:p>
    <w:p w:rsidRPr="00CC3D9E" w:rsidR="00CC3D9E" w:rsidP="00CC3D9E" w:rsidRDefault="00CC3D9E" w14:paraId="32C6BB5B" w14:textId="77777777">
      <w:pPr>
        <w:spacing w:line="276" w:lineRule="auto"/>
        <w:rPr>
          <w:rFonts w:eastAsia="MS Mincho"/>
          <w:b/>
        </w:rPr>
      </w:pPr>
    </w:p>
    <w:p w:rsidRPr="00CC3D9E" w:rsidR="00CC3D9E" w:rsidP="00CC3D9E" w:rsidRDefault="00CC3D9E" w14:paraId="0D0E6A41" w14:textId="77777777">
      <w:pPr>
        <w:spacing w:line="276" w:lineRule="auto"/>
        <w:rPr>
          <w:rFonts w:eastAsia="MS Mincho"/>
          <w:b/>
        </w:rPr>
      </w:pPr>
    </w:p>
    <w:p w:rsidRPr="00CC3D9E" w:rsidR="00CC3D9E" w:rsidP="00CC3D9E" w:rsidRDefault="00CC3D9E" w14:paraId="7D0EEB11" w14:textId="77777777">
      <w:pPr>
        <w:spacing w:line="276" w:lineRule="auto"/>
        <w:rPr>
          <w:rFonts w:eastAsia="MS Mincho"/>
          <w:b/>
        </w:rPr>
      </w:pPr>
    </w:p>
    <w:p w:rsidRPr="00CC3D9E" w:rsidR="00CC3D9E" w:rsidP="00CC3D9E" w:rsidRDefault="00CC3D9E" w14:paraId="405CF8DE" w14:textId="77777777">
      <w:pPr>
        <w:spacing w:line="276" w:lineRule="auto"/>
        <w:rPr>
          <w:rFonts w:eastAsia="MS Mincho"/>
          <w:b/>
        </w:rPr>
      </w:pPr>
    </w:p>
    <w:p w:rsidRPr="00CC3D9E" w:rsidR="00CC3D9E" w:rsidP="00CC3D9E" w:rsidRDefault="00CC3D9E" w14:paraId="49C422B5" w14:textId="77777777">
      <w:pPr>
        <w:spacing w:line="276" w:lineRule="auto"/>
        <w:rPr>
          <w:rFonts w:eastAsia="MS Mincho"/>
          <w:b/>
        </w:rPr>
      </w:pPr>
    </w:p>
    <w:p w:rsidRPr="00CC3D9E" w:rsidR="00CC3D9E" w:rsidP="00CC3D9E" w:rsidRDefault="00CC3D9E" w14:paraId="04744D3A" w14:textId="77777777">
      <w:pPr>
        <w:spacing w:line="276" w:lineRule="auto"/>
        <w:rPr>
          <w:rFonts w:eastAsia="MS Mincho"/>
          <w:b/>
        </w:rPr>
      </w:pPr>
    </w:p>
    <w:p w:rsidRPr="00CC3D9E" w:rsidR="00CC3D9E" w:rsidP="00CC3D9E" w:rsidRDefault="00CC3D9E" w14:paraId="7CC36AE1" w14:textId="77777777">
      <w:pPr>
        <w:spacing w:line="276" w:lineRule="auto"/>
        <w:rPr>
          <w:rFonts w:eastAsia="MS Mincho"/>
          <w:b/>
        </w:rPr>
      </w:pPr>
    </w:p>
    <w:p w:rsidRPr="00CC3D9E" w:rsidR="00CC3D9E" w:rsidP="00CC3D9E" w:rsidRDefault="00CC3D9E" w14:paraId="6FE83E82" w14:textId="77777777">
      <w:pPr>
        <w:spacing w:line="276" w:lineRule="auto"/>
        <w:rPr>
          <w:rFonts w:eastAsia="MS Mincho"/>
          <w:b/>
        </w:rPr>
      </w:pPr>
    </w:p>
    <w:p w:rsidRPr="00CC3D9E" w:rsidR="00CC3D9E" w:rsidP="00CC3D9E" w:rsidRDefault="00CC3D9E" w14:paraId="3BB2FC56" w14:textId="77777777">
      <w:pPr>
        <w:spacing w:line="276" w:lineRule="auto"/>
        <w:rPr>
          <w:rFonts w:eastAsia="MS Mincho"/>
        </w:rPr>
      </w:pPr>
      <w:r w:rsidRPr="00CC3D9E">
        <w:rPr>
          <w:rFonts w:eastAsia="MS Mincho"/>
          <w:b/>
        </w:rPr>
        <w:t>Contact:</w:t>
      </w:r>
    </w:p>
    <w:p w:rsidR="004D7B72" w:rsidP="004D7B72" w:rsidRDefault="004D7B72" w14:paraId="03B01C00" w14:textId="77777777">
      <w:pPr>
        <w:rPr>
          <w:bCs/>
        </w:rPr>
      </w:pPr>
      <w:r>
        <w:rPr>
          <w:bCs/>
        </w:rPr>
        <w:t>Amy McMillen</w:t>
      </w:r>
    </w:p>
    <w:p w:rsidRPr="000C7EC9" w:rsidR="004D7B72" w:rsidP="004D7B72" w:rsidRDefault="004D7B72" w14:paraId="162EE71F" w14:textId="77777777">
      <w:pPr>
        <w:rPr>
          <w:bCs/>
        </w:rPr>
      </w:pPr>
      <w:r>
        <w:rPr>
          <w:bCs/>
        </w:rPr>
        <w:t>Office of Policy and Planning</w:t>
      </w:r>
    </w:p>
    <w:p w:rsidRPr="000C7EC9" w:rsidR="004D7B72" w:rsidP="004D7B72" w:rsidRDefault="004D7B72" w14:paraId="20654FCE" w14:textId="77777777">
      <w:pPr>
        <w:rPr>
          <w:bCs/>
        </w:rPr>
      </w:pPr>
      <w:r w:rsidRPr="000C7EC9">
        <w:rPr>
          <w:bCs/>
        </w:rPr>
        <w:t>National Center for Emerging and Zoonotic Infectious Diseases (NCEZID)</w:t>
      </w:r>
    </w:p>
    <w:p w:rsidRPr="000C7EC9" w:rsidR="004D7B72" w:rsidP="004D7B72" w:rsidRDefault="004D7B72" w14:paraId="69B34682" w14:textId="77777777">
      <w:pPr>
        <w:rPr>
          <w:bCs/>
        </w:rPr>
      </w:pPr>
      <w:r w:rsidRPr="000C7EC9">
        <w:rPr>
          <w:bCs/>
        </w:rPr>
        <w:t>Centers for Disease Control and Prevention</w:t>
      </w:r>
    </w:p>
    <w:p w:rsidRPr="000C7EC9" w:rsidR="004D7B72" w:rsidP="004D7B72" w:rsidRDefault="004D7B72" w14:paraId="1DA4DDAB" w14:textId="77777777">
      <w:pPr>
        <w:rPr>
          <w:bCs/>
        </w:rPr>
      </w:pPr>
      <w:r w:rsidRPr="000C7EC9">
        <w:rPr>
          <w:bCs/>
        </w:rPr>
        <w:t>1600 Clifton Road NE, MS H16-</w:t>
      </w:r>
      <w:r>
        <w:rPr>
          <w:bCs/>
        </w:rPr>
        <w:t>5</w:t>
      </w:r>
    </w:p>
    <w:p w:rsidRPr="000C7EC9" w:rsidR="004D7B72" w:rsidP="004D7B72" w:rsidRDefault="004D7B72" w14:paraId="58D8A6F0" w14:textId="77777777">
      <w:pPr>
        <w:rPr>
          <w:bCs/>
        </w:rPr>
      </w:pPr>
      <w:r w:rsidRPr="000C7EC9">
        <w:rPr>
          <w:bCs/>
        </w:rPr>
        <w:t xml:space="preserve">Atlanta, Georgia 30329-4027 </w:t>
      </w:r>
    </w:p>
    <w:p w:rsidRPr="000C7EC9" w:rsidR="004D7B72" w:rsidP="004D7B72" w:rsidRDefault="004D7B72" w14:paraId="0A891969" w14:textId="77777777">
      <w:pPr>
        <w:rPr>
          <w:bCs/>
        </w:rPr>
      </w:pPr>
      <w:r w:rsidRPr="000C7EC9">
        <w:rPr>
          <w:bCs/>
        </w:rPr>
        <w:t xml:space="preserve">Phone: </w:t>
      </w:r>
      <w:r>
        <w:rPr>
          <w:bCs/>
        </w:rPr>
        <w:t>(404) 639-1045</w:t>
      </w:r>
    </w:p>
    <w:p w:rsidR="004D7B72" w:rsidP="004D7B72" w:rsidRDefault="004D7B72" w14:paraId="48A08AEA" w14:textId="77777777">
      <w:pPr>
        <w:rPr>
          <w:bCs/>
        </w:rPr>
      </w:pPr>
      <w:r w:rsidRPr="000C7EC9">
        <w:rPr>
          <w:bCs/>
        </w:rPr>
        <w:t xml:space="preserve">Email: </w:t>
      </w:r>
      <w:r>
        <w:rPr>
          <w:bCs/>
        </w:rPr>
        <w:t>auh1</w:t>
      </w:r>
      <w:r w:rsidRPr="000C7EC9">
        <w:rPr>
          <w:bCs/>
        </w:rPr>
        <w:t>@cdc.gov</w:t>
      </w:r>
    </w:p>
    <w:p w:rsidR="004D7B72" w:rsidP="007F04C2" w:rsidRDefault="004D7B72" w14:paraId="78E33880" w14:textId="77777777">
      <w:pPr>
        <w:pStyle w:val="TOCHeading"/>
        <w:jc w:val="center"/>
        <w:rPr>
          <w:rFonts w:ascii="Times New Roman" w:hAnsi="Times New Roman" w:eastAsia="Times New Roman" w:cs="Times New Roman"/>
          <w:color w:val="auto"/>
          <w:sz w:val="24"/>
          <w:szCs w:val="24"/>
        </w:rPr>
      </w:pPr>
    </w:p>
    <w:sdt>
      <w:sdtPr>
        <w:rPr>
          <w:rFonts w:ascii="Times New Roman" w:hAnsi="Times New Roman" w:eastAsia="Times New Roman" w:cs="Times New Roman"/>
          <w:color w:val="auto"/>
          <w:sz w:val="24"/>
          <w:szCs w:val="24"/>
        </w:rPr>
        <w:id w:val="1505633663"/>
        <w:docPartObj>
          <w:docPartGallery w:val="Table of Contents"/>
          <w:docPartUnique/>
        </w:docPartObj>
      </w:sdtPr>
      <w:sdtEndPr>
        <w:rPr>
          <w:b/>
          <w:bCs/>
          <w:noProof/>
        </w:rPr>
      </w:sdtEndPr>
      <w:sdtContent>
        <w:p w:rsidR="00AD12F2" w:rsidP="007F04C2" w:rsidRDefault="00AD12F2" w14:paraId="6A4AF76B" w14:textId="01035BBE">
          <w:pPr>
            <w:pStyle w:val="TOCHeading"/>
            <w:jc w:val="center"/>
            <w:rPr>
              <w:rFonts w:ascii="Times New Roman" w:hAnsi="Times New Roman" w:cs="Times New Roman"/>
              <w:b/>
              <w:color w:val="auto"/>
              <w:sz w:val="24"/>
              <w:szCs w:val="24"/>
            </w:rPr>
          </w:pPr>
          <w:r w:rsidRPr="009967E0">
            <w:rPr>
              <w:rFonts w:ascii="Times New Roman" w:hAnsi="Times New Roman" w:cs="Times New Roman"/>
              <w:b/>
              <w:color w:val="auto"/>
              <w:sz w:val="24"/>
              <w:szCs w:val="24"/>
            </w:rPr>
            <w:t>Table of Contents</w:t>
          </w:r>
        </w:p>
        <w:p w:rsidRPr="001439A3" w:rsidR="001439A3" w:rsidP="001439A3" w:rsidRDefault="001439A3" w14:paraId="14C0AA55" w14:textId="77777777"/>
        <w:p w:rsidRPr="009967E0" w:rsidR="00AD12F2" w:rsidP="007F04C2" w:rsidRDefault="00AD12F2" w14:paraId="5902C5B8" w14:textId="1B2CAEF0">
          <w:pPr>
            <w:pStyle w:val="TOC2"/>
            <w:tabs>
              <w:tab w:val="left" w:pos="660"/>
              <w:tab w:val="right" w:leader="dot" w:pos="9350"/>
            </w:tabs>
            <w:ind w:left="0"/>
            <w:rPr>
              <w:noProof/>
            </w:rPr>
          </w:pPr>
          <w:r w:rsidRPr="00BD47B7">
            <w:fldChar w:fldCharType="begin"/>
          </w:r>
          <w:r w:rsidRPr="009967E0">
            <w:instrText xml:space="preserve"> TOC \o "1-3" \h \z \u </w:instrText>
          </w:r>
          <w:r w:rsidRPr="00BD47B7">
            <w:fldChar w:fldCharType="separate"/>
          </w:r>
          <w:hyperlink w:history="1" w:anchor="_Toc457380468">
            <w:r w:rsidRPr="009967E0">
              <w:rPr>
                <w:rStyle w:val="Hyperlink"/>
                <w:noProof/>
              </w:rPr>
              <w:t>1.</w:t>
            </w:r>
            <w:r w:rsidRPr="009967E0">
              <w:rPr>
                <w:noProof/>
              </w:rPr>
              <w:t xml:space="preserve">  </w:t>
            </w:r>
            <w:r w:rsidRPr="009967E0">
              <w:rPr>
                <w:rStyle w:val="Hyperlink"/>
                <w:noProof/>
              </w:rPr>
              <w:t>Respondent Universe and Sampling Methods</w:t>
            </w:r>
            <w:r w:rsidRPr="009967E0">
              <w:rPr>
                <w:noProof/>
                <w:webHidden/>
              </w:rPr>
              <w:tab/>
            </w:r>
            <w:r w:rsidRPr="000F5076">
              <w:rPr>
                <w:noProof/>
                <w:webHidden/>
              </w:rPr>
              <w:fldChar w:fldCharType="begin"/>
            </w:r>
            <w:r w:rsidRPr="009967E0">
              <w:rPr>
                <w:noProof/>
                <w:webHidden/>
              </w:rPr>
              <w:instrText xml:space="preserve"> PAGEREF _Toc457380468 \h </w:instrText>
            </w:r>
            <w:r w:rsidRPr="000F5076">
              <w:rPr>
                <w:noProof/>
                <w:webHidden/>
              </w:rPr>
            </w:r>
            <w:r w:rsidRPr="000F5076">
              <w:rPr>
                <w:noProof/>
                <w:webHidden/>
              </w:rPr>
              <w:fldChar w:fldCharType="separate"/>
            </w:r>
            <w:r w:rsidR="00887281">
              <w:rPr>
                <w:noProof/>
                <w:webHidden/>
              </w:rPr>
              <w:t>2</w:t>
            </w:r>
            <w:r w:rsidRPr="000F5076">
              <w:rPr>
                <w:noProof/>
                <w:webHidden/>
              </w:rPr>
              <w:fldChar w:fldCharType="end"/>
            </w:r>
          </w:hyperlink>
        </w:p>
        <w:p w:rsidRPr="009967E0" w:rsidR="00AD12F2" w:rsidRDefault="00887281" w14:paraId="5A681BBA" w14:textId="153A1859">
          <w:pPr>
            <w:pStyle w:val="TOC1"/>
            <w:tabs>
              <w:tab w:val="left" w:pos="440"/>
              <w:tab w:val="right" w:leader="dot" w:pos="9350"/>
            </w:tabs>
            <w:rPr>
              <w:noProof/>
            </w:rPr>
          </w:pPr>
          <w:hyperlink w:history="1" w:anchor="_Toc457380469">
            <w:r w:rsidRPr="009967E0" w:rsidR="00AD12F2">
              <w:rPr>
                <w:rStyle w:val="Hyperlink"/>
                <w:noProof/>
              </w:rPr>
              <w:t>2.</w:t>
            </w:r>
            <w:r w:rsidRPr="009967E0" w:rsidR="00AD12F2">
              <w:rPr>
                <w:noProof/>
              </w:rPr>
              <w:t xml:space="preserve">  </w:t>
            </w:r>
            <w:r w:rsidRPr="009967E0" w:rsidR="00AD12F2">
              <w:rPr>
                <w:rStyle w:val="Hyperlink"/>
                <w:noProof/>
              </w:rPr>
              <w:t>Procedures for the Collection of Information</w:t>
            </w:r>
            <w:r w:rsidRPr="009967E0" w:rsidR="00AD12F2">
              <w:rPr>
                <w:noProof/>
                <w:webHidden/>
              </w:rPr>
              <w:tab/>
            </w:r>
            <w:r w:rsidRPr="00BD47B7" w:rsidR="00AD12F2">
              <w:rPr>
                <w:noProof/>
                <w:webHidden/>
              </w:rPr>
              <w:fldChar w:fldCharType="begin"/>
            </w:r>
            <w:r w:rsidRPr="009967E0" w:rsidR="00AD12F2">
              <w:rPr>
                <w:noProof/>
                <w:webHidden/>
              </w:rPr>
              <w:instrText xml:space="preserve"> PAGEREF _Toc457380469 \h </w:instrText>
            </w:r>
            <w:r w:rsidRPr="00BD47B7" w:rsidR="00AD12F2">
              <w:rPr>
                <w:noProof/>
                <w:webHidden/>
              </w:rPr>
            </w:r>
            <w:r w:rsidRPr="00BD47B7" w:rsidR="00AD12F2">
              <w:rPr>
                <w:noProof/>
                <w:webHidden/>
              </w:rPr>
              <w:fldChar w:fldCharType="separate"/>
            </w:r>
            <w:r>
              <w:rPr>
                <w:noProof/>
                <w:webHidden/>
              </w:rPr>
              <w:t>2</w:t>
            </w:r>
            <w:r w:rsidRPr="00BD47B7" w:rsidR="00AD12F2">
              <w:rPr>
                <w:noProof/>
                <w:webHidden/>
              </w:rPr>
              <w:fldChar w:fldCharType="end"/>
            </w:r>
          </w:hyperlink>
        </w:p>
        <w:p w:rsidRPr="009967E0" w:rsidR="00AD12F2" w:rsidRDefault="00887281" w14:paraId="66FCA062" w14:textId="3F431271">
          <w:pPr>
            <w:pStyle w:val="TOC1"/>
            <w:tabs>
              <w:tab w:val="left" w:pos="440"/>
              <w:tab w:val="right" w:leader="dot" w:pos="9350"/>
            </w:tabs>
            <w:rPr>
              <w:noProof/>
            </w:rPr>
          </w:pPr>
          <w:hyperlink w:history="1" w:anchor="_Toc457380470">
            <w:r w:rsidRPr="009967E0" w:rsidR="00AD12F2">
              <w:rPr>
                <w:rStyle w:val="Hyperlink"/>
                <w:noProof/>
              </w:rPr>
              <w:t>3.</w:t>
            </w:r>
            <w:r w:rsidRPr="009967E0" w:rsidR="00AD12F2">
              <w:rPr>
                <w:noProof/>
              </w:rPr>
              <w:t xml:space="preserve">  </w:t>
            </w:r>
            <w:r w:rsidRPr="009967E0" w:rsidR="00AD12F2">
              <w:rPr>
                <w:rStyle w:val="Hyperlink"/>
                <w:noProof/>
              </w:rPr>
              <w:t>Methods to Maximize Response Rates and Deal with No Response</w:t>
            </w:r>
            <w:r w:rsidRPr="009967E0" w:rsidR="00AD12F2">
              <w:rPr>
                <w:noProof/>
                <w:webHidden/>
              </w:rPr>
              <w:tab/>
            </w:r>
            <w:r w:rsidRPr="00BD47B7" w:rsidR="00AD12F2">
              <w:rPr>
                <w:noProof/>
                <w:webHidden/>
              </w:rPr>
              <w:fldChar w:fldCharType="begin"/>
            </w:r>
            <w:r w:rsidRPr="009967E0" w:rsidR="00AD12F2">
              <w:rPr>
                <w:noProof/>
                <w:webHidden/>
              </w:rPr>
              <w:instrText xml:space="preserve"> PAGEREF _Toc457380470 \h </w:instrText>
            </w:r>
            <w:r w:rsidRPr="00BD47B7" w:rsidR="00AD12F2">
              <w:rPr>
                <w:noProof/>
                <w:webHidden/>
              </w:rPr>
            </w:r>
            <w:r w:rsidRPr="00BD47B7" w:rsidR="00AD12F2">
              <w:rPr>
                <w:noProof/>
                <w:webHidden/>
              </w:rPr>
              <w:fldChar w:fldCharType="separate"/>
            </w:r>
            <w:r>
              <w:rPr>
                <w:noProof/>
                <w:webHidden/>
              </w:rPr>
              <w:t>3</w:t>
            </w:r>
            <w:r w:rsidRPr="00BD47B7" w:rsidR="00AD12F2">
              <w:rPr>
                <w:noProof/>
                <w:webHidden/>
              </w:rPr>
              <w:fldChar w:fldCharType="end"/>
            </w:r>
          </w:hyperlink>
        </w:p>
        <w:p w:rsidRPr="009967E0" w:rsidR="00AD12F2" w:rsidRDefault="00887281" w14:paraId="04A1CC70" w14:textId="68544ADE">
          <w:pPr>
            <w:pStyle w:val="TOC1"/>
            <w:tabs>
              <w:tab w:val="left" w:pos="440"/>
              <w:tab w:val="right" w:leader="dot" w:pos="9350"/>
            </w:tabs>
            <w:rPr>
              <w:noProof/>
            </w:rPr>
          </w:pPr>
          <w:hyperlink w:history="1" w:anchor="_Toc457380471">
            <w:r w:rsidRPr="009967E0" w:rsidR="00AD12F2">
              <w:rPr>
                <w:rStyle w:val="Hyperlink"/>
                <w:noProof/>
              </w:rPr>
              <w:t>4.</w:t>
            </w:r>
            <w:r w:rsidRPr="009967E0" w:rsidR="00AD12F2">
              <w:rPr>
                <w:noProof/>
              </w:rPr>
              <w:t xml:space="preserve">  </w:t>
            </w:r>
            <w:r w:rsidRPr="009967E0" w:rsidR="00AD12F2">
              <w:rPr>
                <w:rStyle w:val="Hyperlink"/>
                <w:noProof/>
              </w:rPr>
              <w:t>Tests of Procedures or Methods to be Undertaken</w:t>
            </w:r>
            <w:r w:rsidRPr="009967E0" w:rsidR="00AD12F2">
              <w:rPr>
                <w:noProof/>
                <w:webHidden/>
              </w:rPr>
              <w:tab/>
            </w:r>
            <w:r w:rsidRPr="00BD47B7" w:rsidR="00AD12F2">
              <w:rPr>
                <w:noProof/>
                <w:webHidden/>
              </w:rPr>
              <w:fldChar w:fldCharType="begin"/>
            </w:r>
            <w:r w:rsidRPr="009967E0" w:rsidR="00AD12F2">
              <w:rPr>
                <w:noProof/>
                <w:webHidden/>
              </w:rPr>
              <w:instrText xml:space="preserve"> PAGEREF _Toc457380471 \h </w:instrText>
            </w:r>
            <w:r w:rsidRPr="00BD47B7" w:rsidR="00AD12F2">
              <w:rPr>
                <w:noProof/>
                <w:webHidden/>
              </w:rPr>
            </w:r>
            <w:r w:rsidRPr="00BD47B7" w:rsidR="00AD12F2">
              <w:rPr>
                <w:noProof/>
                <w:webHidden/>
              </w:rPr>
              <w:fldChar w:fldCharType="separate"/>
            </w:r>
            <w:r>
              <w:rPr>
                <w:noProof/>
                <w:webHidden/>
              </w:rPr>
              <w:t>3</w:t>
            </w:r>
            <w:r w:rsidRPr="00BD47B7" w:rsidR="00AD12F2">
              <w:rPr>
                <w:noProof/>
                <w:webHidden/>
              </w:rPr>
              <w:fldChar w:fldCharType="end"/>
            </w:r>
          </w:hyperlink>
        </w:p>
        <w:p w:rsidRPr="009967E0" w:rsidR="00AD12F2" w:rsidRDefault="00887281" w14:paraId="4E2C8954" w14:textId="0DE153E7">
          <w:pPr>
            <w:pStyle w:val="TOC1"/>
            <w:tabs>
              <w:tab w:val="left" w:pos="440"/>
              <w:tab w:val="right" w:leader="dot" w:pos="9350"/>
            </w:tabs>
            <w:rPr>
              <w:noProof/>
            </w:rPr>
          </w:pPr>
          <w:hyperlink w:history="1" w:anchor="_Toc457380472">
            <w:r w:rsidRPr="009967E0" w:rsidR="00AD12F2">
              <w:rPr>
                <w:rStyle w:val="Hyperlink"/>
                <w:noProof/>
              </w:rPr>
              <w:t>5.</w:t>
            </w:r>
            <w:r w:rsidRPr="009967E0" w:rsidR="00AD12F2">
              <w:rPr>
                <w:noProof/>
              </w:rPr>
              <w:t xml:space="preserve">  </w:t>
            </w:r>
            <w:r w:rsidRPr="009967E0" w:rsidR="00AD12F2">
              <w:rPr>
                <w:rStyle w:val="Hyperlink"/>
                <w:noProof/>
              </w:rPr>
              <w:t>Individuals Consulted on Statistical Aspects and Individuals Collecting and/or Analyzing Data</w:t>
            </w:r>
            <w:r w:rsidRPr="009967E0" w:rsidR="00AD12F2">
              <w:rPr>
                <w:noProof/>
                <w:webHidden/>
              </w:rPr>
              <w:tab/>
            </w:r>
            <w:r w:rsidRPr="00BD47B7" w:rsidR="00AD12F2">
              <w:rPr>
                <w:noProof/>
                <w:webHidden/>
              </w:rPr>
              <w:fldChar w:fldCharType="begin"/>
            </w:r>
            <w:r w:rsidRPr="009967E0" w:rsidR="00AD12F2">
              <w:rPr>
                <w:noProof/>
                <w:webHidden/>
              </w:rPr>
              <w:instrText xml:space="preserve"> PAGEREF _Toc457380472 \h </w:instrText>
            </w:r>
            <w:r w:rsidRPr="00BD47B7" w:rsidR="00AD12F2">
              <w:rPr>
                <w:noProof/>
                <w:webHidden/>
              </w:rPr>
            </w:r>
            <w:r w:rsidRPr="00BD47B7" w:rsidR="00AD12F2">
              <w:rPr>
                <w:noProof/>
                <w:webHidden/>
              </w:rPr>
              <w:fldChar w:fldCharType="separate"/>
            </w:r>
            <w:r>
              <w:rPr>
                <w:noProof/>
                <w:webHidden/>
              </w:rPr>
              <w:t>4</w:t>
            </w:r>
            <w:r w:rsidRPr="00BD47B7" w:rsidR="00AD12F2">
              <w:rPr>
                <w:noProof/>
                <w:webHidden/>
              </w:rPr>
              <w:fldChar w:fldCharType="end"/>
            </w:r>
          </w:hyperlink>
        </w:p>
        <w:p w:rsidRPr="009967E0" w:rsidR="00AD12F2" w:rsidRDefault="00AD12F2" w14:paraId="1D9D2E8A" w14:textId="77777777">
          <w:r w:rsidRPr="00BD47B7">
            <w:rPr>
              <w:b/>
              <w:bCs/>
              <w:noProof/>
            </w:rPr>
            <w:fldChar w:fldCharType="end"/>
          </w:r>
        </w:p>
      </w:sdtContent>
    </w:sdt>
    <w:p w:rsidRPr="009967E0" w:rsidR="009B115A" w:rsidP="007F04C2" w:rsidRDefault="00926245" w14:paraId="6A88EE88" w14:textId="6DFF5A96">
      <w:r w:rsidRPr="009967E0">
        <w:tab/>
      </w:r>
      <w:r w:rsidRPr="009967E0">
        <w:tab/>
      </w:r>
      <w:r w:rsidRPr="009967E0">
        <w:tab/>
      </w:r>
      <w:r w:rsidRPr="009967E0">
        <w:tab/>
      </w:r>
      <w:r w:rsidRPr="009967E0">
        <w:tab/>
      </w:r>
      <w:r w:rsidRPr="009967E0">
        <w:tab/>
      </w:r>
      <w:r w:rsidRPr="009967E0">
        <w:tab/>
      </w:r>
      <w:r w:rsidRPr="009967E0">
        <w:tab/>
      </w:r>
      <w:r w:rsidRPr="009967E0">
        <w:tab/>
      </w:r>
      <w:r w:rsidRPr="009967E0">
        <w:tab/>
      </w:r>
      <w:r w:rsidRPr="009967E0">
        <w:tab/>
      </w:r>
    </w:p>
    <w:p w:rsidRPr="009967E0" w:rsidR="009B115A" w:rsidP="005422DB" w:rsidRDefault="009B115A" w14:paraId="2233DA3C" w14:textId="77777777">
      <w:pPr>
        <w:tabs>
          <w:tab w:val="left" w:pos="360"/>
          <w:tab w:val="left" w:pos="720"/>
        </w:tabs>
        <w:ind w:right="-18"/>
        <w:rPr>
          <w:rFonts w:cs="Goudy Old Style"/>
        </w:rPr>
      </w:pPr>
    </w:p>
    <w:p w:rsidRPr="009967E0" w:rsidR="005422DB" w:rsidP="007F04C2" w:rsidRDefault="005422DB" w14:paraId="73BB7C87" w14:textId="77777777">
      <w:pPr>
        <w:spacing w:after="200" w:line="276" w:lineRule="auto"/>
        <w:rPr>
          <w:rFonts w:cs="Goudy Old Style"/>
        </w:rPr>
      </w:pPr>
      <w:r w:rsidRPr="009967E0">
        <w:rPr>
          <w:rFonts w:cs="Goudy Old Style"/>
          <w:b/>
          <w:u w:val="single"/>
        </w:rPr>
        <w:t>B. Collections of Information Employing Statistical Methods</w:t>
      </w:r>
    </w:p>
    <w:p w:rsidRPr="009967E0" w:rsidR="005422DB" w:rsidP="005422DB" w:rsidRDefault="005422DB" w14:paraId="7AA548BE" w14:textId="77777777">
      <w:pPr>
        <w:tabs>
          <w:tab w:val="left" w:pos="360"/>
          <w:tab w:val="left" w:pos="720"/>
        </w:tabs>
        <w:ind w:right="-18"/>
        <w:rPr>
          <w:rFonts w:cs="Goudy Old Style"/>
        </w:rPr>
      </w:pPr>
    </w:p>
    <w:p w:rsidRPr="009967E0" w:rsidR="00820D37" w:rsidP="005422DB" w:rsidRDefault="005422DB" w14:paraId="31E48B0C" w14:textId="77777777">
      <w:pPr>
        <w:tabs>
          <w:tab w:val="left" w:pos="360"/>
          <w:tab w:val="left" w:pos="720"/>
        </w:tabs>
        <w:ind w:right="-18"/>
        <w:rPr>
          <w:rFonts w:cs="Goudy Old Style"/>
        </w:rPr>
      </w:pPr>
      <w:r w:rsidRPr="009967E0">
        <w:rPr>
          <w:rFonts w:cs="Goudy Old Style"/>
        </w:rPr>
        <w:t xml:space="preserve">This information collection does not involve statistical methods. </w:t>
      </w:r>
    </w:p>
    <w:p w:rsidRPr="009967E0" w:rsidR="00820D37" w:rsidP="005422DB" w:rsidRDefault="00820D37" w14:paraId="27B72619" w14:textId="77777777">
      <w:pPr>
        <w:tabs>
          <w:tab w:val="left" w:pos="360"/>
          <w:tab w:val="left" w:pos="720"/>
        </w:tabs>
        <w:ind w:right="-18"/>
        <w:rPr>
          <w:rFonts w:cs="Goudy Old Style"/>
        </w:rPr>
      </w:pPr>
    </w:p>
    <w:p w:rsidRPr="009967E0" w:rsidR="009B115A" w:rsidP="007F04C2" w:rsidRDefault="009B115A" w14:paraId="383D65A6" w14:textId="77777777">
      <w:pPr>
        <w:pStyle w:val="Heading2"/>
      </w:pPr>
      <w:bookmarkStart w:name="_Toc457380468" w:id="2"/>
      <w:r w:rsidRPr="009967E0">
        <w:t>Respondent Universe and Sampling Methods</w:t>
      </w:r>
      <w:bookmarkEnd w:id="2"/>
    </w:p>
    <w:p w:rsidRPr="009967E0" w:rsidR="009B115A" w:rsidP="009B115A" w:rsidRDefault="009B115A" w14:paraId="26715F9B" w14:textId="77777777">
      <w:pPr>
        <w:widowControl w:val="0"/>
        <w:ind w:left="360"/>
        <w:rPr>
          <w:rFonts w:cs="Goudy Old Style"/>
        </w:rPr>
      </w:pPr>
    </w:p>
    <w:p w:rsidRPr="009967E0" w:rsidR="00AC290C" w:rsidP="009B115A" w:rsidRDefault="000364B2" w14:paraId="666D9007" w14:textId="196B942F">
      <w:pPr>
        <w:widowControl w:val="0"/>
        <w:rPr>
          <w:rFonts w:cs="Goudy Old Style"/>
        </w:rPr>
      </w:pPr>
      <w:r w:rsidRPr="009967E0">
        <w:t xml:space="preserve">The respondents </w:t>
      </w:r>
      <w:r w:rsidRPr="009967E0" w:rsidR="006357B3">
        <w:t xml:space="preserve">are </w:t>
      </w:r>
      <w:r w:rsidRPr="009967E0" w:rsidR="00BC3BB0">
        <w:t>local health departments</w:t>
      </w:r>
      <w:r w:rsidR="00BC3BB0">
        <w:t xml:space="preserve"> </w:t>
      </w:r>
      <w:r w:rsidR="005D4C46">
        <w:t xml:space="preserve">(LHD) </w:t>
      </w:r>
      <w:r w:rsidR="00BC3BB0">
        <w:t xml:space="preserve">and federal Immigration and Customs Enforcement </w:t>
      </w:r>
      <w:r w:rsidR="005D4C46">
        <w:t xml:space="preserve">(ICE) </w:t>
      </w:r>
      <w:r w:rsidR="00BC3BB0">
        <w:t>detention centers</w:t>
      </w:r>
      <w:r w:rsidRPr="009967E0" w:rsidR="00BC3BB0">
        <w:t xml:space="preserve"> </w:t>
      </w:r>
      <w:r w:rsidRPr="009967E0" w:rsidR="006357B3">
        <w:t xml:space="preserve">within the United States and </w:t>
      </w:r>
      <w:r w:rsidR="00E82E5B">
        <w:t xml:space="preserve">physicians in </w:t>
      </w:r>
      <w:r w:rsidR="00BC3BB0">
        <w:t xml:space="preserve">healthcare facilities or public health departments in </w:t>
      </w:r>
      <w:r w:rsidRPr="009967E0" w:rsidR="006357B3">
        <w:t xml:space="preserve">other countries who provide diagnostic and treatment services to individuals affected by TB. </w:t>
      </w:r>
      <w:r w:rsidRPr="00136E21" w:rsidR="00136E21">
        <w:t xml:space="preserve">Individual TB patients may also be respondents if critical clinical or contact information is missing from their referral and </w:t>
      </w:r>
      <w:proofErr w:type="spellStart"/>
      <w:r w:rsidRPr="00136E21" w:rsidR="00136E21">
        <w:t>CureTB</w:t>
      </w:r>
      <w:proofErr w:type="spellEnd"/>
      <w:r w:rsidRPr="00136E21" w:rsidR="00136E21">
        <w:t xml:space="preserve"> follows-up with them to fill-in gaps to complete the referral service. </w:t>
      </w:r>
      <w:r w:rsidRPr="009967E0" w:rsidR="006357B3">
        <w:t xml:space="preserve"> All 50 US states and territories may refer TB patients to the </w:t>
      </w:r>
      <w:proofErr w:type="spellStart"/>
      <w:r w:rsidRPr="009967E0" w:rsidR="006357B3">
        <w:t>CureTB</w:t>
      </w:r>
      <w:proofErr w:type="spellEnd"/>
      <w:r w:rsidRPr="009967E0" w:rsidR="006357B3">
        <w:t xml:space="preserve"> program</w:t>
      </w:r>
      <w:r w:rsidRPr="009967E0" w:rsidR="00242F51">
        <w:t>. There are no sampling methods.</w:t>
      </w:r>
      <w:r w:rsidRPr="009967E0" w:rsidR="006357B3">
        <w:t xml:space="preserve"> </w:t>
      </w:r>
    </w:p>
    <w:p w:rsidRPr="009967E0" w:rsidR="00AC290C" w:rsidP="005422DB" w:rsidRDefault="00AC290C" w14:paraId="143B4AC4" w14:textId="77777777">
      <w:pPr>
        <w:tabs>
          <w:tab w:val="left" w:pos="360"/>
          <w:tab w:val="left" w:pos="720"/>
        </w:tabs>
        <w:ind w:right="-18"/>
        <w:rPr>
          <w:rFonts w:cs="Goudy Old Style"/>
        </w:rPr>
      </w:pPr>
    </w:p>
    <w:p w:rsidRPr="009967E0" w:rsidR="00AC290C" w:rsidP="007F04C2" w:rsidRDefault="00AC290C" w14:paraId="41AFFC19" w14:textId="4251D841">
      <w:pPr>
        <w:pStyle w:val="Heading1"/>
      </w:pPr>
      <w:bookmarkStart w:name="_Toc457380469" w:id="3"/>
      <w:r w:rsidRPr="009967E0">
        <w:t>Procedures for the Collection of Information</w:t>
      </w:r>
      <w:bookmarkEnd w:id="3"/>
    </w:p>
    <w:p w:rsidRPr="009967E0" w:rsidR="00AC290C" w:rsidP="005422DB" w:rsidRDefault="00AC290C" w14:paraId="17671C15" w14:textId="77777777">
      <w:pPr>
        <w:tabs>
          <w:tab w:val="left" w:pos="360"/>
          <w:tab w:val="left" w:pos="720"/>
        </w:tabs>
        <w:ind w:right="-18"/>
        <w:rPr>
          <w:rFonts w:cs="Goudy Old Style"/>
        </w:rPr>
      </w:pPr>
    </w:p>
    <w:p w:rsidRPr="00E059CA" w:rsidR="00BD47B7" w:rsidP="00BD47B7" w:rsidRDefault="00BD47B7" w14:paraId="6B1413A5" w14:textId="3035DD71">
      <w:pPr>
        <w:tabs>
          <w:tab w:val="left" w:pos="-1440"/>
        </w:tabs>
      </w:pPr>
      <w:bookmarkStart w:name="_Hlk41553202" w:id="4"/>
      <w:r w:rsidRPr="00E059CA">
        <w:t xml:space="preserve">Information will be collected from local health departments and </w:t>
      </w:r>
      <w:r w:rsidR="004D7B72">
        <w:t>federal ICE detention centers</w:t>
      </w:r>
      <w:r>
        <w:t>,</w:t>
      </w:r>
      <w:r w:rsidRPr="005168C7">
        <w:t xml:space="preserve"> whenever the</w:t>
      </w:r>
      <w:r w:rsidR="004D7B72">
        <w:t>se</w:t>
      </w:r>
      <w:r w:rsidRPr="005168C7">
        <w:t xml:space="preserve"> referring entities provide clinical services to an individual with TB who has imminent plans to relocate</w:t>
      </w:r>
      <w:r w:rsidR="00EB3939">
        <w:t xml:space="preserve"> and </w:t>
      </w:r>
      <w:r w:rsidRPr="005168C7">
        <w:t>needs continuity of care in their new location</w:t>
      </w:r>
      <w:r w:rsidR="00EB3939">
        <w:t xml:space="preserve">. The local health departments and federal ICE detention centers shares the information with CDC </w:t>
      </w:r>
      <w:proofErr w:type="spellStart"/>
      <w:r w:rsidR="00EB3939">
        <w:t>CureTB</w:t>
      </w:r>
      <w:proofErr w:type="spellEnd"/>
      <w:r w:rsidR="00EB3939">
        <w:t xml:space="preserve"> via fax, encrypted email, or phone so CDC </w:t>
      </w:r>
      <w:proofErr w:type="spellStart"/>
      <w:r w:rsidR="00EB3939">
        <w:t>CureTB</w:t>
      </w:r>
      <w:proofErr w:type="spellEnd"/>
      <w:r w:rsidR="00EB3939">
        <w:t xml:space="preserve"> can help coordinate care in the new location. </w:t>
      </w:r>
      <w:r>
        <w:t xml:space="preserve">TB patients may also be a respondent if critical clinical or contact data is missing and requires follow-up by </w:t>
      </w:r>
      <w:proofErr w:type="spellStart"/>
      <w:r>
        <w:t>CureTB</w:t>
      </w:r>
      <w:proofErr w:type="spellEnd"/>
      <w:r>
        <w:t xml:space="preserve"> to complete a patient’s referral information set. </w:t>
      </w:r>
      <w:r w:rsidRPr="00E059CA">
        <w:t xml:space="preserve">The information </w:t>
      </w:r>
      <w:r w:rsidR="00EB3939">
        <w:t xml:space="preserve">collected </w:t>
      </w:r>
      <w:r w:rsidRPr="00E059CA">
        <w:t xml:space="preserve">is as follows: </w:t>
      </w:r>
    </w:p>
    <w:bookmarkEnd w:id="4"/>
    <w:p w:rsidRPr="00E059CA" w:rsidR="000D0406" w:rsidP="000D0406" w:rsidRDefault="000D0406" w14:paraId="3C7CC0E7" w14:textId="77777777">
      <w:pPr>
        <w:pStyle w:val="ListParagraph"/>
        <w:numPr>
          <w:ilvl w:val="0"/>
          <w:numId w:val="4"/>
        </w:numPr>
        <w:tabs>
          <w:tab w:val="left" w:pos="-1440"/>
        </w:tabs>
        <w:spacing w:after="200"/>
      </w:pPr>
      <w:r w:rsidRPr="00E059CA">
        <w:t>patient name, date of birth, sex</w:t>
      </w:r>
    </w:p>
    <w:p w:rsidRPr="007F205D" w:rsidR="000D0406" w:rsidP="000D0406" w:rsidRDefault="000D0406" w14:paraId="190144F2" w14:textId="77777777">
      <w:pPr>
        <w:pStyle w:val="ListParagraph"/>
        <w:numPr>
          <w:ilvl w:val="0"/>
          <w:numId w:val="4"/>
        </w:numPr>
        <w:tabs>
          <w:tab w:val="left" w:pos="-1440"/>
        </w:tabs>
        <w:spacing w:after="200"/>
      </w:pPr>
      <w:r w:rsidRPr="007F205D">
        <w:t>contact information for patient</w:t>
      </w:r>
    </w:p>
    <w:p w:rsidRPr="007F205D" w:rsidR="000D0406" w:rsidP="000D0406" w:rsidRDefault="000D0406" w14:paraId="60BEC863" w14:textId="77777777">
      <w:pPr>
        <w:pStyle w:val="ListParagraph"/>
        <w:numPr>
          <w:ilvl w:val="0"/>
          <w:numId w:val="4"/>
        </w:numPr>
        <w:tabs>
          <w:tab w:val="left" w:pos="-1440"/>
        </w:tabs>
        <w:spacing w:after="200"/>
      </w:pPr>
      <w:r w:rsidRPr="007F205D">
        <w:t>expected location where patient will be moving to (e.g. country, state, municipality)</w:t>
      </w:r>
    </w:p>
    <w:p w:rsidRPr="007F205D" w:rsidR="000D0406" w:rsidP="000D0406" w:rsidRDefault="000D0406" w14:paraId="121A5AF4" w14:textId="77777777">
      <w:pPr>
        <w:pStyle w:val="ListParagraph"/>
        <w:numPr>
          <w:ilvl w:val="0"/>
          <w:numId w:val="4"/>
        </w:numPr>
        <w:tabs>
          <w:tab w:val="left" w:pos="-1440"/>
        </w:tabs>
        <w:spacing w:after="200"/>
      </w:pPr>
      <w:r w:rsidRPr="007F205D">
        <w:t>tuberculosis laboratory results and other relevant clinical data</w:t>
      </w:r>
    </w:p>
    <w:p w:rsidRPr="007F205D" w:rsidR="000D0406" w:rsidP="000D0406" w:rsidRDefault="000D0406" w14:paraId="18200614" w14:textId="77777777">
      <w:pPr>
        <w:pStyle w:val="ListParagraph"/>
        <w:numPr>
          <w:ilvl w:val="0"/>
          <w:numId w:val="4"/>
        </w:numPr>
        <w:tabs>
          <w:tab w:val="left" w:pos="-1440"/>
        </w:tabs>
        <w:spacing w:after="200"/>
      </w:pPr>
      <w:r w:rsidRPr="007F205D">
        <w:t>tuberculosis treatment start date, medications</w:t>
      </w:r>
    </w:p>
    <w:p w:rsidRPr="007F205D" w:rsidR="000D0406" w:rsidP="000D0406" w:rsidRDefault="000D0406" w14:paraId="1F95F307" w14:textId="77777777">
      <w:pPr>
        <w:pStyle w:val="ListParagraph"/>
        <w:numPr>
          <w:ilvl w:val="0"/>
          <w:numId w:val="4"/>
        </w:numPr>
        <w:tabs>
          <w:tab w:val="left" w:pos="-1440"/>
        </w:tabs>
        <w:spacing w:after="200"/>
      </w:pPr>
      <w:r w:rsidRPr="007F205D">
        <w:t xml:space="preserve">contact information for referring entity </w:t>
      </w:r>
    </w:p>
    <w:p w:rsidR="00BD47B7" w:rsidP="00BD47B7" w:rsidRDefault="00BD47B7" w14:paraId="23C75EBC" w14:textId="131D1A05">
      <w:pPr>
        <w:pStyle w:val="Default"/>
        <w:rPr>
          <w:rFonts w:ascii="Times New Roman" w:hAnsi="Times New Roman" w:cs="Goudy Old Style"/>
        </w:rPr>
      </w:pPr>
      <w:r w:rsidRPr="007F205D">
        <w:rPr>
          <w:rFonts w:ascii="Times New Roman" w:hAnsi="Times New Roman" w:cs="Times New Roman"/>
        </w:rPr>
        <w:lastRenderedPageBreak/>
        <w:t>The request for</w:t>
      </w:r>
      <w:r w:rsidRPr="00E059CA">
        <w:rPr>
          <w:rFonts w:ascii="Times New Roman" w:hAnsi="Times New Roman" w:cs="Times New Roman"/>
        </w:rPr>
        <w:t xml:space="preserve"> </w:t>
      </w:r>
      <w:r>
        <w:rPr>
          <w:rFonts w:ascii="Times New Roman" w:hAnsi="Times New Roman" w:cs="Times New Roman"/>
        </w:rPr>
        <w:t xml:space="preserve">CDC </w:t>
      </w:r>
      <w:proofErr w:type="spellStart"/>
      <w:r w:rsidRPr="00E059CA">
        <w:rPr>
          <w:rFonts w:ascii="Times New Roman" w:hAnsi="Times New Roman" w:cs="Times New Roman"/>
        </w:rPr>
        <w:t>CureTB</w:t>
      </w:r>
      <w:proofErr w:type="spellEnd"/>
      <w:r w:rsidRPr="00E059CA">
        <w:rPr>
          <w:rFonts w:ascii="Times New Roman" w:hAnsi="Times New Roman" w:cs="Times New Roman"/>
        </w:rPr>
        <w:t xml:space="preserve"> services comes from the referring entities and they supply the information a</w:t>
      </w:r>
      <w:r w:rsidR="00EB3939">
        <w:rPr>
          <w:rFonts w:ascii="Times New Roman" w:hAnsi="Times New Roman" w:cs="Times New Roman"/>
        </w:rPr>
        <w:t>round</w:t>
      </w:r>
      <w:r w:rsidRPr="00E059CA">
        <w:rPr>
          <w:rFonts w:ascii="Times New Roman" w:hAnsi="Times New Roman" w:cs="Times New Roman"/>
        </w:rPr>
        <w:t xml:space="preserve"> the time the patient is likely to leave their jurisdiction.  </w:t>
      </w:r>
      <w:bookmarkStart w:name="_Hlk41553346" w:id="5"/>
      <w:r w:rsidRPr="00E059CA">
        <w:rPr>
          <w:rFonts w:ascii="Times New Roman" w:hAnsi="Times New Roman" w:cs="Times New Roman"/>
        </w:rPr>
        <w:t xml:space="preserve">The </w:t>
      </w:r>
      <w:r w:rsidR="00EB3939">
        <w:rPr>
          <w:rFonts w:ascii="Times New Roman" w:hAnsi="Times New Roman" w:cs="Times New Roman"/>
        </w:rPr>
        <w:t>local health departments or ICE detention centers may</w:t>
      </w:r>
      <w:r w:rsidRPr="00E059CA">
        <w:rPr>
          <w:rFonts w:ascii="Times New Roman" w:hAnsi="Times New Roman" w:cs="Times New Roman"/>
        </w:rPr>
        <w:t xml:space="preserve"> update information only if relevant information to the patient’s care becomes available to them after their first communication with </w:t>
      </w:r>
      <w:r>
        <w:rPr>
          <w:rFonts w:ascii="Times New Roman" w:hAnsi="Times New Roman" w:cs="Times New Roman"/>
        </w:rPr>
        <w:t xml:space="preserve">CDC </w:t>
      </w:r>
      <w:proofErr w:type="spellStart"/>
      <w:r w:rsidRPr="00E059CA">
        <w:rPr>
          <w:rFonts w:ascii="Times New Roman" w:hAnsi="Times New Roman" w:cs="Times New Roman"/>
        </w:rPr>
        <w:t>CureTB</w:t>
      </w:r>
      <w:proofErr w:type="spellEnd"/>
      <w:r w:rsidRPr="00E059CA">
        <w:rPr>
          <w:rFonts w:ascii="Times New Roman" w:hAnsi="Times New Roman" w:cs="Times New Roman"/>
        </w:rPr>
        <w:t xml:space="preserve">.  Therefore, information is already largely collected </w:t>
      </w:r>
      <w:r>
        <w:rPr>
          <w:rFonts w:ascii="Times New Roman" w:hAnsi="Times New Roman" w:cs="Times New Roman"/>
        </w:rPr>
        <w:t xml:space="preserve">by CDC </w:t>
      </w:r>
      <w:proofErr w:type="spellStart"/>
      <w:r>
        <w:rPr>
          <w:rFonts w:ascii="Times New Roman" w:hAnsi="Times New Roman" w:cs="Times New Roman"/>
        </w:rPr>
        <w:t>CureTB</w:t>
      </w:r>
      <w:proofErr w:type="spellEnd"/>
      <w:r>
        <w:rPr>
          <w:rFonts w:ascii="Times New Roman" w:hAnsi="Times New Roman" w:cs="Times New Roman"/>
        </w:rPr>
        <w:t xml:space="preserve"> </w:t>
      </w:r>
      <w:r w:rsidRPr="00E059CA">
        <w:rPr>
          <w:rFonts w:ascii="Times New Roman" w:hAnsi="Times New Roman" w:cs="Times New Roman"/>
        </w:rPr>
        <w:t xml:space="preserve">only at one point in time, with subsequent information only collected if departure is delayed or when initially pending information becomes available and this is beyond the control of CDC. </w:t>
      </w:r>
      <w:r w:rsidRPr="007B2644">
        <w:rPr>
          <w:rFonts w:ascii="Times New Roman" w:hAnsi="Times New Roman" w:cs="Goudy Old Style"/>
        </w:rPr>
        <w:t xml:space="preserve"> </w:t>
      </w:r>
    </w:p>
    <w:bookmarkEnd w:id="5"/>
    <w:p w:rsidR="00EB3939" w:rsidP="00BD47B7" w:rsidRDefault="00EB3939" w14:paraId="2A2B8AEB" w14:textId="637D1889">
      <w:pPr>
        <w:pStyle w:val="Default"/>
        <w:rPr>
          <w:rFonts w:ascii="Times New Roman" w:hAnsi="Times New Roman" w:cs="Goudy Old Style"/>
        </w:rPr>
      </w:pPr>
    </w:p>
    <w:p w:rsidRPr="009967E0" w:rsidR="00EB3939" w:rsidP="00BD47B7" w:rsidRDefault="00EB3939" w14:paraId="51231E54" w14:textId="6EA409A2">
      <w:pPr>
        <w:pStyle w:val="Default"/>
        <w:rPr>
          <w:rFonts w:ascii="Times New Roman" w:hAnsi="Times New Roman" w:cs="Goudy Old Style"/>
          <w:color w:val="auto"/>
        </w:rPr>
      </w:pPr>
      <w:bookmarkStart w:name="_Hlk41553366" w:id="6"/>
      <w:r>
        <w:rPr>
          <w:rFonts w:ascii="Times New Roman" w:hAnsi="Times New Roman" w:cs="Goudy Old Style"/>
        </w:rPr>
        <w:t xml:space="preserve">CDC is notified of the date the patient will leave and sends the information they received to public health authorities in the new country via fax or encrypted email. That information is shared with the local physician that would </w:t>
      </w:r>
      <w:r w:rsidR="00654507">
        <w:rPr>
          <w:rFonts w:ascii="Times New Roman" w:hAnsi="Times New Roman" w:cs="Goudy Old Style"/>
        </w:rPr>
        <w:t>provide care to the TB patient after they arrive.</w:t>
      </w:r>
      <w:r>
        <w:rPr>
          <w:rFonts w:ascii="Times New Roman" w:hAnsi="Times New Roman" w:cs="Goudy Old Style"/>
        </w:rPr>
        <w:t xml:space="preserve"> </w:t>
      </w:r>
    </w:p>
    <w:bookmarkEnd w:id="6"/>
    <w:p w:rsidR="00BD47B7" w:rsidP="00BD47B7" w:rsidRDefault="00BD47B7" w14:paraId="328A2458" w14:textId="77777777"/>
    <w:p w:rsidR="00BD47B7" w:rsidP="00BD47B7" w:rsidRDefault="00BD47B7" w14:paraId="78A119D5" w14:textId="0CEF2D77">
      <w:r>
        <w:t>Post relocation of the TB patient, data is also collected from the receiving physicians to determine patient outcomes</w:t>
      </w:r>
      <w:r w:rsidR="00BC3BB0">
        <w:t xml:space="preserve"> via phone or </w:t>
      </w:r>
      <w:r w:rsidR="00654507">
        <w:t xml:space="preserve">encrypted </w:t>
      </w:r>
      <w:r w:rsidR="00BC3BB0">
        <w:t>email</w:t>
      </w:r>
      <w:r>
        <w:t xml:space="preserve">.  CDC Cure TB contacts the physician an average of every two months during the standard TB treatment process.  The following data is collected: </w:t>
      </w:r>
    </w:p>
    <w:p w:rsidR="00172A0A" w:rsidP="00BD47B7" w:rsidRDefault="00172A0A" w14:paraId="52A472B2" w14:textId="77777777"/>
    <w:p w:rsidRPr="00540BC3" w:rsidR="00BD47B7" w:rsidP="00BD47B7" w:rsidRDefault="00BD47B7" w14:paraId="576906B9" w14:textId="77777777">
      <w:r w:rsidRPr="00540BC3">
        <w:t>1) Is patient still on treatment?  Yes or No</w:t>
      </w:r>
    </w:p>
    <w:p w:rsidRPr="00540BC3" w:rsidR="00BD47B7" w:rsidP="00BD47B7" w:rsidRDefault="00BD47B7" w14:paraId="7333DB45" w14:textId="77777777">
      <w:r w:rsidRPr="00540BC3">
        <w:t xml:space="preserve">2) If yes, what medications?  </w:t>
      </w:r>
    </w:p>
    <w:p w:rsidR="00BD47B7" w:rsidP="00BD47B7" w:rsidRDefault="00BD47B7" w14:paraId="276FCDC5" w14:textId="77777777">
      <w:r w:rsidRPr="008A4895">
        <w:t xml:space="preserve">3) What is anticipated data of treatment completion? </w:t>
      </w:r>
    </w:p>
    <w:p w:rsidRPr="00540BC3" w:rsidR="00BD47B7" w:rsidP="00BD47B7" w:rsidRDefault="00BD47B7" w14:paraId="0735C108" w14:textId="77777777">
      <w:r>
        <w:t>4</w:t>
      </w:r>
      <w:r w:rsidRPr="00540BC3">
        <w:t xml:space="preserve">) If not, what is the </w:t>
      </w:r>
      <w:proofErr w:type="gramStart"/>
      <w:r w:rsidRPr="00540BC3">
        <w:t>final outcome</w:t>
      </w:r>
      <w:proofErr w:type="gramEnd"/>
      <w:r w:rsidRPr="00540BC3">
        <w:t xml:space="preserve">?  </w:t>
      </w:r>
    </w:p>
    <w:p w:rsidRPr="00540BC3" w:rsidR="00BD47B7" w:rsidP="00BD47B7" w:rsidRDefault="00BD47B7" w14:paraId="343B07CE" w14:textId="77777777">
      <w:r w:rsidRPr="00540BC3">
        <w:t xml:space="preserve">Standard international outcomes: </w:t>
      </w:r>
    </w:p>
    <w:p w:rsidRPr="00540BC3" w:rsidR="00BD47B7" w:rsidP="00BD47B7" w:rsidRDefault="00BD47B7" w14:paraId="57A730A4" w14:textId="77777777">
      <w:pPr>
        <w:numPr>
          <w:ilvl w:val="0"/>
          <w:numId w:val="5"/>
        </w:numPr>
      </w:pPr>
      <w:r w:rsidRPr="00540BC3">
        <w:t>Lost</w:t>
      </w:r>
    </w:p>
    <w:p w:rsidRPr="00540BC3" w:rsidR="00BD47B7" w:rsidP="00BD47B7" w:rsidRDefault="00BD47B7" w14:paraId="4401F65E" w14:textId="77777777">
      <w:pPr>
        <w:numPr>
          <w:ilvl w:val="0"/>
          <w:numId w:val="5"/>
        </w:numPr>
      </w:pPr>
      <w:r w:rsidRPr="00540BC3">
        <w:t>Abandoned</w:t>
      </w:r>
    </w:p>
    <w:p w:rsidRPr="00540BC3" w:rsidR="00BD47B7" w:rsidP="00BD47B7" w:rsidRDefault="00BD47B7" w14:paraId="1A55587B" w14:textId="77777777">
      <w:pPr>
        <w:numPr>
          <w:ilvl w:val="0"/>
          <w:numId w:val="5"/>
        </w:numPr>
      </w:pPr>
      <w:r w:rsidRPr="00540BC3">
        <w:t>Died</w:t>
      </w:r>
    </w:p>
    <w:p w:rsidRPr="00540BC3" w:rsidR="00BD47B7" w:rsidP="00BD47B7" w:rsidRDefault="00BD47B7" w14:paraId="5730227A" w14:textId="77777777">
      <w:pPr>
        <w:numPr>
          <w:ilvl w:val="0"/>
          <w:numId w:val="5"/>
        </w:numPr>
      </w:pPr>
      <w:r w:rsidRPr="00540BC3">
        <w:t>Stopped for medical reasons</w:t>
      </w:r>
    </w:p>
    <w:p w:rsidRPr="00540BC3" w:rsidR="00BD47B7" w:rsidP="00BD47B7" w:rsidRDefault="00BD47B7" w14:paraId="6CA77A35" w14:textId="77777777">
      <w:pPr>
        <w:numPr>
          <w:ilvl w:val="0"/>
          <w:numId w:val="5"/>
        </w:numPr>
      </w:pPr>
      <w:r w:rsidRPr="00540BC3">
        <w:t xml:space="preserve">Completed treatment  </w:t>
      </w:r>
    </w:p>
    <w:p w:rsidR="00BD47B7" w:rsidP="000730C2" w:rsidRDefault="00BD47B7" w14:paraId="110BCF72" w14:textId="77777777">
      <w:pPr>
        <w:tabs>
          <w:tab w:val="left" w:pos="360"/>
          <w:tab w:val="left" w:pos="720"/>
        </w:tabs>
        <w:ind w:right="-18"/>
        <w:rPr>
          <w:rFonts w:cs="Goudy Old Style"/>
        </w:rPr>
      </w:pPr>
    </w:p>
    <w:p w:rsidRPr="009967E0" w:rsidR="008445A7" w:rsidP="009967E0" w:rsidRDefault="008445A7" w14:paraId="59605C48" w14:textId="6EEF9E20">
      <w:pPr>
        <w:pStyle w:val="Heading1"/>
      </w:pPr>
      <w:bookmarkStart w:name="_Toc457380470" w:id="7"/>
      <w:r w:rsidRPr="009967E0">
        <w:t>Methods to Maximize Response Rates and Deal with No Response</w:t>
      </w:r>
      <w:bookmarkEnd w:id="7"/>
      <w:r w:rsidRPr="009967E0">
        <w:t xml:space="preserve"> </w:t>
      </w:r>
    </w:p>
    <w:p w:rsidRPr="009967E0" w:rsidR="00EA6119" w:rsidP="008445A7" w:rsidRDefault="00EA6119" w14:paraId="60C121D4" w14:textId="77777777"/>
    <w:p w:rsidRPr="009967E0" w:rsidR="000730C2" w:rsidP="000730C2" w:rsidRDefault="00242F51" w14:paraId="6C3B9C87" w14:textId="688CBD98">
      <w:r w:rsidRPr="009967E0">
        <w:t xml:space="preserve">Reports to </w:t>
      </w:r>
      <w:proofErr w:type="spellStart"/>
      <w:r w:rsidRPr="009967E0">
        <w:t>CureTB</w:t>
      </w:r>
      <w:proofErr w:type="spellEnd"/>
      <w:r w:rsidRPr="009967E0">
        <w:t xml:space="preserve"> are </w:t>
      </w:r>
      <w:r w:rsidRPr="009967E0" w:rsidR="00816162">
        <w:t>not mandatory</w:t>
      </w:r>
      <w:r w:rsidRPr="009967E0" w:rsidR="005B0162">
        <w:t>, however health departments are required to provide outcome information for each patient diagnosed in their jurisdiction</w:t>
      </w:r>
      <w:r w:rsidRPr="00F012F1" w:rsidR="005B0162">
        <w:t xml:space="preserve">. Health departments are aware that </w:t>
      </w:r>
      <w:proofErr w:type="spellStart"/>
      <w:r w:rsidRPr="00F012F1" w:rsidR="005B0162">
        <w:t>CureTB</w:t>
      </w:r>
      <w:proofErr w:type="spellEnd"/>
      <w:r w:rsidRPr="00F012F1" w:rsidR="005B0162">
        <w:t xml:space="preserve"> can provide outcome information for patients who move outside of the US</w:t>
      </w:r>
      <w:r w:rsidRPr="009967E0" w:rsidR="005B0162">
        <w:t>, which is otherwise extremely difficult for individual health departments to collect</w:t>
      </w:r>
      <w:r w:rsidRPr="009967E0" w:rsidR="00816162">
        <w:t xml:space="preserve">.  Respondents voluntarily connect with </w:t>
      </w:r>
      <w:proofErr w:type="spellStart"/>
      <w:r w:rsidRPr="009967E0" w:rsidR="00816162">
        <w:t>CureTB</w:t>
      </w:r>
      <w:proofErr w:type="spellEnd"/>
      <w:r w:rsidRPr="009967E0" w:rsidR="00816162">
        <w:t xml:space="preserve"> for continuity of care services</w:t>
      </w:r>
      <w:r w:rsidRPr="009967E0" w:rsidR="005B0162">
        <w:t xml:space="preserve">, not only to assure they get outcome information, but also to assure that their patients are connected to curative services because health department TB programs are in the business of patient-centered care and maximizing successful outcomes.  </w:t>
      </w:r>
    </w:p>
    <w:p w:rsidRPr="009967E0" w:rsidR="00AD12F2" w:rsidP="008445A7" w:rsidRDefault="00AD12F2" w14:paraId="429153EA" w14:textId="77777777"/>
    <w:p w:rsidRPr="009967E0" w:rsidR="008445A7" w:rsidP="009967E0" w:rsidRDefault="008445A7" w14:paraId="5C4D1092" w14:textId="3B36248F">
      <w:pPr>
        <w:pStyle w:val="Heading1"/>
      </w:pPr>
      <w:bookmarkStart w:name="_Toc457380471" w:id="8"/>
      <w:r w:rsidRPr="009967E0">
        <w:t>Tests of Procedures or Methods to be Undertaken</w:t>
      </w:r>
      <w:bookmarkEnd w:id="8"/>
      <w:r w:rsidRPr="009967E0">
        <w:t xml:space="preserve"> </w:t>
      </w:r>
    </w:p>
    <w:p w:rsidRPr="009967E0" w:rsidR="00EA6119" w:rsidP="008445A7" w:rsidRDefault="00EA6119" w14:paraId="1381A5B5" w14:textId="77777777"/>
    <w:p w:rsidRPr="009967E0" w:rsidR="000E0F08" w:rsidP="000E0F08" w:rsidRDefault="009102AD" w14:paraId="6FBEBD1C" w14:textId="74BC146D">
      <w:pPr>
        <w:pStyle w:val="Default"/>
        <w:rPr>
          <w:rFonts w:ascii="Times New Roman" w:hAnsi="Times New Roman" w:eastAsia="Times New Roman" w:cs="Goudy Old Style"/>
          <w:color w:val="auto"/>
        </w:rPr>
      </w:pPr>
      <w:r>
        <w:rPr>
          <w:rFonts w:ascii="Times New Roman" w:hAnsi="Times New Roman" w:eastAsia="Times New Roman" w:cs="Goudy Old Style"/>
          <w:color w:val="auto"/>
        </w:rPr>
        <w:t>Based on efforts in TB referral services</w:t>
      </w:r>
      <w:r w:rsidR="00654507">
        <w:rPr>
          <w:rFonts w:ascii="Times New Roman" w:hAnsi="Times New Roman" w:eastAsia="Times New Roman" w:cs="Goudy Old Style"/>
          <w:color w:val="auto"/>
        </w:rPr>
        <w:t xml:space="preserve"> over the last year</w:t>
      </w:r>
      <w:r>
        <w:rPr>
          <w:rFonts w:ascii="Times New Roman" w:hAnsi="Times New Roman" w:eastAsia="Times New Roman" w:cs="Goudy Old Style"/>
          <w:color w:val="auto"/>
        </w:rPr>
        <w:t>,</w:t>
      </w:r>
      <w:r w:rsidRPr="009967E0" w:rsidR="001277D4">
        <w:rPr>
          <w:rFonts w:ascii="Times New Roman" w:hAnsi="Times New Roman" w:eastAsia="Times New Roman" w:cs="Goudy Old Style"/>
          <w:color w:val="auto"/>
        </w:rPr>
        <w:t xml:space="preserve"> </w:t>
      </w:r>
      <w:proofErr w:type="spellStart"/>
      <w:r w:rsidRPr="009967E0" w:rsidR="00816162">
        <w:rPr>
          <w:rFonts w:ascii="Times New Roman" w:hAnsi="Times New Roman" w:eastAsia="Times New Roman" w:cs="Goudy Old Style"/>
          <w:color w:val="auto"/>
        </w:rPr>
        <w:t>CureTB</w:t>
      </w:r>
      <w:proofErr w:type="spellEnd"/>
      <w:r w:rsidRPr="009967E0" w:rsidR="00816162">
        <w:rPr>
          <w:rFonts w:ascii="Times New Roman" w:hAnsi="Times New Roman" w:eastAsia="Times New Roman" w:cs="Goudy Old Style"/>
          <w:color w:val="auto"/>
        </w:rPr>
        <w:t xml:space="preserve"> </w:t>
      </w:r>
      <w:r w:rsidRPr="009967E0" w:rsidR="001277D4">
        <w:rPr>
          <w:rFonts w:ascii="Times New Roman" w:hAnsi="Times New Roman" w:eastAsia="Times New Roman" w:cs="Goudy Old Style"/>
          <w:color w:val="auto"/>
        </w:rPr>
        <w:t xml:space="preserve">receives </w:t>
      </w:r>
      <w:r w:rsidRPr="009D39BC">
        <w:rPr>
          <w:rFonts w:ascii="Times New Roman" w:hAnsi="Times New Roman" w:eastAsia="Times New Roman" w:cs="Goudy Old Style"/>
          <w:color w:val="auto"/>
        </w:rPr>
        <w:t xml:space="preserve">about </w:t>
      </w:r>
      <w:r w:rsidR="00BC3BB0">
        <w:rPr>
          <w:rFonts w:ascii="Times New Roman" w:hAnsi="Times New Roman" w:eastAsia="Times New Roman" w:cs="Goudy Old Style"/>
          <w:color w:val="auto"/>
        </w:rPr>
        <w:t>1,160</w:t>
      </w:r>
      <w:r w:rsidRPr="009967E0" w:rsidR="00BC3BB0">
        <w:rPr>
          <w:rFonts w:ascii="Times New Roman" w:hAnsi="Times New Roman" w:eastAsia="Times New Roman" w:cs="Goudy Old Style"/>
          <w:color w:val="auto"/>
        </w:rPr>
        <w:t xml:space="preserve"> </w:t>
      </w:r>
      <w:r w:rsidRPr="009967E0" w:rsidR="001277D4">
        <w:rPr>
          <w:rFonts w:ascii="Times New Roman" w:hAnsi="Times New Roman" w:eastAsia="Times New Roman" w:cs="Goudy Old Style"/>
          <w:color w:val="auto"/>
        </w:rPr>
        <w:t>referrals for continuity of care</w:t>
      </w:r>
      <w:r>
        <w:rPr>
          <w:rFonts w:ascii="Times New Roman" w:hAnsi="Times New Roman" w:eastAsia="Times New Roman" w:cs="Goudy Old Style"/>
          <w:color w:val="auto"/>
        </w:rPr>
        <w:t xml:space="preserve"> per year</w:t>
      </w:r>
      <w:r w:rsidRPr="009967E0" w:rsidR="001277D4">
        <w:rPr>
          <w:rFonts w:ascii="Times New Roman" w:hAnsi="Times New Roman" w:eastAsia="Times New Roman" w:cs="Goudy Old Style"/>
          <w:color w:val="auto"/>
        </w:rPr>
        <w:t>.  Each referral is entered into an</w:t>
      </w:r>
      <w:r w:rsidR="00654507">
        <w:rPr>
          <w:rFonts w:ascii="Times New Roman" w:hAnsi="Times New Roman" w:eastAsia="Times New Roman" w:cs="Goudy Old Style"/>
          <w:color w:val="auto"/>
        </w:rPr>
        <w:t xml:space="preserve"> internal password protected spreadsheet</w:t>
      </w:r>
      <w:r w:rsidRPr="009967E0" w:rsidR="001277D4">
        <w:rPr>
          <w:rFonts w:ascii="Times New Roman" w:hAnsi="Times New Roman" w:eastAsia="Times New Roman" w:cs="Goudy Old Style"/>
          <w:color w:val="auto"/>
        </w:rPr>
        <w:t xml:space="preserve"> </w:t>
      </w:r>
      <w:r w:rsidR="00654507">
        <w:rPr>
          <w:rFonts w:ascii="Times New Roman" w:hAnsi="Times New Roman" w:eastAsia="Times New Roman" w:cs="Goudy Old Style"/>
          <w:color w:val="auto"/>
        </w:rPr>
        <w:t xml:space="preserve">for tracking </w:t>
      </w:r>
      <w:proofErr w:type="gramStart"/>
      <w:r w:rsidRPr="00F012F1" w:rsidR="004B6A83">
        <w:rPr>
          <w:rFonts w:ascii="Times New Roman" w:hAnsi="Times New Roman" w:eastAsia="Times New Roman" w:cs="Goudy Old Style"/>
          <w:color w:val="auto"/>
        </w:rPr>
        <w:t>The</w:t>
      </w:r>
      <w:proofErr w:type="gramEnd"/>
      <w:r w:rsidRPr="00F012F1" w:rsidR="004B6A83">
        <w:rPr>
          <w:rFonts w:ascii="Times New Roman" w:hAnsi="Times New Roman" w:eastAsia="Times New Roman" w:cs="Goudy Old Style"/>
          <w:color w:val="auto"/>
        </w:rPr>
        <w:t xml:space="preserve"> process is that information is shared with health authorities in the location where the patient will be </w:t>
      </w:r>
      <w:r w:rsidRPr="009967E0" w:rsidR="004B6A83">
        <w:rPr>
          <w:rFonts w:ascii="Times New Roman" w:hAnsi="Times New Roman" w:eastAsia="Times New Roman" w:cs="Goudy Old Style"/>
          <w:color w:val="auto"/>
        </w:rPr>
        <w:t xml:space="preserve">returning to so that they can be prepared to continue the patient’s care.  The patient is contacted by </w:t>
      </w:r>
      <w:proofErr w:type="spellStart"/>
      <w:r w:rsidRPr="009967E0" w:rsidR="004B6A83">
        <w:rPr>
          <w:rFonts w:ascii="Times New Roman" w:hAnsi="Times New Roman" w:eastAsia="Times New Roman" w:cs="Goudy Old Style"/>
          <w:color w:val="auto"/>
        </w:rPr>
        <w:t>CureTB</w:t>
      </w:r>
      <w:proofErr w:type="spellEnd"/>
      <w:r w:rsidRPr="009967E0" w:rsidR="004B6A83">
        <w:rPr>
          <w:rFonts w:ascii="Times New Roman" w:hAnsi="Times New Roman" w:eastAsia="Times New Roman" w:cs="Goudy Old Style"/>
          <w:color w:val="auto"/>
        </w:rPr>
        <w:t xml:space="preserve"> to assure they understand the arrangements </w:t>
      </w:r>
      <w:r w:rsidRPr="009967E0" w:rsidR="004B6A83">
        <w:rPr>
          <w:rFonts w:ascii="Times New Roman" w:hAnsi="Times New Roman" w:eastAsia="Times New Roman" w:cs="Goudy Old Style"/>
          <w:color w:val="auto"/>
        </w:rPr>
        <w:lastRenderedPageBreak/>
        <w:t>being made on their behalf and the importance of continuity of care</w:t>
      </w:r>
      <w:r w:rsidR="00F012F1">
        <w:rPr>
          <w:rFonts w:ascii="Times New Roman" w:hAnsi="Times New Roman" w:eastAsia="Times New Roman" w:cs="Goudy Old Style"/>
          <w:color w:val="auto"/>
        </w:rPr>
        <w:t>, and to collect any missing information in their referral file</w:t>
      </w:r>
      <w:r w:rsidRPr="00F012F1" w:rsidR="004B6A83">
        <w:rPr>
          <w:rFonts w:ascii="Times New Roman" w:hAnsi="Times New Roman" w:eastAsia="Times New Roman" w:cs="Goudy Old Style"/>
          <w:color w:val="auto"/>
        </w:rPr>
        <w:t xml:space="preserve">.  Once the patient moves, </w:t>
      </w:r>
      <w:proofErr w:type="spellStart"/>
      <w:r w:rsidRPr="00F012F1" w:rsidR="004B6A83">
        <w:rPr>
          <w:rFonts w:ascii="Times New Roman" w:hAnsi="Times New Roman" w:eastAsia="Times New Roman" w:cs="Goudy Old Style"/>
          <w:color w:val="auto"/>
        </w:rPr>
        <w:t>CureTB</w:t>
      </w:r>
      <w:proofErr w:type="spellEnd"/>
      <w:r w:rsidRPr="00F012F1" w:rsidR="004B6A83">
        <w:rPr>
          <w:rFonts w:ascii="Times New Roman" w:hAnsi="Times New Roman" w:eastAsia="Times New Roman" w:cs="Goudy Old Style"/>
          <w:color w:val="auto"/>
        </w:rPr>
        <w:t xml:space="preserve"> checks in with the patient to </w:t>
      </w:r>
      <w:r w:rsidR="000F5076">
        <w:rPr>
          <w:rFonts w:ascii="Times New Roman" w:hAnsi="Times New Roman" w:eastAsia="Times New Roman" w:cs="Goudy Old Style"/>
          <w:color w:val="auto"/>
        </w:rPr>
        <w:t>provide any support or</w:t>
      </w:r>
      <w:r w:rsidRPr="00F012F1" w:rsidR="004B6A83">
        <w:rPr>
          <w:rFonts w:ascii="Times New Roman" w:hAnsi="Times New Roman" w:eastAsia="Times New Roman" w:cs="Goudy Old Style"/>
          <w:color w:val="auto"/>
        </w:rPr>
        <w:t xml:space="preserve"> additional help.  Similarly, </w:t>
      </w:r>
      <w:proofErr w:type="spellStart"/>
      <w:r w:rsidRPr="00F012F1" w:rsidR="004B6A83">
        <w:rPr>
          <w:rFonts w:ascii="Times New Roman" w:hAnsi="Times New Roman" w:eastAsia="Times New Roman" w:cs="Goudy Old Style"/>
          <w:color w:val="auto"/>
        </w:rPr>
        <w:t>CureTB</w:t>
      </w:r>
      <w:proofErr w:type="spellEnd"/>
      <w:r w:rsidRPr="00F012F1" w:rsidR="004B6A83">
        <w:rPr>
          <w:rFonts w:ascii="Times New Roman" w:hAnsi="Times New Roman" w:eastAsia="Times New Roman" w:cs="Goudy Old Style"/>
          <w:color w:val="auto"/>
        </w:rPr>
        <w:t xml:space="preserve"> </w:t>
      </w:r>
      <w:r w:rsidRPr="009967E0" w:rsidR="004B6A83">
        <w:rPr>
          <w:rFonts w:ascii="Times New Roman" w:hAnsi="Times New Roman" w:eastAsia="Times New Roman" w:cs="Goudy Old Style"/>
          <w:color w:val="auto"/>
        </w:rPr>
        <w:t>follow</w:t>
      </w:r>
      <w:r w:rsidR="000F5076">
        <w:rPr>
          <w:rFonts w:ascii="Times New Roman" w:hAnsi="Times New Roman" w:eastAsia="Times New Roman" w:cs="Goudy Old Style"/>
          <w:color w:val="auto"/>
        </w:rPr>
        <w:t>s</w:t>
      </w:r>
      <w:r w:rsidRPr="009967E0" w:rsidR="004B6A83">
        <w:rPr>
          <w:rFonts w:ascii="Times New Roman" w:hAnsi="Times New Roman" w:eastAsia="Times New Roman" w:cs="Goudy Old Style"/>
          <w:color w:val="auto"/>
        </w:rPr>
        <w:t xml:space="preserve"> up with the </w:t>
      </w:r>
      <w:r w:rsidR="000F5076">
        <w:rPr>
          <w:rFonts w:ascii="Times New Roman" w:hAnsi="Times New Roman" w:eastAsia="Times New Roman" w:cs="Goudy Old Style"/>
          <w:color w:val="auto"/>
        </w:rPr>
        <w:t xml:space="preserve">new </w:t>
      </w:r>
      <w:r w:rsidRPr="009967E0" w:rsidR="004B6A83">
        <w:rPr>
          <w:rFonts w:ascii="Times New Roman" w:hAnsi="Times New Roman" w:eastAsia="Times New Roman" w:cs="Goudy Old Style"/>
          <w:color w:val="auto"/>
        </w:rPr>
        <w:t>provider</w:t>
      </w:r>
      <w:r>
        <w:rPr>
          <w:rFonts w:ascii="Times New Roman" w:hAnsi="Times New Roman" w:eastAsia="Times New Roman" w:cs="Goudy Old Style"/>
          <w:color w:val="auto"/>
        </w:rPr>
        <w:t xml:space="preserve"> on average every two months</w:t>
      </w:r>
      <w:r w:rsidRPr="009967E0" w:rsidR="004B6A83">
        <w:rPr>
          <w:rFonts w:ascii="Times New Roman" w:hAnsi="Times New Roman" w:eastAsia="Times New Roman" w:cs="Goudy Old Style"/>
          <w:color w:val="auto"/>
        </w:rPr>
        <w:t xml:space="preserve"> to understand the outcomes of the treatment</w:t>
      </w:r>
      <w:r>
        <w:rPr>
          <w:rFonts w:ascii="Times New Roman" w:hAnsi="Times New Roman" w:eastAsia="Times New Roman" w:cs="Goudy Old Style"/>
          <w:color w:val="auto"/>
        </w:rPr>
        <w:t xml:space="preserve"> for each referred patient</w:t>
      </w:r>
      <w:r w:rsidRPr="009967E0" w:rsidR="004B6A83">
        <w:rPr>
          <w:rFonts w:ascii="Times New Roman" w:hAnsi="Times New Roman" w:eastAsia="Times New Roman" w:cs="Goudy Old Style"/>
          <w:color w:val="auto"/>
        </w:rPr>
        <w:t>.</w:t>
      </w:r>
    </w:p>
    <w:p w:rsidRPr="009967E0" w:rsidR="00723EFD" w:rsidP="008445A7" w:rsidRDefault="00723EFD" w14:paraId="0369C965" w14:textId="77777777"/>
    <w:p w:rsidRPr="009967E0" w:rsidR="008445A7" w:rsidP="009967E0" w:rsidRDefault="008445A7" w14:paraId="0C5FE2AA" w14:textId="5D50BC4C">
      <w:pPr>
        <w:pStyle w:val="Heading1"/>
      </w:pPr>
      <w:bookmarkStart w:name="_Toc457380472" w:id="9"/>
      <w:r w:rsidRPr="009967E0">
        <w:t>Individuals Consulted on Statistical Aspects and Individuals Collecting and/or Analyzing Data</w:t>
      </w:r>
      <w:bookmarkEnd w:id="9"/>
    </w:p>
    <w:p w:rsidRPr="009967E0" w:rsidR="008445A7" w:rsidP="005422DB" w:rsidRDefault="008445A7" w14:paraId="5587455C" w14:textId="77777777">
      <w:pPr>
        <w:tabs>
          <w:tab w:val="left" w:pos="360"/>
          <w:tab w:val="left" w:pos="720"/>
        </w:tabs>
        <w:ind w:right="-18"/>
        <w:rPr>
          <w:rFonts w:cs="Goudy Old Style"/>
        </w:rPr>
      </w:pPr>
    </w:p>
    <w:p w:rsidR="0039578A" w:rsidP="005422DB" w:rsidRDefault="004E2484" w14:paraId="417CBDB4" w14:textId="77777777">
      <w:r w:rsidRPr="00F012F1">
        <w:rPr>
          <w:rFonts w:cs="Goudy Old Style"/>
        </w:rPr>
        <w:t>No statistical</w:t>
      </w:r>
      <w:r w:rsidRPr="00F012F1" w:rsidR="00072C50">
        <w:rPr>
          <w:rFonts w:cs="Goudy Old Style"/>
        </w:rPr>
        <w:t xml:space="preserve"> methods are employed in this information collection</w:t>
      </w:r>
      <w:r w:rsidRPr="00F012F1">
        <w:rPr>
          <w:rFonts w:cs="Goudy Old Style"/>
        </w:rPr>
        <w:t>.</w:t>
      </w:r>
    </w:p>
    <w:sectPr w:rsidR="003957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EEA39" w14:textId="77777777" w:rsidR="00130D4B" w:rsidRDefault="00130D4B" w:rsidP="00F3068F">
      <w:r>
        <w:separator/>
      </w:r>
    </w:p>
  </w:endnote>
  <w:endnote w:type="continuationSeparator" w:id="0">
    <w:p w14:paraId="3E7CB0FB" w14:textId="77777777" w:rsidR="00130D4B" w:rsidRDefault="00130D4B" w:rsidP="00F3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JHJ T+ Myriad Pro">
    <w:altName w:val="PGJHJ T+ 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F191" w14:textId="77777777" w:rsidR="00EB3939" w:rsidRDefault="00EB3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982841"/>
      <w:docPartObj>
        <w:docPartGallery w:val="Page Numbers (Bottom of Page)"/>
        <w:docPartUnique/>
      </w:docPartObj>
    </w:sdtPr>
    <w:sdtEndPr>
      <w:rPr>
        <w:noProof/>
      </w:rPr>
    </w:sdtEndPr>
    <w:sdtContent>
      <w:p w14:paraId="7F6AC4D9" w14:textId="77777777" w:rsidR="00D47553" w:rsidRDefault="00D47553">
        <w:pPr>
          <w:pStyle w:val="Footer"/>
        </w:pPr>
        <w:r>
          <w:fldChar w:fldCharType="begin"/>
        </w:r>
        <w:r>
          <w:instrText xml:space="preserve"> PAGE   \* MERGEFORMAT </w:instrText>
        </w:r>
        <w:r>
          <w:fldChar w:fldCharType="separate"/>
        </w:r>
        <w:r w:rsidR="00E17AD7">
          <w:rPr>
            <w:noProof/>
          </w:rPr>
          <w:t>3</w:t>
        </w:r>
        <w:r>
          <w:rPr>
            <w:noProof/>
          </w:rPr>
          <w:fldChar w:fldCharType="end"/>
        </w:r>
      </w:p>
    </w:sdtContent>
  </w:sdt>
  <w:p w14:paraId="3E0EC7B9" w14:textId="77777777" w:rsidR="00D47553" w:rsidRDefault="00D47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3242" w14:textId="77777777" w:rsidR="00EB3939" w:rsidRDefault="00EB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F4E1" w14:textId="77777777" w:rsidR="00130D4B" w:rsidRDefault="00130D4B" w:rsidP="00F3068F">
      <w:r>
        <w:separator/>
      </w:r>
    </w:p>
  </w:footnote>
  <w:footnote w:type="continuationSeparator" w:id="0">
    <w:p w14:paraId="73133D46" w14:textId="77777777" w:rsidR="00130D4B" w:rsidRDefault="00130D4B" w:rsidP="00F3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893F" w14:textId="77777777" w:rsidR="00EB3939" w:rsidRDefault="00EB3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EC60" w14:textId="77777777" w:rsidR="00EB3939" w:rsidRDefault="00EB3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A430" w14:textId="77777777" w:rsidR="00EB3939" w:rsidRDefault="00EB3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7D26"/>
    <w:multiLevelType w:val="hybridMultilevel"/>
    <w:tmpl w:val="BB786086"/>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0D73D98"/>
    <w:multiLevelType w:val="hybridMultilevel"/>
    <w:tmpl w:val="7E0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4244F"/>
    <w:multiLevelType w:val="hybridMultilevel"/>
    <w:tmpl w:val="58B0D7E8"/>
    <w:lvl w:ilvl="0" w:tplc="9C04AF3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6767E"/>
    <w:multiLevelType w:val="hybridMultilevel"/>
    <w:tmpl w:val="B1F2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DB"/>
    <w:rsid w:val="000364B2"/>
    <w:rsid w:val="00051D50"/>
    <w:rsid w:val="000571AB"/>
    <w:rsid w:val="00072C50"/>
    <w:rsid w:val="000730C2"/>
    <w:rsid w:val="00094BC7"/>
    <w:rsid w:val="000B6375"/>
    <w:rsid w:val="000D0406"/>
    <w:rsid w:val="000D771F"/>
    <w:rsid w:val="000E0F08"/>
    <w:rsid w:val="000F5076"/>
    <w:rsid w:val="001277D4"/>
    <w:rsid w:val="00130D4B"/>
    <w:rsid w:val="00136E21"/>
    <w:rsid w:val="001439A3"/>
    <w:rsid w:val="00147122"/>
    <w:rsid w:val="00172A0A"/>
    <w:rsid w:val="00180448"/>
    <w:rsid w:val="001A44F0"/>
    <w:rsid w:val="001D3F8E"/>
    <w:rsid w:val="00242F51"/>
    <w:rsid w:val="00311C99"/>
    <w:rsid w:val="0039578A"/>
    <w:rsid w:val="0043376A"/>
    <w:rsid w:val="0045624D"/>
    <w:rsid w:val="00476A43"/>
    <w:rsid w:val="004B6A83"/>
    <w:rsid w:val="004C781E"/>
    <w:rsid w:val="004D3AD2"/>
    <w:rsid w:val="004D7B72"/>
    <w:rsid w:val="004E2484"/>
    <w:rsid w:val="005422DB"/>
    <w:rsid w:val="005518CE"/>
    <w:rsid w:val="00576BE5"/>
    <w:rsid w:val="005A0B9B"/>
    <w:rsid w:val="005B0162"/>
    <w:rsid w:val="005D4C46"/>
    <w:rsid w:val="005F68F6"/>
    <w:rsid w:val="005F6BAA"/>
    <w:rsid w:val="006357B3"/>
    <w:rsid w:val="00654507"/>
    <w:rsid w:val="006C70E4"/>
    <w:rsid w:val="00723EFD"/>
    <w:rsid w:val="00733D6B"/>
    <w:rsid w:val="00775FFC"/>
    <w:rsid w:val="007F04C2"/>
    <w:rsid w:val="007F205D"/>
    <w:rsid w:val="008102A2"/>
    <w:rsid w:val="00816162"/>
    <w:rsid w:val="00820D37"/>
    <w:rsid w:val="008445A7"/>
    <w:rsid w:val="00887281"/>
    <w:rsid w:val="008D6809"/>
    <w:rsid w:val="009026C2"/>
    <w:rsid w:val="009102AD"/>
    <w:rsid w:val="00914906"/>
    <w:rsid w:val="00926245"/>
    <w:rsid w:val="009631E5"/>
    <w:rsid w:val="009967E0"/>
    <w:rsid w:val="009B115A"/>
    <w:rsid w:val="009B7AEC"/>
    <w:rsid w:val="009D39BC"/>
    <w:rsid w:val="00A173FC"/>
    <w:rsid w:val="00AC290C"/>
    <w:rsid w:val="00AD12F2"/>
    <w:rsid w:val="00AD19E8"/>
    <w:rsid w:val="00AD32A8"/>
    <w:rsid w:val="00B43025"/>
    <w:rsid w:val="00B574B5"/>
    <w:rsid w:val="00B90ADB"/>
    <w:rsid w:val="00B95D33"/>
    <w:rsid w:val="00BB09A5"/>
    <w:rsid w:val="00BC3BB0"/>
    <w:rsid w:val="00BC5EE0"/>
    <w:rsid w:val="00BC799A"/>
    <w:rsid w:val="00BD47B7"/>
    <w:rsid w:val="00C113AF"/>
    <w:rsid w:val="00C229B4"/>
    <w:rsid w:val="00CA63CF"/>
    <w:rsid w:val="00CB30EC"/>
    <w:rsid w:val="00CB3A29"/>
    <w:rsid w:val="00CB5DB6"/>
    <w:rsid w:val="00CC3D9E"/>
    <w:rsid w:val="00CD0096"/>
    <w:rsid w:val="00D026AC"/>
    <w:rsid w:val="00D47553"/>
    <w:rsid w:val="00D70A9A"/>
    <w:rsid w:val="00DD4A64"/>
    <w:rsid w:val="00E17AD7"/>
    <w:rsid w:val="00E4190D"/>
    <w:rsid w:val="00E474FB"/>
    <w:rsid w:val="00E82E5B"/>
    <w:rsid w:val="00E92CA5"/>
    <w:rsid w:val="00E92E1D"/>
    <w:rsid w:val="00EA6119"/>
    <w:rsid w:val="00EB3939"/>
    <w:rsid w:val="00F012F1"/>
    <w:rsid w:val="00F3068F"/>
    <w:rsid w:val="00F30952"/>
    <w:rsid w:val="00F5775D"/>
    <w:rsid w:val="00FA588F"/>
    <w:rsid w:val="00FD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DD3292"/>
  <w15:docId w15:val="{4192A83C-07A3-4AA5-A778-E52C3C6C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AD12F2"/>
    <w:pPr>
      <w:outlineLvl w:val="0"/>
    </w:pPr>
  </w:style>
  <w:style w:type="paragraph" w:styleId="Heading2">
    <w:name w:val="heading 2"/>
    <w:basedOn w:val="ListParagraph"/>
    <w:next w:val="Normal"/>
    <w:link w:val="Heading2Char"/>
    <w:uiPriority w:val="9"/>
    <w:unhideWhenUsed/>
    <w:qFormat/>
    <w:rsid w:val="00AD12F2"/>
    <w:pPr>
      <w:widowControl w:val="0"/>
      <w:numPr>
        <w:numId w:val="3"/>
      </w:numPr>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F68F6"/>
    <w:rPr>
      <w:rFonts w:eastAsiaTheme="minorEastAsia"/>
    </w:rPr>
  </w:style>
  <w:style w:type="character" w:styleId="CommentReference">
    <w:name w:val="annotation reference"/>
    <w:basedOn w:val="DefaultParagraphFont"/>
    <w:uiPriority w:val="99"/>
    <w:semiHidden/>
    <w:unhideWhenUsed/>
    <w:rsid w:val="000364B2"/>
    <w:rPr>
      <w:sz w:val="16"/>
      <w:szCs w:val="16"/>
    </w:rPr>
  </w:style>
  <w:style w:type="paragraph" w:styleId="CommentText">
    <w:name w:val="annotation text"/>
    <w:basedOn w:val="Normal"/>
    <w:link w:val="CommentTextChar"/>
    <w:uiPriority w:val="99"/>
    <w:unhideWhenUsed/>
    <w:rsid w:val="000364B2"/>
    <w:rPr>
      <w:sz w:val="20"/>
      <w:szCs w:val="20"/>
    </w:rPr>
  </w:style>
  <w:style w:type="character" w:customStyle="1" w:styleId="CommentTextChar">
    <w:name w:val="Comment Text Char"/>
    <w:basedOn w:val="DefaultParagraphFont"/>
    <w:link w:val="CommentText"/>
    <w:uiPriority w:val="99"/>
    <w:rsid w:val="00036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4B2"/>
    <w:rPr>
      <w:b/>
      <w:bCs/>
    </w:rPr>
  </w:style>
  <w:style w:type="character" w:customStyle="1" w:styleId="CommentSubjectChar">
    <w:name w:val="Comment Subject Char"/>
    <w:basedOn w:val="CommentTextChar"/>
    <w:link w:val="CommentSubject"/>
    <w:uiPriority w:val="99"/>
    <w:semiHidden/>
    <w:rsid w:val="000364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B2"/>
    <w:rPr>
      <w:rFonts w:ascii="Segoe UI" w:eastAsia="Times New Roman" w:hAnsi="Segoe UI" w:cs="Segoe UI"/>
      <w:sz w:val="18"/>
      <w:szCs w:val="18"/>
    </w:rPr>
  </w:style>
  <w:style w:type="paragraph" w:customStyle="1" w:styleId="Default">
    <w:name w:val="Default"/>
    <w:rsid w:val="000E0F08"/>
    <w:pPr>
      <w:autoSpaceDE w:val="0"/>
      <w:autoSpaceDN w:val="0"/>
      <w:adjustRightInd w:val="0"/>
      <w:spacing w:after="0" w:line="240" w:lineRule="auto"/>
    </w:pPr>
    <w:rPr>
      <w:rFonts w:ascii="PGJHJ T+ Myriad Pro" w:hAnsi="PGJHJ T+ Myriad Pro" w:cs="PGJHJ T+ Myriad Pro"/>
      <w:color w:val="000000"/>
      <w:sz w:val="24"/>
      <w:szCs w:val="24"/>
    </w:rPr>
  </w:style>
  <w:style w:type="paragraph" w:styleId="ListParagraph">
    <w:name w:val="List Paragraph"/>
    <w:basedOn w:val="Normal"/>
    <w:uiPriority w:val="34"/>
    <w:qFormat/>
    <w:rsid w:val="009B115A"/>
    <w:pPr>
      <w:ind w:left="720"/>
      <w:contextualSpacing/>
    </w:pPr>
  </w:style>
  <w:style w:type="paragraph" w:styleId="Footer">
    <w:name w:val="footer"/>
    <w:basedOn w:val="Normal"/>
    <w:link w:val="FooterChar"/>
    <w:uiPriority w:val="99"/>
    <w:unhideWhenUsed/>
    <w:rsid w:val="00F3068F"/>
    <w:pPr>
      <w:tabs>
        <w:tab w:val="center" w:pos="4680"/>
        <w:tab w:val="right" w:pos="9360"/>
      </w:tabs>
    </w:pPr>
  </w:style>
  <w:style w:type="character" w:customStyle="1" w:styleId="FooterChar">
    <w:name w:val="Footer Char"/>
    <w:basedOn w:val="DefaultParagraphFont"/>
    <w:link w:val="Footer"/>
    <w:uiPriority w:val="99"/>
    <w:rsid w:val="00F306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6A"/>
    <w:rPr>
      <w:color w:val="0000FF" w:themeColor="hyperlink"/>
      <w:u w:val="single"/>
    </w:rPr>
  </w:style>
  <w:style w:type="character" w:customStyle="1" w:styleId="Heading2Char">
    <w:name w:val="Heading 2 Char"/>
    <w:basedOn w:val="DefaultParagraphFont"/>
    <w:link w:val="Heading2"/>
    <w:uiPriority w:val="9"/>
    <w:rsid w:val="00AD12F2"/>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AD12F2"/>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AD12F2"/>
    <w:pPr>
      <w:keepNext/>
      <w:keepLines/>
      <w:widowControl/>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AD12F2"/>
    <w:pPr>
      <w:spacing w:after="100"/>
      <w:ind w:left="240"/>
    </w:pPr>
  </w:style>
  <w:style w:type="paragraph" w:styleId="TOC1">
    <w:name w:val="toc 1"/>
    <w:basedOn w:val="Normal"/>
    <w:next w:val="Normal"/>
    <w:autoRedefine/>
    <w:uiPriority w:val="39"/>
    <w:unhideWhenUsed/>
    <w:rsid w:val="00AD12F2"/>
    <w:pPr>
      <w:spacing w:after="100"/>
    </w:pPr>
  </w:style>
  <w:style w:type="paragraph" w:styleId="Revision">
    <w:name w:val="Revision"/>
    <w:hidden/>
    <w:uiPriority w:val="99"/>
    <w:semiHidden/>
    <w:rsid w:val="007F04C2"/>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B6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38009">
      <w:bodyDiv w:val="1"/>
      <w:marLeft w:val="0"/>
      <w:marRight w:val="0"/>
      <w:marTop w:val="0"/>
      <w:marBottom w:val="0"/>
      <w:divBdr>
        <w:top w:val="none" w:sz="0" w:space="0" w:color="auto"/>
        <w:left w:val="none" w:sz="0" w:space="0" w:color="auto"/>
        <w:bottom w:val="none" w:sz="0" w:space="0" w:color="auto"/>
        <w:right w:val="none" w:sz="0" w:space="0" w:color="auto"/>
      </w:divBdr>
    </w:div>
    <w:div w:id="101719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PFY6PPX2AYTS-2589-1308</_dlc_DocId>
    <_dlc_DocIdUrl xmlns="81daf041-c113-401c-bf82-107f5d396711">
      <Url>https://esp.cdc.gov/sites/ncezid/OD/policy/PRA/_layouts/15/DocIdRedir.aspx?ID=PFY6PPX2AYTS-2589-1308</Url>
      <Description>PFY6PPX2AYTS-2589-1308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FD4F-FCC9-4175-88A1-53E99B53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3FDC5-BD31-4693-88CC-E5F801B92126}">
  <ds:schemaRefs>
    <ds:schemaRef ds:uri="http://schemas.microsoft.com/sharepoint/events"/>
  </ds:schemaRefs>
</ds:datastoreItem>
</file>

<file path=customXml/itemProps3.xml><?xml version="1.0" encoding="utf-8"?>
<ds:datastoreItem xmlns:ds="http://schemas.openxmlformats.org/officeDocument/2006/customXml" ds:itemID="{7CE572ED-C7E3-47CF-A4D2-6BF64B485903}">
  <ds:schemaRefs>
    <ds:schemaRef ds:uri="http://schemas.microsoft.com/sharepoint/v3/contenttype/forms"/>
  </ds:schemaRefs>
</ds:datastoreItem>
</file>

<file path=customXml/itemProps4.xml><?xml version="1.0" encoding="utf-8"?>
<ds:datastoreItem xmlns:ds="http://schemas.openxmlformats.org/officeDocument/2006/customXml" ds:itemID="{7335462E-5206-4EB5-BF70-77FD0B9D118D}">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d335559b-c20a-4874-978e-77d2be77e01f"/>
    <ds:schemaRef ds:uri="http://purl.org/dc/term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776D7B91-AC31-4CD0-A7EB-C326AE2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Macaluso, Renita (CDC/DDPHSS/OS/OSI)</cp:lastModifiedBy>
  <cp:revision>5</cp:revision>
  <dcterms:created xsi:type="dcterms:W3CDTF">2020-06-01T15:45:00Z</dcterms:created>
  <dcterms:modified xsi:type="dcterms:W3CDTF">2020-06-01T18:18:00Z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41165178-58ed-4f8b-b594-a9d6e58ac28e</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wmg9@cdc.gov</vt:lpwstr>
  </property>
  <property fmtid="{D5CDD505-2E9C-101B-9397-08002B2CF9AE}" pid="7" name="MSIP_Label_7b94a7b8-f06c-4dfe-bdcc-9b548fd58c31_SetDate">
    <vt:lpwstr>2020-05-27T13:31:43.6290371Z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0aaddbf9-c03d-4c7e-aa54-ef5a13575833</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