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7F81" w:rsidP="004D48F5" w:rsidRDefault="00B77F81" w14:paraId="69FDDA4A" w14:textId="5411D528">
      <w:pPr>
        <w:spacing w:after="0"/>
        <w:rPr>
          <w:rFonts w:ascii="Times New Roman" w:hAnsi="Times New Roman" w:cs="Times New Roman"/>
          <w:b/>
          <w:sz w:val="24"/>
          <w:szCs w:val="24"/>
        </w:rPr>
      </w:pPr>
    </w:p>
    <w:p w:rsidRPr="007976D5" w:rsidR="00FF7689" w:rsidP="004D48F5" w:rsidRDefault="00FF7689" w14:paraId="4B2B3EFD" w14:textId="77777777">
      <w:pPr>
        <w:spacing w:after="0"/>
        <w:rPr>
          <w:rFonts w:ascii="Times New Roman" w:hAnsi="Times New Roman" w:cs="Times New Roman"/>
          <w:b/>
          <w:sz w:val="24"/>
          <w:szCs w:val="24"/>
        </w:rPr>
      </w:pPr>
    </w:p>
    <w:p w:rsidRPr="007976D5" w:rsidR="004D48F5" w:rsidP="009B6527" w:rsidRDefault="004D48F5" w14:paraId="4AAC3F58" w14:textId="77777777">
      <w:pPr>
        <w:spacing w:after="0"/>
        <w:rPr>
          <w:rFonts w:ascii="Times New Roman" w:hAnsi="Times New Roman" w:cs="Times New Roman"/>
          <w:sz w:val="24"/>
          <w:szCs w:val="24"/>
        </w:rPr>
      </w:pPr>
    </w:p>
    <w:p w:rsidRPr="007976D5" w:rsidR="00D41C68" w:rsidP="004D48F5" w:rsidRDefault="00D41C68" w14:paraId="4D06F37A" w14:textId="77777777">
      <w:pPr>
        <w:spacing w:after="0"/>
        <w:jc w:val="center"/>
        <w:rPr>
          <w:rFonts w:ascii="Times New Roman" w:hAnsi="Times New Roman" w:cs="Times New Roman"/>
          <w:b/>
          <w:sz w:val="24"/>
          <w:szCs w:val="24"/>
        </w:rPr>
      </w:pPr>
    </w:p>
    <w:p w:rsidRPr="00E059CA" w:rsidR="003A0E59" w:rsidP="000C0493" w:rsidRDefault="003A0E59" w14:paraId="1EB7675D" w14:textId="77777777">
      <w:pPr>
        <w:spacing w:after="0"/>
        <w:jc w:val="center"/>
        <w:rPr>
          <w:rFonts w:ascii="Times New Roman" w:hAnsi="Times New Roman" w:eastAsia="Calibri" w:cs="Times New Roman"/>
          <w:b/>
          <w:sz w:val="40"/>
          <w:szCs w:val="40"/>
        </w:rPr>
      </w:pPr>
      <w:r w:rsidRPr="00E059CA">
        <w:rPr>
          <w:rFonts w:ascii="Times New Roman" w:hAnsi="Times New Roman" w:eastAsia="Calibri" w:cs="Times New Roman"/>
          <w:b/>
          <w:sz w:val="40"/>
          <w:szCs w:val="40"/>
        </w:rPr>
        <w:t>Information</w:t>
      </w:r>
      <w:r w:rsidRPr="00E059CA" w:rsidR="004D48F5">
        <w:rPr>
          <w:rFonts w:ascii="Times New Roman" w:hAnsi="Times New Roman" w:eastAsia="Calibri" w:cs="Times New Roman"/>
          <w:b/>
          <w:sz w:val="40"/>
          <w:szCs w:val="40"/>
        </w:rPr>
        <w:t xml:space="preserve"> Collection for</w:t>
      </w:r>
      <w:r w:rsidRPr="00E059CA" w:rsidR="00534F7B">
        <w:rPr>
          <w:rFonts w:ascii="Times New Roman" w:hAnsi="Times New Roman" w:eastAsia="Calibri" w:cs="Times New Roman"/>
          <w:b/>
          <w:sz w:val="40"/>
          <w:szCs w:val="40"/>
        </w:rPr>
        <w:t xml:space="preserve"> </w:t>
      </w:r>
      <w:r w:rsidRPr="00E059CA" w:rsidR="000C0493">
        <w:rPr>
          <w:rFonts w:ascii="Times New Roman" w:hAnsi="Times New Roman" w:eastAsia="Calibri" w:cs="Times New Roman"/>
          <w:b/>
          <w:sz w:val="40"/>
          <w:szCs w:val="40"/>
        </w:rPr>
        <w:t xml:space="preserve">Tuberculosis Data from </w:t>
      </w:r>
      <w:r w:rsidRPr="00E059CA" w:rsidR="00DB1387">
        <w:rPr>
          <w:rFonts w:ascii="Times New Roman" w:hAnsi="Times New Roman" w:eastAsia="Calibri" w:cs="Times New Roman"/>
          <w:b/>
          <w:sz w:val="40"/>
          <w:szCs w:val="40"/>
        </w:rPr>
        <w:t xml:space="preserve">Referring Entities to </w:t>
      </w:r>
      <w:proofErr w:type="spellStart"/>
      <w:r w:rsidRPr="00E059CA" w:rsidR="00DB1387">
        <w:rPr>
          <w:rFonts w:ascii="Times New Roman" w:hAnsi="Times New Roman" w:eastAsia="Calibri" w:cs="Times New Roman"/>
          <w:b/>
          <w:sz w:val="40"/>
          <w:szCs w:val="40"/>
        </w:rPr>
        <w:t>CureTB</w:t>
      </w:r>
      <w:proofErr w:type="spellEnd"/>
    </w:p>
    <w:p w:rsidRPr="00E059CA" w:rsidR="003A0E59" w:rsidP="004D48F5" w:rsidRDefault="003A0E59" w14:paraId="7D051EAB" w14:textId="77777777">
      <w:pPr>
        <w:spacing w:after="0"/>
        <w:jc w:val="center"/>
        <w:rPr>
          <w:rFonts w:ascii="Times New Roman" w:hAnsi="Times New Roman" w:eastAsia="Calibri" w:cs="Times New Roman"/>
          <w:b/>
          <w:sz w:val="24"/>
          <w:szCs w:val="24"/>
        </w:rPr>
      </w:pPr>
    </w:p>
    <w:p w:rsidRPr="00713D4D" w:rsidR="00713D4D" w:rsidP="00713D4D" w:rsidRDefault="00713D4D" w14:paraId="143723AD" w14:textId="1FF0321E">
      <w:pPr>
        <w:spacing w:after="0" w:line="240" w:lineRule="auto"/>
        <w:jc w:val="center"/>
        <w:outlineLvl w:val="2"/>
        <w:rPr>
          <w:rFonts w:ascii="Times New Roman" w:hAnsi="Times New Roman" w:eastAsia="Calibri" w:cs="Times New Roman"/>
          <w:sz w:val="32"/>
          <w:szCs w:val="32"/>
        </w:rPr>
      </w:pPr>
      <w:bookmarkStart w:name="_Toc473880016" w:id="0"/>
      <w:r w:rsidRPr="00713D4D">
        <w:rPr>
          <w:rFonts w:ascii="Times New Roman" w:hAnsi="Times New Roman" w:eastAsia="Calibri" w:cs="Times New Roman"/>
          <w:sz w:val="32"/>
          <w:szCs w:val="32"/>
        </w:rPr>
        <w:t>Request for OMB approval of a Revision</w:t>
      </w:r>
      <w:r>
        <w:rPr>
          <w:rFonts w:ascii="Times New Roman" w:hAnsi="Times New Roman" w:eastAsia="Calibri" w:cs="Times New Roman"/>
          <w:sz w:val="32"/>
          <w:szCs w:val="32"/>
        </w:rPr>
        <w:t xml:space="preserve"> </w:t>
      </w:r>
      <w:r w:rsidRPr="00713D4D">
        <w:rPr>
          <w:rFonts w:ascii="Times New Roman" w:hAnsi="Times New Roman" w:eastAsia="Calibri" w:cs="Times New Roman"/>
          <w:sz w:val="32"/>
          <w:szCs w:val="32"/>
        </w:rPr>
        <w:t>Information Collection</w:t>
      </w:r>
      <w:bookmarkEnd w:id="0"/>
      <w:r w:rsidRPr="00713D4D">
        <w:rPr>
          <w:rFonts w:ascii="Times New Roman" w:hAnsi="Times New Roman" w:eastAsia="Calibri" w:cs="Times New Roman"/>
          <w:sz w:val="32"/>
          <w:szCs w:val="32"/>
        </w:rPr>
        <w:t xml:space="preserve"> </w:t>
      </w:r>
      <w:r>
        <w:rPr>
          <w:rFonts w:ascii="Times New Roman" w:hAnsi="Times New Roman" w:eastAsia="Calibri" w:cs="Times New Roman"/>
          <w:sz w:val="32"/>
          <w:szCs w:val="32"/>
        </w:rPr>
        <w:t>(OMB Control No. 0920-1186)</w:t>
      </w:r>
    </w:p>
    <w:p w:rsidRPr="00E059CA" w:rsidR="004D48F5" w:rsidP="004D48F5" w:rsidRDefault="004D48F5" w14:paraId="78D4E9D1" w14:textId="77777777">
      <w:pPr>
        <w:spacing w:after="0"/>
        <w:rPr>
          <w:rFonts w:ascii="Times New Roman" w:hAnsi="Times New Roman" w:cs="Times New Roman"/>
          <w:b/>
          <w:sz w:val="24"/>
          <w:szCs w:val="24"/>
        </w:rPr>
      </w:pPr>
    </w:p>
    <w:p w:rsidRPr="00713D4D" w:rsidR="00713D4D" w:rsidP="00E051BF" w:rsidRDefault="00DC7715" w14:paraId="509752F7" w14:textId="57A4737E">
      <w:pPr>
        <w:jc w:val="center"/>
        <w:rPr>
          <w:rFonts w:ascii="Times New Roman" w:hAnsi="Times New Roman" w:eastAsia="Calibri" w:cs="Times New Roman"/>
          <w:sz w:val="24"/>
        </w:rPr>
      </w:pPr>
      <w:r>
        <w:rPr>
          <w:rFonts w:ascii="Times New Roman" w:hAnsi="Times New Roman" w:eastAsia="Calibri" w:cs="Times New Roman"/>
          <w:b/>
          <w:sz w:val="24"/>
        </w:rPr>
        <w:t>June 1</w:t>
      </w:r>
      <w:r w:rsidR="00F04A91">
        <w:rPr>
          <w:rFonts w:ascii="Times New Roman" w:hAnsi="Times New Roman" w:eastAsia="Calibri" w:cs="Times New Roman"/>
          <w:b/>
          <w:sz w:val="24"/>
        </w:rPr>
        <w:t>5</w:t>
      </w:r>
      <w:r w:rsidR="00E051BF">
        <w:rPr>
          <w:rFonts w:ascii="Times New Roman" w:hAnsi="Times New Roman" w:eastAsia="Calibri" w:cs="Times New Roman"/>
          <w:b/>
          <w:sz w:val="24"/>
        </w:rPr>
        <w:t>, 2020</w:t>
      </w:r>
    </w:p>
    <w:p w:rsidRPr="00713D4D" w:rsidR="00713D4D" w:rsidP="00713D4D" w:rsidRDefault="00713D4D" w14:paraId="5856BDF9" w14:textId="77777777">
      <w:pPr>
        <w:rPr>
          <w:rFonts w:ascii="Times New Roman" w:hAnsi="Times New Roman" w:eastAsia="Calibri" w:cs="Times New Roman"/>
          <w:sz w:val="24"/>
        </w:rPr>
      </w:pPr>
    </w:p>
    <w:p w:rsidRPr="00713D4D" w:rsidR="00713D4D" w:rsidP="00713D4D" w:rsidRDefault="00713D4D" w14:paraId="12C2D70C" w14:textId="77777777">
      <w:pPr>
        <w:rPr>
          <w:rFonts w:ascii="Times New Roman" w:hAnsi="Times New Roman" w:eastAsia="Calibri" w:cs="Times New Roman"/>
          <w:sz w:val="24"/>
        </w:rPr>
      </w:pPr>
    </w:p>
    <w:p w:rsidRPr="00713D4D" w:rsidR="00713D4D" w:rsidP="00713D4D" w:rsidRDefault="00713D4D" w14:paraId="57C095D0" w14:textId="77777777">
      <w:pPr>
        <w:spacing w:after="0" w:line="240" w:lineRule="auto"/>
        <w:jc w:val="center"/>
        <w:rPr>
          <w:rFonts w:ascii="Times New Roman" w:hAnsi="Times New Roman" w:eastAsia="Calibri" w:cs="Times New Roman"/>
          <w:b/>
          <w:sz w:val="24"/>
        </w:rPr>
      </w:pPr>
    </w:p>
    <w:p w:rsidRPr="00713D4D" w:rsidR="00713D4D" w:rsidP="00713D4D" w:rsidRDefault="00713D4D" w14:paraId="12403E15" w14:textId="77777777">
      <w:pPr>
        <w:spacing w:after="0" w:line="240" w:lineRule="auto"/>
        <w:jc w:val="center"/>
        <w:outlineLvl w:val="3"/>
        <w:rPr>
          <w:rFonts w:ascii="Times New Roman" w:hAnsi="Times New Roman" w:eastAsia="Calibri" w:cs="Times New Roman"/>
          <w:b/>
          <w:sz w:val="24"/>
        </w:rPr>
      </w:pPr>
      <w:r w:rsidRPr="00713D4D">
        <w:rPr>
          <w:rFonts w:ascii="Times New Roman" w:hAnsi="Times New Roman" w:eastAsia="Calibri" w:cs="Times New Roman"/>
          <w:b/>
          <w:sz w:val="24"/>
        </w:rPr>
        <w:t xml:space="preserve">Supporting </w:t>
      </w:r>
      <w:proofErr w:type="gramStart"/>
      <w:r w:rsidRPr="00713D4D">
        <w:rPr>
          <w:rFonts w:ascii="Times New Roman" w:hAnsi="Times New Roman" w:eastAsia="Calibri" w:cs="Times New Roman"/>
          <w:b/>
          <w:sz w:val="24"/>
        </w:rPr>
        <w:t>Statement</w:t>
      </w:r>
      <w:proofErr w:type="gramEnd"/>
      <w:r w:rsidRPr="00713D4D">
        <w:rPr>
          <w:rFonts w:ascii="Times New Roman" w:hAnsi="Times New Roman" w:eastAsia="Calibri" w:cs="Times New Roman"/>
          <w:b/>
          <w:sz w:val="24"/>
        </w:rPr>
        <w:t xml:space="preserve"> A</w:t>
      </w:r>
    </w:p>
    <w:p w:rsidRPr="00E059CA" w:rsidR="004D48F5" w:rsidP="004D48F5" w:rsidRDefault="004D48F5" w14:paraId="3A6BAA62" w14:textId="77777777">
      <w:pPr>
        <w:spacing w:after="0"/>
        <w:rPr>
          <w:rFonts w:ascii="Times New Roman" w:hAnsi="Times New Roman" w:cs="Times New Roman"/>
          <w:b/>
          <w:sz w:val="24"/>
          <w:szCs w:val="24"/>
        </w:rPr>
      </w:pPr>
    </w:p>
    <w:p w:rsidRPr="00E059CA" w:rsidR="008A637E" w:rsidP="004D48F5" w:rsidRDefault="008A637E" w14:paraId="4F7457BA" w14:textId="77777777">
      <w:pPr>
        <w:spacing w:after="0"/>
        <w:rPr>
          <w:rFonts w:ascii="Times New Roman" w:hAnsi="Times New Roman" w:cs="Times New Roman"/>
          <w:b/>
          <w:sz w:val="24"/>
          <w:szCs w:val="24"/>
        </w:rPr>
      </w:pPr>
    </w:p>
    <w:p w:rsidRPr="00E059CA" w:rsidR="008A637E" w:rsidP="004D48F5" w:rsidRDefault="008A637E" w14:paraId="3D566A83" w14:textId="77777777">
      <w:pPr>
        <w:spacing w:after="0"/>
        <w:rPr>
          <w:rFonts w:ascii="Times New Roman" w:hAnsi="Times New Roman" w:cs="Times New Roman"/>
          <w:b/>
          <w:sz w:val="24"/>
          <w:szCs w:val="24"/>
        </w:rPr>
      </w:pPr>
    </w:p>
    <w:p w:rsidRPr="00E059CA" w:rsidR="008A637E" w:rsidP="004D48F5" w:rsidRDefault="008A637E" w14:paraId="37410BAB" w14:textId="77777777">
      <w:pPr>
        <w:spacing w:after="0"/>
        <w:rPr>
          <w:rFonts w:ascii="Times New Roman" w:hAnsi="Times New Roman" w:cs="Times New Roman"/>
          <w:b/>
          <w:sz w:val="24"/>
          <w:szCs w:val="24"/>
        </w:rPr>
      </w:pPr>
    </w:p>
    <w:p w:rsidRPr="00E059CA" w:rsidR="008A637E" w:rsidP="004D48F5" w:rsidRDefault="008A637E" w14:paraId="55695E0F" w14:textId="77777777">
      <w:pPr>
        <w:spacing w:after="0"/>
        <w:rPr>
          <w:rFonts w:ascii="Times New Roman" w:hAnsi="Times New Roman" w:cs="Times New Roman"/>
          <w:b/>
          <w:sz w:val="24"/>
          <w:szCs w:val="24"/>
        </w:rPr>
      </w:pPr>
    </w:p>
    <w:p w:rsidRPr="00E059CA" w:rsidR="008A637E" w:rsidP="004D48F5" w:rsidRDefault="008A637E" w14:paraId="464A5578" w14:textId="77777777">
      <w:pPr>
        <w:spacing w:after="0"/>
        <w:rPr>
          <w:rFonts w:ascii="Times New Roman" w:hAnsi="Times New Roman" w:cs="Times New Roman"/>
          <w:b/>
          <w:sz w:val="24"/>
          <w:szCs w:val="24"/>
        </w:rPr>
      </w:pPr>
    </w:p>
    <w:p w:rsidRPr="00E059CA" w:rsidR="008A637E" w:rsidP="004D48F5" w:rsidRDefault="008A637E" w14:paraId="2CBDA547" w14:textId="77777777">
      <w:pPr>
        <w:spacing w:after="0"/>
        <w:rPr>
          <w:rFonts w:ascii="Times New Roman" w:hAnsi="Times New Roman" w:cs="Times New Roman"/>
          <w:b/>
          <w:sz w:val="24"/>
          <w:szCs w:val="24"/>
        </w:rPr>
      </w:pPr>
    </w:p>
    <w:p w:rsidRPr="00E059CA" w:rsidR="008A637E" w:rsidP="004D48F5" w:rsidRDefault="008A637E" w14:paraId="027A4F9E" w14:textId="77777777">
      <w:pPr>
        <w:spacing w:after="0"/>
        <w:rPr>
          <w:rFonts w:ascii="Times New Roman" w:hAnsi="Times New Roman" w:cs="Times New Roman"/>
          <w:b/>
          <w:sz w:val="24"/>
          <w:szCs w:val="24"/>
        </w:rPr>
      </w:pPr>
    </w:p>
    <w:p w:rsidRPr="00E059CA" w:rsidR="008A637E" w:rsidP="004D48F5" w:rsidRDefault="008A637E" w14:paraId="294D0411" w14:textId="77777777">
      <w:pPr>
        <w:spacing w:after="0"/>
        <w:rPr>
          <w:rFonts w:ascii="Times New Roman" w:hAnsi="Times New Roman" w:cs="Times New Roman"/>
          <w:b/>
          <w:sz w:val="24"/>
          <w:szCs w:val="24"/>
        </w:rPr>
      </w:pPr>
    </w:p>
    <w:p w:rsidRPr="00E059CA" w:rsidR="008A637E" w:rsidP="004D48F5" w:rsidRDefault="008A637E" w14:paraId="0AA1C557" w14:textId="77777777">
      <w:pPr>
        <w:spacing w:after="0"/>
        <w:rPr>
          <w:rFonts w:ascii="Times New Roman" w:hAnsi="Times New Roman" w:cs="Times New Roman"/>
          <w:b/>
          <w:sz w:val="24"/>
          <w:szCs w:val="24"/>
        </w:rPr>
      </w:pPr>
    </w:p>
    <w:p w:rsidRPr="00E059CA" w:rsidR="008A637E" w:rsidP="004D48F5" w:rsidRDefault="008A637E" w14:paraId="7B1C57D2" w14:textId="77777777">
      <w:pPr>
        <w:spacing w:after="0"/>
        <w:rPr>
          <w:rFonts w:ascii="Times New Roman" w:hAnsi="Times New Roman" w:cs="Times New Roman"/>
          <w:b/>
          <w:sz w:val="24"/>
          <w:szCs w:val="24"/>
        </w:rPr>
      </w:pPr>
    </w:p>
    <w:p w:rsidRPr="00E059CA" w:rsidR="00B36623" w:rsidP="004D48F5" w:rsidRDefault="00B36623" w14:paraId="0F202227" w14:textId="77777777">
      <w:pPr>
        <w:spacing w:after="0"/>
        <w:rPr>
          <w:rFonts w:ascii="Times New Roman" w:hAnsi="Times New Roman" w:cs="Times New Roman"/>
          <w:b/>
          <w:sz w:val="24"/>
          <w:szCs w:val="24"/>
        </w:rPr>
      </w:pPr>
    </w:p>
    <w:p w:rsidRPr="00713D4D" w:rsidR="004D48F5" w:rsidP="004D48F5" w:rsidRDefault="00713D4D" w14:paraId="7E7A4C5F" w14:textId="5DC2C591">
      <w:pPr>
        <w:spacing w:after="0"/>
        <w:rPr>
          <w:rFonts w:ascii="Times New Roman" w:hAnsi="Times New Roman" w:cs="Times New Roman"/>
          <w:sz w:val="24"/>
          <w:szCs w:val="24"/>
        </w:rPr>
      </w:pPr>
      <w:r w:rsidRPr="00713D4D">
        <w:rPr>
          <w:rFonts w:ascii="Times New Roman" w:hAnsi="Times New Roman" w:cs="Times New Roman"/>
          <w:b/>
          <w:sz w:val="24"/>
          <w:szCs w:val="24"/>
        </w:rPr>
        <w:t>Contact:</w:t>
      </w:r>
    </w:p>
    <w:p w:rsidR="000C7EC9" w:rsidP="000C7EC9" w:rsidRDefault="004C58DD" w14:paraId="48A65E20" w14:textId="51CE0737">
      <w:pPr>
        <w:spacing w:after="0" w:line="240" w:lineRule="auto"/>
        <w:rPr>
          <w:rFonts w:ascii="Times New Roman" w:hAnsi="Times New Roman" w:cs="Times New Roman"/>
          <w:bCs/>
          <w:sz w:val="24"/>
          <w:szCs w:val="24"/>
        </w:rPr>
      </w:pPr>
      <w:r>
        <w:rPr>
          <w:rFonts w:ascii="Times New Roman" w:hAnsi="Times New Roman" w:cs="Times New Roman"/>
          <w:bCs/>
          <w:sz w:val="24"/>
          <w:szCs w:val="24"/>
        </w:rPr>
        <w:t>Amy McMillen</w:t>
      </w:r>
    </w:p>
    <w:p w:rsidRPr="000C7EC9" w:rsidR="004C58DD" w:rsidP="000C7EC9" w:rsidRDefault="004C58DD" w14:paraId="67F79E52" w14:textId="7C05FADB">
      <w:pPr>
        <w:spacing w:after="0" w:line="240" w:lineRule="auto"/>
        <w:rPr>
          <w:rFonts w:ascii="Times New Roman" w:hAnsi="Times New Roman" w:cs="Times New Roman"/>
          <w:bCs/>
          <w:sz w:val="24"/>
          <w:szCs w:val="24"/>
        </w:rPr>
      </w:pPr>
      <w:r>
        <w:rPr>
          <w:rFonts w:ascii="Times New Roman" w:hAnsi="Times New Roman" w:cs="Times New Roman"/>
          <w:bCs/>
          <w:sz w:val="24"/>
          <w:szCs w:val="24"/>
        </w:rPr>
        <w:t>Office of Policy and Planning</w:t>
      </w:r>
    </w:p>
    <w:p w:rsidRPr="000C7EC9" w:rsidR="000C7EC9" w:rsidP="000C7EC9" w:rsidRDefault="000C7EC9" w14:paraId="0D59596F" w14:textId="4A65C3CC">
      <w:pPr>
        <w:spacing w:after="0" w:line="240" w:lineRule="auto"/>
        <w:rPr>
          <w:rFonts w:ascii="Times New Roman" w:hAnsi="Times New Roman" w:cs="Times New Roman"/>
          <w:bCs/>
          <w:sz w:val="24"/>
          <w:szCs w:val="24"/>
        </w:rPr>
      </w:pPr>
      <w:bookmarkStart w:name="_Hlk37090622" w:id="1"/>
      <w:r w:rsidRPr="000C7EC9">
        <w:rPr>
          <w:rFonts w:ascii="Times New Roman" w:hAnsi="Times New Roman" w:cs="Times New Roman"/>
          <w:bCs/>
          <w:sz w:val="24"/>
          <w:szCs w:val="24"/>
        </w:rPr>
        <w:t>National Center for Emerging and Zoonotic Infectious Diseases (NCEZID)</w:t>
      </w:r>
    </w:p>
    <w:p w:rsidRPr="000C7EC9" w:rsidR="000C7EC9" w:rsidP="000C7EC9" w:rsidRDefault="000C7EC9" w14:paraId="37C8B2D1" w14:textId="77777777">
      <w:pPr>
        <w:spacing w:after="0" w:line="240" w:lineRule="auto"/>
        <w:rPr>
          <w:rFonts w:ascii="Times New Roman" w:hAnsi="Times New Roman" w:cs="Times New Roman"/>
          <w:bCs/>
          <w:sz w:val="24"/>
          <w:szCs w:val="24"/>
        </w:rPr>
      </w:pPr>
      <w:r w:rsidRPr="000C7EC9">
        <w:rPr>
          <w:rFonts w:ascii="Times New Roman" w:hAnsi="Times New Roman" w:cs="Times New Roman"/>
          <w:bCs/>
          <w:sz w:val="24"/>
          <w:szCs w:val="24"/>
        </w:rPr>
        <w:t>Centers for Disease Control and Prevention</w:t>
      </w:r>
    </w:p>
    <w:p w:rsidRPr="000C7EC9" w:rsidR="000C7EC9" w:rsidP="000C7EC9" w:rsidRDefault="000C7EC9" w14:paraId="2980DE4F" w14:textId="19E9ECA3">
      <w:pPr>
        <w:spacing w:after="0" w:line="240" w:lineRule="auto"/>
        <w:rPr>
          <w:rFonts w:ascii="Times New Roman" w:hAnsi="Times New Roman" w:cs="Times New Roman"/>
          <w:bCs/>
          <w:sz w:val="24"/>
          <w:szCs w:val="24"/>
        </w:rPr>
      </w:pPr>
      <w:r w:rsidRPr="000C7EC9">
        <w:rPr>
          <w:rFonts w:ascii="Times New Roman" w:hAnsi="Times New Roman" w:cs="Times New Roman"/>
          <w:bCs/>
          <w:sz w:val="24"/>
          <w:szCs w:val="24"/>
        </w:rPr>
        <w:t>1600 Clifton Road NE, MS H16-</w:t>
      </w:r>
      <w:r w:rsidR="004C58DD">
        <w:rPr>
          <w:rFonts w:ascii="Times New Roman" w:hAnsi="Times New Roman" w:cs="Times New Roman"/>
          <w:bCs/>
          <w:sz w:val="24"/>
          <w:szCs w:val="24"/>
        </w:rPr>
        <w:t>5</w:t>
      </w:r>
    </w:p>
    <w:p w:rsidRPr="000C7EC9" w:rsidR="000C7EC9" w:rsidP="000C7EC9" w:rsidRDefault="000C7EC9" w14:paraId="4FDD4322" w14:textId="77777777">
      <w:pPr>
        <w:spacing w:after="0" w:line="240" w:lineRule="auto"/>
        <w:rPr>
          <w:rFonts w:ascii="Times New Roman" w:hAnsi="Times New Roman" w:cs="Times New Roman"/>
          <w:bCs/>
          <w:sz w:val="24"/>
          <w:szCs w:val="24"/>
        </w:rPr>
      </w:pPr>
      <w:r w:rsidRPr="000C7EC9">
        <w:rPr>
          <w:rFonts w:ascii="Times New Roman" w:hAnsi="Times New Roman" w:cs="Times New Roman"/>
          <w:bCs/>
          <w:sz w:val="24"/>
          <w:szCs w:val="24"/>
        </w:rPr>
        <w:t xml:space="preserve">Atlanta, Georgia 30329-4027 </w:t>
      </w:r>
    </w:p>
    <w:p w:rsidRPr="000C7EC9" w:rsidR="000C7EC9" w:rsidP="000C7EC9" w:rsidRDefault="000C7EC9" w14:paraId="76653F4C" w14:textId="385B402D">
      <w:pPr>
        <w:spacing w:after="0" w:line="240" w:lineRule="auto"/>
        <w:rPr>
          <w:rFonts w:ascii="Times New Roman" w:hAnsi="Times New Roman" w:cs="Times New Roman"/>
          <w:bCs/>
          <w:sz w:val="24"/>
          <w:szCs w:val="24"/>
        </w:rPr>
      </w:pPr>
      <w:r w:rsidRPr="000C7EC9">
        <w:rPr>
          <w:rFonts w:ascii="Times New Roman" w:hAnsi="Times New Roman" w:cs="Times New Roman"/>
          <w:bCs/>
          <w:sz w:val="24"/>
          <w:szCs w:val="24"/>
        </w:rPr>
        <w:t xml:space="preserve">Phone: </w:t>
      </w:r>
      <w:r w:rsidR="004C58DD">
        <w:rPr>
          <w:rFonts w:ascii="Times New Roman" w:hAnsi="Times New Roman" w:cs="Times New Roman"/>
          <w:bCs/>
          <w:sz w:val="24"/>
          <w:szCs w:val="24"/>
        </w:rPr>
        <w:t>(404) 639-1045</w:t>
      </w:r>
    </w:p>
    <w:p w:rsidR="00E9108E" w:rsidP="00E9108E" w:rsidRDefault="000C7EC9" w14:paraId="42DE79D4" w14:textId="343F3554">
      <w:pPr>
        <w:rPr>
          <w:rFonts w:ascii="Times New Roman" w:hAnsi="Times New Roman" w:cs="Times New Roman"/>
          <w:bCs/>
          <w:sz w:val="24"/>
          <w:szCs w:val="24"/>
        </w:rPr>
      </w:pPr>
      <w:r w:rsidRPr="000C7EC9">
        <w:rPr>
          <w:rFonts w:ascii="Times New Roman" w:hAnsi="Times New Roman" w:cs="Times New Roman"/>
          <w:bCs/>
          <w:sz w:val="24"/>
          <w:szCs w:val="24"/>
        </w:rPr>
        <w:t xml:space="preserve">Email: </w:t>
      </w:r>
      <w:r w:rsidR="004C58DD">
        <w:rPr>
          <w:rFonts w:ascii="Times New Roman" w:hAnsi="Times New Roman" w:cs="Times New Roman"/>
          <w:bCs/>
          <w:sz w:val="24"/>
          <w:szCs w:val="24"/>
        </w:rPr>
        <w:t>auh1</w:t>
      </w:r>
      <w:r w:rsidRPr="000C7EC9">
        <w:rPr>
          <w:rFonts w:ascii="Times New Roman" w:hAnsi="Times New Roman" w:cs="Times New Roman"/>
          <w:bCs/>
          <w:sz w:val="24"/>
          <w:szCs w:val="24"/>
        </w:rPr>
        <w:t>@cdc.gov</w:t>
      </w:r>
    </w:p>
    <w:p w:rsidRPr="00E059CA" w:rsidR="004C58DD" w:rsidP="00E9108E" w:rsidRDefault="004C58DD" w14:paraId="3C2A0F07" w14:textId="35A62B78">
      <w:pPr>
        <w:rPr>
          <w:rFonts w:ascii="Times New Roman" w:hAnsi="Times New Roman" w:cs="Times New Roman"/>
          <w:b/>
          <w:sz w:val="24"/>
          <w:szCs w:val="24"/>
        </w:rPr>
        <w:sectPr w:rsidRPr="00E059CA" w:rsidR="004C58DD" w:rsidSect="00B45600">
          <w:headerReference w:type="even" r:id="rId12"/>
          <w:headerReference w:type="default" r:id="rId13"/>
          <w:footerReference w:type="even" r:id="rId14"/>
          <w:footerReference w:type="default" r:id="rId15"/>
          <w:headerReference w:type="first" r:id="rId16"/>
          <w:footerReference w:type="first" r:id="rId17"/>
          <w:pgSz w:w="12240" w:h="15840" w:code="1"/>
          <w:pgMar w:top="1440" w:right="1008" w:bottom="1008" w:left="1440" w:header="720" w:footer="720" w:gutter="0"/>
          <w:cols w:space="720"/>
          <w:noEndnote/>
          <w:titlePg/>
        </w:sectPr>
      </w:pPr>
    </w:p>
    <w:bookmarkEnd w:displacedByCustomXml="next" w:id="1"/>
    <w:sdt>
      <w:sdtPr>
        <w:rPr>
          <w:rFonts w:ascii="Times New Roman" w:hAnsi="Times New Roman" w:eastAsia="Times New Roman" w:cs="Times New Roman"/>
          <w:b w:val="0"/>
          <w:bCs w:val="0"/>
          <w:color w:val="auto"/>
          <w:sz w:val="22"/>
          <w:szCs w:val="22"/>
        </w:rPr>
        <w:id w:val="126347713"/>
        <w:docPartObj>
          <w:docPartGallery w:val="Table of Contents"/>
          <w:docPartUnique/>
        </w:docPartObj>
      </w:sdtPr>
      <w:sdtEndPr/>
      <w:sdtContent>
        <w:p w:rsidRPr="00E059CA" w:rsidR="009E4483" w:rsidP="00A54DA5" w:rsidRDefault="009E4483" w14:paraId="348F4980" w14:textId="4CBB4293">
          <w:pPr>
            <w:pStyle w:val="TOCHeading"/>
            <w:jc w:val="center"/>
            <w:rPr>
              <w:rFonts w:ascii="Times New Roman" w:hAnsi="Times New Roman" w:eastAsia="Times New Roman" w:cs="Times New Roman"/>
              <w:bCs w:val="0"/>
              <w:color w:val="auto"/>
              <w:sz w:val="22"/>
              <w:szCs w:val="22"/>
            </w:rPr>
          </w:pPr>
          <w:r w:rsidRPr="00E059CA">
            <w:rPr>
              <w:rFonts w:ascii="Times New Roman" w:hAnsi="Times New Roman" w:eastAsia="Times New Roman" w:cs="Times New Roman"/>
              <w:bCs w:val="0"/>
              <w:color w:val="auto"/>
              <w:sz w:val="22"/>
              <w:szCs w:val="22"/>
            </w:rPr>
            <w:t>TABLE OF CONTENTS</w:t>
          </w:r>
        </w:p>
        <w:p w:rsidRPr="00E059CA" w:rsidR="00B36623" w:rsidRDefault="009E4483" w14:paraId="780371B0" w14:textId="71F1F1F2">
          <w:pPr>
            <w:pStyle w:val="TOC1"/>
            <w:rPr>
              <w:rFonts w:eastAsiaTheme="minorEastAsia"/>
              <w:noProof/>
              <w:sz w:val="22"/>
              <w:szCs w:val="22"/>
            </w:rPr>
          </w:pPr>
          <w:r w:rsidRPr="00E059CA">
            <w:rPr>
              <w:sz w:val="22"/>
              <w:szCs w:val="22"/>
            </w:rPr>
            <w:fldChar w:fldCharType="begin"/>
          </w:r>
          <w:r w:rsidRPr="00E059CA">
            <w:rPr>
              <w:sz w:val="22"/>
              <w:szCs w:val="22"/>
            </w:rPr>
            <w:instrText xml:space="preserve"> TOC \o "1-3" \h \z \u </w:instrText>
          </w:r>
          <w:r w:rsidRPr="00E059CA">
            <w:rPr>
              <w:sz w:val="22"/>
              <w:szCs w:val="22"/>
            </w:rPr>
            <w:fldChar w:fldCharType="separate"/>
          </w:r>
          <w:hyperlink w:history="1" w:anchor="_Toc457379296">
            <w:r w:rsidRPr="00E059CA" w:rsidR="00B36623">
              <w:rPr>
                <w:noProof/>
                <w:webHidden/>
                <w:sz w:val="22"/>
                <w:szCs w:val="22"/>
              </w:rPr>
              <w:tab/>
            </w:r>
          </w:hyperlink>
        </w:p>
        <w:p w:rsidRPr="00E059CA" w:rsidR="00B36623" w:rsidRDefault="00F04A91" w14:paraId="372D6400" w14:textId="7846523D">
          <w:pPr>
            <w:pStyle w:val="TOC2"/>
            <w:tabs>
              <w:tab w:val="right" w:leader="dot" w:pos="9350"/>
            </w:tabs>
            <w:rPr>
              <w:rFonts w:ascii="Times New Roman" w:hAnsi="Times New Roman" w:cs="Times New Roman"/>
              <w:noProof/>
            </w:rPr>
          </w:pPr>
          <w:hyperlink w:history="1" w:anchor="_Toc457379298">
            <w:r w:rsidRPr="00E059CA" w:rsidR="00B36623">
              <w:rPr>
                <w:rStyle w:val="Hyperlink"/>
                <w:rFonts w:ascii="Times New Roman" w:hAnsi="Times New Roman" w:cs="Times New Roman"/>
                <w:noProof/>
              </w:rPr>
              <w:t>1. Circumstances Making the Collection of Information Necessary</w:t>
            </w:r>
            <w:r w:rsidRPr="00E059CA" w:rsidR="00B36623">
              <w:rPr>
                <w:rFonts w:ascii="Times New Roman" w:hAnsi="Times New Roman" w:cs="Times New Roman"/>
                <w:noProof/>
                <w:webHidden/>
              </w:rPr>
              <w:tab/>
            </w:r>
            <w:r w:rsidRPr="00E059CA" w:rsidR="00B36623">
              <w:rPr>
                <w:rFonts w:ascii="Times New Roman" w:hAnsi="Times New Roman" w:cs="Times New Roman"/>
                <w:noProof/>
                <w:webHidden/>
              </w:rPr>
              <w:fldChar w:fldCharType="begin"/>
            </w:r>
            <w:r w:rsidRPr="00E059CA" w:rsidR="00B36623">
              <w:rPr>
                <w:rFonts w:ascii="Times New Roman" w:hAnsi="Times New Roman" w:cs="Times New Roman"/>
                <w:noProof/>
                <w:webHidden/>
              </w:rPr>
              <w:instrText xml:space="preserve"> PAGEREF _Toc457379298 \h </w:instrText>
            </w:r>
            <w:r w:rsidRPr="00E059CA" w:rsidR="00B36623">
              <w:rPr>
                <w:rFonts w:ascii="Times New Roman" w:hAnsi="Times New Roman" w:cs="Times New Roman"/>
                <w:noProof/>
                <w:webHidden/>
              </w:rPr>
            </w:r>
            <w:r w:rsidRPr="00E059CA" w:rsidR="00B36623">
              <w:rPr>
                <w:rFonts w:ascii="Times New Roman" w:hAnsi="Times New Roman" w:cs="Times New Roman"/>
                <w:noProof/>
                <w:webHidden/>
              </w:rPr>
              <w:fldChar w:fldCharType="separate"/>
            </w:r>
            <w:r w:rsidR="004C7514">
              <w:rPr>
                <w:rFonts w:ascii="Times New Roman" w:hAnsi="Times New Roman" w:cs="Times New Roman"/>
                <w:noProof/>
                <w:webHidden/>
              </w:rPr>
              <w:t>3</w:t>
            </w:r>
            <w:r w:rsidRPr="00E059CA" w:rsidR="00B36623">
              <w:rPr>
                <w:rFonts w:ascii="Times New Roman" w:hAnsi="Times New Roman" w:cs="Times New Roman"/>
                <w:noProof/>
                <w:webHidden/>
              </w:rPr>
              <w:fldChar w:fldCharType="end"/>
            </w:r>
          </w:hyperlink>
        </w:p>
        <w:p w:rsidRPr="00E059CA" w:rsidR="00B36623" w:rsidRDefault="00F04A91" w14:paraId="63621F9A" w14:textId="40D9F327">
          <w:pPr>
            <w:pStyle w:val="TOC2"/>
            <w:tabs>
              <w:tab w:val="right" w:leader="dot" w:pos="9350"/>
            </w:tabs>
            <w:rPr>
              <w:rFonts w:ascii="Times New Roman" w:hAnsi="Times New Roman" w:cs="Times New Roman"/>
              <w:noProof/>
            </w:rPr>
          </w:pPr>
          <w:hyperlink w:history="1" w:anchor="_Toc457379299">
            <w:r w:rsidRPr="00E059CA" w:rsidR="00B36623">
              <w:rPr>
                <w:rStyle w:val="Hyperlink"/>
                <w:rFonts w:ascii="Times New Roman" w:hAnsi="Times New Roman" w:cs="Times New Roman"/>
                <w:noProof/>
              </w:rPr>
              <w:t>2. Purpose and Use of Information Collection</w:t>
            </w:r>
            <w:r w:rsidRPr="00E059CA" w:rsidR="00B36623">
              <w:rPr>
                <w:rFonts w:ascii="Times New Roman" w:hAnsi="Times New Roman" w:cs="Times New Roman"/>
                <w:noProof/>
                <w:webHidden/>
              </w:rPr>
              <w:tab/>
            </w:r>
            <w:r w:rsidRPr="00E059CA" w:rsidR="00B36623">
              <w:rPr>
                <w:rFonts w:ascii="Times New Roman" w:hAnsi="Times New Roman" w:cs="Times New Roman"/>
                <w:noProof/>
                <w:webHidden/>
              </w:rPr>
              <w:fldChar w:fldCharType="begin"/>
            </w:r>
            <w:r w:rsidRPr="00E059CA" w:rsidR="00B36623">
              <w:rPr>
                <w:rFonts w:ascii="Times New Roman" w:hAnsi="Times New Roman" w:cs="Times New Roman"/>
                <w:noProof/>
                <w:webHidden/>
              </w:rPr>
              <w:instrText xml:space="preserve"> PAGEREF _Toc457379299 \h </w:instrText>
            </w:r>
            <w:r w:rsidRPr="00E059CA" w:rsidR="00B36623">
              <w:rPr>
                <w:rFonts w:ascii="Times New Roman" w:hAnsi="Times New Roman" w:cs="Times New Roman"/>
                <w:noProof/>
                <w:webHidden/>
              </w:rPr>
            </w:r>
            <w:r w:rsidRPr="00E059CA" w:rsidR="00B36623">
              <w:rPr>
                <w:rFonts w:ascii="Times New Roman" w:hAnsi="Times New Roman" w:cs="Times New Roman"/>
                <w:noProof/>
                <w:webHidden/>
              </w:rPr>
              <w:fldChar w:fldCharType="separate"/>
            </w:r>
            <w:r w:rsidR="004C7514">
              <w:rPr>
                <w:rFonts w:ascii="Times New Roman" w:hAnsi="Times New Roman" w:cs="Times New Roman"/>
                <w:noProof/>
                <w:webHidden/>
              </w:rPr>
              <w:t>5</w:t>
            </w:r>
            <w:r w:rsidRPr="00E059CA" w:rsidR="00B36623">
              <w:rPr>
                <w:rFonts w:ascii="Times New Roman" w:hAnsi="Times New Roman" w:cs="Times New Roman"/>
                <w:noProof/>
                <w:webHidden/>
              </w:rPr>
              <w:fldChar w:fldCharType="end"/>
            </w:r>
          </w:hyperlink>
        </w:p>
        <w:p w:rsidRPr="00E059CA" w:rsidR="00B36623" w:rsidRDefault="00F04A91" w14:paraId="46633B59" w14:textId="5920A402">
          <w:pPr>
            <w:pStyle w:val="TOC2"/>
            <w:tabs>
              <w:tab w:val="right" w:leader="dot" w:pos="9350"/>
            </w:tabs>
            <w:rPr>
              <w:rFonts w:ascii="Times New Roman" w:hAnsi="Times New Roman" w:cs="Times New Roman"/>
              <w:noProof/>
            </w:rPr>
          </w:pPr>
          <w:hyperlink w:history="1" w:anchor="_Toc457379300">
            <w:r w:rsidRPr="00E059CA" w:rsidR="00B36623">
              <w:rPr>
                <w:rStyle w:val="Hyperlink"/>
                <w:rFonts w:ascii="Times New Roman" w:hAnsi="Times New Roman" w:cs="Times New Roman"/>
                <w:noProof/>
              </w:rPr>
              <w:t>3. Use of Improved Information Technology and Burden Reduction</w:t>
            </w:r>
            <w:r w:rsidRPr="00E059CA" w:rsidR="00B36623">
              <w:rPr>
                <w:rFonts w:ascii="Times New Roman" w:hAnsi="Times New Roman" w:cs="Times New Roman"/>
                <w:noProof/>
                <w:webHidden/>
              </w:rPr>
              <w:tab/>
            </w:r>
            <w:r w:rsidRPr="00E059CA" w:rsidR="00B36623">
              <w:rPr>
                <w:rFonts w:ascii="Times New Roman" w:hAnsi="Times New Roman" w:cs="Times New Roman"/>
                <w:noProof/>
                <w:webHidden/>
              </w:rPr>
              <w:fldChar w:fldCharType="begin"/>
            </w:r>
            <w:r w:rsidRPr="00E059CA" w:rsidR="00B36623">
              <w:rPr>
                <w:rFonts w:ascii="Times New Roman" w:hAnsi="Times New Roman" w:cs="Times New Roman"/>
                <w:noProof/>
                <w:webHidden/>
              </w:rPr>
              <w:instrText xml:space="preserve"> PAGEREF _Toc457379300 \h </w:instrText>
            </w:r>
            <w:r w:rsidRPr="00E059CA" w:rsidR="00B36623">
              <w:rPr>
                <w:rFonts w:ascii="Times New Roman" w:hAnsi="Times New Roman" w:cs="Times New Roman"/>
                <w:noProof/>
                <w:webHidden/>
              </w:rPr>
            </w:r>
            <w:r w:rsidRPr="00E059CA" w:rsidR="00B36623">
              <w:rPr>
                <w:rFonts w:ascii="Times New Roman" w:hAnsi="Times New Roman" w:cs="Times New Roman"/>
                <w:noProof/>
                <w:webHidden/>
              </w:rPr>
              <w:fldChar w:fldCharType="separate"/>
            </w:r>
            <w:r w:rsidR="004C7514">
              <w:rPr>
                <w:rFonts w:ascii="Times New Roman" w:hAnsi="Times New Roman" w:cs="Times New Roman"/>
                <w:noProof/>
                <w:webHidden/>
              </w:rPr>
              <w:t>6</w:t>
            </w:r>
            <w:r w:rsidRPr="00E059CA" w:rsidR="00B36623">
              <w:rPr>
                <w:rFonts w:ascii="Times New Roman" w:hAnsi="Times New Roman" w:cs="Times New Roman"/>
                <w:noProof/>
                <w:webHidden/>
              </w:rPr>
              <w:fldChar w:fldCharType="end"/>
            </w:r>
          </w:hyperlink>
        </w:p>
        <w:p w:rsidRPr="00E059CA" w:rsidR="00B36623" w:rsidRDefault="00F04A91" w14:paraId="67E8AE74" w14:textId="536FF0C4">
          <w:pPr>
            <w:pStyle w:val="TOC2"/>
            <w:tabs>
              <w:tab w:val="right" w:leader="dot" w:pos="9350"/>
            </w:tabs>
            <w:rPr>
              <w:rFonts w:ascii="Times New Roman" w:hAnsi="Times New Roman" w:cs="Times New Roman"/>
              <w:noProof/>
            </w:rPr>
          </w:pPr>
          <w:hyperlink w:history="1" w:anchor="_Toc457379301">
            <w:r w:rsidRPr="00E059CA" w:rsidR="00B36623">
              <w:rPr>
                <w:rStyle w:val="Hyperlink"/>
                <w:rFonts w:ascii="Times New Roman" w:hAnsi="Times New Roman" w:cs="Times New Roman"/>
                <w:noProof/>
              </w:rPr>
              <w:t>4. Efforts to Identify Duplication and Use of Similar Information</w:t>
            </w:r>
            <w:r w:rsidRPr="00E059CA" w:rsidR="00B36623">
              <w:rPr>
                <w:rFonts w:ascii="Times New Roman" w:hAnsi="Times New Roman" w:cs="Times New Roman"/>
                <w:noProof/>
                <w:webHidden/>
              </w:rPr>
              <w:tab/>
            </w:r>
            <w:r w:rsidRPr="00E059CA" w:rsidR="00B36623">
              <w:rPr>
                <w:rFonts w:ascii="Times New Roman" w:hAnsi="Times New Roman" w:cs="Times New Roman"/>
                <w:noProof/>
                <w:webHidden/>
              </w:rPr>
              <w:fldChar w:fldCharType="begin"/>
            </w:r>
            <w:r w:rsidRPr="00E059CA" w:rsidR="00B36623">
              <w:rPr>
                <w:rFonts w:ascii="Times New Roman" w:hAnsi="Times New Roman" w:cs="Times New Roman"/>
                <w:noProof/>
                <w:webHidden/>
              </w:rPr>
              <w:instrText xml:space="preserve"> PAGEREF _Toc457379301 \h </w:instrText>
            </w:r>
            <w:r w:rsidRPr="00E059CA" w:rsidR="00B36623">
              <w:rPr>
                <w:rFonts w:ascii="Times New Roman" w:hAnsi="Times New Roman" w:cs="Times New Roman"/>
                <w:noProof/>
                <w:webHidden/>
              </w:rPr>
            </w:r>
            <w:r w:rsidRPr="00E059CA" w:rsidR="00B36623">
              <w:rPr>
                <w:rFonts w:ascii="Times New Roman" w:hAnsi="Times New Roman" w:cs="Times New Roman"/>
                <w:noProof/>
                <w:webHidden/>
              </w:rPr>
              <w:fldChar w:fldCharType="separate"/>
            </w:r>
            <w:r w:rsidR="004C7514">
              <w:rPr>
                <w:rFonts w:ascii="Times New Roman" w:hAnsi="Times New Roman" w:cs="Times New Roman"/>
                <w:noProof/>
                <w:webHidden/>
              </w:rPr>
              <w:t>7</w:t>
            </w:r>
            <w:r w:rsidRPr="00E059CA" w:rsidR="00B36623">
              <w:rPr>
                <w:rFonts w:ascii="Times New Roman" w:hAnsi="Times New Roman" w:cs="Times New Roman"/>
                <w:noProof/>
                <w:webHidden/>
              </w:rPr>
              <w:fldChar w:fldCharType="end"/>
            </w:r>
          </w:hyperlink>
        </w:p>
        <w:p w:rsidRPr="00E059CA" w:rsidR="00B36623" w:rsidRDefault="00F04A91" w14:paraId="64799246" w14:textId="79020DB8">
          <w:pPr>
            <w:pStyle w:val="TOC2"/>
            <w:tabs>
              <w:tab w:val="right" w:leader="dot" w:pos="9350"/>
            </w:tabs>
            <w:rPr>
              <w:rFonts w:ascii="Times New Roman" w:hAnsi="Times New Roman" w:cs="Times New Roman"/>
              <w:noProof/>
            </w:rPr>
          </w:pPr>
          <w:hyperlink w:history="1" w:anchor="_Toc457379302">
            <w:r w:rsidRPr="00E059CA" w:rsidR="00B36623">
              <w:rPr>
                <w:rStyle w:val="Hyperlink"/>
                <w:rFonts w:ascii="Times New Roman" w:hAnsi="Times New Roman" w:cs="Times New Roman"/>
                <w:noProof/>
              </w:rPr>
              <w:t>5. Impact on Small Businesses or Other Small Entities</w:t>
            </w:r>
            <w:r w:rsidRPr="00E059CA" w:rsidR="00B36623">
              <w:rPr>
                <w:rFonts w:ascii="Times New Roman" w:hAnsi="Times New Roman" w:cs="Times New Roman"/>
                <w:noProof/>
                <w:webHidden/>
              </w:rPr>
              <w:tab/>
            </w:r>
            <w:r w:rsidRPr="00E059CA" w:rsidR="00B36623">
              <w:rPr>
                <w:rFonts w:ascii="Times New Roman" w:hAnsi="Times New Roman" w:cs="Times New Roman"/>
                <w:noProof/>
                <w:webHidden/>
              </w:rPr>
              <w:fldChar w:fldCharType="begin"/>
            </w:r>
            <w:r w:rsidRPr="00E059CA" w:rsidR="00B36623">
              <w:rPr>
                <w:rFonts w:ascii="Times New Roman" w:hAnsi="Times New Roman" w:cs="Times New Roman"/>
                <w:noProof/>
                <w:webHidden/>
              </w:rPr>
              <w:instrText xml:space="preserve"> PAGEREF _Toc457379302 \h </w:instrText>
            </w:r>
            <w:r w:rsidRPr="00E059CA" w:rsidR="00B36623">
              <w:rPr>
                <w:rFonts w:ascii="Times New Roman" w:hAnsi="Times New Roman" w:cs="Times New Roman"/>
                <w:noProof/>
                <w:webHidden/>
              </w:rPr>
            </w:r>
            <w:r w:rsidRPr="00E059CA" w:rsidR="00B36623">
              <w:rPr>
                <w:rFonts w:ascii="Times New Roman" w:hAnsi="Times New Roman" w:cs="Times New Roman"/>
                <w:noProof/>
                <w:webHidden/>
              </w:rPr>
              <w:fldChar w:fldCharType="separate"/>
            </w:r>
            <w:r w:rsidR="004C7514">
              <w:rPr>
                <w:rFonts w:ascii="Times New Roman" w:hAnsi="Times New Roman" w:cs="Times New Roman"/>
                <w:noProof/>
                <w:webHidden/>
              </w:rPr>
              <w:t>7</w:t>
            </w:r>
            <w:r w:rsidRPr="00E059CA" w:rsidR="00B36623">
              <w:rPr>
                <w:rFonts w:ascii="Times New Roman" w:hAnsi="Times New Roman" w:cs="Times New Roman"/>
                <w:noProof/>
                <w:webHidden/>
              </w:rPr>
              <w:fldChar w:fldCharType="end"/>
            </w:r>
          </w:hyperlink>
        </w:p>
        <w:p w:rsidRPr="00E059CA" w:rsidR="00B36623" w:rsidRDefault="00F04A91" w14:paraId="26ED641E" w14:textId="37CA9A6C">
          <w:pPr>
            <w:pStyle w:val="TOC2"/>
            <w:tabs>
              <w:tab w:val="right" w:leader="dot" w:pos="9350"/>
            </w:tabs>
            <w:rPr>
              <w:rFonts w:ascii="Times New Roman" w:hAnsi="Times New Roman" w:cs="Times New Roman"/>
              <w:noProof/>
            </w:rPr>
          </w:pPr>
          <w:hyperlink w:history="1" w:anchor="_Toc457379303">
            <w:r w:rsidRPr="00E059CA" w:rsidR="00B36623">
              <w:rPr>
                <w:rStyle w:val="Hyperlink"/>
                <w:rFonts w:ascii="Times New Roman" w:hAnsi="Times New Roman" w:cs="Times New Roman"/>
                <w:noProof/>
              </w:rPr>
              <w:t>6. Consequences of Collecting the Information Less Frequently</w:t>
            </w:r>
            <w:r w:rsidRPr="00E059CA" w:rsidR="00B36623">
              <w:rPr>
                <w:rFonts w:ascii="Times New Roman" w:hAnsi="Times New Roman" w:cs="Times New Roman"/>
                <w:noProof/>
                <w:webHidden/>
              </w:rPr>
              <w:tab/>
            </w:r>
            <w:r w:rsidRPr="00E059CA" w:rsidR="00B36623">
              <w:rPr>
                <w:rFonts w:ascii="Times New Roman" w:hAnsi="Times New Roman" w:cs="Times New Roman"/>
                <w:noProof/>
                <w:webHidden/>
              </w:rPr>
              <w:fldChar w:fldCharType="begin"/>
            </w:r>
            <w:r w:rsidRPr="00E059CA" w:rsidR="00B36623">
              <w:rPr>
                <w:rFonts w:ascii="Times New Roman" w:hAnsi="Times New Roman" w:cs="Times New Roman"/>
                <w:noProof/>
                <w:webHidden/>
              </w:rPr>
              <w:instrText xml:space="preserve"> PAGEREF _Toc457379303 \h </w:instrText>
            </w:r>
            <w:r w:rsidRPr="00E059CA" w:rsidR="00B36623">
              <w:rPr>
                <w:rFonts w:ascii="Times New Roman" w:hAnsi="Times New Roman" w:cs="Times New Roman"/>
                <w:noProof/>
                <w:webHidden/>
              </w:rPr>
            </w:r>
            <w:r w:rsidRPr="00E059CA" w:rsidR="00B36623">
              <w:rPr>
                <w:rFonts w:ascii="Times New Roman" w:hAnsi="Times New Roman" w:cs="Times New Roman"/>
                <w:noProof/>
                <w:webHidden/>
              </w:rPr>
              <w:fldChar w:fldCharType="separate"/>
            </w:r>
            <w:r w:rsidR="004C7514">
              <w:rPr>
                <w:rFonts w:ascii="Times New Roman" w:hAnsi="Times New Roman" w:cs="Times New Roman"/>
                <w:noProof/>
                <w:webHidden/>
              </w:rPr>
              <w:t>7</w:t>
            </w:r>
            <w:r w:rsidRPr="00E059CA" w:rsidR="00B36623">
              <w:rPr>
                <w:rFonts w:ascii="Times New Roman" w:hAnsi="Times New Roman" w:cs="Times New Roman"/>
                <w:noProof/>
                <w:webHidden/>
              </w:rPr>
              <w:fldChar w:fldCharType="end"/>
            </w:r>
          </w:hyperlink>
        </w:p>
        <w:p w:rsidRPr="00E059CA" w:rsidR="00B36623" w:rsidRDefault="00F04A91" w14:paraId="7C26A0D2" w14:textId="07C0273B">
          <w:pPr>
            <w:pStyle w:val="TOC2"/>
            <w:tabs>
              <w:tab w:val="right" w:leader="dot" w:pos="9350"/>
            </w:tabs>
            <w:rPr>
              <w:rFonts w:ascii="Times New Roman" w:hAnsi="Times New Roman" w:cs="Times New Roman"/>
              <w:noProof/>
            </w:rPr>
          </w:pPr>
          <w:hyperlink w:history="1" w:anchor="_Toc457379304">
            <w:r w:rsidRPr="00E059CA" w:rsidR="00B36623">
              <w:rPr>
                <w:rStyle w:val="Hyperlink"/>
                <w:rFonts w:ascii="Times New Roman" w:hAnsi="Times New Roman" w:cs="Times New Roman"/>
                <w:noProof/>
              </w:rPr>
              <w:t>7. Special Circumstances Relating to the Guidelines of 5 CFR 1320.5</w:t>
            </w:r>
            <w:r w:rsidRPr="00E059CA" w:rsidR="00B36623">
              <w:rPr>
                <w:rFonts w:ascii="Times New Roman" w:hAnsi="Times New Roman" w:cs="Times New Roman"/>
                <w:noProof/>
                <w:webHidden/>
              </w:rPr>
              <w:tab/>
            </w:r>
            <w:r w:rsidRPr="00E059CA" w:rsidR="00B36623">
              <w:rPr>
                <w:rFonts w:ascii="Times New Roman" w:hAnsi="Times New Roman" w:cs="Times New Roman"/>
                <w:noProof/>
                <w:webHidden/>
              </w:rPr>
              <w:fldChar w:fldCharType="begin"/>
            </w:r>
            <w:r w:rsidRPr="00E059CA" w:rsidR="00B36623">
              <w:rPr>
                <w:rFonts w:ascii="Times New Roman" w:hAnsi="Times New Roman" w:cs="Times New Roman"/>
                <w:noProof/>
                <w:webHidden/>
              </w:rPr>
              <w:instrText xml:space="preserve"> PAGEREF _Toc457379304 \h </w:instrText>
            </w:r>
            <w:r w:rsidRPr="00E059CA" w:rsidR="00B36623">
              <w:rPr>
                <w:rFonts w:ascii="Times New Roman" w:hAnsi="Times New Roman" w:cs="Times New Roman"/>
                <w:noProof/>
                <w:webHidden/>
              </w:rPr>
            </w:r>
            <w:r w:rsidRPr="00E059CA" w:rsidR="00B36623">
              <w:rPr>
                <w:rFonts w:ascii="Times New Roman" w:hAnsi="Times New Roman" w:cs="Times New Roman"/>
                <w:noProof/>
                <w:webHidden/>
              </w:rPr>
              <w:fldChar w:fldCharType="separate"/>
            </w:r>
            <w:r w:rsidR="004C7514">
              <w:rPr>
                <w:rFonts w:ascii="Times New Roman" w:hAnsi="Times New Roman" w:cs="Times New Roman"/>
                <w:noProof/>
                <w:webHidden/>
              </w:rPr>
              <w:t>7</w:t>
            </w:r>
            <w:r w:rsidRPr="00E059CA" w:rsidR="00B36623">
              <w:rPr>
                <w:rFonts w:ascii="Times New Roman" w:hAnsi="Times New Roman" w:cs="Times New Roman"/>
                <w:noProof/>
                <w:webHidden/>
              </w:rPr>
              <w:fldChar w:fldCharType="end"/>
            </w:r>
          </w:hyperlink>
        </w:p>
        <w:p w:rsidRPr="00E059CA" w:rsidR="00B36623" w:rsidRDefault="00F04A91" w14:paraId="70F494E4" w14:textId="2FA44344">
          <w:pPr>
            <w:pStyle w:val="TOC2"/>
            <w:tabs>
              <w:tab w:val="right" w:leader="dot" w:pos="9350"/>
            </w:tabs>
            <w:rPr>
              <w:rFonts w:ascii="Times New Roman" w:hAnsi="Times New Roman" w:cs="Times New Roman"/>
              <w:noProof/>
            </w:rPr>
          </w:pPr>
          <w:hyperlink w:history="1" w:anchor="_Toc457379305">
            <w:r w:rsidRPr="00E059CA" w:rsidR="00B36623">
              <w:rPr>
                <w:rStyle w:val="Hyperlink"/>
                <w:rFonts w:ascii="Times New Roman" w:hAnsi="Times New Roman" w:cs="Times New Roman"/>
                <w:noProof/>
              </w:rPr>
              <w:t>8. Comments in Response to the Federal Register Notice and Efforts to Consult Outside the Agency</w:t>
            </w:r>
            <w:r w:rsidRPr="00E059CA" w:rsidR="00B36623">
              <w:rPr>
                <w:rFonts w:ascii="Times New Roman" w:hAnsi="Times New Roman" w:cs="Times New Roman"/>
                <w:noProof/>
                <w:webHidden/>
              </w:rPr>
              <w:tab/>
            </w:r>
            <w:r w:rsidRPr="00E059CA" w:rsidR="00B36623">
              <w:rPr>
                <w:rFonts w:ascii="Times New Roman" w:hAnsi="Times New Roman" w:cs="Times New Roman"/>
                <w:noProof/>
                <w:webHidden/>
              </w:rPr>
              <w:fldChar w:fldCharType="begin"/>
            </w:r>
            <w:r w:rsidRPr="00E059CA" w:rsidR="00B36623">
              <w:rPr>
                <w:rFonts w:ascii="Times New Roman" w:hAnsi="Times New Roman" w:cs="Times New Roman"/>
                <w:noProof/>
                <w:webHidden/>
              </w:rPr>
              <w:instrText xml:space="preserve"> PAGEREF _Toc457379305 \h </w:instrText>
            </w:r>
            <w:r w:rsidRPr="00E059CA" w:rsidR="00B36623">
              <w:rPr>
                <w:rFonts w:ascii="Times New Roman" w:hAnsi="Times New Roman" w:cs="Times New Roman"/>
                <w:noProof/>
                <w:webHidden/>
              </w:rPr>
            </w:r>
            <w:r w:rsidRPr="00E059CA" w:rsidR="00B36623">
              <w:rPr>
                <w:rFonts w:ascii="Times New Roman" w:hAnsi="Times New Roman" w:cs="Times New Roman"/>
                <w:noProof/>
                <w:webHidden/>
              </w:rPr>
              <w:fldChar w:fldCharType="separate"/>
            </w:r>
            <w:r w:rsidR="004C7514">
              <w:rPr>
                <w:rFonts w:ascii="Times New Roman" w:hAnsi="Times New Roman" w:cs="Times New Roman"/>
                <w:noProof/>
                <w:webHidden/>
              </w:rPr>
              <w:t>8</w:t>
            </w:r>
            <w:r w:rsidRPr="00E059CA" w:rsidR="00B36623">
              <w:rPr>
                <w:rFonts w:ascii="Times New Roman" w:hAnsi="Times New Roman" w:cs="Times New Roman"/>
                <w:noProof/>
                <w:webHidden/>
              </w:rPr>
              <w:fldChar w:fldCharType="end"/>
            </w:r>
          </w:hyperlink>
        </w:p>
        <w:p w:rsidRPr="00E059CA" w:rsidR="00B36623" w:rsidRDefault="00F04A91" w14:paraId="7200F1BA" w14:textId="080467D4">
          <w:pPr>
            <w:pStyle w:val="TOC2"/>
            <w:tabs>
              <w:tab w:val="right" w:leader="dot" w:pos="9350"/>
            </w:tabs>
            <w:rPr>
              <w:rFonts w:ascii="Times New Roman" w:hAnsi="Times New Roman" w:cs="Times New Roman"/>
              <w:noProof/>
            </w:rPr>
          </w:pPr>
          <w:hyperlink w:history="1" w:anchor="_Toc457379307">
            <w:r w:rsidRPr="00E059CA" w:rsidR="00B36623">
              <w:rPr>
                <w:rStyle w:val="Hyperlink"/>
                <w:rFonts w:ascii="Times New Roman" w:hAnsi="Times New Roman" w:cs="Times New Roman"/>
                <w:noProof/>
              </w:rPr>
              <w:t>9. Explanation of Any Payment or Gift to Respondents</w:t>
            </w:r>
            <w:r w:rsidRPr="00E059CA" w:rsidR="00B36623">
              <w:rPr>
                <w:rFonts w:ascii="Times New Roman" w:hAnsi="Times New Roman" w:cs="Times New Roman"/>
                <w:noProof/>
                <w:webHidden/>
              </w:rPr>
              <w:tab/>
            </w:r>
            <w:r w:rsidRPr="00E059CA" w:rsidR="00B36623">
              <w:rPr>
                <w:rFonts w:ascii="Times New Roman" w:hAnsi="Times New Roman" w:cs="Times New Roman"/>
                <w:noProof/>
                <w:webHidden/>
              </w:rPr>
              <w:fldChar w:fldCharType="begin"/>
            </w:r>
            <w:r w:rsidRPr="00E059CA" w:rsidR="00B36623">
              <w:rPr>
                <w:rFonts w:ascii="Times New Roman" w:hAnsi="Times New Roman" w:cs="Times New Roman"/>
                <w:noProof/>
                <w:webHidden/>
              </w:rPr>
              <w:instrText xml:space="preserve"> PAGEREF _Toc457379307 \h </w:instrText>
            </w:r>
            <w:r w:rsidRPr="00E059CA" w:rsidR="00B36623">
              <w:rPr>
                <w:rFonts w:ascii="Times New Roman" w:hAnsi="Times New Roman" w:cs="Times New Roman"/>
                <w:noProof/>
                <w:webHidden/>
              </w:rPr>
            </w:r>
            <w:r w:rsidRPr="00E059CA" w:rsidR="00B36623">
              <w:rPr>
                <w:rFonts w:ascii="Times New Roman" w:hAnsi="Times New Roman" w:cs="Times New Roman"/>
                <w:noProof/>
                <w:webHidden/>
              </w:rPr>
              <w:fldChar w:fldCharType="separate"/>
            </w:r>
            <w:r w:rsidR="004C7514">
              <w:rPr>
                <w:rFonts w:ascii="Times New Roman" w:hAnsi="Times New Roman" w:cs="Times New Roman"/>
                <w:noProof/>
                <w:webHidden/>
              </w:rPr>
              <w:t>8</w:t>
            </w:r>
            <w:r w:rsidRPr="00E059CA" w:rsidR="00B36623">
              <w:rPr>
                <w:rFonts w:ascii="Times New Roman" w:hAnsi="Times New Roman" w:cs="Times New Roman"/>
                <w:noProof/>
                <w:webHidden/>
              </w:rPr>
              <w:fldChar w:fldCharType="end"/>
            </w:r>
          </w:hyperlink>
        </w:p>
        <w:p w:rsidRPr="00E059CA" w:rsidR="00B36623" w:rsidRDefault="00F04A91" w14:paraId="29465300" w14:textId="77C27403">
          <w:pPr>
            <w:pStyle w:val="TOC2"/>
            <w:tabs>
              <w:tab w:val="right" w:leader="dot" w:pos="9350"/>
            </w:tabs>
            <w:rPr>
              <w:rFonts w:ascii="Times New Roman" w:hAnsi="Times New Roman" w:cs="Times New Roman"/>
              <w:noProof/>
            </w:rPr>
          </w:pPr>
          <w:hyperlink w:history="1" w:anchor="_Toc457379308">
            <w:r w:rsidRPr="00E059CA" w:rsidR="00B36623">
              <w:rPr>
                <w:rStyle w:val="Hyperlink"/>
                <w:rFonts w:ascii="Times New Roman" w:hAnsi="Times New Roman" w:cs="Times New Roman"/>
                <w:noProof/>
              </w:rPr>
              <w:t>10. Protection of the Privacy and Confidentiality of Information Provided by Respondents</w:t>
            </w:r>
            <w:r w:rsidRPr="00E059CA" w:rsidR="00B36623">
              <w:rPr>
                <w:rFonts w:ascii="Times New Roman" w:hAnsi="Times New Roman" w:cs="Times New Roman"/>
                <w:noProof/>
                <w:webHidden/>
              </w:rPr>
              <w:tab/>
            </w:r>
            <w:r w:rsidRPr="00E059CA" w:rsidR="00B36623">
              <w:rPr>
                <w:rFonts w:ascii="Times New Roman" w:hAnsi="Times New Roman" w:cs="Times New Roman"/>
                <w:noProof/>
                <w:webHidden/>
              </w:rPr>
              <w:fldChar w:fldCharType="begin"/>
            </w:r>
            <w:r w:rsidRPr="00E059CA" w:rsidR="00B36623">
              <w:rPr>
                <w:rFonts w:ascii="Times New Roman" w:hAnsi="Times New Roman" w:cs="Times New Roman"/>
                <w:noProof/>
                <w:webHidden/>
              </w:rPr>
              <w:instrText xml:space="preserve"> PAGEREF _Toc457379308 \h </w:instrText>
            </w:r>
            <w:r w:rsidRPr="00E059CA" w:rsidR="00B36623">
              <w:rPr>
                <w:rFonts w:ascii="Times New Roman" w:hAnsi="Times New Roman" w:cs="Times New Roman"/>
                <w:noProof/>
                <w:webHidden/>
              </w:rPr>
            </w:r>
            <w:r w:rsidRPr="00E059CA" w:rsidR="00B36623">
              <w:rPr>
                <w:rFonts w:ascii="Times New Roman" w:hAnsi="Times New Roman" w:cs="Times New Roman"/>
                <w:noProof/>
                <w:webHidden/>
              </w:rPr>
              <w:fldChar w:fldCharType="separate"/>
            </w:r>
            <w:r w:rsidR="004C7514">
              <w:rPr>
                <w:rFonts w:ascii="Times New Roman" w:hAnsi="Times New Roman" w:cs="Times New Roman"/>
                <w:noProof/>
                <w:webHidden/>
              </w:rPr>
              <w:t>8</w:t>
            </w:r>
            <w:r w:rsidRPr="00E059CA" w:rsidR="00B36623">
              <w:rPr>
                <w:rFonts w:ascii="Times New Roman" w:hAnsi="Times New Roman" w:cs="Times New Roman"/>
                <w:noProof/>
                <w:webHidden/>
              </w:rPr>
              <w:fldChar w:fldCharType="end"/>
            </w:r>
          </w:hyperlink>
        </w:p>
        <w:p w:rsidRPr="00E059CA" w:rsidR="00B36623" w:rsidRDefault="00F04A91" w14:paraId="09EAE62B" w14:textId="1101EE22">
          <w:pPr>
            <w:pStyle w:val="TOC2"/>
            <w:tabs>
              <w:tab w:val="right" w:leader="dot" w:pos="9350"/>
            </w:tabs>
            <w:rPr>
              <w:rFonts w:ascii="Times New Roman" w:hAnsi="Times New Roman" w:cs="Times New Roman"/>
              <w:noProof/>
            </w:rPr>
          </w:pPr>
          <w:hyperlink w:history="1" w:anchor="_Toc457379309">
            <w:r w:rsidRPr="00E059CA" w:rsidR="00B36623">
              <w:rPr>
                <w:rStyle w:val="Hyperlink"/>
                <w:rFonts w:ascii="Times New Roman" w:hAnsi="Times New Roman" w:cs="Times New Roman"/>
                <w:noProof/>
              </w:rPr>
              <w:t>11. Institutional Review Board (IRB) and Justification for Sensitive Questions</w:t>
            </w:r>
            <w:r w:rsidRPr="00E059CA" w:rsidR="00B36623">
              <w:rPr>
                <w:rFonts w:ascii="Times New Roman" w:hAnsi="Times New Roman" w:cs="Times New Roman"/>
                <w:noProof/>
                <w:webHidden/>
              </w:rPr>
              <w:tab/>
            </w:r>
            <w:r w:rsidRPr="00E059CA" w:rsidR="00B36623">
              <w:rPr>
                <w:rFonts w:ascii="Times New Roman" w:hAnsi="Times New Roman" w:cs="Times New Roman"/>
                <w:noProof/>
                <w:webHidden/>
              </w:rPr>
              <w:fldChar w:fldCharType="begin"/>
            </w:r>
            <w:r w:rsidRPr="00E059CA" w:rsidR="00B36623">
              <w:rPr>
                <w:rFonts w:ascii="Times New Roman" w:hAnsi="Times New Roman" w:cs="Times New Roman"/>
                <w:noProof/>
                <w:webHidden/>
              </w:rPr>
              <w:instrText xml:space="preserve"> PAGEREF _Toc457379309 \h </w:instrText>
            </w:r>
            <w:r w:rsidRPr="00E059CA" w:rsidR="00B36623">
              <w:rPr>
                <w:rFonts w:ascii="Times New Roman" w:hAnsi="Times New Roman" w:cs="Times New Roman"/>
                <w:noProof/>
                <w:webHidden/>
              </w:rPr>
            </w:r>
            <w:r w:rsidRPr="00E059CA" w:rsidR="00B36623">
              <w:rPr>
                <w:rFonts w:ascii="Times New Roman" w:hAnsi="Times New Roman" w:cs="Times New Roman"/>
                <w:noProof/>
                <w:webHidden/>
              </w:rPr>
              <w:fldChar w:fldCharType="separate"/>
            </w:r>
            <w:r w:rsidR="004C7514">
              <w:rPr>
                <w:rFonts w:ascii="Times New Roman" w:hAnsi="Times New Roman" w:cs="Times New Roman"/>
                <w:noProof/>
                <w:webHidden/>
              </w:rPr>
              <w:t>9</w:t>
            </w:r>
            <w:r w:rsidRPr="00E059CA" w:rsidR="00B36623">
              <w:rPr>
                <w:rFonts w:ascii="Times New Roman" w:hAnsi="Times New Roman" w:cs="Times New Roman"/>
                <w:noProof/>
                <w:webHidden/>
              </w:rPr>
              <w:fldChar w:fldCharType="end"/>
            </w:r>
          </w:hyperlink>
        </w:p>
        <w:p w:rsidRPr="00E059CA" w:rsidR="00B36623" w:rsidRDefault="00F04A91" w14:paraId="138CB7D2" w14:textId="71800B56">
          <w:pPr>
            <w:pStyle w:val="TOC2"/>
            <w:tabs>
              <w:tab w:val="right" w:leader="dot" w:pos="9350"/>
            </w:tabs>
            <w:rPr>
              <w:rFonts w:ascii="Times New Roman" w:hAnsi="Times New Roman" w:cs="Times New Roman"/>
              <w:noProof/>
            </w:rPr>
          </w:pPr>
          <w:hyperlink w:history="1" w:anchor="_Toc457379311">
            <w:r w:rsidRPr="00E059CA" w:rsidR="00B36623">
              <w:rPr>
                <w:rStyle w:val="Hyperlink"/>
                <w:rFonts w:ascii="Times New Roman" w:hAnsi="Times New Roman" w:cs="Times New Roman"/>
                <w:noProof/>
              </w:rPr>
              <w:t>12. Estimates of Annualized Burden Hours and Costs</w:t>
            </w:r>
            <w:r w:rsidRPr="00E059CA" w:rsidR="00B36623">
              <w:rPr>
                <w:rFonts w:ascii="Times New Roman" w:hAnsi="Times New Roman" w:cs="Times New Roman"/>
                <w:noProof/>
                <w:webHidden/>
              </w:rPr>
              <w:tab/>
            </w:r>
            <w:r w:rsidRPr="00E059CA" w:rsidR="00B36623">
              <w:rPr>
                <w:rFonts w:ascii="Times New Roman" w:hAnsi="Times New Roman" w:cs="Times New Roman"/>
                <w:noProof/>
                <w:webHidden/>
              </w:rPr>
              <w:fldChar w:fldCharType="begin"/>
            </w:r>
            <w:r w:rsidRPr="00E059CA" w:rsidR="00B36623">
              <w:rPr>
                <w:rFonts w:ascii="Times New Roman" w:hAnsi="Times New Roman" w:cs="Times New Roman"/>
                <w:noProof/>
                <w:webHidden/>
              </w:rPr>
              <w:instrText xml:space="preserve"> PAGEREF _Toc457379311 \h </w:instrText>
            </w:r>
            <w:r w:rsidRPr="00E059CA" w:rsidR="00B36623">
              <w:rPr>
                <w:rFonts w:ascii="Times New Roman" w:hAnsi="Times New Roman" w:cs="Times New Roman"/>
                <w:noProof/>
                <w:webHidden/>
              </w:rPr>
            </w:r>
            <w:r w:rsidRPr="00E059CA" w:rsidR="00B36623">
              <w:rPr>
                <w:rFonts w:ascii="Times New Roman" w:hAnsi="Times New Roman" w:cs="Times New Roman"/>
                <w:noProof/>
                <w:webHidden/>
              </w:rPr>
              <w:fldChar w:fldCharType="separate"/>
            </w:r>
            <w:r w:rsidR="004C7514">
              <w:rPr>
                <w:rFonts w:ascii="Times New Roman" w:hAnsi="Times New Roman" w:cs="Times New Roman"/>
                <w:noProof/>
                <w:webHidden/>
              </w:rPr>
              <w:t>9</w:t>
            </w:r>
            <w:r w:rsidRPr="00E059CA" w:rsidR="00B36623">
              <w:rPr>
                <w:rFonts w:ascii="Times New Roman" w:hAnsi="Times New Roman" w:cs="Times New Roman"/>
                <w:noProof/>
                <w:webHidden/>
              </w:rPr>
              <w:fldChar w:fldCharType="end"/>
            </w:r>
          </w:hyperlink>
        </w:p>
        <w:p w:rsidRPr="00E059CA" w:rsidR="00B36623" w:rsidRDefault="00F04A91" w14:paraId="1874AF9C" w14:textId="22D6E415">
          <w:pPr>
            <w:pStyle w:val="TOC2"/>
            <w:tabs>
              <w:tab w:val="right" w:leader="dot" w:pos="9350"/>
            </w:tabs>
            <w:rPr>
              <w:rFonts w:ascii="Times New Roman" w:hAnsi="Times New Roman" w:cs="Times New Roman"/>
              <w:noProof/>
            </w:rPr>
          </w:pPr>
          <w:hyperlink w:history="1" w:anchor="_Toc457379313">
            <w:r w:rsidRPr="00E059CA" w:rsidR="00B36623">
              <w:rPr>
                <w:rStyle w:val="Hyperlink"/>
                <w:rFonts w:ascii="Times New Roman" w:hAnsi="Times New Roman" w:cs="Times New Roman"/>
                <w:noProof/>
              </w:rPr>
              <w:t>13. Estimates of Other Total Annual Cost Burden to Respondents or Record Keepers</w:t>
            </w:r>
            <w:r w:rsidRPr="00E059CA" w:rsidR="00B36623">
              <w:rPr>
                <w:rFonts w:ascii="Times New Roman" w:hAnsi="Times New Roman" w:cs="Times New Roman"/>
                <w:noProof/>
                <w:webHidden/>
              </w:rPr>
              <w:tab/>
            </w:r>
            <w:r w:rsidRPr="00E059CA" w:rsidR="00B36623">
              <w:rPr>
                <w:rFonts w:ascii="Times New Roman" w:hAnsi="Times New Roman" w:cs="Times New Roman"/>
                <w:noProof/>
                <w:webHidden/>
              </w:rPr>
              <w:fldChar w:fldCharType="begin"/>
            </w:r>
            <w:r w:rsidRPr="00E059CA" w:rsidR="00B36623">
              <w:rPr>
                <w:rFonts w:ascii="Times New Roman" w:hAnsi="Times New Roman" w:cs="Times New Roman"/>
                <w:noProof/>
                <w:webHidden/>
              </w:rPr>
              <w:instrText xml:space="preserve"> PAGEREF _Toc457379313 \h </w:instrText>
            </w:r>
            <w:r w:rsidRPr="00E059CA" w:rsidR="00B36623">
              <w:rPr>
                <w:rFonts w:ascii="Times New Roman" w:hAnsi="Times New Roman" w:cs="Times New Roman"/>
                <w:noProof/>
                <w:webHidden/>
              </w:rPr>
            </w:r>
            <w:r w:rsidRPr="00E059CA" w:rsidR="00B36623">
              <w:rPr>
                <w:rFonts w:ascii="Times New Roman" w:hAnsi="Times New Roman" w:cs="Times New Roman"/>
                <w:noProof/>
                <w:webHidden/>
              </w:rPr>
              <w:fldChar w:fldCharType="separate"/>
            </w:r>
            <w:r w:rsidR="004C7514">
              <w:rPr>
                <w:rFonts w:ascii="Times New Roman" w:hAnsi="Times New Roman" w:cs="Times New Roman"/>
                <w:noProof/>
                <w:webHidden/>
              </w:rPr>
              <w:t>13</w:t>
            </w:r>
            <w:r w:rsidRPr="00E059CA" w:rsidR="00B36623">
              <w:rPr>
                <w:rFonts w:ascii="Times New Roman" w:hAnsi="Times New Roman" w:cs="Times New Roman"/>
                <w:noProof/>
                <w:webHidden/>
              </w:rPr>
              <w:fldChar w:fldCharType="end"/>
            </w:r>
          </w:hyperlink>
        </w:p>
        <w:p w:rsidRPr="00E059CA" w:rsidR="00B36623" w:rsidRDefault="00F04A91" w14:paraId="4F81AF9D" w14:textId="68158AF8">
          <w:pPr>
            <w:pStyle w:val="TOC2"/>
            <w:tabs>
              <w:tab w:val="right" w:leader="dot" w:pos="9350"/>
            </w:tabs>
            <w:rPr>
              <w:rFonts w:ascii="Times New Roman" w:hAnsi="Times New Roman" w:cs="Times New Roman"/>
              <w:noProof/>
            </w:rPr>
          </w:pPr>
          <w:hyperlink w:history="1" w:anchor="_Toc457379314">
            <w:r w:rsidRPr="00E059CA" w:rsidR="00B36623">
              <w:rPr>
                <w:rStyle w:val="Hyperlink"/>
                <w:rFonts w:ascii="Times New Roman" w:hAnsi="Times New Roman" w:cs="Times New Roman"/>
                <w:noProof/>
              </w:rPr>
              <w:t>14. Annualized Cost to the Government</w:t>
            </w:r>
            <w:r w:rsidRPr="00E059CA" w:rsidR="00B36623">
              <w:rPr>
                <w:rFonts w:ascii="Times New Roman" w:hAnsi="Times New Roman" w:cs="Times New Roman"/>
                <w:noProof/>
                <w:webHidden/>
              </w:rPr>
              <w:tab/>
            </w:r>
            <w:r w:rsidRPr="00E059CA" w:rsidR="00B36623">
              <w:rPr>
                <w:rFonts w:ascii="Times New Roman" w:hAnsi="Times New Roman" w:cs="Times New Roman"/>
                <w:noProof/>
                <w:webHidden/>
              </w:rPr>
              <w:fldChar w:fldCharType="begin"/>
            </w:r>
            <w:r w:rsidRPr="00E059CA" w:rsidR="00B36623">
              <w:rPr>
                <w:rFonts w:ascii="Times New Roman" w:hAnsi="Times New Roman" w:cs="Times New Roman"/>
                <w:noProof/>
                <w:webHidden/>
              </w:rPr>
              <w:instrText xml:space="preserve"> PAGEREF _Toc457379314 \h </w:instrText>
            </w:r>
            <w:r w:rsidRPr="00E059CA" w:rsidR="00B36623">
              <w:rPr>
                <w:rFonts w:ascii="Times New Roman" w:hAnsi="Times New Roman" w:cs="Times New Roman"/>
                <w:noProof/>
                <w:webHidden/>
              </w:rPr>
            </w:r>
            <w:r w:rsidRPr="00E059CA" w:rsidR="00B36623">
              <w:rPr>
                <w:rFonts w:ascii="Times New Roman" w:hAnsi="Times New Roman" w:cs="Times New Roman"/>
                <w:noProof/>
                <w:webHidden/>
              </w:rPr>
              <w:fldChar w:fldCharType="separate"/>
            </w:r>
            <w:r w:rsidR="004C7514">
              <w:rPr>
                <w:rFonts w:ascii="Times New Roman" w:hAnsi="Times New Roman" w:cs="Times New Roman"/>
                <w:noProof/>
                <w:webHidden/>
              </w:rPr>
              <w:t>13</w:t>
            </w:r>
            <w:r w:rsidRPr="00E059CA" w:rsidR="00B36623">
              <w:rPr>
                <w:rFonts w:ascii="Times New Roman" w:hAnsi="Times New Roman" w:cs="Times New Roman"/>
                <w:noProof/>
                <w:webHidden/>
              </w:rPr>
              <w:fldChar w:fldCharType="end"/>
            </w:r>
          </w:hyperlink>
        </w:p>
        <w:p w:rsidRPr="00E059CA" w:rsidR="00B36623" w:rsidRDefault="00F04A91" w14:paraId="3D3AFFDD" w14:textId="010E972E">
          <w:pPr>
            <w:pStyle w:val="TOC2"/>
            <w:tabs>
              <w:tab w:val="right" w:leader="dot" w:pos="9350"/>
            </w:tabs>
            <w:rPr>
              <w:rFonts w:ascii="Times New Roman" w:hAnsi="Times New Roman" w:cs="Times New Roman"/>
              <w:noProof/>
            </w:rPr>
          </w:pPr>
          <w:hyperlink w:history="1" w:anchor="_Toc457379315">
            <w:r w:rsidRPr="00E059CA" w:rsidR="00B36623">
              <w:rPr>
                <w:rStyle w:val="Hyperlink"/>
                <w:rFonts w:ascii="Times New Roman" w:hAnsi="Times New Roman" w:cs="Times New Roman"/>
                <w:noProof/>
              </w:rPr>
              <w:t>15. Explanation for Program Changes or Adjustments</w:t>
            </w:r>
            <w:r w:rsidRPr="00E059CA" w:rsidR="00B36623">
              <w:rPr>
                <w:rFonts w:ascii="Times New Roman" w:hAnsi="Times New Roman" w:cs="Times New Roman"/>
                <w:noProof/>
                <w:webHidden/>
              </w:rPr>
              <w:tab/>
            </w:r>
            <w:r w:rsidRPr="00E059CA" w:rsidR="00B36623">
              <w:rPr>
                <w:rFonts w:ascii="Times New Roman" w:hAnsi="Times New Roman" w:cs="Times New Roman"/>
                <w:noProof/>
                <w:webHidden/>
              </w:rPr>
              <w:fldChar w:fldCharType="begin"/>
            </w:r>
            <w:r w:rsidRPr="00E059CA" w:rsidR="00B36623">
              <w:rPr>
                <w:rFonts w:ascii="Times New Roman" w:hAnsi="Times New Roman" w:cs="Times New Roman"/>
                <w:noProof/>
                <w:webHidden/>
              </w:rPr>
              <w:instrText xml:space="preserve"> PAGEREF _Toc457379315 \h </w:instrText>
            </w:r>
            <w:r w:rsidRPr="00E059CA" w:rsidR="00B36623">
              <w:rPr>
                <w:rFonts w:ascii="Times New Roman" w:hAnsi="Times New Roman" w:cs="Times New Roman"/>
                <w:noProof/>
                <w:webHidden/>
              </w:rPr>
            </w:r>
            <w:r w:rsidRPr="00E059CA" w:rsidR="00B36623">
              <w:rPr>
                <w:rFonts w:ascii="Times New Roman" w:hAnsi="Times New Roman" w:cs="Times New Roman"/>
                <w:noProof/>
                <w:webHidden/>
              </w:rPr>
              <w:fldChar w:fldCharType="separate"/>
            </w:r>
            <w:r w:rsidR="004C7514">
              <w:rPr>
                <w:rFonts w:ascii="Times New Roman" w:hAnsi="Times New Roman" w:cs="Times New Roman"/>
                <w:noProof/>
                <w:webHidden/>
              </w:rPr>
              <w:t>13</w:t>
            </w:r>
            <w:r w:rsidRPr="00E059CA" w:rsidR="00B36623">
              <w:rPr>
                <w:rFonts w:ascii="Times New Roman" w:hAnsi="Times New Roman" w:cs="Times New Roman"/>
                <w:noProof/>
                <w:webHidden/>
              </w:rPr>
              <w:fldChar w:fldCharType="end"/>
            </w:r>
          </w:hyperlink>
        </w:p>
        <w:p w:rsidRPr="00E059CA" w:rsidR="00B36623" w:rsidRDefault="00F04A91" w14:paraId="1B76955B" w14:textId="199B4DAE">
          <w:pPr>
            <w:pStyle w:val="TOC2"/>
            <w:tabs>
              <w:tab w:val="right" w:leader="dot" w:pos="9350"/>
            </w:tabs>
            <w:rPr>
              <w:rFonts w:ascii="Times New Roman" w:hAnsi="Times New Roman" w:cs="Times New Roman"/>
              <w:noProof/>
            </w:rPr>
          </w:pPr>
          <w:hyperlink w:history="1" w:anchor="_Toc457379316">
            <w:r w:rsidRPr="00E059CA" w:rsidR="00B36623">
              <w:rPr>
                <w:rStyle w:val="Hyperlink"/>
                <w:rFonts w:ascii="Times New Roman" w:hAnsi="Times New Roman" w:cs="Times New Roman"/>
                <w:bCs/>
                <w:noProof/>
              </w:rPr>
              <w:t xml:space="preserve">16. </w:t>
            </w:r>
            <w:r w:rsidRPr="00E059CA" w:rsidR="00B36623">
              <w:rPr>
                <w:rStyle w:val="Hyperlink"/>
                <w:rFonts w:ascii="Times New Roman" w:hAnsi="Times New Roman" w:cs="Times New Roman"/>
                <w:noProof/>
              </w:rPr>
              <w:t>Plans for Tabulation and Publication and Project Time Schedule</w:t>
            </w:r>
            <w:r w:rsidRPr="00E059CA" w:rsidR="00B36623">
              <w:rPr>
                <w:rFonts w:ascii="Times New Roman" w:hAnsi="Times New Roman" w:cs="Times New Roman"/>
                <w:noProof/>
                <w:webHidden/>
              </w:rPr>
              <w:tab/>
            </w:r>
            <w:r w:rsidRPr="00E059CA" w:rsidR="00B36623">
              <w:rPr>
                <w:rFonts w:ascii="Times New Roman" w:hAnsi="Times New Roman" w:cs="Times New Roman"/>
                <w:noProof/>
                <w:webHidden/>
              </w:rPr>
              <w:fldChar w:fldCharType="begin"/>
            </w:r>
            <w:r w:rsidRPr="00E059CA" w:rsidR="00B36623">
              <w:rPr>
                <w:rFonts w:ascii="Times New Roman" w:hAnsi="Times New Roman" w:cs="Times New Roman"/>
                <w:noProof/>
                <w:webHidden/>
              </w:rPr>
              <w:instrText xml:space="preserve"> PAGEREF _Toc457379316 \h </w:instrText>
            </w:r>
            <w:r w:rsidRPr="00E059CA" w:rsidR="00B36623">
              <w:rPr>
                <w:rFonts w:ascii="Times New Roman" w:hAnsi="Times New Roman" w:cs="Times New Roman"/>
                <w:noProof/>
                <w:webHidden/>
              </w:rPr>
            </w:r>
            <w:r w:rsidRPr="00E059CA" w:rsidR="00B36623">
              <w:rPr>
                <w:rFonts w:ascii="Times New Roman" w:hAnsi="Times New Roman" w:cs="Times New Roman"/>
                <w:noProof/>
                <w:webHidden/>
              </w:rPr>
              <w:fldChar w:fldCharType="separate"/>
            </w:r>
            <w:r w:rsidR="004C7514">
              <w:rPr>
                <w:rFonts w:ascii="Times New Roman" w:hAnsi="Times New Roman" w:cs="Times New Roman"/>
                <w:noProof/>
                <w:webHidden/>
              </w:rPr>
              <w:t>14</w:t>
            </w:r>
            <w:r w:rsidRPr="00E059CA" w:rsidR="00B36623">
              <w:rPr>
                <w:rFonts w:ascii="Times New Roman" w:hAnsi="Times New Roman" w:cs="Times New Roman"/>
                <w:noProof/>
                <w:webHidden/>
              </w:rPr>
              <w:fldChar w:fldCharType="end"/>
            </w:r>
          </w:hyperlink>
        </w:p>
        <w:p w:rsidRPr="00E059CA" w:rsidR="00B36623" w:rsidRDefault="00F04A91" w14:paraId="2F4C9642" w14:textId="6E6E0FEC">
          <w:pPr>
            <w:pStyle w:val="TOC2"/>
            <w:tabs>
              <w:tab w:val="right" w:leader="dot" w:pos="9350"/>
            </w:tabs>
            <w:rPr>
              <w:rFonts w:ascii="Times New Roman" w:hAnsi="Times New Roman" w:cs="Times New Roman"/>
              <w:noProof/>
            </w:rPr>
          </w:pPr>
          <w:hyperlink w:history="1" w:anchor="_Toc457379317">
            <w:r w:rsidRPr="00E059CA" w:rsidR="00B36623">
              <w:rPr>
                <w:rStyle w:val="Hyperlink"/>
                <w:rFonts w:ascii="Times New Roman" w:hAnsi="Times New Roman" w:cs="Times New Roman"/>
                <w:noProof/>
              </w:rPr>
              <w:t>17. Reason(s) Display of OMB Expiration Date is Inappropriate</w:t>
            </w:r>
            <w:r w:rsidRPr="00E059CA" w:rsidR="00B36623">
              <w:rPr>
                <w:rFonts w:ascii="Times New Roman" w:hAnsi="Times New Roman" w:cs="Times New Roman"/>
                <w:noProof/>
                <w:webHidden/>
              </w:rPr>
              <w:tab/>
            </w:r>
            <w:r w:rsidRPr="00E059CA" w:rsidR="00B36623">
              <w:rPr>
                <w:rFonts w:ascii="Times New Roman" w:hAnsi="Times New Roman" w:cs="Times New Roman"/>
                <w:noProof/>
                <w:webHidden/>
              </w:rPr>
              <w:fldChar w:fldCharType="begin"/>
            </w:r>
            <w:r w:rsidRPr="00E059CA" w:rsidR="00B36623">
              <w:rPr>
                <w:rFonts w:ascii="Times New Roman" w:hAnsi="Times New Roman" w:cs="Times New Roman"/>
                <w:noProof/>
                <w:webHidden/>
              </w:rPr>
              <w:instrText xml:space="preserve"> PAGEREF _Toc457379317 \h </w:instrText>
            </w:r>
            <w:r w:rsidRPr="00E059CA" w:rsidR="00B36623">
              <w:rPr>
                <w:rFonts w:ascii="Times New Roman" w:hAnsi="Times New Roman" w:cs="Times New Roman"/>
                <w:noProof/>
                <w:webHidden/>
              </w:rPr>
            </w:r>
            <w:r w:rsidRPr="00E059CA" w:rsidR="00B36623">
              <w:rPr>
                <w:rFonts w:ascii="Times New Roman" w:hAnsi="Times New Roman" w:cs="Times New Roman"/>
                <w:noProof/>
                <w:webHidden/>
              </w:rPr>
              <w:fldChar w:fldCharType="separate"/>
            </w:r>
            <w:r w:rsidR="004C7514">
              <w:rPr>
                <w:rFonts w:ascii="Times New Roman" w:hAnsi="Times New Roman" w:cs="Times New Roman"/>
                <w:noProof/>
                <w:webHidden/>
              </w:rPr>
              <w:t>14</w:t>
            </w:r>
            <w:r w:rsidRPr="00E059CA" w:rsidR="00B36623">
              <w:rPr>
                <w:rFonts w:ascii="Times New Roman" w:hAnsi="Times New Roman" w:cs="Times New Roman"/>
                <w:noProof/>
                <w:webHidden/>
              </w:rPr>
              <w:fldChar w:fldCharType="end"/>
            </w:r>
          </w:hyperlink>
        </w:p>
        <w:p w:rsidRPr="00E059CA" w:rsidR="00B36623" w:rsidRDefault="00F04A91" w14:paraId="282D1F6B" w14:textId="4F6C602D">
          <w:pPr>
            <w:pStyle w:val="TOC2"/>
            <w:tabs>
              <w:tab w:val="right" w:leader="dot" w:pos="9350"/>
            </w:tabs>
            <w:rPr>
              <w:rFonts w:ascii="Times New Roman" w:hAnsi="Times New Roman" w:cs="Times New Roman"/>
              <w:noProof/>
            </w:rPr>
          </w:pPr>
          <w:hyperlink w:history="1" w:anchor="_Toc457379318">
            <w:r w:rsidRPr="00E059CA" w:rsidR="00B36623">
              <w:rPr>
                <w:rStyle w:val="Hyperlink"/>
                <w:rFonts w:ascii="Times New Roman" w:hAnsi="Times New Roman" w:cs="Times New Roman"/>
                <w:noProof/>
              </w:rPr>
              <w:t>18. Exceptions to Certification for Paperwork Reduction Act Submissions</w:t>
            </w:r>
            <w:r w:rsidRPr="00E059CA" w:rsidR="00B36623">
              <w:rPr>
                <w:rFonts w:ascii="Times New Roman" w:hAnsi="Times New Roman" w:cs="Times New Roman"/>
                <w:noProof/>
                <w:webHidden/>
              </w:rPr>
              <w:tab/>
            </w:r>
            <w:r w:rsidRPr="00E059CA" w:rsidR="00B36623">
              <w:rPr>
                <w:rFonts w:ascii="Times New Roman" w:hAnsi="Times New Roman" w:cs="Times New Roman"/>
                <w:noProof/>
                <w:webHidden/>
              </w:rPr>
              <w:fldChar w:fldCharType="begin"/>
            </w:r>
            <w:r w:rsidRPr="00E059CA" w:rsidR="00B36623">
              <w:rPr>
                <w:rFonts w:ascii="Times New Roman" w:hAnsi="Times New Roman" w:cs="Times New Roman"/>
                <w:noProof/>
                <w:webHidden/>
              </w:rPr>
              <w:instrText xml:space="preserve"> PAGEREF _Toc457379318 \h </w:instrText>
            </w:r>
            <w:r w:rsidRPr="00E059CA" w:rsidR="00B36623">
              <w:rPr>
                <w:rFonts w:ascii="Times New Roman" w:hAnsi="Times New Roman" w:cs="Times New Roman"/>
                <w:noProof/>
                <w:webHidden/>
              </w:rPr>
            </w:r>
            <w:r w:rsidRPr="00E059CA" w:rsidR="00B36623">
              <w:rPr>
                <w:rFonts w:ascii="Times New Roman" w:hAnsi="Times New Roman" w:cs="Times New Roman"/>
                <w:noProof/>
                <w:webHidden/>
              </w:rPr>
              <w:fldChar w:fldCharType="separate"/>
            </w:r>
            <w:r w:rsidR="004C7514">
              <w:rPr>
                <w:rFonts w:ascii="Times New Roman" w:hAnsi="Times New Roman" w:cs="Times New Roman"/>
                <w:noProof/>
                <w:webHidden/>
              </w:rPr>
              <w:t>15</w:t>
            </w:r>
            <w:r w:rsidRPr="00E059CA" w:rsidR="00B36623">
              <w:rPr>
                <w:rFonts w:ascii="Times New Roman" w:hAnsi="Times New Roman" w:cs="Times New Roman"/>
                <w:noProof/>
                <w:webHidden/>
              </w:rPr>
              <w:fldChar w:fldCharType="end"/>
            </w:r>
          </w:hyperlink>
        </w:p>
        <w:p w:rsidRPr="00E059CA" w:rsidR="00B36623" w:rsidRDefault="00F04A91" w14:paraId="661B239C" w14:textId="59CAAED2">
          <w:pPr>
            <w:pStyle w:val="TOC2"/>
            <w:tabs>
              <w:tab w:val="right" w:leader="dot" w:pos="9350"/>
            </w:tabs>
            <w:rPr>
              <w:rFonts w:ascii="Times New Roman" w:hAnsi="Times New Roman" w:cs="Times New Roman"/>
              <w:noProof/>
            </w:rPr>
          </w:pPr>
          <w:hyperlink w:history="1" w:anchor="_Toc457379319">
            <w:r w:rsidRPr="00E059CA" w:rsidR="00B36623">
              <w:rPr>
                <w:rStyle w:val="Hyperlink"/>
                <w:rFonts w:ascii="Times New Roman" w:hAnsi="Times New Roman" w:cs="Times New Roman"/>
                <w:noProof/>
              </w:rPr>
              <w:t>Attachments</w:t>
            </w:r>
            <w:r w:rsidRPr="00E059CA" w:rsidR="00B36623">
              <w:rPr>
                <w:rFonts w:ascii="Times New Roman" w:hAnsi="Times New Roman" w:cs="Times New Roman"/>
                <w:noProof/>
                <w:webHidden/>
              </w:rPr>
              <w:tab/>
            </w:r>
            <w:r w:rsidRPr="00E059CA" w:rsidR="00B36623">
              <w:rPr>
                <w:rFonts w:ascii="Times New Roman" w:hAnsi="Times New Roman" w:cs="Times New Roman"/>
                <w:noProof/>
                <w:webHidden/>
              </w:rPr>
              <w:fldChar w:fldCharType="begin"/>
            </w:r>
            <w:r w:rsidRPr="00E059CA" w:rsidR="00B36623">
              <w:rPr>
                <w:rFonts w:ascii="Times New Roman" w:hAnsi="Times New Roman" w:cs="Times New Roman"/>
                <w:noProof/>
                <w:webHidden/>
              </w:rPr>
              <w:instrText xml:space="preserve"> PAGEREF _Toc457379319 \h </w:instrText>
            </w:r>
            <w:r w:rsidRPr="00E059CA" w:rsidR="00B36623">
              <w:rPr>
                <w:rFonts w:ascii="Times New Roman" w:hAnsi="Times New Roman" w:cs="Times New Roman"/>
                <w:noProof/>
                <w:webHidden/>
              </w:rPr>
            </w:r>
            <w:r w:rsidRPr="00E059CA" w:rsidR="00B36623">
              <w:rPr>
                <w:rFonts w:ascii="Times New Roman" w:hAnsi="Times New Roman" w:cs="Times New Roman"/>
                <w:noProof/>
                <w:webHidden/>
              </w:rPr>
              <w:fldChar w:fldCharType="separate"/>
            </w:r>
            <w:r w:rsidR="004C7514">
              <w:rPr>
                <w:rFonts w:ascii="Times New Roman" w:hAnsi="Times New Roman" w:cs="Times New Roman"/>
                <w:noProof/>
                <w:webHidden/>
              </w:rPr>
              <w:t>15</w:t>
            </w:r>
            <w:r w:rsidRPr="00E059CA" w:rsidR="00B36623">
              <w:rPr>
                <w:rFonts w:ascii="Times New Roman" w:hAnsi="Times New Roman" w:cs="Times New Roman"/>
                <w:noProof/>
                <w:webHidden/>
              </w:rPr>
              <w:fldChar w:fldCharType="end"/>
            </w:r>
          </w:hyperlink>
        </w:p>
        <w:p w:rsidRPr="00E059CA" w:rsidR="009E4483" w:rsidP="00A54DA5" w:rsidRDefault="009E4483" w14:paraId="3A320C69" w14:textId="42E438EA">
          <w:pPr>
            <w:pStyle w:val="TOC1"/>
            <w:ind w:left="0" w:firstLine="0"/>
            <w:rPr>
              <w:rFonts w:asciiTheme="minorHAnsi" w:hAnsiTheme="minorHAnsi" w:eastAsiaTheme="minorEastAsia" w:cstheme="minorBidi"/>
              <w:noProof/>
              <w:sz w:val="22"/>
              <w:szCs w:val="22"/>
            </w:rPr>
          </w:pPr>
          <w:r w:rsidRPr="00E059CA">
            <w:rPr>
              <w:sz w:val="22"/>
              <w:szCs w:val="22"/>
            </w:rPr>
            <w:fldChar w:fldCharType="end"/>
          </w:r>
        </w:p>
      </w:sdtContent>
    </w:sdt>
    <w:p w:rsidRPr="00E059CA" w:rsidR="009E4483" w:rsidP="009E4483" w:rsidRDefault="009E4483" w14:paraId="2D12F1D6" w14:textId="77777777">
      <w:pPr>
        <w:rPr>
          <w:rFonts w:ascii="Times New Roman" w:hAnsi="Times New Roman" w:eastAsia="Times New Roman" w:cs="Times New Roman"/>
          <w:color w:val="000000"/>
          <w:kern w:val="36"/>
          <w:sz w:val="32"/>
          <w:szCs w:val="32"/>
        </w:rPr>
      </w:pPr>
      <w:r w:rsidRPr="00E059CA">
        <w:br w:type="page"/>
      </w:r>
    </w:p>
    <w:bookmarkStart w:name="_Toc457379296" w:id="2"/>
    <w:p w:rsidRPr="00E059CA" w:rsidR="00905D7F" w:rsidP="005242B1" w:rsidRDefault="00710440" w14:paraId="4AD4627A" w14:textId="77777777">
      <w:pPr>
        <w:pStyle w:val="Heading1"/>
        <w:spacing w:line="240" w:lineRule="auto"/>
        <w:jc w:val="left"/>
        <w:rPr>
          <w:color w:val="auto"/>
          <w:sz w:val="24"/>
          <w:szCs w:val="24"/>
        </w:rPr>
      </w:pPr>
      <w:r w:rsidRPr="00E059CA">
        <w:rPr>
          <w:noProof/>
        </w:rPr>
        <w:lastRenderedPageBreak/>
        <mc:AlternateContent>
          <mc:Choice Requires="wps">
            <w:drawing>
              <wp:anchor distT="0" distB="0" distL="114300" distR="114300" simplePos="0" relativeHeight="251665920" behindDoc="0" locked="0" layoutInCell="1" allowOverlap="1" wp14:editId="29A25CC8" wp14:anchorId="4F667BA6">
                <wp:simplePos x="0" y="0"/>
                <wp:positionH relativeFrom="column">
                  <wp:posOffset>-9525</wp:posOffset>
                </wp:positionH>
                <wp:positionV relativeFrom="paragraph">
                  <wp:posOffset>-304800</wp:posOffset>
                </wp:positionV>
                <wp:extent cx="6162675" cy="20097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2009775"/>
                        </a:xfrm>
                        <a:prstGeom prst="rect">
                          <a:avLst/>
                        </a:prstGeom>
                        <a:solidFill>
                          <a:srgbClr val="FFFFFF"/>
                        </a:solidFill>
                        <a:ln w="9525">
                          <a:solidFill>
                            <a:srgbClr val="000000"/>
                          </a:solidFill>
                          <a:miter lim="800000"/>
                          <a:headEnd/>
                          <a:tailEnd/>
                        </a:ln>
                      </wps:spPr>
                      <wps:txbx>
                        <w:txbxContent>
                          <w:p w:rsidRPr="00A54DA5" w:rsidR="002B2F72" w:rsidP="00A54DA5" w:rsidRDefault="002B2F72" w14:paraId="6308F864" w14:textId="35A15770">
                            <w:pPr>
                              <w:pStyle w:val="ListParagraph"/>
                              <w:numPr>
                                <w:ilvl w:val="0"/>
                                <w:numId w:val="4"/>
                              </w:numPr>
                              <w:rPr>
                                <w:rFonts w:ascii="Times New Roman" w:hAnsi="Times New Roman" w:cs="Times New Roman"/>
                              </w:rPr>
                            </w:pPr>
                            <w:r w:rsidRPr="00A54DA5">
                              <w:rPr>
                                <w:rFonts w:ascii="Times New Roman" w:hAnsi="Times New Roman" w:cs="Times New Roman"/>
                                <w:b/>
                              </w:rPr>
                              <w:t>Goal of data collection</w:t>
                            </w:r>
                            <w:r w:rsidRPr="007600FB">
                              <w:rPr>
                                <w:rFonts w:ascii="Times New Roman" w:hAnsi="Times New Roman" w:cs="Times New Roman"/>
                              </w:rPr>
                              <w:t xml:space="preserve">: </w:t>
                            </w:r>
                            <w:r w:rsidRPr="00A54DA5">
                              <w:rPr>
                                <w:rFonts w:ascii="Times New Roman" w:hAnsi="Times New Roman" w:cs="Times New Roman"/>
                              </w:rPr>
                              <w:t>To provide continuity of care for individuals affected by TB who enter US jurisdictions from foreign nations or who leave US jurisdictions bound for foreign nations.</w:t>
                            </w:r>
                          </w:p>
                          <w:p w:rsidRPr="00835099" w:rsidR="002B2F72" w:rsidP="00A54DA5" w:rsidRDefault="002B2F72" w14:paraId="6A2DF043" w14:textId="77777777">
                            <w:pPr>
                              <w:pStyle w:val="ListParagraph"/>
                              <w:numPr>
                                <w:ilvl w:val="0"/>
                                <w:numId w:val="4"/>
                              </w:numPr>
                              <w:rPr>
                                <w:rFonts w:ascii="Times New Roman" w:hAnsi="Times New Roman" w:cs="Times New Roman"/>
                              </w:rPr>
                            </w:pPr>
                            <w:r w:rsidRPr="00A54DA5">
                              <w:rPr>
                                <w:rFonts w:ascii="Times New Roman" w:hAnsi="Times New Roman" w:cs="Times New Roman"/>
                                <w:b/>
                              </w:rPr>
                              <w:t>Intended use of the resulting data</w:t>
                            </w:r>
                            <w:r w:rsidRPr="007600FB">
                              <w:rPr>
                                <w:rFonts w:ascii="Times New Roman" w:hAnsi="Times New Roman" w:cs="Times New Roman"/>
                              </w:rPr>
                              <w:t xml:space="preserve">: To improve the continuous and appropriate care for individuals affected by TB as they move between </w:t>
                            </w:r>
                            <w:r w:rsidRPr="00835099">
                              <w:rPr>
                                <w:rFonts w:ascii="Times New Roman" w:hAnsi="Times New Roman" w:cs="Times New Roman"/>
                              </w:rPr>
                              <w:t xml:space="preserve">the US and foreign nations. </w:t>
                            </w:r>
                          </w:p>
                          <w:p w:rsidRPr="00A54DA5" w:rsidR="002B2F72" w:rsidP="00A54DA5" w:rsidRDefault="002B2F72" w14:paraId="7F6735AB" w14:textId="0C9866B1">
                            <w:pPr>
                              <w:pStyle w:val="ListParagraph"/>
                              <w:numPr>
                                <w:ilvl w:val="0"/>
                                <w:numId w:val="4"/>
                              </w:numPr>
                              <w:rPr>
                                <w:rFonts w:ascii="Times New Roman" w:hAnsi="Times New Roman" w:cs="Times New Roman"/>
                              </w:rPr>
                            </w:pPr>
                            <w:r w:rsidRPr="00A54DA5">
                              <w:rPr>
                                <w:rFonts w:ascii="Times New Roman" w:hAnsi="Times New Roman" w:cs="Times New Roman"/>
                                <w:b/>
                              </w:rPr>
                              <w:t>Methods to be used to collect</w:t>
                            </w:r>
                            <w:r w:rsidRPr="007600FB">
                              <w:rPr>
                                <w:rFonts w:ascii="Times New Roman" w:hAnsi="Times New Roman" w:cs="Times New Roman"/>
                              </w:rPr>
                              <w:t xml:space="preserve">: </w:t>
                            </w:r>
                            <w:r w:rsidRPr="00A54DA5">
                              <w:rPr>
                                <w:rFonts w:ascii="Times New Roman" w:hAnsi="Times New Roman" w:cs="Times New Roman"/>
                              </w:rPr>
                              <w:t>Review of medical and demographic information provided by referring entities.</w:t>
                            </w:r>
                            <w:r>
                              <w:rPr>
                                <w:rFonts w:ascii="Times New Roman" w:hAnsi="Times New Roman" w:cs="Times New Roman"/>
                              </w:rPr>
                              <w:t xml:space="preserve"> Follow up with treating physicians to determine treatment outcomes.</w:t>
                            </w:r>
                          </w:p>
                          <w:p w:rsidRPr="007600FB" w:rsidR="002B2F72" w:rsidP="00A54DA5" w:rsidRDefault="002B2F72" w14:paraId="3582E093" w14:textId="77777777">
                            <w:pPr>
                              <w:pStyle w:val="ListParagraph"/>
                              <w:numPr>
                                <w:ilvl w:val="0"/>
                                <w:numId w:val="4"/>
                              </w:numPr>
                              <w:rPr>
                                <w:rFonts w:ascii="Times New Roman" w:hAnsi="Times New Roman" w:cs="Times New Roman"/>
                              </w:rPr>
                            </w:pPr>
                            <w:r w:rsidRPr="00A54DA5">
                              <w:rPr>
                                <w:rFonts w:ascii="Times New Roman" w:hAnsi="Times New Roman" w:cs="Times New Roman"/>
                                <w:b/>
                              </w:rPr>
                              <w:t>The subpopulation to be included as respondents</w:t>
                            </w:r>
                            <w:r w:rsidRPr="007600FB">
                              <w:rPr>
                                <w:rFonts w:ascii="Times New Roman" w:hAnsi="Times New Roman" w:cs="Times New Roman"/>
                              </w:rPr>
                              <w:t xml:space="preserve">: Individuals affected by TB who are expected to leave or enter US jurisdictions and need ongoing TB care and follow-up. </w:t>
                            </w:r>
                          </w:p>
                          <w:p w:rsidRPr="00835099" w:rsidR="002B2F72" w:rsidP="00A54DA5" w:rsidRDefault="002B2F72" w14:paraId="78EE4030" w14:textId="77777777">
                            <w:pPr>
                              <w:pStyle w:val="ListParagraph"/>
                              <w:numPr>
                                <w:ilvl w:val="0"/>
                                <w:numId w:val="4"/>
                              </w:numPr>
                              <w:rPr>
                                <w:rFonts w:ascii="Times New Roman" w:hAnsi="Times New Roman" w:cs="Times New Roman"/>
                              </w:rPr>
                            </w:pPr>
                            <w:r w:rsidRPr="00A54DA5">
                              <w:rPr>
                                <w:rFonts w:ascii="Times New Roman" w:hAnsi="Times New Roman" w:cs="Times New Roman"/>
                                <w:b/>
                              </w:rPr>
                              <w:t>How data will be analyzed</w:t>
                            </w:r>
                            <w:r w:rsidRPr="007600FB">
                              <w:rPr>
                                <w:rFonts w:ascii="Times New Roman" w:hAnsi="Times New Roman" w:cs="Times New Roman"/>
                                <w:b/>
                              </w:rPr>
                              <w:t>:</w:t>
                            </w:r>
                            <w:r w:rsidRPr="00A54DA5">
                              <w:rPr>
                                <w:rFonts w:ascii="Times New Roman" w:hAnsi="Times New Roman" w:cs="Times New Roman"/>
                              </w:rPr>
                              <w:t xml:space="preserve"> </w:t>
                            </w:r>
                            <w:r w:rsidRPr="007600FB">
                              <w:rPr>
                                <w:rFonts w:ascii="Times New Roman" w:hAnsi="Times New Roman" w:cs="Times New Roman"/>
                              </w:rPr>
                              <w:t>Identify demographics, clinical features and outcomes of referred individuals for quality assurance and program management purposes</w:t>
                            </w:r>
                            <w:r w:rsidRPr="00835099">
                              <w:rPr>
                                <w:rFonts w:ascii="Times New Roman" w:hAnsi="Times New Roman" w:cs="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F667BA6">
                <v:stroke joinstyle="miter"/>
                <v:path gradientshapeok="t" o:connecttype="rect"/>
              </v:shapetype>
              <v:shape id="Text Box 2" style="position:absolute;margin-left:-.75pt;margin-top:-24pt;width:485.25pt;height:158.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">
                <v:textbox>
                  <w:txbxContent>
                    <w:p w:rsidRPr="00A54DA5" w:rsidR="002B2F72" w:rsidP="00A54DA5" w:rsidRDefault="002B2F72" w14:paraId="6308F864" w14:textId="35A15770">
                      <w:pPr>
                        <w:pStyle w:val="ListParagraph"/>
                        <w:numPr>
                          <w:ilvl w:val="0"/>
                          <w:numId w:val="4"/>
                        </w:numPr>
                        <w:rPr>
                          <w:rFonts w:ascii="Times New Roman" w:hAnsi="Times New Roman" w:cs="Times New Roman"/>
                        </w:rPr>
                      </w:pPr>
                      <w:r w:rsidRPr="00A54DA5">
                        <w:rPr>
                          <w:rFonts w:ascii="Times New Roman" w:hAnsi="Times New Roman" w:cs="Times New Roman"/>
                          <w:b/>
                        </w:rPr>
                        <w:t>Goal of data collection</w:t>
                      </w:r>
                      <w:r w:rsidRPr="007600FB">
                        <w:rPr>
                          <w:rFonts w:ascii="Times New Roman" w:hAnsi="Times New Roman" w:cs="Times New Roman"/>
                        </w:rPr>
                        <w:t xml:space="preserve">: </w:t>
                      </w:r>
                      <w:r w:rsidRPr="00A54DA5">
                        <w:rPr>
                          <w:rFonts w:ascii="Times New Roman" w:hAnsi="Times New Roman" w:cs="Times New Roman"/>
                        </w:rPr>
                        <w:t>To provide continuity of care for individuals affected by TB who enter US jurisdictions from foreign nations or who leave US jurisdictions bound for foreign nations.</w:t>
                      </w:r>
                    </w:p>
                    <w:p w:rsidRPr="00835099" w:rsidR="002B2F72" w:rsidP="00A54DA5" w:rsidRDefault="002B2F72" w14:paraId="6A2DF043" w14:textId="77777777">
                      <w:pPr>
                        <w:pStyle w:val="ListParagraph"/>
                        <w:numPr>
                          <w:ilvl w:val="0"/>
                          <w:numId w:val="4"/>
                        </w:numPr>
                        <w:rPr>
                          <w:rFonts w:ascii="Times New Roman" w:hAnsi="Times New Roman" w:cs="Times New Roman"/>
                        </w:rPr>
                      </w:pPr>
                      <w:r w:rsidRPr="00A54DA5">
                        <w:rPr>
                          <w:rFonts w:ascii="Times New Roman" w:hAnsi="Times New Roman" w:cs="Times New Roman"/>
                          <w:b/>
                        </w:rPr>
                        <w:t>Intended use of the resulting data</w:t>
                      </w:r>
                      <w:r w:rsidRPr="007600FB">
                        <w:rPr>
                          <w:rFonts w:ascii="Times New Roman" w:hAnsi="Times New Roman" w:cs="Times New Roman"/>
                        </w:rPr>
                        <w:t xml:space="preserve">: To improve the continuous and appropriate care for individuals affected by TB as they move between </w:t>
                      </w:r>
                      <w:r w:rsidRPr="00835099">
                        <w:rPr>
                          <w:rFonts w:ascii="Times New Roman" w:hAnsi="Times New Roman" w:cs="Times New Roman"/>
                        </w:rPr>
                        <w:t xml:space="preserve">the US and foreign nations. </w:t>
                      </w:r>
                    </w:p>
                    <w:p w:rsidRPr="00A54DA5" w:rsidR="002B2F72" w:rsidP="00A54DA5" w:rsidRDefault="002B2F72" w14:paraId="7F6735AB" w14:textId="0C9866B1">
                      <w:pPr>
                        <w:pStyle w:val="ListParagraph"/>
                        <w:numPr>
                          <w:ilvl w:val="0"/>
                          <w:numId w:val="4"/>
                        </w:numPr>
                        <w:rPr>
                          <w:rFonts w:ascii="Times New Roman" w:hAnsi="Times New Roman" w:cs="Times New Roman"/>
                        </w:rPr>
                      </w:pPr>
                      <w:r w:rsidRPr="00A54DA5">
                        <w:rPr>
                          <w:rFonts w:ascii="Times New Roman" w:hAnsi="Times New Roman" w:cs="Times New Roman"/>
                          <w:b/>
                        </w:rPr>
                        <w:t>Methods to be used to collect</w:t>
                      </w:r>
                      <w:r w:rsidRPr="007600FB">
                        <w:rPr>
                          <w:rFonts w:ascii="Times New Roman" w:hAnsi="Times New Roman" w:cs="Times New Roman"/>
                        </w:rPr>
                        <w:t xml:space="preserve">: </w:t>
                      </w:r>
                      <w:r w:rsidRPr="00A54DA5">
                        <w:rPr>
                          <w:rFonts w:ascii="Times New Roman" w:hAnsi="Times New Roman" w:cs="Times New Roman"/>
                        </w:rPr>
                        <w:t>Review of medical and demographic information provided by referring entities.</w:t>
                      </w:r>
                      <w:r>
                        <w:rPr>
                          <w:rFonts w:ascii="Times New Roman" w:hAnsi="Times New Roman" w:cs="Times New Roman"/>
                        </w:rPr>
                        <w:t xml:space="preserve"> Follow up with treating physicians to determine treatment outcomes.</w:t>
                      </w:r>
                    </w:p>
                    <w:p w:rsidRPr="007600FB" w:rsidR="002B2F72" w:rsidP="00A54DA5" w:rsidRDefault="002B2F72" w14:paraId="3582E093" w14:textId="77777777">
                      <w:pPr>
                        <w:pStyle w:val="ListParagraph"/>
                        <w:numPr>
                          <w:ilvl w:val="0"/>
                          <w:numId w:val="4"/>
                        </w:numPr>
                        <w:rPr>
                          <w:rFonts w:ascii="Times New Roman" w:hAnsi="Times New Roman" w:cs="Times New Roman"/>
                        </w:rPr>
                      </w:pPr>
                      <w:r w:rsidRPr="00A54DA5">
                        <w:rPr>
                          <w:rFonts w:ascii="Times New Roman" w:hAnsi="Times New Roman" w:cs="Times New Roman"/>
                          <w:b/>
                        </w:rPr>
                        <w:t>The subpopulation to be included as respondents</w:t>
                      </w:r>
                      <w:r w:rsidRPr="007600FB">
                        <w:rPr>
                          <w:rFonts w:ascii="Times New Roman" w:hAnsi="Times New Roman" w:cs="Times New Roman"/>
                        </w:rPr>
                        <w:t xml:space="preserve">: Individuals affected by TB who are expected to leave or enter US jurisdictions and need ongoing TB care and follow-up. </w:t>
                      </w:r>
                    </w:p>
                    <w:p w:rsidRPr="00835099" w:rsidR="002B2F72" w:rsidP="00A54DA5" w:rsidRDefault="002B2F72" w14:paraId="78EE4030" w14:textId="77777777">
                      <w:pPr>
                        <w:pStyle w:val="ListParagraph"/>
                        <w:numPr>
                          <w:ilvl w:val="0"/>
                          <w:numId w:val="4"/>
                        </w:numPr>
                        <w:rPr>
                          <w:rFonts w:ascii="Times New Roman" w:hAnsi="Times New Roman" w:cs="Times New Roman"/>
                        </w:rPr>
                      </w:pPr>
                      <w:r w:rsidRPr="00A54DA5">
                        <w:rPr>
                          <w:rFonts w:ascii="Times New Roman" w:hAnsi="Times New Roman" w:cs="Times New Roman"/>
                          <w:b/>
                        </w:rPr>
                        <w:t>How data will be analyzed</w:t>
                      </w:r>
                      <w:r w:rsidRPr="007600FB">
                        <w:rPr>
                          <w:rFonts w:ascii="Times New Roman" w:hAnsi="Times New Roman" w:cs="Times New Roman"/>
                          <w:b/>
                        </w:rPr>
                        <w:t>:</w:t>
                      </w:r>
                      <w:r w:rsidRPr="00A54DA5">
                        <w:rPr>
                          <w:rFonts w:ascii="Times New Roman" w:hAnsi="Times New Roman" w:cs="Times New Roman"/>
                        </w:rPr>
                        <w:t xml:space="preserve"> </w:t>
                      </w:r>
                      <w:r w:rsidRPr="007600FB">
                        <w:rPr>
                          <w:rFonts w:ascii="Times New Roman" w:hAnsi="Times New Roman" w:cs="Times New Roman"/>
                        </w:rPr>
                        <w:t>Identify demographics, clinical features and outcomes of referred individuals for quality assurance and program management purposes</w:t>
                      </w:r>
                      <w:r w:rsidRPr="00835099">
                        <w:rPr>
                          <w:rFonts w:ascii="Times New Roman" w:hAnsi="Times New Roman" w:cs="Times New Roman"/>
                        </w:rPr>
                        <w:t>.</w:t>
                      </w:r>
                    </w:p>
                  </w:txbxContent>
                </v:textbox>
              </v:shape>
            </w:pict>
          </mc:Fallback>
        </mc:AlternateContent>
      </w:r>
      <w:bookmarkEnd w:id="2"/>
    </w:p>
    <w:p w:rsidRPr="00E059CA" w:rsidR="00615ECF" w:rsidP="005242B1" w:rsidRDefault="00615ECF" w14:paraId="50D2C3F4" w14:textId="77777777">
      <w:pPr>
        <w:pStyle w:val="Heading1"/>
        <w:spacing w:line="240" w:lineRule="auto"/>
        <w:jc w:val="left"/>
        <w:rPr>
          <w:color w:val="auto"/>
          <w:sz w:val="24"/>
          <w:szCs w:val="24"/>
        </w:rPr>
      </w:pPr>
    </w:p>
    <w:p w:rsidRPr="00E059CA" w:rsidR="00615ECF" w:rsidP="005242B1" w:rsidRDefault="00615ECF" w14:paraId="40B4351E" w14:textId="77777777">
      <w:pPr>
        <w:pStyle w:val="Heading1"/>
        <w:spacing w:line="240" w:lineRule="auto"/>
        <w:jc w:val="left"/>
        <w:rPr>
          <w:color w:val="auto"/>
          <w:sz w:val="24"/>
          <w:szCs w:val="24"/>
        </w:rPr>
      </w:pPr>
    </w:p>
    <w:p w:rsidRPr="00E059CA" w:rsidR="00615ECF" w:rsidP="005242B1" w:rsidRDefault="00615ECF" w14:paraId="5C6692B1" w14:textId="77777777">
      <w:pPr>
        <w:pStyle w:val="Heading1"/>
        <w:spacing w:line="240" w:lineRule="auto"/>
        <w:jc w:val="left"/>
        <w:rPr>
          <w:color w:val="auto"/>
          <w:sz w:val="24"/>
          <w:szCs w:val="24"/>
        </w:rPr>
      </w:pPr>
    </w:p>
    <w:p w:rsidRPr="00E059CA" w:rsidR="00615ECF" w:rsidP="005242B1" w:rsidRDefault="00615ECF" w14:paraId="6616857D" w14:textId="77777777">
      <w:pPr>
        <w:pStyle w:val="Heading1"/>
        <w:spacing w:line="240" w:lineRule="auto"/>
        <w:jc w:val="left"/>
        <w:rPr>
          <w:color w:val="auto"/>
          <w:sz w:val="24"/>
          <w:szCs w:val="24"/>
        </w:rPr>
      </w:pPr>
    </w:p>
    <w:p w:rsidRPr="00E059CA" w:rsidR="00615ECF" w:rsidP="005242B1" w:rsidRDefault="00615ECF" w14:paraId="090BE98D" w14:textId="77777777">
      <w:pPr>
        <w:pStyle w:val="Heading1"/>
        <w:spacing w:line="240" w:lineRule="auto"/>
        <w:jc w:val="left"/>
        <w:rPr>
          <w:color w:val="auto"/>
          <w:sz w:val="24"/>
          <w:szCs w:val="24"/>
        </w:rPr>
      </w:pPr>
    </w:p>
    <w:p w:rsidRPr="00E059CA" w:rsidR="004D48F5" w:rsidP="005242B1" w:rsidRDefault="00CA29F3" w14:paraId="290B713C" w14:textId="77777777">
      <w:pPr>
        <w:pStyle w:val="Heading1"/>
        <w:spacing w:line="240" w:lineRule="auto"/>
        <w:jc w:val="left"/>
        <w:rPr>
          <w:color w:val="auto"/>
          <w:sz w:val="24"/>
          <w:szCs w:val="24"/>
        </w:rPr>
      </w:pPr>
      <w:bookmarkStart w:name="_Toc457379297" w:id="3"/>
      <w:r w:rsidRPr="00E059CA">
        <w:rPr>
          <w:color w:val="auto"/>
          <w:sz w:val="24"/>
          <w:szCs w:val="24"/>
        </w:rPr>
        <w:t>PART A. JUSTIFICATION</w:t>
      </w:r>
      <w:bookmarkEnd w:id="3"/>
    </w:p>
    <w:p w:rsidRPr="000C7EC9" w:rsidR="008743BA" w:rsidP="008743BA" w:rsidRDefault="008743BA" w14:paraId="602C9053" w14:textId="6F95889B">
      <w:pPr>
        <w:spacing w:after="0" w:line="240" w:lineRule="auto"/>
      </w:pPr>
      <w:bookmarkStart w:name="_Toc457379298" w:id="4"/>
      <w:r w:rsidRPr="00D85B3B">
        <w:rPr>
          <w:rFonts w:ascii="Times New Roman" w:hAnsi="Times New Roman" w:eastAsia="Times New Roman" w:cs="Times New Roman"/>
          <w:sz w:val="24"/>
          <w:szCs w:val="24"/>
        </w:rPr>
        <w:t xml:space="preserve">CDC is requesting a revision of this </w:t>
      </w:r>
      <w:r w:rsidRPr="000C7EC9">
        <w:rPr>
          <w:rFonts w:ascii="Times New Roman" w:hAnsi="Times New Roman" w:eastAsia="Times New Roman" w:cs="Times New Roman"/>
          <w:sz w:val="24"/>
          <w:szCs w:val="24"/>
        </w:rPr>
        <w:t xml:space="preserve">information collection request.  CDC requests this data collection approval for three years. CDC is making a small number of changes to the </w:t>
      </w:r>
      <w:proofErr w:type="spellStart"/>
      <w:r w:rsidRPr="000A04A3">
        <w:rPr>
          <w:rFonts w:ascii="Times New Roman" w:hAnsi="Times New Roman" w:eastAsia="Times New Roman" w:cs="Times New Roman"/>
          <w:sz w:val="24"/>
          <w:szCs w:val="24"/>
        </w:rPr>
        <w:t>CureTB</w:t>
      </w:r>
      <w:proofErr w:type="spellEnd"/>
      <w:r w:rsidRPr="000A04A3">
        <w:rPr>
          <w:rFonts w:ascii="Times New Roman" w:hAnsi="Times New Roman" w:eastAsia="Times New Roman" w:cs="Times New Roman"/>
          <w:sz w:val="24"/>
          <w:szCs w:val="24"/>
        </w:rPr>
        <w:t xml:space="preserve"> Transnational Notification information collection tool for ease of use by the respondents</w:t>
      </w:r>
      <w:r w:rsidRPr="005B55DB">
        <w:rPr>
          <w:rFonts w:ascii="Times New Roman" w:hAnsi="Times New Roman" w:eastAsia="Times New Roman" w:cs="Times New Roman"/>
          <w:sz w:val="24"/>
          <w:szCs w:val="24"/>
        </w:rPr>
        <w:t xml:space="preserve"> and adding two pieces of additional data important for clinical decision making and patient contact.  Additionally, CDC is </w:t>
      </w:r>
      <w:r w:rsidRPr="000C7EC9">
        <w:rPr>
          <w:rFonts w:ascii="Times New Roman" w:hAnsi="Times New Roman" w:eastAsia="Times New Roman" w:cs="Times New Roman"/>
          <w:sz w:val="24"/>
          <w:szCs w:val="24"/>
        </w:rPr>
        <w:t xml:space="preserve">clarifying the specific burden attributable to individuals within </w:t>
      </w:r>
      <w:bookmarkStart w:name="_Hlk41466133" w:id="5"/>
      <w:r w:rsidRPr="000C7EC9">
        <w:rPr>
          <w:rFonts w:ascii="Times New Roman" w:hAnsi="Times New Roman" w:eastAsia="Times New Roman" w:cs="Times New Roman"/>
          <w:sz w:val="24"/>
          <w:szCs w:val="24"/>
        </w:rPr>
        <w:t>Immigration and Customs Enforcement</w:t>
      </w:r>
      <w:r w:rsidR="00E62D1A">
        <w:rPr>
          <w:rFonts w:ascii="Times New Roman" w:hAnsi="Times New Roman" w:eastAsia="Times New Roman" w:cs="Times New Roman"/>
          <w:sz w:val="24"/>
          <w:szCs w:val="24"/>
        </w:rPr>
        <w:t xml:space="preserve"> (ICE)</w:t>
      </w:r>
      <w:r w:rsidRPr="000C7EC9">
        <w:rPr>
          <w:rFonts w:ascii="Times New Roman" w:hAnsi="Times New Roman" w:eastAsia="Times New Roman" w:cs="Times New Roman"/>
          <w:sz w:val="24"/>
          <w:szCs w:val="24"/>
        </w:rPr>
        <w:t xml:space="preserve"> </w:t>
      </w:r>
      <w:bookmarkEnd w:id="5"/>
      <w:r w:rsidRPr="000C7EC9">
        <w:rPr>
          <w:rFonts w:ascii="Times New Roman" w:hAnsi="Times New Roman" w:eastAsia="Times New Roman" w:cs="Times New Roman"/>
          <w:sz w:val="24"/>
          <w:szCs w:val="24"/>
        </w:rPr>
        <w:t xml:space="preserve">custody by noting this in the tables in </w:t>
      </w:r>
      <w:r w:rsidRPr="000C7EC9" w:rsidR="00A02AF2">
        <w:rPr>
          <w:rFonts w:ascii="Times New Roman" w:hAnsi="Times New Roman" w:eastAsia="Times New Roman" w:cs="Times New Roman"/>
          <w:sz w:val="24"/>
          <w:szCs w:val="24"/>
        </w:rPr>
        <w:t>S</w:t>
      </w:r>
      <w:r w:rsidRPr="000C7EC9">
        <w:rPr>
          <w:rFonts w:ascii="Times New Roman" w:hAnsi="Times New Roman" w:eastAsia="Times New Roman" w:cs="Times New Roman"/>
          <w:sz w:val="24"/>
          <w:szCs w:val="24"/>
        </w:rPr>
        <w:t>ection 12.  Finally, CDC is updating the number of respondents and associated burden</w:t>
      </w:r>
      <w:r w:rsidRPr="000C7EC9" w:rsidR="002B549C">
        <w:rPr>
          <w:rFonts w:ascii="Times New Roman" w:hAnsi="Times New Roman" w:eastAsia="Times New Roman" w:cs="Times New Roman"/>
          <w:sz w:val="24"/>
          <w:szCs w:val="24"/>
        </w:rPr>
        <w:t xml:space="preserve"> based on program operations over the last 12 months</w:t>
      </w:r>
      <w:r w:rsidRPr="000C7EC9">
        <w:rPr>
          <w:rFonts w:ascii="Times New Roman" w:hAnsi="Times New Roman" w:eastAsia="Times New Roman" w:cs="Times New Roman"/>
          <w:sz w:val="24"/>
          <w:szCs w:val="24"/>
        </w:rPr>
        <w:t>.</w:t>
      </w:r>
      <w:r w:rsidRPr="000C7EC9" w:rsidR="00C24446">
        <w:rPr>
          <w:rFonts w:ascii="Times New Roman" w:hAnsi="Times New Roman" w:eastAsia="Times New Roman" w:cs="Times New Roman"/>
          <w:sz w:val="24"/>
          <w:szCs w:val="24"/>
        </w:rPr>
        <w:t xml:space="preserve"> No other changes are proposed.</w:t>
      </w:r>
    </w:p>
    <w:p w:rsidRPr="00E059CA" w:rsidR="00740712" w:rsidP="00740712" w:rsidRDefault="00740712" w14:paraId="3703C850" w14:textId="7C9AF817">
      <w:pPr>
        <w:pStyle w:val="Heading2"/>
      </w:pPr>
      <w:r w:rsidRPr="000C7EC9">
        <w:t>1</w:t>
      </w:r>
      <w:r w:rsidRPr="000C7EC9" w:rsidR="00501575">
        <w:t>.</w:t>
      </w:r>
      <w:r w:rsidRPr="000C7EC9">
        <w:t xml:space="preserve"> Circumstances Making the Collection of Information Necessary</w:t>
      </w:r>
      <w:bookmarkEnd w:id="4"/>
    </w:p>
    <w:p w:rsidR="00440C4A" w:rsidP="002262BD" w:rsidRDefault="000F75AD" w14:paraId="1C2EF8EF" w14:textId="0084F1B5">
      <w:pPr>
        <w:spacing w:after="0" w:line="240" w:lineRule="auto"/>
        <w:rPr>
          <w:rFonts w:ascii="Times New Roman" w:hAnsi="Times New Roman" w:eastAsia="Times New Roman" w:cs="Times New Roman"/>
          <w:sz w:val="24"/>
          <w:szCs w:val="24"/>
        </w:rPr>
      </w:pPr>
      <w:r w:rsidRPr="00E059CA">
        <w:rPr>
          <w:rFonts w:ascii="Times New Roman" w:hAnsi="Times New Roman" w:eastAsia="Times New Roman" w:cs="Times New Roman"/>
          <w:sz w:val="24"/>
          <w:szCs w:val="24"/>
        </w:rPr>
        <w:t>The Centers for Disease Control and Prevention’s (CDC), National Center for Emerging and Zoonotic Infectious Diseases (NCEZID), Division of Global Migration and Quarantine (DGMQ)</w:t>
      </w:r>
      <w:r w:rsidRPr="00E059CA" w:rsidR="00944B0C">
        <w:rPr>
          <w:rFonts w:ascii="Times New Roman" w:hAnsi="Times New Roman" w:eastAsia="Times New Roman" w:cs="Times New Roman"/>
          <w:sz w:val="24"/>
          <w:szCs w:val="24"/>
        </w:rPr>
        <w:t xml:space="preserve">, </w:t>
      </w:r>
      <w:r w:rsidRPr="00E059CA">
        <w:rPr>
          <w:rFonts w:ascii="Times New Roman" w:hAnsi="Times New Roman" w:eastAsia="Times New Roman" w:cs="Times New Roman"/>
          <w:sz w:val="24"/>
          <w:szCs w:val="24"/>
        </w:rPr>
        <w:t xml:space="preserve">requests approval for information collection </w:t>
      </w:r>
      <w:r w:rsidRPr="00E059CA" w:rsidR="00960B4D">
        <w:rPr>
          <w:rFonts w:ascii="Times New Roman" w:hAnsi="Times New Roman" w:eastAsia="Times New Roman" w:cs="Times New Roman"/>
          <w:sz w:val="24"/>
          <w:szCs w:val="24"/>
        </w:rPr>
        <w:t xml:space="preserve">from entities that </w:t>
      </w:r>
      <w:r w:rsidRPr="00E059CA" w:rsidR="004B14D0">
        <w:rPr>
          <w:rFonts w:ascii="Times New Roman" w:hAnsi="Times New Roman" w:eastAsia="Times New Roman" w:cs="Times New Roman"/>
          <w:sz w:val="24"/>
          <w:szCs w:val="24"/>
        </w:rPr>
        <w:t xml:space="preserve">partner with </w:t>
      </w:r>
      <w:proofErr w:type="spellStart"/>
      <w:r w:rsidRPr="00E059CA" w:rsidR="00960B4D">
        <w:rPr>
          <w:rFonts w:ascii="Times New Roman" w:hAnsi="Times New Roman" w:eastAsia="Times New Roman" w:cs="Times New Roman"/>
          <w:sz w:val="24"/>
          <w:szCs w:val="24"/>
        </w:rPr>
        <w:t>CureTB</w:t>
      </w:r>
      <w:proofErr w:type="spellEnd"/>
      <w:r w:rsidRPr="00E059CA" w:rsidR="004B14D0">
        <w:rPr>
          <w:rFonts w:ascii="Times New Roman" w:hAnsi="Times New Roman" w:eastAsia="Times New Roman" w:cs="Times New Roman"/>
          <w:sz w:val="24"/>
          <w:szCs w:val="24"/>
        </w:rPr>
        <w:t xml:space="preserve"> for continuity of care services</w:t>
      </w:r>
      <w:r w:rsidRPr="00E059CA" w:rsidR="00960B4D">
        <w:rPr>
          <w:rFonts w:ascii="Times New Roman" w:hAnsi="Times New Roman" w:eastAsia="Times New Roman" w:cs="Times New Roman"/>
          <w:sz w:val="24"/>
          <w:szCs w:val="24"/>
        </w:rPr>
        <w:t xml:space="preserve">. </w:t>
      </w:r>
    </w:p>
    <w:p w:rsidR="00440C4A" w:rsidP="002262BD" w:rsidRDefault="00440C4A" w14:paraId="050F8A3C" w14:textId="77777777">
      <w:pPr>
        <w:spacing w:after="0" w:line="240" w:lineRule="auto"/>
        <w:rPr>
          <w:rFonts w:ascii="Times New Roman" w:hAnsi="Times New Roman" w:eastAsia="Times New Roman" w:cs="Times New Roman"/>
          <w:sz w:val="24"/>
          <w:szCs w:val="24"/>
        </w:rPr>
      </w:pPr>
    </w:p>
    <w:p w:rsidRPr="00E059CA" w:rsidR="002262BD" w:rsidP="002262BD" w:rsidRDefault="0047240F" w14:paraId="272883C6" w14:textId="2DB9CE94">
      <w:pPr>
        <w:spacing w:after="0" w:line="240" w:lineRule="auto"/>
        <w:rPr>
          <w:rFonts w:ascii="Times New Roman" w:hAnsi="Times New Roman" w:eastAsia="Times New Roman" w:cs="Times New Roman"/>
          <w:sz w:val="24"/>
          <w:szCs w:val="24"/>
        </w:rPr>
      </w:pPr>
      <w:bookmarkStart w:name="_Hlk41466479" w:id="6"/>
      <w:r w:rsidRPr="0047240F">
        <w:rPr>
          <w:rFonts w:ascii="Times New Roman" w:hAnsi="Times New Roman" w:eastAsia="Times New Roman" w:cs="Times New Roman"/>
          <w:sz w:val="24"/>
          <w:szCs w:val="24"/>
        </w:rPr>
        <w:t xml:space="preserve">The respondents are local health departments </w:t>
      </w:r>
      <w:r w:rsidR="00D406DA">
        <w:rPr>
          <w:rFonts w:ascii="Times New Roman" w:hAnsi="Times New Roman" w:eastAsia="Times New Roman" w:cs="Times New Roman"/>
          <w:sz w:val="24"/>
          <w:szCs w:val="24"/>
        </w:rPr>
        <w:t xml:space="preserve">(LHD) </w:t>
      </w:r>
      <w:r w:rsidRPr="0047240F">
        <w:rPr>
          <w:rFonts w:ascii="Times New Roman" w:hAnsi="Times New Roman" w:eastAsia="Times New Roman" w:cs="Times New Roman"/>
          <w:sz w:val="24"/>
          <w:szCs w:val="24"/>
        </w:rPr>
        <w:t xml:space="preserve">and federal Immigration and Customs Enforcement </w:t>
      </w:r>
      <w:r w:rsidR="00D406DA">
        <w:rPr>
          <w:rFonts w:ascii="Times New Roman" w:hAnsi="Times New Roman" w:eastAsia="Times New Roman" w:cs="Times New Roman"/>
          <w:sz w:val="24"/>
          <w:szCs w:val="24"/>
        </w:rPr>
        <w:t xml:space="preserve">(ICE) </w:t>
      </w:r>
      <w:r w:rsidRPr="0047240F">
        <w:rPr>
          <w:rFonts w:ascii="Times New Roman" w:hAnsi="Times New Roman" w:eastAsia="Times New Roman" w:cs="Times New Roman"/>
          <w:sz w:val="24"/>
          <w:szCs w:val="24"/>
        </w:rPr>
        <w:t xml:space="preserve">detention centers within the United States and </w:t>
      </w:r>
      <w:r w:rsidRPr="001E481B" w:rsidR="001E481B">
        <w:rPr>
          <w:rFonts w:ascii="Times New Roman" w:hAnsi="Times New Roman" w:eastAsia="Times New Roman" w:cs="Times New Roman"/>
          <w:sz w:val="24"/>
          <w:szCs w:val="24"/>
        </w:rPr>
        <w:t xml:space="preserve">physicians in </w:t>
      </w:r>
      <w:r w:rsidRPr="0047240F">
        <w:rPr>
          <w:rFonts w:ascii="Times New Roman" w:hAnsi="Times New Roman" w:eastAsia="Times New Roman" w:cs="Times New Roman"/>
          <w:sz w:val="24"/>
          <w:szCs w:val="24"/>
        </w:rPr>
        <w:t>healthcare facilities or public health departments in other countries who provide diagnostic and treatment services to individuals affected by TB.</w:t>
      </w:r>
      <w:bookmarkEnd w:id="6"/>
      <w:r w:rsidRPr="00E059CA" w:rsidR="002262BD">
        <w:rPr>
          <w:rFonts w:ascii="Times New Roman" w:hAnsi="Times New Roman" w:eastAsia="Times New Roman" w:cs="Times New Roman"/>
          <w:sz w:val="24"/>
          <w:szCs w:val="24"/>
        </w:rPr>
        <w:t xml:space="preserve">  </w:t>
      </w:r>
      <w:bookmarkStart w:name="_Hlk41552802" w:id="7"/>
      <w:r w:rsidR="00253B22">
        <w:rPr>
          <w:rFonts w:ascii="Times New Roman" w:hAnsi="Times New Roman" w:eastAsia="Times New Roman" w:cs="Times New Roman"/>
          <w:sz w:val="24"/>
          <w:szCs w:val="24"/>
        </w:rPr>
        <w:t xml:space="preserve">Individual TB patients may also be respondents if critical clinical or contact information is missing from their referral and </w:t>
      </w:r>
      <w:proofErr w:type="spellStart"/>
      <w:r w:rsidR="00253B22">
        <w:rPr>
          <w:rFonts w:ascii="Times New Roman" w:hAnsi="Times New Roman" w:eastAsia="Times New Roman" w:cs="Times New Roman"/>
          <w:sz w:val="24"/>
          <w:szCs w:val="24"/>
        </w:rPr>
        <w:t>CureTB</w:t>
      </w:r>
      <w:proofErr w:type="spellEnd"/>
      <w:r w:rsidR="00253B22">
        <w:rPr>
          <w:rFonts w:ascii="Times New Roman" w:hAnsi="Times New Roman" w:eastAsia="Times New Roman" w:cs="Times New Roman"/>
          <w:sz w:val="24"/>
          <w:szCs w:val="24"/>
        </w:rPr>
        <w:t xml:space="preserve"> follows-up with them to fill-in gaps </w:t>
      </w:r>
      <w:r w:rsidR="001D64AC">
        <w:rPr>
          <w:rFonts w:ascii="Times New Roman" w:hAnsi="Times New Roman" w:eastAsia="Times New Roman" w:cs="Times New Roman"/>
          <w:sz w:val="24"/>
          <w:szCs w:val="24"/>
        </w:rPr>
        <w:t>to</w:t>
      </w:r>
      <w:r w:rsidR="00253B22">
        <w:rPr>
          <w:rFonts w:ascii="Times New Roman" w:hAnsi="Times New Roman" w:eastAsia="Times New Roman" w:cs="Times New Roman"/>
          <w:sz w:val="24"/>
          <w:szCs w:val="24"/>
        </w:rPr>
        <w:t xml:space="preserve"> complete the referral service.  </w:t>
      </w:r>
      <w:bookmarkEnd w:id="7"/>
      <w:r w:rsidRPr="00E059CA" w:rsidR="002262BD">
        <w:rPr>
          <w:rFonts w:ascii="Times New Roman" w:hAnsi="Times New Roman" w:eastAsia="Times New Roman" w:cs="Times New Roman"/>
          <w:sz w:val="24"/>
          <w:szCs w:val="24"/>
        </w:rPr>
        <w:t xml:space="preserve">All 50 US states and territories may refer TB patients to the </w:t>
      </w:r>
      <w:proofErr w:type="spellStart"/>
      <w:r w:rsidRPr="00E059CA" w:rsidR="002262BD">
        <w:rPr>
          <w:rFonts w:ascii="Times New Roman" w:hAnsi="Times New Roman" w:eastAsia="Times New Roman" w:cs="Times New Roman"/>
          <w:sz w:val="24"/>
          <w:szCs w:val="24"/>
        </w:rPr>
        <w:t>CureTB</w:t>
      </w:r>
      <w:proofErr w:type="spellEnd"/>
      <w:r w:rsidRPr="00E059CA" w:rsidR="002262BD">
        <w:rPr>
          <w:rFonts w:ascii="Times New Roman" w:hAnsi="Times New Roman" w:eastAsia="Times New Roman" w:cs="Times New Roman"/>
          <w:sz w:val="24"/>
          <w:szCs w:val="24"/>
        </w:rPr>
        <w:t xml:space="preserve"> program.  To date, </w:t>
      </w:r>
      <w:proofErr w:type="spellStart"/>
      <w:r w:rsidRPr="00E059CA" w:rsidR="002262BD">
        <w:rPr>
          <w:rFonts w:ascii="Times New Roman" w:hAnsi="Times New Roman" w:eastAsia="Times New Roman" w:cs="Times New Roman"/>
          <w:sz w:val="24"/>
          <w:szCs w:val="24"/>
        </w:rPr>
        <w:t>CureTB</w:t>
      </w:r>
      <w:proofErr w:type="spellEnd"/>
      <w:r w:rsidRPr="00E059CA" w:rsidR="002262BD">
        <w:rPr>
          <w:rFonts w:ascii="Times New Roman" w:hAnsi="Times New Roman" w:eastAsia="Times New Roman" w:cs="Times New Roman"/>
          <w:sz w:val="24"/>
          <w:szCs w:val="24"/>
        </w:rPr>
        <w:t xml:space="preserve"> has also received referrals from Mexico and Guatemala.  </w:t>
      </w:r>
    </w:p>
    <w:p w:rsidRPr="00E059CA" w:rsidR="002262BD" w:rsidP="002262BD" w:rsidRDefault="002262BD" w14:paraId="58540D2F" w14:textId="77777777">
      <w:pPr>
        <w:spacing w:after="0" w:line="240" w:lineRule="auto"/>
        <w:rPr>
          <w:rFonts w:ascii="Times New Roman" w:hAnsi="Times New Roman" w:cs="Times New Roman"/>
          <w:sz w:val="24"/>
          <w:szCs w:val="24"/>
        </w:rPr>
      </w:pPr>
    </w:p>
    <w:p w:rsidR="00940B10" w:rsidP="000F75AD" w:rsidRDefault="00960B4D" w14:paraId="273BC971" w14:textId="5019FB24">
      <w:pPr>
        <w:spacing w:after="0" w:line="240" w:lineRule="auto"/>
        <w:rPr>
          <w:rFonts w:ascii="Times New Roman" w:hAnsi="Times New Roman" w:eastAsia="Times New Roman" w:cs="Times New Roman"/>
          <w:sz w:val="24"/>
          <w:szCs w:val="24"/>
        </w:rPr>
      </w:pPr>
      <w:r w:rsidRPr="00E059CA">
        <w:rPr>
          <w:rFonts w:ascii="Times New Roman" w:hAnsi="Times New Roman" w:eastAsia="Times New Roman" w:cs="Times New Roman"/>
          <w:sz w:val="24"/>
          <w:szCs w:val="24"/>
        </w:rPr>
        <w:t>This information has been provided</w:t>
      </w:r>
      <w:r w:rsidRPr="00E059CA" w:rsidR="00944B0C">
        <w:rPr>
          <w:rFonts w:ascii="Times New Roman" w:hAnsi="Times New Roman" w:eastAsia="Times New Roman" w:cs="Times New Roman"/>
          <w:sz w:val="24"/>
          <w:szCs w:val="24"/>
        </w:rPr>
        <w:t xml:space="preserve"> to </w:t>
      </w:r>
      <w:proofErr w:type="spellStart"/>
      <w:r w:rsidRPr="00E059CA" w:rsidR="00944B0C">
        <w:rPr>
          <w:rFonts w:ascii="Times New Roman" w:hAnsi="Times New Roman" w:eastAsia="Times New Roman" w:cs="Times New Roman"/>
          <w:sz w:val="24"/>
          <w:szCs w:val="24"/>
        </w:rPr>
        <w:t>CureTB</w:t>
      </w:r>
      <w:proofErr w:type="spellEnd"/>
      <w:r w:rsidRPr="00E059CA" w:rsidR="00944B0C">
        <w:rPr>
          <w:rFonts w:ascii="Times New Roman" w:hAnsi="Times New Roman" w:eastAsia="Times New Roman" w:cs="Times New Roman"/>
          <w:sz w:val="24"/>
          <w:szCs w:val="24"/>
        </w:rPr>
        <w:t xml:space="preserve"> </w:t>
      </w:r>
      <w:r w:rsidRPr="00E059CA">
        <w:rPr>
          <w:rFonts w:ascii="Times New Roman" w:hAnsi="Times New Roman" w:eastAsia="Times New Roman" w:cs="Times New Roman"/>
          <w:sz w:val="24"/>
          <w:szCs w:val="24"/>
        </w:rPr>
        <w:t>by these entities for over 20 years</w:t>
      </w:r>
      <w:r w:rsidR="00AA2124">
        <w:rPr>
          <w:rFonts w:ascii="Times New Roman" w:hAnsi="Times New Roman" w:eastAsia="Times New Roman" w:cs="Times New Roman"/>
          <w:sz w:val="24"/>
          <w:szCs w:val="24"/>
        </w:rPr>
        <w:t>;</w:t>
      </w:r>
      <w:r w:rsidRPr="00E059CA">
        <w:rPr>
          <w:rFonts w:ascii="Times New Roman" w:hAnsi="Times New Roman" w:eastAsia="Times New Roman" w:cs="Times New Roman"/>
          <w:sz w:val="24"/>
          <w:szCs w:val="24"/>
        </w:rPr>
        <w:t xml:space="preserve"> however, </w:t>
      </w:r>
      <w:r w:rsidRPr="00E059CA" w:rsidR="00944B0C">
        <w:rPr>
          <w:rFonts w:ascii="Times New Roman" w:hAnsi="Times New Roman" w:eastAsia="Times New Roman" w:cs="Times New Roman"/>
          <w:sz w:val="24"/>
          <w:szCs w:val="24"/>
        </w:rPr>
        <w:t xml:space="preserve">the leadership and oversight of </w:t>
      </w:r>
      <w:proofErr w:type="spellStart"/>
      <w:r w:rsidRPr="00E059CA">
        <w:rPr>
          <w:rFonts w:ascii="Times New Roman" w:hAnsi="Times New Roman" w:eastAsia="Times New Roman" w:cs="Times New Roman"/>
          <w:sz w:val="24"/>
          <w:szCs w:val="24"/>
        </w:rPr>
        <w:t>CureTB</w:t>
      </w:r>
      <w:proofErr w:type="spellEnd"/>
      <w:r w:rsidRPr="00E059CA">
        <w:rPr>
          <w:rFonts w:ascii="Times New Roman" w:hAnsi="Times New Roman" w:eastAsia="Times New Roman" w:cs="Times New Roman"/>
          <w:sz w:val="24"/>
          <w:szCs w:val="24"/>
        </w:rPr>
        <w:t xml:space="preserve"> </w:t>
      </w:r>
      <w:r w:rsidR="00014F12">
        <w:rPr>
          <w:rFonts w:ascii="Times New Roman" w:hAnsi="Times New Roman" w:eastAsia="Times New Roman" w:cs="Times New Roman"/>
          <w:sz w:val="24"/>
          <w:szCs w:val="24"/>
        </w:rPr>
        <w:t>transitioned</w:t>
      </w:r>
      <w:r w:rsidRPr="00E059CA">
        <w:rPr>
          <w:rFonts w:ascii="Times New Roman" w:hAnsi="Times New Roman" w:eastAsia="Times New Roman" w:cs="Times New Roman"/>
          <w:sz w:val="24"/>
          <w:szCs w:val="24"/>
        </w:rPr>
        <w:t xml:space="preserve"> to </w:t>
      </w:r>
      <w:r w:rsidRPr="00E059CA" w:rsidR="00D35BEC">
        <w:rPr>
          <w:rFonts w:ascii="Times New Roman" w:hAnsi="Times New Roman" w:eastAsia="Times New Roman" w:cs="Times New Roman"/>
          <w:sz w:val="24"/>
          <w:szCs w:val="24"/>
        </w:rPr>
        <w:t xml:space="preserve">CDC </w:t>
      </w:r>
      <w:r w:rsidRPr="00E059CA">
        <w:rPr>
          <w:rFonts w:ascii="Times New Roman" w:hAnsi="Times New Roman" w:eastAsia="Times New Roman" w:cs="Times New Roman"/>
          <w:sz w:val="24"/>
          <w:szCs w:val="24"/>
        </w:rPr>
        <w:t>DGMQ</w:t>
      </w:r>
      <w:r w:rsidR="00014F12">
        <w:rPr>
          <w:rFonts w:ascii="Times New Roman" w:hAnsi="Times New Roman" w:eastAsia="Times New Roman" w:cs="Times New Roman"/>
          <w:sz w:val="24"/>
          <w:szCs w:val="24"/>
        </w:rPr>
        <w:t xml:space="preserve"> in 2016</w:t>
      </w:r>
      <w:r w:rsidRPr="00E059CA" w:rsidR="00016BE9">
        <w:rPr>
          <w:rFonts w:ascii="Times New Roman" w:hAnsi="Times New Roman" w:eastAsia="Times New Roman" w:cs="Times New Roman"/>
          <w:sz w:val="24"/>
          <w:szCs w:val="24"/>
        </w:rPr>
        <w:t xml:space="preserve">, </w:t>
      </w:r>
      <w:r w:rsidR="00014F12">
        <w:rPr>
          <w:rFonts w:ascii="Times New Roman" w:hAnsi="Times New Roman" w:eastAsia="Times New Roman" w:cs="Times New Roman"/>
          <w:sz w:val="24"/>
          <w:szCs w:val="24"/>
        </w:rPr>
        <w:t>because</w:t>
      </w:r>
      <w:r w:rsidRPr="00E059CA" w:rsidR="00016BE9">
        <w:rPr>
          <w:rFonts w:ascii="Times New Roman" w:hAnsi="Times New Roman" w:eastAsia="Times New Roman" w:cs="Times New Roman"/>
          <w:sz w:val="24"/>
          <w:szCs w:val="24"/>
        </w:rPr>
        <w:t xml:space="preserve"> the activities align with </w:t>
      </w:r>
      <w:r w:rsidR="00AA2124">
        <w:rPr>
          <w:rFonts w:ascii="Times New Roman" w:hAnsi="Times New Roman" w:eastAsia="Times New Roman" w:cs="Times New Roman"/>
          <w:sz w:val="24"/>
          <w:szCs w:val="24"/>
        </w:rPr>
        <w:t xml:space="preserve">federal TB control </w:t>
      </w:r>
      <w:r w:rsidRPr="00E059CA" w:rsidR="00016BE9">
        <w:rPr>
          <w:rFonts w:ascii="Times New Roman" w:hAnsi="Times New Roman" w:eastAsia="Times New Roman" w:cs="Times New Roman"/>
          <w:sz w:val="24"/>
          <w:szCs w:val="24"/>
        </w:rPr>
        <w:t>priorities</w:t>
      </w:r>
      <w:r w:rsidRPr="00246E8C" w:rsidR="00826036">
        <w:rPr>
          <w:rFonts w:ascii="Times New Roman" w:hAnsi="Times New Roman" w:eastAsia="Times New Roman" w:cs="Times New Roman"/>
          <w:sz w:val="24"/>
          <w:szCs w:val="24"/>
        </w:rPr>
        <w:t xml:space="preserve"> and </w:t>
      </w:r>
      <w:r w:rsidR="00014F12">
        <w:rPr>
          <w:rFonts w:ascii="Times New Roman" w:hAnsi="Times New Roman" w:eastAsia="Times New Roman" w:cs="Times New Roman"/>
          <w:sz w:val="24"/>
          <w:szCs w:val="24"/>
        </w:rPr>
        <w:t xml:space="preserve">several </w:t>
      </w:r>
      <w:r w:rsidRPr="00246E8C" w:rsidR="00826036">
        <w:rPr>
          <w:rFonts w:ascii="Times New Roman" w:hAnsi="Times New Roman" w:eastAsia="Times New Roman" w:cs="Times New Roman"/>
          <w:sz w:val="24"/>
          <w:szCs w:val="24"/>
        </w:rPr>
        <w:t xml:space="preserve">key </w:t>
      </w:r>
      <w:proofErr w:type="spellStart"/>
      <w:r w:rsidRPr="00246E8C" w:rsidR="00826036">
        <w:rPr>
          <w:rFonts w:ascii="Times New Roman" w:hAnsi="Times New Roman" w:eastAsia="Times New Roman" w:cs="Times New Roman"/>
          <w:sz w:val="24"/>
          <w:szCs w:val="24"/>
        </w:rPr>
        <w:t>CureTB</w:t>
      </w:r>
      <w:proofErr w:type="spellEnd"/>
      <w:r w:rsidRPr="00246E8C" w:rsidR="00826036">
        <w:rPr>
          <w:rFonts w:ascii="Times New Roman" w:hAnsi="Times New Roman" w:eastAsia="Times New Roman" w:cs="Times New Roman"/>
          <w:sz w:val="24"/>
          <w:szCs w:val="24"/>
        </w:rPr>
        <w:t xml:space="preserve"> </w:t>
      </w:r>
      <w:r w:rsidRPr="00305094" w:rsidR="00305094">
        <w:rPr>
          <w:rFonts w:ascii="Times New Roman" w:hAnsi="Times New Roman" w:eastAsia="Times New Roman" w:cs="Times New Roman"/>
          <w:sz w:val="24"/>
          <w:szCs w:val="24"/>
        </w:rPr>
        <w:t>management</w:t>
      </w:r>
      <w:r w:rsidRPr="00246E8C" w:rsidR="00826036">
        <w:rPr>
          <w:rFonts w:ascii="Times New Roman" w:hAnsi="Times New Roman" w:eastAsia="Times New Roman" w:cs="Times New Roman"/>
          <w:sz w:val="24"/>
          <w:szCs w:val="24"/>
        </w:rPr>
        <w:t xml:space="preserve"> </w:t>
      </w:r>
      <w:r w:rsidR="00014F12">
        <w:rPr>
          <w:rFonts w:ascii="Times New Roman" w:hAnsi="Times New Roman" w:eastAsia="Times New Roman" w:cs="Times New Roman"/>
          <w:sz w:val="24"/>
          <w:szCs w:val="24"/>
        </w:rPr>
        <w:t xml:space="preserve">moved positions </w:t>
      </w:r>
      <w:r w:rsidRPr="00246E8C" w:rsidR="00826036">
        <w:rPr>
          <w:rFonts w:ascii="Times New Roman" w:hAnsi="Times New Roman" w:eastAsia="Times New Roman" w:cs="Times New Roman"/>
          <w:sz w:val="24"/>
          <w:szCs w:val="24"/>
        </w:rPr>
        <w:t xml:space="preserve">from San Diego </w:t>
      </w:r>
      <w:r w:rsidRPr="00246E8C" w:rsidR="00313208">
        <w:rPr>
          <w:rFonts w:ascii="Times New Roman" w:hAnsi="Times New Roman" w:eastAsia="Times New Roman" w:cs="Times New Roman"/>
          <w:sz w:val="24"/>
          <w:szCs w:val="24"/>
        </w:rPr>
        <w:t xml:space="preserve">County </w:t>
      </w:r>
      <w:r w:rsidRPr="00246E8C" w:rsidR="00826036">
        <w:rPr>
          <w:rFonts w:ascii="Times New Roman" w:hAnsi="Times New Roman" w:eastAsia="Times New Roman" w:cs="Times New Roman"/>
          <w:sz w:val="24"/>
          <w:szCs w:val="24"/>
        </w:rPr>
        <w:t>Public Health to CDC</w:t>
      </w:r>
      <w:r w:rsidRPr="00E059CA" w:rsidR="00016BE9">
        <w:rPr>
          <w:rFonts w:ascii="Times New Roman" w:hAnsi="Times New Roman" w:eastAsia="Times New Roman" w:cs="Times New Roman"/>
          <w:sz w:val="24"/>
          <w:szCs w:val="24"/>
        </w:rPr>
        <w:t xml:space="preserve">. </w:t>
      </w:r>
      <w:r w:rsidR="00940B10">
        <w:rPr>
          <w:rFonts w:ascii="Times New Roman" w:hAnsi="Times New Roman" w:eastAsia="Times New Roman" w:cs="Times New Roman"/>
          <w:sz w:val="24"/>
          <w:szCs w:val="24"/>
        </w:rPr>
        <w:t xml:space="preserve"> </w:t>
      </w:r>
      <w:r w:rsidR="004962A0">
        <w:rPr>
          <w:rFonts w:ascii="Times New Roman" w:hAnsi="Times New Roman" w:eastAsia="Times New Roman" w:cs="Times New Roman"/>
          <w:sz w:val="24"/>
          <w:szCs w:val="24"/>
        </w:rPr>
        <w:t xml:space="preserve">CDC </w:t>
      </w:r>
      <w:proofErr w:type="spellStart"/>
      <w:r w:rsidR="00940B10">
        <w:rPr>
          <w:rFonts w:ascii="Times New Roman" w:hAnsi="Times New Roman" w:eastAsia="Times New Roman" w:cs="Times New Roman"/>
          <w:sz w:val="24"/>
          <w:szCs w:val="24"/>
        </w:rPr>
        <w:t>CureTB’s</w:t>
      </w:r>
      <w:proofErr w:type="spellEnd"/>
      <w:r w:rsidR="00940B10">
        <w:rPr>
          <w:rFonts w:ascii="Times New Roman" w:hAnsi="Times New Roman" w:eastAsia="Times New Roman" w:cs="Times New Roman"/>
          <w:sz w:val="24"/>
          <w:szCs w:val="24"/>
        </w:rPr>
        <w:t xml:space="preserve"> mission is</w:t>
      </w:r>
      <w:r w:rsidR="00AA2124">
        <w:rPr>
          <w:rFonts w:ascii="Times New Roman" w:hAnsi="Times New Roman" w:eastAsia="Times New Roman" w:cs="Times New Roman"/>
          <w:sz w:val="24"/>
          <w:szCs w:val="24"/>
        </w:rPr>
        <w:t xml:space="preserve"> </w:t>
      </w:r>
      <w:r w:rsidR="00940B10">
        <w:rPr>
          <w:rFonts w:ascii="Times New Roman" w:hAnsi="Times New Roman" w:eastAsia="Times New Roman" w:cs="Times New Roman"/>
          <w:sz w:val="24"/>
          <w:szCs w:val="24"/>
        </w:rPr>
        <w:t xml:space="preserve">aligned with </w:t>
      </w:r>
      <w:r w:rsidR="004962A0">
        <w:rPr>
          <w:rFonts w:ascii="Times New Roman" w:hAnsi="Times New Roman" w:eastAsia="Times New Roman" w:cs="Times New Roman"/>
          <w:sz w:val="24"/>
          <w:szCs w:val="24"/>
        </w:rPr>
        <w:t xml:space="preserve">CDC </w:t>
      </w:r>
      <w:r w:rsidR="00AA2124">
        <w:rPr>
          <w:rFonts w:ascii="Times New Roman" w:hAnsi="Times New Roman" w:eastAsia="Times New Roman" w:cs="Times New Roman"/>
          <w:sz w:val="24"/>
          <w:szCs w:val="24"/>
        </w:rPr>
        <w:t xml:space="preserve">DGMQ’s </w:t>
      </w:r>
      <w:r w:rsidR="00940B10">
        <w:rPr>
          <w:rFonts w:ascii="Times New Roman" w:hAnsi="Times New Roman" w:eastAsia="Times New Roman" w:cs="Times New Roman"/>
          <w:sz w:val="24"/>
          <w:szCs w:val="24"/>
        </w:rPr>
        <w:t>public health goals to reduce the spread of diseas</w:t>
      </w:r>
      <w:r w:rsidR="00AA2124">
        <w:rPr>
          <w:rFonts w:ascii="Times New Roman" w:hAnsi="Times New Roman" w:eastAsia="Times New Roman" w:cs="Times New Roman"/>
          <w:sz w:val="24"/>
          <w:szCs w:val="24"/>
        </w:rPr>
        <w:t>e in globally mobile populations and those populations living along the U.S. Mexico border.</w:t>
      </w:r>
    </w:p>
    <w:p w:rsidR="00940B10" w:rsidP="000F75AD" w:rsidRDefault="00940B10" w14:paraId="44074F0D" w14:textId="77777777">
      <w:pPr>
        <w:spacing w:after="0" w:line="240" w:lineRule="auto"/>
        <w:rPr>
          <w:rFonts w:ascii="Times New Roman" w:hAnsi="Times New Roman" w:eastAsia="Times New Roman" w:cs="Times New Roman"/>
          <w:sz w:val="24"/>
          <w:szCs w:val="24"/>
        </w:rPr>
      </w:pPr>
    </w:p>
    <w:p w:rsidRPr="00E059CA" w:rsidR="00440C4A" w:rsidP="00440C4A" w:rsidRDefault="00440C4A" w14:paraId="0F24E166" w14:textId="2793E7A4">
      <w:pPr>
        <w:spacing w:after="0" w:line="240" w:lineRule="auto"/>
        <w:rPr>
          <w:rFonts w:ascii="Times New Roman" w:hAnsi="Times New Roman" w:cs="Times New Roman"/>
          <w:sz w:val="24"/>
          <w:szCs w:val="24"/>
        </w:rPr>
      </w:pPr>
      <w:proofErr w:type="spellStart"/>
      <w:r w:rsidRPr="00E059CA">
        <w:rPr>
          <w:rFonts w:ascii="Times New Roman" w:hAnsi="Times New Roman" w:cs="Times New Roman"/>
          <w:sz w:val="24"/>
          <w:szCs w:val="24"/>
        </w:rPr>
        <w:t>CureTB</w:t>
      </w:r>
      <w:proofErr w:type="spellEnd"/>
      <w:r w:rsidRPr="00E059CA">
        <w:rPr>
          <w:rFonts w:ascii="Times New Roman" w:hAnsi="Times New Roman" w:cs="Times New Roman"/>
          <w:sz w:val="24"/>
          <w:szCs w:val="24"/>
        </w:rPr>
        <w:t xml:space="preserve"> started in the County of San Diego’s TB Control Branch to assist with continuity of care for TB patients in the immediate California-Mexico border region.  </w:t>
      </w:r>
      <w:proofErr w:type="spellStart"/>
      <w:r w:rsidRPr="00E059CA">
        <w:rPr>
          <w:rFonts w:ascii="Times New Roman" w:hAnsi="Times New Roman" w:cs="Times New Roman"/>
          <w:sz w:val="24"/>
          <w:szCs w:val="24"/>
        </w:rPr>
        <w:t>CureTB</w:t>
      </w:r>
      <w:proofErr w:type="spellEnd"/>
      <w:r w:rsidRPr="00E059CA">
        <w:rPr>
          <w:rFonts w:ascii="Times New Roman" w:hAnsi="Times New Roman" w:cs="Times New Roman"/>
          <w:sz w:val="24"/>
          <w:szCs w:val="24"/>
        </w:rPr>
        <w:t xml:space="preserve"> expanded its </w:t>
      </w:r>
      <w:r w:rsidRPr="00E059CA">
        <w:rPr>
          <w:rFonts w:ascii="Times New Roman" w:hAnsi="Times New Roman" w:cs="Times New Roman"/>
          <w:sz w:val="24"/>
          <w:szCs w:val="24"/>
        </w:rPr>
        <w:lastRenderedPageBreak/>
        <w:t xml:space="preserve">services to TB programs throughout the US and for patients moving between countries beyond the Mexican border, and to immigration facilities.  The program </w:t>
      </w:r>
      <w:r w:rsidR="00C24446">
        <w:rPr>
          <w:rFonts w:ascii="Times New Roman" w:hAnsi="Times New Roman" w:cs="Times New Roman"/>
          <w:sz w:val="24"/>
          <w:szCs w:val="24"/>
        </w:rPr>
        <w:t>has now transitioned</w:t>
      </w:r>
      <w:r w:rsidRPr="00E059CA">
        <w:rPr>
          <w:rFonts w:ascii="Times New Roman" w:hAnsi="Times New Roman" w:cs="Times New Roman"/>
          <w:sz w:val="24"/>
          <w:szCs w:val="24"/>
        </w:rPr>
        <w:t xml:space="preserve"> to </w:t>
      </w:r>
      <w:r>
        <w:rPr>
          <w:rFonts w:ascii="Times New Roman" w:hAnsi="Times New Roman" w:cs="Times New Roman"/>
          <w:sz w:val="24"/>
          <w:szCs w:val="24"/>
        </w:rPr>
        <w:t xml:space="preserve">CDC </w:t>
      </w:r>
      <w:r w:rsidRPr="00E059CA">
        <w:rPr>
          <w:rFonts w:ascii="Times New Roman" w:hAnsi="Times New Roman" w:cs="Times New Roman"/>
          <w:sz w:val="24"/>
          <w:szCs w:val="24"/>
        </w:rPr>
        <w:t xml:space="preserve">DGMQ to augment its mission of improving the health of migrating populations.  </w:t>
      </w:r>
      <w:r>
        <w:rPr>
          <w:rFonts w:ascii="Times New Roman" w:hAnsi="Times New Roman" w:cs="Times New Roman"/>
          <w:sz w:val="24"/>
          <w:szCs w:val="24"/>
        </w:rPr>
        <w:t xml:space="preserve">CDC </w:t>
      </w:r>
      <w:proofErr w:type="spellStart"/>
      <w:r w:rsidRPr="00E059CA">
        <w:rPr>
          <w:rFonts w:ascii="Times New Roman" w:hAnsi="Times New Roman" w:cs="Times New Roman"/>
          <w:sz w:val="24"/>
          <w:szCs w:val="24"/>
        </w:rPr>
        <w:t>CureTB</w:t>
      </w:r>
      <w:proofErr w:type="spellEnd"/>
      <w:r w:rsidRPr="00E059CA">
        <w:rPr>
          <w:rFonts w:ascii="Times New Roman" w:hAnsi="Times New Roman" w:cs="Times New Roman"/>
          <w:sz w:val="24"/>
          <w:szCs w:val="24"/>
        </w:rPr>
        <w:t xml:space="preserve"> </w:t>
      </w:r>
      <w:proofErr w:type="gramStart"/>
      <w:r w:rsidR="00C24446">
        <w:rPr>
          <w:rFonts w:ascii="Times New Roman" w:hAnsi="Times New Roman" w:cs="Times New Roman"/>
          <w:sz w:val="24"/>
          <w:szCs w:val="24"/>
        </w:rPr>
        <w:t>is able</w:t>
      </w:r>
      <w:r w:rsidRPr="00E059CA">
        <w:rPr>
          <w:rFonts w:ascii="Times New Roman" w:hAnsi="Times New Roman" w:cs="Times New Roman"/>
          <w:sz w:val="24"/>
          <w:szCs w:val="24"/>
        </w:rPr>
        <w:t xml:space="preserve"> to</w:t>
      </w:r>
      <w:proofErr w:type="gramEnd"/>
      <w:r w:rsidRPr="00E059CA">
        <w:rPr>
          <w:rFonts w:ascii="Times New Roman" w:hAnsi="Times New Roman" w:cs="Times New Roman"/>
          <w:sz w:val="24"/>
          <w:szCs w:val="24"/>
        </w:rPr>
        <w:t xml:space="preserve"> leverage</w:t>
      </w:r>
      <w:r w:rsidRPr="005168C7">
        <w:rPr>
          <w:rFonts w:ascii="Times New Roman" w:hAnsi="Times New Roman" w:cs="Times New Roman"/>
          <w:sz w:val="24"/>
          <w:szCs w:val="24"/>
        </w:rPr>
        <w:t xml:space="preserve"> national </w:t>
      </w:r>
      <w:r w:rsidRPr="00E059CA">
        <w:rPr>
          <w:rFonts w:ascii="Times New Roman" w:hAnsi="Times New Roman" w:cs="Times New Roman"/>
          <w:sz w:val="24"/>
          <w:szCs w:val="24"/>
        </w:rPr>
        <w:t xml:space="preserve">health authority partners who are accustomed to working with national </w:t>
      </w:r>
      <w:r w:rsidR="00C24446">
        <w:rPr>
          <w:rFonts w:ascii="Times New Roman" w:hAnsi="Times New Roman" w:cs="Times New Roman"/>
          <w:sz w:val="24"/>
          <w:szCs w:val="24"/>
        </w:rPr>
        <w:t>public health authorities</w:t>
      </w:r>
      <w:r w:rsidRPr="00E059CA">
        <w:rPr>
          <w:rFonts w:ascii="Times New Roman" w:hAnsi="Times New Roman" w:cs="Times New Roman"/>
          <w:sz w:val="24"/>
          <w:szCs w:val="24"/>
        </w:rPr>
        <w:t xml:space="preserve">.  In addition, </w:t>
      </w:r>
      <w:r>
        <w:rPr>
          <w:rFonts w:ascii="Times New Roman" w:hAnsi="Times New Roman" w:cs="Times New Roman"/>
          <w:sz w:val="24"/>
          <w:szCs w:val="24"/>
        </w:rPr>
        <w:t xml:space="preserve">CDC </w:t>
      </w:r>
      <w:proofErr w:type="spellStart"/>
      <w:r w:rsidRPr="00E059CA">
        <w:rPr>
          <w:rFonts w:ascii="Times New Roman" w:hAnsi="Times New Roman" w:cs="Times New Roman"/>
          <w:sz w:val="24"/>
          <w:szCs w:val="24"/>
        </w:rPr>
        <w:t>CureTB</w:t>
      </w:r>
      <w:proofErr w:type="spellEnd"/>
      <w:r w:rsidRPr="00E059CA">
        <w:rPr>
          <w:rFonts w:ascii="Times New Roman" w:hAnsi="Times New Roman" w:cs="Times New Roman"/>
          <w:sz w:val="24"/>
          <w:szCs w:val="24"/>
        </w:rPr>
        <w:t xml:space="preserve"> staff can access the Q</w:t>
      </w:r>
      <w:r>
        <w:rPr>
          <w:rFonts w:ascii="Times New Roman" w:hAnsi="Times New Roman" w:cs="Times New Roman"/>
          <w:sz w:val="24"/>
          <w:szCs w:val="24"/>
        </w:rPr>
        <w:t xml:space="preserve">uarantine </w:t>
      </w:r>
      <w:r w:rsidRPr="00E059CA">
        <w:rPr>
          <w:rFonts w:ascii="Times New Roman" w:hAnsi="Times New Roman" w:cs="Times New Roman"/>
          <w:sz w:val="24"/>
          <w:szCs w:val="24"/>
        </w:rPr>
        <w:t>A</w:t>
      </w:r>
      <w:r>
        <w:rPr>
          <w:rFonts w:ascii="Times New Roman" w:hAnsi="Times New Roman" w:cs="Times New Roman"/>
          <w:sz w:val="24"/>
          <w:szCs w:val="24"/>
        </w:rPr>
        <w:t xml:space="preserve">ctivity </w:t>
      </w:r>
      <w:r w:rsidRPr="00E059CA">
        <w:rPr>
          <w:rFonts w:ascii="Times New Roman" w:hAnsi="Times New Roman" w:cs="Times New Roman"/>
          <w:sz w:val="24"/>
          <w:szCs w:val="24"/>
        </w:rPr>
        <w:t>R</w:t>
      </w:r>
      <w:r>
        <w:rPr>
          <w:rFonts w:ascii="Times New Roman" w:hAnsi="Times New Roman" w:cs="Times New Roman"/>
          <w:sz w:val="24"/>
          <w:szCs w:val="24"/>
        </w:rPr>
        <w:t xml:space="preserve">eporting </w:t>
      </w:r>
      <w:r w:rsidRPr="00E059CA">
        <w:rPr>
          <w:rFonts w:ascii="Times New Roman" w:hAnsi="Times New Roman" w:cs="Times New Roman"/>
          <w:sz w:val="24"/>
          <w:szCs w:val="24"/>
        </w:rPr>
        <w:t>S</w:t>
      </w:r>
      <w:r>
        <w:rPr>
          <w:rFonts w:ascii="Times New Roman" w:hAnsi="Times New Roman" w:cs="Times New Roman"/>
          <w:sz w:val="24"/>
          <w:szCs w:val="24"/>
        </w:rPr>
        <w:t>ystem</w:t>
      </w:r>
      <w:r w:rsidRPr="00E059CA">
        <w:rPr>
          <w:rFonts w:ascii="Times New Roman" w:hAnsi="Times New Roman" w:cs="Times New Roman"/>
          <w:sz w:val="24"/>
          <w:szCs w:val="24"/>
        </w:rPr>
        <w:t xml:space="preserve"> </w:t>
      </w:r>
      <w:r w:rsidR="00E051BF">
        <w:rPr>
          <w:rFonts w:ascii="Times New Roman" w:hAnsi="Times New Roman" w:cs="Times New Roman"/>
          <w:sz w:val="24"/>
          <w:szCs w:val="24"/>
        </w:rPr>
        <w:t xml:space="preserve">(QARS) </w:t>
      </w:r>
      <w:r w:rsidRPr="00E059CA">
        <w:rPr>
          <w:rFonts w:ascii="Times New Roman" w:hAnsi="Times New Roman" w:cs="Times New Roman"/>
          <w:sz w:val="24"/>
          <w:szCs w:val="24"/>
        </w:rPr>
        <w:t xml:space="preserve">data system, which is a federal database used to follow patients with infectious diseases, such as TB, which pose a risk for travel.  </w:t>
      </w:r>
      <w:r>
        <w:rPr>
          <w:rFonts w:ascii="Times New Roman" w:hAnsi="Times New Roman" w:cs="Times New Roman"/>
          <w:sz w:val="24"/>
          <w:szCs w:val="24"/>
        </w:rPr>
        <w:t xml:space="preserve">CDC </w:t>
      </w:r>
      <w:proofErr w:type="spellStart"/>
      <w:r w:rsidRPr="00E059CA">
        <w:rPr>
          <w:rFonts w:ascii="Times New Roman" w:hAnsi="Times New Roman" w:cs="Times New Roman"/>
          <w:sz w:val="24"/>
          <w:szCs w:val="24"/>
        </w:rPr>
        <w:t>CureTB</w:t>
      </w:r>
      <w:proofErr w:type="spellEnd"/>
      <w:r w:rsidRPr="00E059CA">
        <w:rPr>
          <w:rFonts w:ascii="Times New Roman" w:hAnsi="Times New Roman" w:cs="Times New Roman"/>
          <w:sz w:val="24"/>
          <w:szCs w:val="24"/>
        </w:rPr>
        <w:t xml:space="preserve"> information will assist </w:t>
      </w:r>
      <w:r w:rsidRPr="005168C7">
        <w:rPr>
          <w:rFonts w:ascii="Times New Roman" w:hAnsi="Times New Roman" w:cs="Times New Roman"/>
          <w:sz w:val="24"/>
          <w:szCs w:val="24"/>
        </w:rPr>
        <w:t xml:space="preserve">federal partners </w:t>
      </w:r>
      <w:r w:rsidRPr="00E059CA">
        <w:rPr>
          <w:rFonts w:ascii="Times New Roman" w:hAnsi="Times New Roman" w:cs="Times New Roman"/>
          <w:sz w:val="24"/>
          <w:szCs w:val="24"/>
        </w:rPr>
        <w:t>in assuring patients do not travel back to the US until they have adequate treatment.</w:t>
      </w:r>
    </w:p>
    <w:p w:rsidR="00440C4A" w:rsidP="000F75AD" w:rsidRDefault="00440C4A" w14:paraId="192AF7DD" w14:textId="77777777">
      <w:pPr>
        <w:spacing w:after="0" w:line="240" w:lineRule="auto"/>
        <w:rPr>
          <w:rFonts w:ascii="Times New Roman" w:hAnsi="Times New Roman" w:eastAsia="Times New Roman" w:cs="Times New Roman"/>
          <w:sz w:val="24"/>
          <w:szCs w:val="24"/>
        </w:rPr>
      </w:pPr>
    </w:p>
    <w:p w:rsidRPr="00E059CA" w:rsidR="000F75AD" w:rsidP="000F75AD" w:rsidRDefault="000F75AD" w14:paraId="282AE6D8" w14:textId="54CB7B04">
      <w:pPr>
        <w:spacing w:after="0" w:line="240" w:lineRule="auto"/>
        <w:rPr>
          <w:rFonts w:ascii="Times New Roman" w:hAnsi="Times New Roman" w:cs="Times New Roman"/>
          <w:color w:val="FFFF00"/>
          <w:sz w:val="24"/>
          <w:szCs w:val="24"/>
        </w:rPr>
      </w:pPr>
      <w:r w:rsidRPr="00E059CA">
        <w:rPr>
          <w:rFonts w:ascii="Times New Roman" w:hAnsi="Times New Roman" w:cs="Times New Roman"/>
          <w:sz w:val="24"/>
          <w:szCs w:val="24"/>
        </w:rPr>
        <w:t xml:space="preserve">To achieve </w:t>
      </w:r>
      <w:r w:rsidR="004962A0">
        <w:rPr>
          <w:rFonts w:ascii="Times New Roman" w:hAnsi="Times New Roman" w:cs="Times New Roman"/>
          <w:sz w:val="24"/>
          <w:szCs w:val="24"/>
        </w:rPr>
        <w:t>CDC</w:t>
      </w:r>
      <w:r w:rsidR="00E61F09">
        <w:rPr>
          <w:rFonts w:ascii="Times New Roman" w:hAnsi="Times New Roman" w:cs="Times New Roman"/>
          <w:sz w:val="24"/>
          <w:szCs w:val="24"/>
        </w:rPr>
        <w:t>/</w:t>
      </w:r>
      <w:r w:rsidRPr="00E059CA">
        <w:rPr>
          <w:rFonts w:ascii="Times New Roman" w:hAnsi="Times New Roman" w:cs="Times New Roman"/>
          <w:sz w:val="24"/>
          <w:szCs w:val="24"/>
        </w:rPr>
        <w:t xml:space="preserve">DGMQ’s mission, </w:t>
      </w:r>
      <w:r w:rsidR="004962A0">
        <w:rPr>
          <w:rFonts w:ascii="Times New Roman" w:hAnsi="Times New Roman" w:cs="Times New Roman"/>
          <w:sz w:val="24"/>
          <w:szCs w:val="24"/>
        </w:rPr>
        <w:t xml:space="preserve">CDC </w:t>
      </w:r>
      <w:proofErr w:type="spellStart"/>
      <w:r w:rsidRPr="00E059CA" w:rsidR="00944B0C">
        <w:rPr>
          <w:rFonts w:ascii="Times New Roman" w:hAnsi="Times New Roman" w:cs="Times New Roman"/>
          <w:sz w:val="24"/>
          <w:szCs w:val="24"/>
        </w:rPr>
        <w:t>CureTB</w:t>
      </w:r>
      <w:proofErr w:type="spellEnd"/>
      <w:r w:rsidRPr="00E059CA" w:rsidR="00944B0C">
        <w:rPr>
          <w:rFonts w:ascii="Times New Roman" w:hAnsi="Times New Roman" w:cs="Times New Roman"/>
          <w:sz w:val="24"/>
          <w:szCs w:val="24"/>
        </w:rPr>
        <w:t xml:space="preserve"> </w:t>
      </w:r>
      <w:r w:rsidRPr="00E059CA" w:rsidR="00D35BEC">
        <w:rPr>
          <w:rFonts w:ascii="Times New Roman" w:hAnsi="Times New Roman" w:cs="Times New Roman"/>
          <w:sz w:val="24"/>
          <w:szCs w:val="24"/>
        </w:rPr>
        <w:t xml:space="preserve">will continue its </w:t>
      </w:r>
      <w:r w:rsidRPr="00E059CA">
        <w:rPr>
          <w:rFonts w:ascii="Times New Roman" w:hAnsi="Times New Roman" w:cs="Times New Roman"/>
          <w:sz w:val="24"/>
          <w:szCs w:val="24"/>
        </w:rPr>
        <w:t xml:space="preserve">work with domestic and international programs to protect the U.S. public by preventing </w:t>
      </w:r>
      <w:r w:rsidRPr="00E059CA" w:rsidR="008D7297">
        <w:rPr>
          <w:rFonts w:ascii="Times New Roman" w:hAnsi="Times New Roman" w:cs="Times New Roman"/>
          <w:sz w:val="24"/>
          <w:szCs w:val="24"/>
        </w:rPr>
        <w:t xml:space="preserve">the global </w:t>
      </w:r>
      <w:r w:rsidRPr="00E059CA" w:rsidR="002E6FA3">
        <w:rPr>
          <w:rFonts w:ascii="Times New Roman" w:hAnsi="Times New Roman" w:cs="Times New Roman"/>
          <w:sz w:val="24"/>
          <w:szCs w:val="24"/>
        </w:rPr>
        <w:t>development of drug resistance</w:t>
      </w:r>
      <w:r w:rsidRPr="00E059CA" w:rsidR="008D7297">
        <w:rPr>
          <w:rFonts w:ascii="Times New Roman" w:hAnsi="Times New Roman" w:cs="Times New Roman"/>
          <w:sz w:val="24"/>
          <w:szCs w:val="24"/>
        </w:rPr>
        <w:t xml:space="preserve"> and </w:t>
      </w:r>
      <w:r w:rsidRPr="00E059CA" w:rsidR="00D82B13">
        <w:rPr>
          <w:rFonts w:ascii="Times New Roman" w:hAnsi="Times New Roman" w:cs="Times New Roman"/>
          <w:sz w:val="24"/>
          <w:szCs w:val="24"/>
        </w:rPr>
        <w:t>reducing</w:t>
      </w:r>
      <w:r w:rsidRPr="00E059CA" w:rsidR="008D7297">
        <w:rPr>
          <w:rFonts w:ascii="Times New Roman" w:hAnsi="Times New Roman" w:cs="Times New Roman"/>
          <w:sz w:val="24"/>
          <w:szCs w:val="24"/>
        </w:rPr>
        <w:t xml:space="preserve"> disease </w:t>
      </w:r>
      <w:r w:rsidRPr="00E059CA" w:rsidR="002E6FA3">
        <w:rPr>
          <w:rFonts w:ascii="Times New Roman" w:hAnsi="Times New Roman" w:cs="Times New Roman"/>
          <w:sz w:val="24"/>
          <w:szCs w:val="24"/>
        </w:rPr>
        <w:t xml:space="preserve">transmission and </w:t>
      </w:r>
      <w:r w:rsidRPr="00E059CA">
        <w:rPr>
          <w:rFonts w:ascii="Times New Roman" w:hAnsi="Times New Roman" w:cs="Times New Roman"/>
          <w:sz w:val="24"/>
          <w:szCs w:val="24"/>
        </w:rPr>
        <w:t xml:space="preserve">importation of infectious </w:t>
      </w:r>
      <w:r w:rsidRPr="00E059CA" w:rsidR="002E6FA3">
        <w:rPr>
          <w:rFonts w:ascii="Times New Roman" w:hAnsi="Times New Roman" w:cs="Times New Roman"/>
          <w:sz w:val="24"/>
          <w:szCs w:val="24"/>
        </w:rPr>
        <w:t>TB.</w:t>
      </w:r>
      <w:r w:rsidRPr="00E059CA" w:rsidR="008D7297">
        <w:rPr>
          <w:rFonts w:ascii="Times New Roman" w:hAnsi="Times New Roman" w:cs="Times New Roman"/>
          <w:sz w:val="24"/>
          <w:szCs w:val="24"/>
        </w:rPr>
        <w:t xml:space="preserve"> </w:t>
      </w:r>
      <w:r w:rsidRPr="00E059CA" w:rsidR="00760762">
        <w:rPr>
          <w:rFonts w:ascii="Times New Roman" w:hAnsi="Times New Roman" w:cs="Times New Roman"/>
          <w:sz w:val="24"/>
          <w:szCs w:val="24"/>
        </w:rPr>
        <w:t xml:space="preserve"> </w:t>
      </w:r>
      <w:r w:rsidRPr="00E059CA">
        <w:rPr>
          <w:rFonts w:ascii="Times New Roman" w:hAnsi="Times New Roman" w:cs="Times New Roman"/>
          <w:sz w:val="24"/>
          <w:szCs w:val="24"/>
        </w:rPr>
        <w:t xml:space="preserve">These goals are accomplished through </w:t>
      </w:r>
      <w:r w:rsidR="004962A0">
        <w:rPr>
          <w:rFonts w:ascii="Times New Roman" w:hAnsi="Times New Roman" w:cs="Times New Roman"/>
          <w:sz w:val="24"/>
          <w:szCs w:val="24"/>
        </w:rPr>
        <w:t xml:space="preserve">CDC </w:t>
      </w:r>
      <w:proofErr w:type="spellStart"/>
      <w:r w:rsidRPr="00E059CA" w:rsidR="003F0D82">
        <w:rPr>
          <w:rFonts w:ascii="Times New Roman" w:hAnsi="Times New Roman" w:cs="Times New Roman"/>
          <w:sz w:val="24"/>
          <w:szCs w:val="24"/>
        </w:rPr>
        <w:t>CureTB</w:t>
      </w:r>
      <w:proofErr w:type="spellEnd"/>
      <w:r w:rsidRPr="00E059CA" w:rsidR="003F0D82">
        <w:rPr>
          <w:rFonts w:ascii="Times New Roman" w:hAnsi="Times New Roman" w:cs="Times New Roman"/>
          <w:sz w:val="24"/>
          <w:szCs w:val="24"/>
        </w:rPr>
        <w:t xml:space="preserve"> referral and continuity of care services for mobile TB patients. </w:t>
      </w:r>
      <w:r w:rsidRPr="00E059CA" w:rsidR="005D6315">
        <w:rPr>
          <w:rFonts w:ascii="Times New Roman" w:hAnsi="Times New Roman" w:cs="Times New Roman"/>
          <w:sz w:val="24"/>
          <w:szCs w:val="24"/>
        </w:rPr>
        <w:t>Throughout the world, n</w:t>
      </w:r>
      <w:r w:rsidRPr="00E059CA" w:rsidR="00760762">
        <w:rPr>
          <w:rFonts w:ascii="Times New Roman" w:hAnsi="Times New Roman" w:cs="Times New Roman"/>
          <w:sz w:val="24"/>
          <w:szCs w:val="24"/>
        </w:rPr>
        <w:t>early 500,000 individuals have newly diagnosed multi-drug resistant TB each year, a type of TB that is extremely</w:t>
      </w:r>
      <w:r w:rsidRPr="00E059CA" w:rsidR="003810EF">
        <w:rPr>
          <w:rFonts w:ascii="Times New Roman" w:hAnsi="Times New Roman" w:cs="Times New Roman"/>
          <w:sz w:val="24"/>
          <w:szCs w:val="24"/>
        </w:rPr>
        <w:t xml:space="preserve"> costly and</w:t>
      </w:r>
      <w:r w:rsidRPr="00E059CA" w:rsidR="00760762">
        <w:rPr>
          <w:rFonts w:ascii="Times New Roman" w:hAnsi="Times New Roman" w:cs="Times New Roman"/>
          <w:sz w:val="24"/>
          <w:szCs w:val="24"/>
        </w:rPr>
        <w:t xml:space="preserve"> difficult to</w:t>
      </w:r>
      <w:r w:rsidRPr="00E059CA" w:rsidR="005D6315">
        <w:rPr>
          <w:rFonts w:ascii="Times New Roman" w:hAnsi="Times New Roman" w:cs="Times New Roman"/>
          <w:sz w:val="24"/>
          <w:szCs w:val="24"/>
        </w:rPr>
        <w:t xml:space="preserve"> successfully treat.  Lack of treatment adherence and inappropriate selection of medications are prime reasons for the continued emergence and spread of resistant strains. To combat this, </w:t>
      </w:r>
      <w:r w:rsidR="004962A0">
        <w:rPr>
          <w:rFonts w:ascii="Times New Roman" w:hAnsi="Times New Roman" w:cs="Times New Roman"/>
          <w:sz w:val="24"/>
          <w:szCs w:val="24"/>
        </w:rPr>
        <w:t xml:space="preserve">CDC </w:t>
      </w:r>
      <w:proofErr w:type="spellStart"/>
      <w:r w:rsidRPr="00E059CA" w:rsidR="005D6315">
        <w:rPr>
          <w:rFonts w:ascii="Times New Roman" w:hAnsi="Times New Roman" w:cs="Times New Roman"/>
          <w:sz w:val="24"/>
          <w:szCs w:val="24"/>
        </w:rPr>
        <w:t>CureTB</w:t>
      </w:r>
      <w:proofErr w:type="spellEnd"/>
      <w:r w:rsidRPr="00E059CA" w:rsidR="005D6315">
        <w:rPr>
          <w:rFonts w:ascii="Times New Roman" w:hAnsi="Times New Roman" w:cs="Times New Roman"/>
          <w:sz w:val="24"/>
          <w:szCs w:val="24"/>
        </w:rPr>
        <w:t xml:space="preserve"> assures patients understand how to remain adherent despite moving between nations and provides information to the </w:t>
      </w:r>
      <w:r w:rsidRPr="00E059CA" w:rsidR="003810EF">
        <w:rPr>
          <w:rFonts w:ascii="Times New Roman" w:hAnsi="Times New Roman" w:cs="Times New Roman"/>
          <w:sz w:val="24"/>
          <w:szCs w:val="24"/>
        </w:rPr>
        <w:t xml:space="preserve">health care team that </w:t>
      </w:r>
      <w:r w:rsidRPr="00E059CA" w:rsidR="005D6315">
        <w:rPr>
          <w:rFonts w:ascii="Times New Roman" w:hAnsi="Times New Roman" w:cs="Times New Roman"/>
          <w:sz w:val="24"/>
          <w:szCs w:val="24"/>
        </w:rPr>
        <w:t>will be continuing care about each patient’s TB strain and tailored medication regimen</w:t>
      </w:r>
      <w:r w:rsidRPr="00E059CA" w:rsidR="003810EF">
        <w:rPr>
          <w:rFonts w:ascii="Times New Roman" w:hAnsi="Times New Roman" w:cs="Times New Roman"/>
          <w:sz w:val="24"/>
          <w:szCs w:val="24"/>
        </w:rPr>
        <w:t>.</w:t>
      </w:r>
      <w:r w:rsidRPr="00E059CA" w:rsidR="005D6315">
        <w:rPr>
          <w:rFonts w:ascii="Times New Roman" w:hAnsi="Times New Roman" w:cs="Times New Roman"/>
          <w:sz w:val="24"/>
          <w:szCs w:val="24"/>
        </w:rPr>
        <w:t xml:space="preserve"> </w:t>
      </w:r>
      <w:r w:rsidR="004962A0">
        <w:rPr>
          <w:rFonts w:ascii="Times New Roman" w:hAnsi="Times New Roman" w:cs="Times New Roman"/>
          <w:sz w:val="24"/>
          <w:szCs w:val="24"/>
        </w:rPr>
        <w:t xml:space="preserve">CDC </w:t>
      </w:r>
      <w:proofErr w:type="spellStart"/>
      <w:r w:rsidRPr="00E059CA" w:rsidR="003F0D82">
        <w:rPr>
          <w:rFonts w:ascii="Times New Roman" w:hAnsi="Times New Roman" w:cs="Times New Roman"/>
          <w:sz w:val="24"/>
          <w:szCs w:val="24"/>
        </w:rPr>
        <w:t>CureTB</w:t>
      </w:r>
      <w:proofErr w:type="spellEnd"/>
      <w:r w:rsidR="00253B22">
        <w:rPr>
          <w:rFonts w:ascii="Times New Roman" w:hAnsi="Times New Roman" w:cs="Times New Roman"/>
          <w:sz w:val="24"/>
          <w:szCs w:val="24"/>
        </w:rPr>
        <w:t>, through the referring partners,</w:t>
      </w:r>
      <w:r w:rsidRPr="00E059CA" w:rsidR="003F0D82">
        <w:rPr>
          <w:rFonts w:ascii="Times New Roman" w:hAnsi="Times New Roman" w:cs="Times New Roman"/>
          <w:sz w:val="24"/>
          <w:szCs w:val="24"/>
        </w:rPr>
        <w:t xml:space="preserve"> gathers demographic and clinical information for each patient, and connects that individual to care through </w:t>
      </w:r>
      <w:r w:rsidRPr="00E059CA" w:rsidR="008D7297">
        <w:rPr>
          <w:rFonts w:ascii="Times New Roman" w:hAnsi="Times New Roman" w:cs="Times New Roman"/>
          <w:sz w:val="24"/>
          <w:szCs w:val="24"/>
        </w:rPr>
        <w:t xml:space="preserve">provision of accurate </w:t>
      </w:r>
      <w:r w:rsidRPr="00E059CA" w:rsidR="003810EF">
        <w:rPr>
          <w:rFonts w:ascii="Times New Roman" w:hAnsi="Times New Roman" w:cs="Times New Roman"/>
          <w:sz w:val="24"/>
          <w:szCs w:val="24"/>
        </w:rPr>
        <w:t xml:space="preserve">information about how to locate the correct downstream provider </w:t>
      </w:r>
      <w:r w:rsidRPr="00E059CA" w:rsidR="008D7297">
        <w:rPr>
          <w:rFonts w:ascii="Times New Roman" w:hAnsi="Times New Roman" w:cs="Times New Roman"/>
          <w:sz w:val="24"/>
          <w:szCs w:val="24"/>
        </w:rPr>
        <w:t xml:space="preserve">and </w:t>
      </w:r>
      <w:r w:rsidRPr="00E059CA" w:rsidR="003810EF">
        <w:rPr>
          <w:rFonts w:ascii="Times New Roman" w:hAnsi="Times New Roman" w:cs="Times New Roman"/>
          <w:sz w:val="24"/>
          <w:szCs w:val="24"/>
        </w:rPr>
        <w:t xml:space="preserve">assurance that real-time </w:t>
      </w:r>
      <w:r w:rsidRPr="00E059CA" w:rsidR="008D7297">
        <w:rPr>
          <w:rFonts w:ascii="Times New Roman" w:hAnsi="Times New Roman" w:cs="Times New Roman"/>
          <w:sz w:val="24"/>
          <w:szCs w:val="24"/>
        </w:rPr>
        <w:t xml:space="preserve">information </w:t>
      </w:r>
      <w:r w:rsidRPr="00E059CA" w:rsidR="003810EF">
        <w:rPr>
          <w:rFonts w:ascii="Times New Roman" w:hAnsi="Times New Roman" w:cs="Times New Roman"/>
          <w:sz w:val="24"/>
          <w:szCs w:val="24"/>
        </w:rPr>
        <w:t xml:space="preserve">is given directly to </w:t>
      </w:r>
      <w:r w:rsidRPr="00E059CA" w:rsidR="008D7297">
        <w:rPr>
          <w:rFonts w:ascii="Times New Roman" w:hAnsi="Times New Roman" w:cs="Times New Roman"/>
          <w:sz w:val="24"/>
          <w:szCs w:val="24"/>
        </w:rPr>
        <w:t xml:space="preserve">medical providers and public health authorities in receiving nations.  </w:t>
      </w:r>
      <w:r w:rsidRPr="00E059CA" w:rsidR="00016BE9">
        <w:rPr>
          <w:rFonts w:ascii="Times New Roman" w:hAnsi="Times New Roman" w:cs="Times New Roman"/>
          <w:sz w:val="24"/>
          <w:szCs w:val="24"/>
        </w:rPr>
        <w:t xml:space="preserve"> </w:t>
      </w:r>
      <w:r w:rsidR="00440C4A">
        <w:rPr>
          <w:rFonts w:ascii="Times New Roman" w:hAnsi="Times New Roman" w:cs="Times New Roman"/>
          <w:sz w:val="24"/>
          <w:szCs w:val="24"/>
        </w:rPr>
        <w:t>As stated above, w</w:t>
      </w:r>
      <w:r w:rsidRPr="00E059CA" w:rsidR="00016BE9">
        <w:rPr>
          <w:rFonts w:ascii="Times New Roman" w:hAnsi="Times New Roman" w:cs="Times New Roman"/>
          <w:sz w:val="24"/>
          <w:szCs w:val="24"/>
        </w:rPr>
        <w:t xml:space="preserve">ithin </w:t>
      </w:r>
      <w:r w:rsidR="004962A0">
        <w:rPr>
          <w:rFonts w:ascii="Times New Roman" w:hAnsi="Times New Roman" w:cs="Times New Roman"/>
          <w:sz w:val="24"/>
          <w:szCs w:val="24"/>
        </w:rPr>
        <w:t xml:space="preserve">CDC </w:t>
      </w:r>
      <w:r w:rsidRPr="00E059CA" w:rsidR="00016BE9">
        <w:rPr>
          <w:rFonts w:ascii="Times New Roman" w:hAnsi="Times New Roman" w:cs="Times New Roman"/>
          <w:sz w:val="24"/>
          <w:szCs w:val="24"/>
        </w:rPr>
        <w:t xml:space="preserve">DGMQ, </w:t>
      </w:r>
      <w:proofErr w:type="spellStart"/>
      <w:r w:rsidRPr="00E059CA" w:rsidR="00016BE9">
        <w:rPr>
          <w:rFonts w:ascii="Times New Roman" w:hAnsi="Times New Roman" w:cs="Times New Roman"/>
          <w:sz w:val="24"/>
          <w:szCs w:val="24"/>
        </w:rPr>
        <w:t>CureTB</w:t>
      </w:r>
      <w:proofErr w:type="spellEnd"/>
      <w:r w:rsidRPr="00E059CA" w:rsidR="00016BE9">
        <w:rPr>
          <w:rFonts w:ascii="Times New Roman" w:hAnsi="Times New Roman" w:cs="Times New Roman"/>
          <w:sz w:val="24"/>
          <w:szCs w:val="24"/>
        </w:rPr>
        <w:t xml:space="preserve"> </w:t>
      </w:r>
      <w:proofErr w:type="gramStart"/>
      <w:r w:rsidRPr="00E059CA" w:rsidR="00016BE9">
        <w:rPr>
          <w:rFonts w:ascii="Times New Roman" w:hAnsi="Times New Roman" w:cs="Times New Roman"/>
          <w:sz w:val="24"/>
          <w:szCs w:val="24"/>
        </w:rPr>
        <w:t>is able to</w:t>
      </w:r>
      <w:proofErr w:type="gramEnd"/>
      <w:r w:rsidRPr="00E059CA" w:rsidR="00016BE9">
        <w:rPr>
          <w:rFonts w:ascii="Times New Roman" w:hAnsi="Times New Roman" w:cs="Times New Roman"/>
          <w:sz w:val="24"/>
          <w:szCs w:val="24"/>
        </w:rPr>
        <w:t xml:space="preserve"> leverage health authority partners in countries around the world to better assure continuity of care and can expand the countries served to a global reach.</w:t>
      </w:r>
    </w:p>
    <w:p w:rsidRPr="00E059CA" w:rsidR="0007322E" w:rsidP="000C0493" w:rsidRDefault="0007322E" w14:paraId="10E6C75C" w14:textId="77777777">
      <w:pPr>
        <w:spacing w:after="0" w:line="240" w:lineRule="auto"/>
        <w:rPr>
          <w:rFonts w:ascii="Times New Roman" w:hAnsi="Times New Roman" w:cs="Times New Roman"/>
          <w:sz w:val="24"/>
          <w:szCs w:val="24"/>
        </w:rPr>
      </w:pPr>
    </w:p>
    <w:p w:rsidRPr="00E059CA" w:rsidR="00E37A59" w:rsidP="00C878D6" w:rsidRDefault="008D7297" w14:paraId="007AD491" w14:textId="12A62C5C">
      <w:pPr>
        <w:spacing w:after="0" w:line="240" w:lineRule="auto"/>
        <w:rPr>
          <w:rFonts w:ascii="Times New Roman" w:hAnsi="Times New Roman" w:cs="Times New Roman"/>
          <w:sz w:val="24"/>
          <w:szCs w:val="24"/>
        </w:rPr>
      </w:pPr>
      <w:r w:rsidRPr="00E059CA">
        <w:rPr>
          <w:rFonts w:ascii="Times New Roman" w:hAnsi="Times New Roman" w:cs="Times New Roman"/>
          <w:sz w:val="24"/>
          <w:szCs w:val="24"/>
        </w:rPr>
        <w:t xml:space="preserve">Assurance of treatment completion is an important public health strategy </w:t>
      </w:r>
      <w:r w:rsidRPr="00E059CA" w:rsidR="006A122A">
        <w:rPr>
          <w:rFonts w:ascii="Times New Roman" w:hAnsi="Times New Roman" w:cs="Times New Roman"/>
          <w:sz w:val="24"/>
          <w:szCs w:val="24"/>
        </w:rPr>
        <w:t xml:space="preserve">for TB.  Treatment length can span from 4-18 months, and protocols, drug availability, and healthcare infrastructure varies by country.  Language and communication barriers also limit information sharing across nations.  </w:t>
      </w:r>
      <w:r w:rsidR="009E6AA6">
        <w:rPr>
          <w:rFonts w:ascii="Times New Roman" w:hAnsi="Times New Roman" w:cs="Times New Roman"/>
          <w:sz w:val="24"/>
          <w:szCs w:val="24"/>
        </w:rPr>
        <w:t xml:space="preserve">CDC </w:t>
      </w:r>
      <w:proofErr w:type="spellStart"/>
      <w:r w:rsidRPr="00E059CA" w:rsidR="006A122A">
        <w:rPr>
          <w:rFonts w:ascii="Times New Roman" w:hAnsi="Times New Roman" w:cs="Times New Roman"/>
          <w:sz w:val="24"/>
          <w:szCs w:val="24"/>
        </w:rPr>
        <w:t>CureTB</w:t>
      </w:r>
      <w:proofErr w:type="spellEnd"/>
      <w:r w:rsidRPr="00E059CA" w:rsidR="006A122A">
        <w:rPr>
          <w:rFonts w:ascii="Times New Roman" w:hAnsi="Times New Roman" w:cs="Times New Roman"/>
          <w:sz w:val="24"/>
          <w:szCs w:val="24"/>
        </w:rPr>
        <w:t xml:space="preserve"> provides up-to-date, accurate information between providers, as well as assisting patients to continue treatment as they transit between countries.  </w:t>
      </w:r>
      <w:r w:rsidRPr="00E059CA" w:rsidR="003810EF">
        <w:rPr>
          <w:rFonts w:ascii="Times New Roman" w:hAnsi="Times New Roman" w:cs="Times New Roman"/>
          <w:sz w:val="24"/>
          <w:szCs w:val="24"/>
        </w:rPr>
        <w:t xml:space="preserve">One of </w:t>
      </w:r>
      <w:r w:rsidR="009E6AA6">
        <w:rPr>
          <w:rFonts w:ascii="Times New Roman" w:hAnsi="Times New Roman" w:cs="Times New Roman"/>
          <w:sz w:val="24"/>
          <w:szCs w:val="24"/>
        </w:rPr>
        <w:t xml:space="preserve">CDC </w:t>
      </w:r>
      <w:proofErr w:type="spellStart"/>
      <w:r w:rsidRPr="00E059CA" w:rsidR="007532C3">
        <w:rPr>
          <w:rFonts w:ascii="Times New Roman" w:hAnsi="Times New Roman" w:cs="Times New Roman"/>
          <w:sz w:val="24"/>
          <w:szCs w:val="24"/>
        </w:rPr>
        <w:t>CureTB’s</w:t>
      </w:r>
      <w:proofErr w:type="spellEnd"/>
      <w:r w:rsidRPr="00E059CA" w:rsidR="007532C3">
        <w:rPr>
          <w:rFonts w:ascii="Times New Roman" w:hAnsi="Times New Roman" w:cs="Times New Roman"/>
          <w:sz w:val="24"/>
          <w:szCs w:val="24"/>
        </w:rPr>
        <w:t xml:space="preserve"> </w:t>
      </w:r>
      <w:r w:rsidRPr="00E059CA" w:rsidR="003810EF">
        <w:rPr>
          <w:rFonts w:ascii="Times New Roman" w:hAnsi="Times New Roman" w:cs="Times New Roman"/>
          <w:sz w:val="24"/>
          <w:szCs w:val="24"/>
        </w:rPr>
        <w:t xml:space="preserve">key </w:t>
      </w:r>
      <w:r w:rsidRPr="00E059CA" w:rsidR="007532C3">
        <w:rPr>
          <w:rFonts w:ascii="Times New Roman" w:hAnsi="Times New Roman" w:cs="Times New Roman"/>
          <w:sz w:val="24"/>
          <w:szCs w:val="24"/>
        </w:rPr>
        <w:t>services</w:t>
      </w:r>
      <w:r w:rsidRPr="00E059CA" w:rsidR="003810EF">
        <w:rPr>
          <w:rFonts w:ascii="Times New Roman" w:hAnsi="Times New Roman" w:cs="Times New Roman"/>
          <w:sz w:val="24"/>
          <w:szCs w:val="24"/>
        </w:rPr>
        <w:t xml:space="preserve"> is bridging the language divide that </w:t>
      </w:r>
      <w:r w:rsidRPr="00E059CA" w:rsidR="007532C3">
        <w:rPr>
          <w:rFonts w:ascii="Times New Roman" w:hAnsi="Times New Roman" w:cs="Times New Roman"/>
          <w:sz w:val="24"/>
          <w:szCs w:val="24"/>
        </w:rPr>
        <w:t xml:space="preserve">otherwise </w:t>
      </w:r>
      <w:r w:rsidRPr="00E059CA" w:rsidR="003810EF">
        <w:rPr>
          <w:rFonts w:ascii="Times New Roman" w:hAnsi="Times New Roman" w:cs="Times New Roman"/>
          <w:sz w:val="24"/>
          <w:szCs w:val="24"/>
        </w:rPr>
        <w:t>limits</w:t>
      </w:r>
      <w:r w:rsidRPr="00E059CA" w:rsidR="007532C3">
        <w:rPr>
          <w:rFonts w:ascii="Times New Roman" w:hAnsi="Times New Roman" w:cs="Times New Roman"/>
          <w:sz w:val="24"/>
          <w:szCs w:val="24"/>
        </w:rPr>
        <w:t xml:space="preserve"> </w:t>
      </w:r>
      <w:r w:rsidRPr="00E059CA" w:rsidR="003810EF">
        <w:rPr>
          <w:rFonts w:ascii="Times New Roman" w:hAnsi="Times New Roman" w:cs="Times New Roman"/>
          <w:sz w:val="24"/>
          <w:szCs w:val="24"/>
        </w:rPr>
        <w:t xml:space="preserve">the ability of providers in different countries to communicate. </w:t>
      </w:r>
      <w:r w:rsidRPr="00E059CA" w:rsidR="007532C3">
        <w:rPr>
          <w:rFonts w:ascii="Times New Roman" w:hAnsi="Times New Roman" w:cs="Times New Roman"/>
          <w:sz w:val="24"/>
          <w:szCs w:val="24"/>
        </w:rPr>
        <w:t xml:space="preserve">Services are offered in all languages for patients and downstream providers. </w:t>
      </w:r>
      <w:r w:rsidR="009E6AA6">
        <w:rPr>
          <w:rFonts w:ascii="Times New Roman" w:hAnsi="Times New Roman" w:cs="Times New Roman"/>
          <w:sz w:val="24"/>
          <w:szCs w:val="24"/>
        </w:rPr>
        <w:t xml:space="preserve">CDC </w:t>
      </w:r>
      <w:proofErr w:type="spellStart"/>
      <w:r w:rsidRPr="00E059CA" w:rsidR="007532C3">
        <w:rPr>
          <w:rFonts w:ascii="Times New Roman" w:hAnsi="Times New Roman" w:cs="Times New Roman"/>
          <w:sz w:val="24"/>
          <w:szCs w:val="24"/>
        </w:rPr>
        <w:t>CureTB</w:t>
      </w:r>
      <w:proofErr w:type="spellEnd"/>
      <w:r w:rsidRPr="00E059CA" w:rsidR="007532C3">
        <w:rPr>
          <w:rFonts w:ascii="Times New Roman" w:hAnsi="Times New Roman" w:cs="Times New Roman"/>
          <w:sz w:val="24"/>
          <w:szCs w:val="24"/>
        </w:rPr>
        <w:t xml:space="preserve"> has also been successful because</w:t>
      </w:r>
      <w:r w:rsidRPr="00E059CA" w:rsidR="003810EF">
        <w:rPr>
          <w:rFonts w:ascii="Times New Roman" w:hAnsi="Times New Roman" w:cs="Times New Roman"/>
          <w:sz w:val="24"/>
          <w:szCs w:val="24"/>
        </w:rPr>
        <w:t xml:space="preserve"> </w:t>
      </w:r>
      <w:r w:rsidRPr="00E059CA" w:rsidR="007532C3">
        <w:rPr>
          <w:rFonts w:ascii="Times New Roman" w:hAnsi="Times New Roman" w:cs="Times New Roman"/>
          <w:sz w:val="24"/>
          <w:szCs w:val="24"/>
        </w:rPr>
        <w:t>of its</w:t>
      </w:r>
      <w:r w:rsidRPr="00E059CA" w:rsidR="003810EF">
        <w:rPr>
          <w:rFonts w:ascii="Times New Roman" w:hAnsi="Times New Roman" w:cs="Times New Roman"/>
          <w:sz w:val="24"/>
          <w:szCs w:val="24"/>
        </w:rPr>
        <w:t xml:space="preserve"> strong partnerships with receiving countries, which streamlines the provision and receipt of information</w:t>
      </w:r>
      <w:r w:rsidRPr="00E059CA" w:rsidR="007532C3">
        <w:rPr>
          <w:rFonts w:ascii="Times New Roman" w:hAnsi="Times New Roman" w:cs="Times New Roman"/>
          <w:sz w:val="24"/>
          <w:szCs w:val="24"/>
        </w:rPr>
        <w:t xml:space="preserve">; critical in maintaining seamless continuity of care. </w:t>
      </w:r>
      <w:r w:rsidRPr="00E059CA" w:rsidR="006A122A">
        <w:rPr>
          <w:rFonts w:ascii="Times New Roman" w:hAnsi="Times New Roman" w:cs="Times New Roman"/>
          <w:sz w:val="24"/>
          <w:szCs w:val="24"/>
        </w:rPr>
        <w:t xml:space="preserve">The information collected </w:t>
      </w:r>
      <w:r w:rsidRPr="00E059CA" w:rsidR="00126354">
        <w:rPr>
          <w:rFonts w:ascii="Times New Roman" w:hAnsi="Times New Roman" w:cs="Times New Roman"/>
          <w:sz w:val="24"/>
          <w:szCs w:val="24"/>
        </w:rPr>
        <w:t>by</w:t>
      </w:r>
      <w:r w:rsidRPr="00E059CA" w:rsidR="006A122A">
        <w:rPr>
          <w:rFonts w:ascii="Times New Roman" w:hAnsi="Times New Roman" w:cs="Times New Roman"/>
          <w:sz w:val="24"/>
          <w:szCs w:val="24"/>
        </w:rPr>
        <w:t xml:space="preserve"> </w:t>
      </w:r>
      <w:r w:rsidR="009E6AA6">
        <w:rPr>
          <w:rFonts w:ascii="Times New Roman" w:hAnsi="Times New Roman" w:cs="Times New Roman"/>
          <w:sz w:val="24"/>
          <w:szCs w:val="24"/>
        </w:rPr>
        <w:t xml:space="preserve">CDC </w:t>
      </w:r>
      <w:proofErr w:type="spellStart"/>
      <w:r w:rsidRPr="00E059CA" w:rsidR="006A122A">
        <w:rPr>
          <w:rFonts w:ascii="Times New Roman" w:hAnsi="Times New Roman" w:cs="Times New Roman"/>
          <w:sz w:val="24"/>
          <w:szCs w:val="24"/>
        </w:rPr>
        <w:t>CureTB</w:t>
      </w:r>
      <w:proofErr w:type="spellEnd"/>
      <w:r w:rsidRPr="00E059CA" w:rsidR="006A122A">
        <w:rPr>
          <w:rFonts w:ascii="Times New Roman" w:hAnsi="Times New Roman" w:cs="Times New Roman"/>
          <w:sz w:val="24"/>
          <w:szCs w:val="24"/>
        </w:rPr>
        <w:t xml:space="preserve"> provides documentation for </w:t>
      </w:r>
      <w:r w:rsidRPr="00E059CA" w:rsidR="007532C3">
        <w:rPr>
          <w:rFonts w:ascii="Times New Roman" w:hAnsi="Times New Roman" w:cs="Times New Roman"/>
          <w:sz w:val="24"/>
          <w:szCs w:val="24"/>
        </w:rPr>
        <w:t xml:space="preserve">successful </w:t>
      </w:r>
      <w:r w:rsidRPr="00E059CA" w:rsidR="00126354">
        <w:rPr>
          <w:rFonts w:ascii="Times New Roman" w:hAnsi="Times New Roman" w:cs="Times New Roman"/>
          <w:sz w:val="24"/>
          <w:szCs w:val="24"/>
        </w:rPr>
        <w:t xml:space="preserve">patient </w:t>
      </w:r>
      <w:r w:rsidRPr="00E059CA" w:rsidR="006A122A">
        <w:rPr>
          <w:rFonts w:ascii="Times New Roman" w:hAnsi="Times New Roman" w:cs="Times New Roman"/>
          <w:sz w:val="24"/>
          <w:szCs w:val="24"/>
        </w:rPr>
        <w:t xml:space="preserve">follow-up and </w:t>
      </w:r>
      <w:r w:rsidRPr="00E059CA" w:rsidR="00126354">
        <w:rPr>
          <w:rFonts w:ascii="Times New Roman" w:hAnsi="Times New Roman" w:cs="Times New Roman"/>
          <w:sz w:val="24"/>
          <w:szCs w:val="24"/>
        </w:rPr>
        <w:t xml:space="preserve">allows </w:t>
      </w:r>
      <w:r w:rsidRPr="00E059CA" w:rsidR="006A122A">
        <w:rPr>
          <w:rFonts w:ascii="Times New Roman" w:hAnsi="Times New Roman" w:cs="Times New Roman"/>
          <w:sz w:val="24"/>
          <w:szCs w:val="24"/>
        </w:rPr>
        <w:t xml:space="preserve">assessment of strategies for improving outcomes. </w:t>
      </w:r>
      <w:r w:rsidRPr="00E059CA" w:rsidR="00126354">
        <w:rPr>
          <w:rFonts w:ascii="Times New Roman" w:hAnsi="Times New Roman" w:cs="Times New Roman"/>
          <w:sz w:val="24"/>
          <w:szCs w:val="24"/>
        </w:rPr>
        <w:t>This</w:t>
      </w:r>
      <w:r w:rsidRPr="00E059CA" w:rsidR="00571FBB">
        <w:rPr>
          <w:rFonts w:ascii="Times New Roman" w:hAnsi="Times New Roman" w:cs="Times New Roman"/>
          <w:sz w:val="24"/>
          <w:szCs w:val="24"/>
        </w:rPr>
        <w:t xml:space="preserve"> information is not reported </w:t>
      </w:r>
      <w:r w:rsidRPr="00E059CA" w:rsidR="00126354">
        <w:rPr>
          <w:rFonts w:ascii="Times New Roman" w:hAnsi="Times New Roman" w:cs="Times New Roman"/>
          <w:sz w:val="24"/>
          <w:szCs w:val="24"/>
        </w:rPr>
        <w:t>in other systems</w:t>
      </w:r>
      <w:r w:rsidRPr="00E059CA" w:rsidR="00BD79D7">
        <w:rPr>
          <w:rFonts w:ascii="Times New Roman" w:hAnsi="Times New Roman" w:cs="Times New Roman"/>
          <w:sz w:val="24"/>
          <w:szCs w:val="24"/>
        </w:rPr>
        <w:t xml:space="preserve">, thereby preventing CDC from evaluating TB </w:t>
      </w:r>
      <w:r w:rsidRPr="00E059CA" w:rsidR="00126354">
        <w:rPr>
          <w:rFonts w:ascii="Times New Roman" w:hAnsi="Times New Roman" w:cs="Times New Roman"/>
          <w:sz w:val="24"/>
          <w:szCs w:val="24"/>
        </w:rPr>
        <w:t>treatment completion outcome</w:t>
      </w:r>
      <w:r w:rsidRPr="00E059CA" w:rsidR="00BD79D7">
        <w:rPr>
          <w:rFonts w:ascii="Times New Roman" w:hAnsi="Times New Roman" w:cs="Times New Roman"/>
          <w:sz w:val="24"/>
          <w:szCs w:val="24"/>
        </w:rPr>
        <w:t xml:space="preserve">s in globally mobile populations and monitoring program effectiveness.  </w:t>
      </w:r>
    </w:p>
    <w:p w:rsidRPr="00E059CA" w:rsidR="00F244EC" w:rsidP="00C878D6" w:rsidRDefault="00F244EC" w14:paraId="03395E60" w14:textId="77777777">
      <w:pPr>
        <w:spacing w:after="0" w:line="240" w:lineRule="auto"/>
        <w:rPr>
          <w:lang w:val="en"/>
        </w:rPr>
      </w:pPr>
    </w:p>
    <w:p w:rsidRPr="00E059CA" w:rsidR="00D94BDC" w:rsidP="006237AF" w:rsidRDefault="00D94BDC" w14:paraId="4CA65E04" w14:textId="2DFC3440">
      <w:pPr>
        <w:spacing w:after="0" w:line="240" w:lineRule="auto"/>
        <w:rPr>
          <w:rFonts w:ascii="Times New Roman" w:hAnsi="Times New Roman" w:cs="Times New Roman"/>
          <w:sz w:val="24"/>
          <w:szCs w:val="24"/>
        </w:rPr>
      </w:pPr>
      <w:r w:rsidRPr="00E059CA">
        <w:rPr>
          <w:rFonts w:ascii="Times New Roman" w:hAnsi="Times New Roman" w:eastAsia="Times New Roman" w:cs="Times New Roman"/>
          <w:sz w:val="24"/>
          <w:szCs w:val="24"/>
        </w:rPr>
        <w:t xml:space="preserve">The information collection for which approval is sought is in accordance with </w:t>
      </w:r>
      <w:r w:rsidR="004962A0">
        <w:rPr>
          <w:rFonts w:ascii="Times New Roman" w:hAnsi="Times New Roman" w:eastAsia="Times New Roman" w:cs="Times New Roman"/>
          <w:sz w:val="24"/>
          <w:szCs w:val="24"/>
        </w:rPr>
        <w:t xml:space="preserve">CDC </w:t>
      </w:r>
      <w:r w:rsidRPr="00E059CA">
        <w:rPr>
          <w:rFonts w:ascii="Times New Roman" w:hAnsi="Times New Roman" w:eastAsia="Times New Roman" w:cs="Times New Roman"/>
          <w:sz w:val="24"/>
          <w:szCs w:val="24"/>
        </w:rPr>
        <w:t xml:space="preserve">DGMQ’s mission to reduce morbidity and mortality among immigrants, travelers, and other globally mobile populations, and to prevent the introduction, transmission, or spread of communicable </w:t>
      </w:r>
      <w:r w:rsidRPr="00E059CA">
        <w:rPr>
          <w:rFonts w:ascii="Times New Roman" w:hAnsi="Times New Roman" w:eastAsia="Times New Roman" w:cs="Times New Roman"/>
          <w:sz w:val="24"/>
          <w:szCs w:val="24"/>
        </w:rPr>
        <w:lastRenderedPageBreak/>
        <w:t xml:space="preserve">diseases from foreign countries into the U.S. </w:t>
      </w:r>
      <w:r w:rsidRPr="00E059CA" w:rsidR="004818B1">
        <w:rPr>
          <w:rFonts w:ascii="Times New Roman" w:hAnsi="Times New Roman" w:cs="Times New Roman"/>
          <w:sz w:val="24"/>
          <w:szCs w:val="24"/>
        </w:rPr>
        <w:t>This mission is supported by the Section 361 of the Public Health Service Act regulations found in 42 Code of Federal Regulations part 70 and 71 (Attachments A1, A2, and A3, respectively).</w:t>
      </w:r>
      <w:r w:rsidR="00E22D97">
        <w:rPr>
          <w:rFonts w:ascii="Times New Roman" w:hAnsi="Times New Roman" w:cs="Times New Roman"/>
          <w:sz w:val="24"/>
          <w:szCs w:val="24"/>
        </w:rPr>
        <w:t xml:space="preserve"> </w:t>
      </w:r>
      <w:r w:rsidR="001B34D0">
        <w:rPr>
          <w:rFonts w:ascii="Times New Roman" w:hAnsi="Times New Roman" w:cs="Times New Roman"/>
          <w:sz w:val="24"/>
          <w:szCs w:val="24"/>
        </w:rPr>
        <w:t>It is a</w:t>
      </w:r>
      <w:r w:rsidR="00E22D97">
        <w:rPr>
          <w:rFonts w:ascii="Times New Roman" w:hAnsi="Times New Roman" w:cs="Times New Roman"/>
          <w:sz w:val="24"/>
          <w:szCs w:val="24"/>
        </w:rPr>
        <w:t xml:space="preserve">lso supported under general authorities provided by </w:t>
      </w:r>
      <w:r w:rsidR="00E71257">
        <w:rPr>
          <w:rFonts w:ascii="Times New Roman" w:hAnsi="Times New Roman" w:cs="Times New Roman"/>
          <w:sz w:val="24"/>
          <w:szCs w:val="24"/>
        </w:rPr>
        <w:t xml:space="preserve">Sections 301 and 311 in </w:t>
      </w:r>
      <w:r w:rsidR="0079648A">
        <w:rPr>
          <w:rFonts w:ascii="Times New Roman" w:hAnsi="Times New Roman" w:cs="Times New Roman"/>
          <w:sz w:val="24"/>
          <w:szCs w:val="24"/>
        </w:rPr>
        <w:t xml:space="preserve">the Public Health Service Act </w:t>
      </w:r>
      <w:r w:rsidR="00E22D97">
        <w:rPr>
          <w:rFonts w:ascii="Times New Roman" w:hAnsi="Times New Roman" w:cs="Times New Roman"/>
          <w:sz w:val="24"/>
          <w:szCs w:val="24"/>
        </w:rPr>
        <w:t>regulations (Attachments A4, and A5)</w:t>
      </w:r>
      <w:r w:rsidR="0079648A">
        <w:rPr>
          <w:rFonts w:ascii="Times New Roman" w:hAnsi="Times New Roman" w:cs="Times New Roman"/>
          <w:sz w:val="24"/>
          <w:szCs w:val="24"/>
        </w:rPr>
        <w:t>.</w:t>
      </w:r>
    </w:p>
    <w:p w:rsidRPr="00E059CA" w:rsidR="004C39E2" w:rsidP="005242B1" w:rsidRDefault="0088113F" w14:paraId="25718E0E" w14:textId="77777777">
      <w:pPr>
        <w:pStyle w:val="Heading2"/>
        <w:spacing w:line="240" w:lineRule="auto"/>
      </w:pPr>
      <w:bookmarkStart w:name="_Toc457379299" w:id="8"/>
      <w:r w:rsidRPr="00E059CA">
        <w:t>2</w:t>
      </w:r>
      <w:r w:rsidRPr="00E059CA" w:rsidR="004314F8">
        <w:t>.</w:t>
      </w:r>
      <w:r w:rsidRPr="00E059CA">
        <w:t xml:space="preserve"> </w:t>
      </w:r>
      <w:r w:rsidRPr="00E059CA" w:rsidR="00A27777">
        <w:t xml:space="preserve">Purpose and Use of </w:t>
      </w:r>
      <w:r w:rsidRPr="00E059CA" w:rsidR="005C6E66">
        <w:t>Information Collection</w:t>
      </w:r>
      <w:bookmarkEnd w:id="8"/>
    </w:p>
    <w:p w:rsidRPr="004D460C" w:rsidR="0047240F" w:rsidP="004D460C" w:rsidRDefault="0047240F" w14:paraId="77783028" w14:textId="482EA2BB">
      <w:pPr>
        <w:spacing w:line="240" w:lineRule="auto"/>
        <w:rPr>
          <w:rFonts w:ascii="Times New Roman" w:hAnsi="Times New Roman" w:eastAsia="Times New Roman" w:cs="Times New Roman"/>
          <w:sz w:val="24"/>
          <w:szCs w:val="24"/>
        </w:rPr>
      </w:pPr>
      <w:r w:rsidRPr="004D460C">
        <w:rPr>
          <w:rFonts w:ascii="Times New Roman" w:hAnsi="Times New Roman" w:eastAsia="Times New Roman" w:cs="Times New Roman"/>
          <w:sz w:val="24"/>
          <w:szCs w:val="24"/>
        </w:rPr>
        <w:t xml:space="preserve">Information will be collected from local health departments and federal ICE detention centers, whenever these referring entities provide clinical services to an individual with TB who has imminent plans to relocate and needs continuity of care in their new location. The local health departments and federal ICE detention centers shares the information with CDC </w:t>
      </w:r>
      <w:proofErr w:type="spellStart"/>
      <w:r w:rsidRPr="004D460C">
        <w:rPr>
          <w:rFonts w:ascii="Times New Roman" w:hAnsi="Times New Roman" w:eastAsia="Times New Roman" w:cs="Times New Roman"/>
          <w:sz w:val="24"/>
          <w:szCs w:val="24"/>
        </w:rPr>
        <w:t>CureTB</w:t>
      </w:r>
      <w:proofErr w:type="spellEnd"/>
      <w:r w:rsidRPr="004D460C">
        <w:rPr>
          <w:rFonts w:ascii="Times New Roman" w:hAnsi="Times New Roman" w:eastAsia="Times New Roman" w:cs="Times New Roman"/>
          <w:sz w:val="24"/>
          <w:szCs w:val="24"/>
        </w:rPr>
        <w:t xml:space="preserve"> via fax, encrypted email, or phone so CDC </w:t>
      </w:r>
      <w:proofErr w:type="spellStart"/>
      <w:r w:rsidRPr="004D460C">
        <w:rPr>
          <w:rFonts w:ascii="Times New Roman" w:hAnsi="Times New Roman" w:eastAsia="Times New Roman" w:cs="Times New Roman"/>
          <w:sz w:val="24"/>
          <w:szCs w:val="24"/>
        </w:rPr>
        <w:t>CureTB</w:t>
      </w:r>
      <w:proofErr w:type="spellEnd"/>
      <w:r w:rsidRPr="004D460C">
        <w:rPr>
          <w:rFonts w:ascii="Times New Roman" w:hAnsi="Times New Roman" w:eastAsia="Times New Roman" w:cs="Times New Roman"/>
          <w:sz w:val="24"/>
          <w:szCs w:val="24"/>
        </w:rPr>
        <w:t xml:space="preserve"> can help coordinate care in the new location. TB patients may also be a respondent if critical clinical or contact data is missing and requires follow-up by </w:t>
      </w:r>
      <w:proofErr w:type="spellStart"/>
      <w:r w:rsidRPr="004D460C">
        <w:rPr>
          <w:rFonts w:ascii="Times New Roman" w:hAnsi="Times New Roman" w:eastAsia="Times New Roman" w:cs="Times New Roman"/>
          <w:sz w:val="24"/>
          <w:szCs w:val="24"/>
        </w:rPr>
        <w:t>CureTB</w:t>
      </w:r>
      <w:proofErr w:type="spellEnd"/>
      <w:r w:rsidRPr="004D460C">
        <w:rPr>
          <w:rFonts w:ascii="Times New Roman" w:hAnsi="Times New Roman" w:eastAsia="Times New Roman" w:cs="Times New Roman"/>
          <w:sz w:val="24"/>
          <w:szCs w:val="24"/>
        </w:rPr>
        <w:t xml:space="preserve"> to complete a patient’s referral information set. The information collected is as follows: </w:t>
      </w:r>
    </w:p>
    <w:p w:rsidRPr="004D460C" w:rsidR="002D7ADA" w:rsidRDefault="002D7ADA" w14:paraId="52E53C29" w14:textId="77777777">
      <w:pPr>
        <w:pStyle w:val="ListParagraph"/>
        <w:numPr>
          <w:ilvl w:val="0"/>
          <w:numId w:val="3"/>
        </w:numPr>
        <w:tabs>
          <w:tab w:val="left" w:pos="-1440"/>
        </w:tabs>
        <w:spacing w:line="240" w:lineRule="auto"/>
        <w:rPr>
          <w:rFonts w:ascii="Times New Roman" w:hAnsi="Times New Roman" w:cs="Times New Roman"/>
          <w:sz w:val="24"/>
          <w:szCs w:val="24"/>
        </w:rPr>
      </w:pPr>
      <w:r w:rsidRPr="004D460C">
        <w:rPr>
          <w:rFonts w:ascii="Times New Roman" w:hAnsi="Times New Roman" w:cs="Times New Roman"/>
          <w:sz w:val="24"/>
          <w:szCs w:val="24"/>
        </w:rPr>
        <w:t>patient name, date of birth, sex</w:t>
      </w:r>
    </w:p>
    <w:p w:rsidRPr="00FF1DAD" w:rsidR="002D7ADA" w:rsidP="002D7ADA" w:rsidRDefault="002D7ADA" w14:paraId="3F41D3A6" w14:textId="77777777">
      <w:pPr>
        <w:pStyle w:val="ListParagraph"/>
        <w:numPr>
          <w:ilvl w:val="0"/>
          <w:numId w:val="3"/>
        </w:numPr>
        <w:tabs>
          <w:tab w:val="left" w:pos="-1440"/>
        </w:tabs>
        <w:spacing w:line="240" w:lineRule="auto"/>
        <w:rPr>
          <w:rFonts w:ascii="Times New Roman" w:hAnsi="Times New Roman" w:cs="Times New Roman"/>
          <w:sz w:val="24"/>
          <w:szCs w:val="24"/>
        </w:rPr>
      </w:pPr>
      <w:r w:rsidRPr="00FF1DAD">
        <w:rPr>
          <w:rFonts w:ascii="Times New Roman" w:hAnsi="Times New Roman" w:cs="Times New Roman"/>
          <w:sz w:val="24"/>
          <w:szCs w:val="24"/>
        </w:rPr>
        <w:t>contact information for patient</w:t>
      </w:r>
    </w:p>
    <w:p w:rsidRPr="0056036F" w:rsidR="00280D9E" w:rsidP="002D7ADA" w:rsidRDefault="00280D9E" w14:paraId="5B617094" w14:textId="77777777">
      <w:pPr>
        <w:pStyle w:val="ListParagraph"/>
        <w:numPr>
          <w:ilvl w:val="0"/>
          <w:numId w:val="3"/>
        </w:numPr>
        <w:tabs>
          <w:tab w:val="left" w:pos="-1440"/>
        </w:tabs>
        <w:spacing w:line="240" w:lineRule="auto"/>
        <w:rPr>
          <w:rFonts w:ascii="Times New Roman" w:hAnsi="Times New Roman" w:cs="Times New Roman"/>
          <w:sz w:val="24"/>
          <w:szCs w:val="24"/>
        </w:rPr>
      </w:pPr>
      <w:r w:rsidRPr="0056036F">
        <w:rPr>
          <w:rFonts w:ascii="Times New Roman" w:hAnsi="Times New Roman" w:cs="Times New Roman"/>
          <w:sz w:val="24"/>
          <w:szCs w:val="24"/>
        </w:rPr>
        <w:t>expected location where patient will be moving to (e.g. country, state, municipality)</w:t>
      </w:r>
    </w:p>
    <w:p w:rsidRPr="00BC0C85" w:rsidR="002D7ADA" w:rsidP="002D7ADA" w:rsidRDefault="002D7ADA" w14:paraId="4428BF79" w14:textId="2E8A6647">
      <w:pPr>
        <w:pStyle w:val="ListParagraph"/>
        <w:numPr>
          <w:ilvl w:val="0"/>
          <w:numId w:val="3"/>
        </w:numPr>
        <w:tabs>
          <w:tab w:val="left" w:pos="-1440"/>
        </w:tabs>
        <w:spacing w:line="240" w:lineRule="auto"/>
        <w:rPr>
          <w:rFonts w:ascii="Times New Roman" w:hAnsi="Times New Roman" w:cs="Times New Roman"/>
          <w:sz w:val="24"/>
          <w:szCs w:val="24"/>
        </w:rPr>
      </w:pPr>
      <w:r w:rsidRPr="0056036F">
        <w:rPr>
          <w:rFonts w:ascii="Times New Roman" w:hAnsi="Times New Roman" w:cs="Times New Roman"/>
          <w:sz w:val="24"/>
          <w:szCs w:val="24"/>
        </w:rPr>
        <w:t>tuberculosis laboratory results</w:t>
      </w:r>
      <w:r w:rsidRPr="00BA1362" w:rsidR="00DA0158">
        <w:rPr>
          <w:rFonts w:ascii="Times New Roman" w:hAnsi="Times New Roman" w:cs="Times New Roman"/>
          <w:sz w:val="24"/>
          <w:szCs w:val="24"/>
        </w:rPr>
        <w:t xml:space="preserve"> </w:t>
      </w:r>
      <w:r w:rsidRPr="00BC0C85" w:rsidR="00DA0158">
        <w:rPr>
          <w:rFonts w:ascii="Times New Roman" w:hAnsi="Times New Roman" w:cs="Times New Roman"/>
          <w:sz w:val="24"/>
          <w:szCs w:val="24"/>
        </w:rPr>
        <w:t>and other relevant clinical data</w:t>
      </w:r>
    </w:p>
    <w:p w:rsidRPr="00FF1DAD" w:rsidR="002D7ADA" w:rsidP="002D7ADA" w:rsidRDefault="002D7ADA" w14:paraId="6A465966" w14:textId="77777777">
      <w:pPr>
        <w:pStyle w:val="ListParagraph"/>
        <w:numPr>
          <w:ilvl w:val="0"/>
          <w:numId w:val="3"/>
        </w:numPr>
        <w:tabs>
          <w:tab w:val="left" w:pos="-1440"/>
        </w:tabs>
        <w:spacing w:line="240" w:lineRule="auto"/>
        <w:rPr>
          <w:rFonts w:ascii="Times New Roman" w:hAnsi="Times New Roman" w:cs="Times New Roman"/>
          <w:sz w:val="24"/>
          <w:szCs w:val="24"/>
        </w:rPr>
      </w:pPr>
      <w:r w:rsidRPr="00FF1DAD">
        <w:rPr>
          <w:rFonts w:ascii="Times New Roman" w:hAnsi="Times New Roman" w:cs="Times New Roman"/>
          <w:sz w:val="24"/>
          <w:szCs w:val="24"/>
        </w:rPr>
        <w:t>tuberculosis treatment start date, medications</w:t>
      </w:r>
    </w:p>
    <w:p w:rsidRPr="00E059CA" w:rsidR="002D7ADA" w:rsidP="002D7ADA" w:rsidRDefault="002D7ADA" w14:paraId="27E09318" w14:textId="77777777">
      <w:pPr>
        <w:pStyle w:val="ListParagraph"/>
        <w:numPr>
          <w:ilvl w:val="0"/>
          <w:numId w:val="3"/>
        </w:numPr>
        <w:tabs>
          <w:tab w:val="left" w:pos="-1440"/>
        </w:tabs>
        <w:spacing w:line="240" w:lineRule="auto"/>
        <w:rPr>
          <w:rFonts w:ascii="Times New Roman" w:hAnsi="Times New Roman" w:cs="Times New Roman"/>
          <w:sz w:val="24"/>
          <w:szCs w:val="24"/>
        </w:rPr>
      </w:pPr>
      <w:r w:rsidRPr="00E059CA">
        <w:rPr>
          <w:rFonts w:ascii="Times New Roman" w:hAnsi="Times New Roman" w:cs="Times New Roman"/>
          <w:sz w:val="24"/>
          <w:szCs w:val="24"/>
        </w:rPr>
        <w:t xml:space="preserve">contact information for referring entity </w:t>
      </w:r>
    </w:p>
    <w:p w:rsidR="007B2644" w:rsidP="007B2644" w:rsidRDefault="004869B0" w14:paraId="2BF554F2" w14:textId="38F4ECA6">
      <w:pPr>
        <w:pStyle w:val="Default"/>
        <w:rPr>
          <w:rFonts w:ascii="Times New Roman" w:hAnsi="Times New Roman" w:cs="Times New Roman"/>
        </w:rPr>
      </w:pPr>
      <w:r w:rsidRPr="00E059CA">
        <w:rPr>
          <w:rFonts w:ascii="Times New Roman" w:hAnsi="Times New Roman" w:cs="Times New Roman"/>
        </w:rPr>
        <w:t xml:space="preserve">The request for </w:t>
      </w:r>
      <w:r w:rsidR="004962A0">
        <w:rPr>
          <w:rFonts w:ascii="Times New Roman" w:hAnsi="Times New Roman" w:cs="Times New Roman"/>
        </w:rPr>
        <w:t xml:space="preserve">CDC </w:t>
      </w:r>
      <w:proofErr w:type="spellStart"/>
      <w:r w:rsidRPr="00E059CA">
        <w:rPr>
          <w:rFonts w:ascii="Times New Roman" w:hAnsi="Times New Roman" w:cs="Times New Roman"/>
        </w:rPr>
        <w:t>CureTB</w:t>
      </w:r>
      <w:proofErr w:type="spellEnd"/>
      <w:r w:rsidRPr="00E059CA">
        <w:rPr>
          <w:rFonts w:ascii="Times New Roman" w:hAnsi="Times New Roman" w:cs="Times New Roman"/>
        </w:rPr>
        <w:t xml:space="preserve"> services comes from the referring entities and they supply the information at the time the patient is likely to leave their jurisdiction.  </w:t>
      </w:r>
      <w:r w:rsidRPr="00B03358" w:rsidR="00B03358">
        <w:rPr>
          <w:rFonts w:ascii="Times New Roman" w:hAnsi="Times New Roman" w:cs="Times New Roman"/>
        </w:rPr>
        <w:t xml:space="preserve">The local health departments or ICE detention centers may update information only if relevant information to the patient’s care becomes available to them after their first communication with CDC </w:t>
      </w:r>
      <w:proofErr w:type="spellStart"/>
      <w:r w:rsidRPr="00B03358" w:rsidR="00B03358">
        <w:rPr>
          <w:rFonts w:ascii="Times New Roman" w:hAnsi="Times New Roman" w:cs="Times New Roman"/>
        </w:rPr>
        <w:t>CureTB</w:t>
      </w:r>
      <w:proofErr w:type="spellEnd"/>
      <w:r w:rsidRPr="00B03358" w:rsidR="00B03358">
        <w:rPr>
          <w:rFonts w:ascii="Times New Roman" w:hAnsi="Times New Roman" w:cs="Times New Roman"/>
        </w:rPr>
        <w:t xml:space="preserve">.  Therefore, information is already largely collected by CDC </w:t>
      </w:r>
      <w:proofErr w:type="spellStart"/>
      <w:r w:rsidRPr="00B03358" w:rsidR="00B03358">
        <w:rPr>
          <w:rFonts w:ascii="Times New Roman" w:hAnsi="Times New Roman" w:cs="Times New Roman"/>
        </w:rPr>
        <w:t>CureTB</w:t>
      </w:r>
      <w:proofErr w:type="spellEnd"/>
      <w:r w:rsidRPr="00B03358" w:rsidR="00B03358">
        <w:rPr>
          <w:rFonts w:ascii="Times New Roman" w:hAnsi="Times New Roman" w:cs="Times New Roman"/>
        </w:rPr>
        <w:t xml:space="preserve"> only at one point in time, with subsequent information only collected if departure is delayed or when initially pending information becomes available and this is beyond the control of CDC.  </w:t>
      </w:r>
    </w:p>
    <w:p w:rsidR="00B03358" w:rsidP="007B2644" w:rsidRDefault="00B03358" w14:paraId="5A780B31" w14:textId="4A524745">
      <w:pPr>
        <w:pStyle w:val="Default"/>
        <w:rPr>
          <w:rFonts w:ascii="Times New Roman" w:hAnsi="Times New Roman" w:cs="Times New Roman"/>
        </w:rPr>
      </w:pPr>
    </w:p>
    <w:p w:rsidRPr="009967E0" w:rsidR="00B03358" w:rsidP="007B2644" w:rsidRDefault="00B03358" w14:paraId="5184EE31" w14:textId="3BE5F8F3">
      <w:pPr>
        <w:pStyle w:val="Default"/>
        <w:rPr>
          <w:rFonts w:ascii="Times New Roman" w:hAnsi="Times New Roman" w:cs="Goudy Old Style"/>
          <w:color w:val="auto"/>
        </w:rPr>
      </w:pPr>
      <w:r w:rsidRPr="00B03358">
        <w:rPr>
          <w:rFonts w:ascii="Times New Roman" w:hAnsi="Times New Roman" w:cs="Goudy Old Style"/>
          <w:color w:val="auto"/>
        </w:rPr>
        <w:t>CDC is notified of the date the patient will leave and sends the information they received to public health authorities in the new country via fax or encrypted email. That information is shared with the local physician that would provide care to the TB patient after they arrive.</w:t>
      </w:r>
    </w:p>
    <w:p w:rsidR="004869B0" w:rsidP="007F482E" w:rsidRDefault="004869B0" w14:paraId="6AB24D7B" w14:textId="0AF63CEE">
      <w:pPr>
        <w:spacing w:after="0" w:line="240" w:lineRule="auto"/>
        <w:rPr>
          <w:rFonts w:ascii="Times New Roman" w:hAnsi="Times New Roman" w:cs="Times New Roman"/>
          <w:sz w:val="24"/>
          <w:szCs w:val="24"/>
        </w:rPr>
      </w:pPr>
    </w:p>
    <w:p w:rsidR="00540BC3" w:rsidP="007F482E" w:rsidRDefault="005B31BA" w14:paraId="0E1BA6C1" w14:textId="008C5E4B">
      <w:pPr>
        <w:spacing w:after="0" w:line="240" w:lineRule="auto"/>
        <w:rPr>
          <w:rFonts w:ascii="Times New Roman" w:hAnsi="Times New Roman" w:cs="Times New Roman"/>
          <w:sz w:val="24"/>
          <w:szCs w:val="24"/>
        </w:rPr>
      </w:pPr>
      <w:r>
        <w:rPr>
          <w:rFonts w:ascii="Times New Roman" w:hAnsi="Times New Roman" w:cs="Times New Roman"/>
          <w:sz w:val="24"/>
          <w:szCs w:val="24"/>
        </w:rPr>
        <w:t>Post relocation of the TB patient, d</w:t>
      </w:r>
      <w:r w:rsidR="00540BC3">
        <w:rPr>
          <w:rFonts w:ascii="Times New Roman" w:hAnsi="Times New Roman" w:cs="Times New Roman"/>
          <w:sz w:val="24"/>
          <w:szCs w:val="24"/>
        </w:rPr>
        <w:t xml:space="preserve">ata is also collected from the receiving physicians to determine patient outcomes.  </w:t>
      </w:r>
      <w:r>
        <w:rPr>
          <w:rFonts w:ascii="Times New Roman" w:hAnsi="Times New Roman" w:cs="Times New Roman"/>
          <w:sz w:val="24"/>
          <w:szCs w:val="24"/>
        </w:rPr>
        <w:t xml:space="preserve">CDC Cure TB contacts the physician an average of every two months during the standard TB treatment process.  </w:t>
      </w:r>
      <w:r w:rsidR="00540BC3">
        <w:rPr>
          <w:rFonts w:ascii="Times New Roman" w:hAnsi="Times New Roman" w:cs="Times New Roman"/>
          <w:sz w:val="24"/>
          <w:szCs w:val="24"/>
        </w:rPr>
        <w:t xml:space="preserve">The following data is collected: </w:t>
      </w:r>
    </w:p>
    <w:p w:rsidR="00B03358" w:rsidP="007F482E" w:rsidRDefault="00B03358" w14:paraId="240A18D2" w14:textId="77777777">
      <w:pPr>
        <w:spacing w:after="0" w:line="240" w:lineRule="auto"/>
        <w:rPr>
          <w:rFonts w:ascii="Times New Roman" w:hAnsi="Times New Roman" w:cs="Times New Roman"/>
          <w:sz w:val="24"/>
          <w:szCs w:val="24"/>
        </w:rPr>
      </w:pPr>
    </w:p>
    <w:p w:rsidRPr="00540BC3" w:rsidR="00540BC3" w:rsidP="00540BC3" w:rsidRDefault="00540BC3" w14:paraId="5C61DFD2" w14:textId="77777777">
      <w:pPr>
        <w:spacing w:after="0" w:line="240" w:lineRule="auto"/>
        <w:rPr>
          <w:rFonts w:ascii="Times New Roman" w:hAnsi="Times New Roman" w:cs="Times New Roman"/>
          <w:sz w:val="24"/>
          <w:szCs w:val="24"/>
        </w:rPr>
      </w:pPr>
      <w:r w:rsidRPr="00540BC3">
        <w:rPr>
          <w:rFonts w:ascii="Times New Roman" w:hAnsi="Times New Roman" w:cs="Times New Roman"/>
          <w:sz w:val="24"/>
          <w:szCs w:val="24"/>
        </w:rPr>
        <w:t>1) Is patient still on treatment?  Yes or No</w:t>
      </w:r>
    </w:p>
    <w:p w:rsidRPr="00540BC3" w:rsidR="00540BC3" w:rsidP="00540BC3" w:rsidRDefault="00540BC3" w14:paraId="31D4635E" w14:textId="77777777">
      <w:pPr>
        <w:spacing w:after="0" w:line="240" w:lineRule="auto"/>
        <w:rPr>
          <w:rFonts w:ascii="Times New Roman" w:hAnsi="Times New Roman" w:cs="Times New Roman"/>
          <w:sz w:val="24"/>
          <w:szCs w:val="24"/>
        </w:rPr>
      </w:pPr>
      <w:r w:rsidRPr="00540BC3">
        <w:rPr>
          <w:rFonts w:ascii="Times New Roman" w:hAnsi="Times New Roman" w:cs="Times New Roman"/>
          <w:sz w:val="24"/>
          <w:szCs w:val="24"/>
        </w:rPr>
        <w:t xml:space="preserve">2) If yes, what medications?  </w:t>
      </w:r>
    </w:p>
    <w:p w:rsidR="008A4895" w:rsidP="00540BC3" w:rsidRDefault="008A4895" w14:paraId="52EB6656" w14:textId="77777777">
      <w:pPr>
        <w:spacing w:after="0" w:line="240" w:lineRule="auto"/>
        <w:rPr>
          <w:rFonts w:ascii="Times New Roman" w:hAnsi="Times New Roman" w:cs="Times New Roman"/>
          <w:sz w:val="24"/>
          <w:szCs w:val="24"/>
        </w:rPr>
      </w:pPr>
      <w:r w:rsidRPr="008A4895">
        <w:rPr>
          <w:rFonts w:ascii="Times New Roman" w:hAnsi="Times New Roman" w:cs="Times New Roman"/>
          <w:sz w:val="24"/>
          <w:szCs w:val="24"/>
        </w:rPr>
        <w:t xml:space="preserve">3) What is anticipated data of treatment completion? </w:t>
      </w:r>
    </w:p>
    <w:p w:rsidRPr="00540BC3" w:rsidR="00540BC3" w:rsidP="00540BC3" w:rsidRDefault="008A4895" w14:paraId="3BF4CC17" w14:textId="2BC1E05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Pr="00540BC3" w:rsidR="00540BC3">
        <w:rPr>
          <w:rFonts w:ascii="Times New Roman" w:hAnsi="Times New Roman" w:cs="Times New Roman"/>
          <w:sz w:val="24"/>
          <w:szCs w:val="24"/>
        </w:rPr>
        <w:t xml:space="preserve">) If not, what is the </w:t>
      </w:r>
      <w:proofErr w:type="gramStart"/>
      <w:r w:rsidRPr="00540BC3" w:rsidR="00540BC3">
        <w:rPr>
          <w:rFonts w:ascii="Times New Roman" w:hAnsi="Times New Roman" w:cs="Times New Roman"/>
          <w:sz w:val="24"/>
          <w:szCs w:val="24"/>
        </w:rPr>
        <w:t>final outcome</w:t>
      </w:r>
      <w:proofErr w:type="gramEnd"/>
      <w:r w:rsidRPr="00540BC3" w:rsidR="00540BC3">
        <w:rPr>
          <w:rFonts w:ascii="Times New Roman" w:hAnsi="Times New Roman" w:cs="Times New Roman"/>
          <w:sz w:val="24"/>
          <w:szCs w:val="24"/>
        </w:rPr>
        <w:t xml:space="preserve">?  </w:t>
      </w:r>
    </w:p>
    <w:p w:rsidRPr="00540BC3" w:rsidR="00540BC3" w:rsidP="00540BC3" w:rsidRDefault="00540BC3" w14:paraId="39465803" w14:textId="77777777">
      <w:pPr>
        <w:spacing w:after="0" w:line="240" w:lineRule="auto"/>
        <w:rPr>
          <w:rFonts w:ascii="Times New Roman" w:hAnsi="Times New Roman" w:cs="Times New Roman"/>
          <w:sz w:val="24"/>
          <w:szCs w:val="24"/>
        </w:rPr>
      </w:pPr>
      <w:r w:rsidRPr="00540BC3">
        <w:rPr>
          <w:rFonts w:ascii="Times New Roman" w:hAnsi="Times New Roman" w:cs="Times New Roman"/>
          <w:sz w:val="24"/>
          <w:szCs w:val="24"/>
        </w:rPr>
        <w:t xml:space="preserve">Standard international outcomes: </w:t>
      </w:r>
    </w:p>
    <w:p w:rsidRPr="00540BC3" w:rsidR="00540BC3" w:rsidP="00540BC3" w:rsidRDefault="00540BC3" w14:paraId="5AAB33C5" w14:textId="77777777">
      <w:pPr>
        <w:numPr>
          <w:ilvl w:val="0"/>
          <w:numId w:val="7"/>
        </w:numPr>
        <w:spacing w:after="0" w:line="240" w:lineRule="auto"/>
        <w:rPr>
          <w:rFonts w:ascii="Times New Roman" w:hAnsi="Times New Roman" w:cs="Times New Roman"/>
          <w:sz w:val="24"/>
          <w:szCs w:val="24"/>
        </w:rPr>
      </w:pPr>
      <w:r w:rsidRPr="00540BC3">
        <w:rPr>
          <w:rFonts w:ascii="Times New Roman" w:hAnsi="Times New Roman" w:cs="Times New Roman"/>
          <w:sz w:val="24"/>
          <w:szCs w:val="24"/>
        </w:rPr>
        <w:t>Lost</w:t>
      </w:r>
    </w:p>
    <w:p w:rsidRPr="00540BC3" w:rsidR="00540BC3" w:rsidP="00540BC3" w:rsidRDefault="00540BC3" w14:paraId="74EDEDBF" w14:textId="77777777">
      <w:pPr>
        <w:numPr>
          <w:ilvl w:val="0"/>
          <w:numId w:val="7"/>
        </w:numPr>
        <w:spacing w:after="0" w:line="240" w:lineRule="auto"/>
        <w:rPr>
          <w:rFonts w:ascii="Times New Roman" w:hAnsi="Times New Roman" w:cs="Times New Roman"/>
          <w:sz w:val="24"/>
          <w:szCs w:val="24"/>
        </w:rPr>
      </w:pPr>
      <w:r w:rsidRPr="00540BC3">
        <w:rPr>
          <w:rFonts w:ascii="Times New Roman" w:hAnsi="Times New Roman" w:cs="Times New Roman"/>
          <w:sz w:val="24"/>
          <w:szCs w:val="24"/>
        </w:rPr>
        <w:lastRenderedPageBreak/>
        <w:t>Abandoned</w:t>
      </w:r>
    </w:p>
    <w:p w:rsidRPr="00540BC3" w:rsidR="00540BC3" w:rsidP="00540BC3" w:rsidRDefault="00540BC3" w14:paraId="66C6A8C7" w14:textId="77777777">
      <w:pPr>
        <w:numPr>
          <w:ilvl w:val="0"/>
          <w:numId w:val="7"/>
        </w:numPr>
        <w:spacing w:after="0" w:line="240" w:lineRule="auto"/>
        <w:rPr>
          <w:rFonts w:ascii="Times New Roman" w:hAnsi="Times New Roman" w:cs="Times New Roman"/>
          <w:sz w:val="24"/>
          <w:szCs w:val="24"/>
        </w:rPr>
      </w:pPr>
      <w:r w:rsidRPr="00540BC3">
        <w:rPr>
          <w:rFonts w:ascii="Times New Roman" w:hAnsi="Times New Roman" w:cs="Times New Roman"/>
          <w:sz w:val="24"/>
          <w:szCs w:val="24"/>
        </w:rPr>
        <w:t>Died</w:t>
      </w:r>
    </w:p>
    <w:p w:rsidRPr="00540BC3" w:rsidR="00540BC3" w:rsidP="00540BC3" w:rsidRDefault="00540BC3" w14:paraId="6E45C5D0" w14:textId="77777777">
      <w:pPr>
        <w:numPr>
          <w:ilvl w:val="0"/>
          <w:numId w:val="7"/>
        </w:numPr>
        <w:spacing w:after="0" w:line="240" w:lineRule="auto"/>
        <w:rPr>
          <w:rFonts w:ascii="Times New Roman" w:hAnsi="Times New Roman" w:cs="Times New Roman"/>
          <w:sz w:val="24"/>
          <w:szCs w:val="24"/>
        </w:rPr>
      </w:pPr>
      <w:r w:rsidRPr="00540BC3">
        <w:rPr>
          <w:rFonts w:ascii="Times New Roman" w:hAnsi="Times New Roman" w:cs="Times New Roman"/>
          <w:sz w:val="24"/>
          <w:szCs w:val="24"/>
        </w:rPr>
        <w:t>Stopped for medical reasons</w:t>
      </w:r>
    </w:p>
    <w:p w:rsidRPr="00540BC3" w:rsidR="00540BC3" w:rsidP="00540BC3" w:rsidRDefault="00540BC3" w14:paraId="05C2AF82" w14:textId="77777777">
      <w:pPr>
        <w:numPr>
          <w:ilvl w:val="0"/>
          <w:numId w:val="7"/>
        </w:numPr>
        <w:spacing w:after="0" w:line="240" w:lineRule="auto"/>
        <w:rPr>
          <w:rFonts w:ascii="Times New Roman" w:hAnsi="Times New Roman" w:cs="Times New Roman"/>
          <w:sz w:val="24"/>
          <w:szCs w:val="24"/>
        </w:rPr>
      </w:pPr>
      <w:r w:rsidRPr="00540BC3">
        <w:rPr>
          <w:rFonts w:ascii="Times New Roman" w:hAnsi="Times New Roman" w:cs="Times New Roman"/>
          <w:sz w:val="24"/>
          <w:szCs w:val="24"/>
        </w:rPr>
        <w:t xml:space="preserve">Completed treatment  </w:t>
      </w:r>
    </w:p>
    <w:p w:rsidR="00540BC3" w:rsidP="007F482E" w:rsidRDefault="00540BC3" w14:paraId="55D8E280" w14:textId="77777777">
      <w:pPr>
        <w:spacing w:after="0" w:line="240" w:lineRule="auto"/>
        <w:rPr>
          <w:rFonts w:ascii="Times New Roman" w:hAnsi="Times New Roman" w:cs="Times New Roman"/>
          <w:sz w:val="24"/>
          <w:szCs w:val="24"/>
        </w:rPr>
      </w:pPr>
    </w:p>
    <w:p w:rsidRPr="00E059CA" w:rsidR="007F482E" w:rsidP="007F482E" w:rsidRDefault="00895D08" w14:paraId="6D77CEEA" w14:textId="77777777">
      <w:pPr>
        <w:spacing w:after="0" w:line="240" w:lineRule="auto"/>
        <w:rPr>
          <w:rFonts w:ascii="Times New Roman" w:hAnsi="Times New Roman" w:cs="Times New Roman"/>
          <w:sz w:val="24"/>
          <w:szCs w:val="24"/>
        </w:rPr>
      </w:pPr>
      <w:r w:rsidRPr="00E059CA">
        <w:rPr>
          <w:rFonts w:ascii="Times New Roman" w:hAnsi="Times New Roman" w:cs="Times New Roman"/>
          <w:sz w:val="24"/>
          <w:szCs w:val="24"/>
        </w:rPr>
        <w:t>The</w:t>
      </w:r>
      <w:r w:rsidRPr="00E059CA" w:rsidR="00AD69FB">
        <w:rPr>
          <w:rFonts w:ascii="Times New Roman" w:hAnsi="Times New Roman" w:cs="Times New Roman"/>
          <w:sz w:val="24"/>
          <w:szCs w:val="24"/>
        </w:rPr>
        <w:t xml:space="preserve"> </w:t>
      </w:r>
      <w:r w:rsidRPr="00E059CA" w:rsidR="004331EF">
        <w:rPr>
          <w:rFonts w:ascii="Times New Roman" w:hAnsi="Times New Roman" w:cs="Times New Roman"/>
          <w:sz w:val="24"/>
          <w:szCs w:val="24"/>
        </w:rPr>
        <w:t>data</w:t>
      </w:r>
      <w:r w:rsidRPr="00E059CA" w:rsidR="00E37A59">
        <w:rPr>
          <w:rFonts w:ascii="Times New Roman" w:hAnsi="Times New Roman" w:cs="Times New Roman"/>
          <w:sz w:val="24"/>
          <w:szCs w:val="24"/>
        </w:rPr>
        <w:t xml:space="preserve"> </w:t>
      </w:r>
      <w:r w:rsidRPr="00E059CA" w:rsidR="00527C1D">
        <w:rPr>
          <w:rFonts w:ascii="Times New Roman" w:hAnsi="Times New Roman" w:cs="Times New Roman"/>
          <w:sz w:val="24"/>
          <w:szCs w:val="24"/>
        </w:rPr>
        <w:t>provide</w:t>
      </w:r>
      <w:r w:rsidRPr="00E059CA" w:rsidR="00E37A59">
        <w:rPr>
          <w:rFonts w:ascii="Times New Roman" w:hAnsi="Times New Roman" w:cs="Times New Roman"/>
          <w:sz w:val="24"/>
          <w:szCs w:val="24"/>
        </w:rPr>
        <w:t>s</w:t>
      </w:r>
      <w:r w:rsidRPr="00E059CA" w:rsidR="00527C1D">
        <w:rPr>
          <w:rFonts w:ascii="Times New Roman" w:hAnsi="Times New Roman" w:cs="Times New Roman"/>
          <w:sz w:val="24"/>
          <w:szCs w:val="24"/>
        </w:rPr>
        <w:t xml:space="preserve"> valuable </w:t>
      </w:r>
      <w:r w:rsidRPr="00E059CA" w:rsidR="00AD69FB">
        <w:rPr>
          <w:rFonts w:ascii="Times New Roman" w:hAnsi="Times New Roman" w:cs="Times New Roman"/>
          <w:sz w:val="24"/>
          <w:szCs w:val="24"/>
        </w:rPr>
        <w:t xml:space="preserve">information </w:t>
      </w:r>
      <w:r w:rsidRPr="00E059CA" w:rsidR="00527C1D">
        <w:rPr>
          <w:rFonts w:ascii="Times New Roman" w:hAnsi="Times New Roman" w:cs="Times New Roman"/>
          <w:sz w:val="24"/>
          <w:szCs w:val="24"/>
        </w:rPr>
        <w:t>on globally mobile populations and allow</w:t>
      </w:r>
      <w:r w:rsidRPr="00E059CA" w:rsidR="00E37A59">
        <w:rPr>
          <w:rFonts w:ascii="Times New Roman" w:hAnsi="Times New Roman" w:cs="Times New Roman"/>
          <w:sz w:val="24"/>
          <w:szCs w:val="24"/>
        </w:rPr>
        <w:t>s</w:t>
      </w:r>
      <w:r w:rsidRPr="00E059CA" w:rsidR="00527C1D">
        <w:rPr>
          <w:rFonts w:ascii="Times New Roman" w:hAnsi="Times New Roman" w:cs="Times New Roman"/>
          <w:sz w:val="24"/>
          <w:szCs w:val="24"/>
        </w:rPr>
        <w:t xml:space="preserve"> CDC to </w:t>
      </w:r>
      <w:r w:rsidRPr="00E059CA" w:rsidR="00AD69FB">
        <w:rPr>
          <w:rFonts w:ascii="Times New Roman" w:hAnsi="Times New Roman" w:cs="Times New Roman"/>
          <w:sz w:val="24"/>
          <w:szCs w:val="24"/>
        </w:rPr>
        <w:t xml:space="preserve">assist in continuity of TB care and </w:t>
      </w:r>
      <w:r w:rsidRPr="00E059CA" w:rsidR="004331EF">
        <w:rPr>
          <w:rFonts w:ascii="Times New Roman" w:hAnsi="Times New Roman" w:cs="Times New Roman"/>
          <w:sz w:val="24"/>
          <w:szCs w:val="24"/>
        </w:rPr>
        <w:t xml:space="preserve">monitor </w:t>
      </w:r>
      <w:r w:rsidRPr="00E059CA" w:rsidR="007F482E">
        <w:rPr>
          <w:rFonts w:ascii="Times New Roman" w:hAnsi="Times New Roman" w:cs="Times New Roman"/>
          <w:sz w:val="24"/>
          <w:szCs w:val="24"/>
        </w:rPr>
        <w:t xml:space="preserve">the effectiveness </w:t>
      </w:r>
      <w:r w:rsidRPr="00E059CA" w:rsidR="00AD69FB">
        <w:rPr>
          <w:rFonts w:ascii="Times New Roman" w:hAnsi="Times New Roman" w:cs="Times New Roman"/>
          <w:sz w:val="24"/>
          <w:szCs w:val="24"/>
        </w:rPr>
        <w:t>of the program.</w:t>
      </w:r>
      <w:r w:rsidRPr="00E059CA" w:rsidR="007F482E">
        <w:rPr>
          <w:rFonts w:ascii="Times New Roman" w:hAnsi="Times New Roman" w:cs="Times New Roman"/>
          <w:sz w:val="24"/>
          <w:szCs w:val="24"/>
        </w:rPr>
        <w:t xml:space="preserve">  This data </w:t>
      </w:r>
      <w:r w:rsidRPr="00E059CA" w:rsidR="004331EF">
        <w:rPr>
          <w:rFonts w:ascii="Times New Roman" w:hAnsi="Times New Roman" w:cs="Times New Roman"/>
          <w:sz w:val="24"/>
          <w:szCs w:val="24"/>
        </w:rPr>
        <w:t>will be</w:t>
      </w:r>
      <w:r w:rsidRPr="00E059CA" w:rsidR="007F482E">
        <w:rPr>
          <w:rFonts w:ascii="Times New Roman" w:hAnsi="Times New Roman" w:cs="Times New Roman"/>
          <w:sz w:val="24"/>
          <w:szCs w:val="24"/>
        </w:rPr>
        <w:t xml:space="preserve"> used to:</w:t>
      </w:r>
    </w:p>
    <w:p w:rsidRPr="00E059CA" w:rsidR="00AD69FB" w:rsidP="00A54DA5" w:rsidRDefault="00AD69FB" w14:paraId="2849E6FD" w14:textId="77777777">
      <w:pPr>
        <w:pStyle w:val="ListParagraph"/>
        <w:numPr>
          <w:ilvl w:val="0"/>
          <w:numId w:val="6"/>
        </w:numPr>
        <w:spacing w:after="0" w:line="240" w:lineRule="auto"/>
        <w:rPr>
          <w:rFonts w:ascii="Times New Roman" w:hAnsi="Times New Roman" w:cs="Times New Roman"/>
          <w:sz w:val="24"/>
          <w:szCs w:val="24"/>
        </w:rPr>
      </w:pPr>
      <w:r w:rsidRPr="00E059CA">
        <w:rPr>
          <w:rFonts w:ascii="Times New Roman" w:hAnsi="Times New Roman" w:cs="Times New Roman"/>
          <w:sz w:val="24"/>
          <w:szCs w:val="24"/>
        </w:rPr>
        <w:t xml:space="preserve">Assure individuals are </w:t>
      </w:r>
      <w:r w:rsidRPr="00E059CA" w:rsidR="00895D08">
        <w:rPr>
          <w:rFonts w:ascii="Times New Roman" w:hAnsi="Times New Roman" w:cs="Times New Roman"/>
          <w:sz w:val="24"/>
          <w:szCs w:val="24"/>
        </w:rPr>
        <w:t xml:space="preserve">linked </w:t>
      </w:r>
      <w:r w:rsidRPr="00E059CA">
        <w:rPr>
          <w:rFonts w:ascii="Times New Roman" w:hAnsi="Times New Roman" w:cs="Times New Roman"/>
          <w:sz w:val="24"/>
          <w:szCs w:val="24"/>
        </w:rPr>
        <w:t xml:space="preserve">for follow-up </w:t>
      </w:r>
      <w:r w:rsidRPr="00E059CA" w:rsidR="00895D08">
        <w:rPr>
          <w:rFonts w:ascii="Times New Roman" w:hAnsi="Times New Roman" w:cs="Times New Roman"/>
          <w:sz w:val="24"/>
          <w:szCs w:val="24"/>
        </w:rPr>
        <w:t>care</w:t>
      </w:r>
      <w:r w:rsidRPr="00E059CA" w:rsidR="00BB7E3E">
        <w:rPr>
          <w:rFonts w:ascii="Times New Roman" w:hAnsi="Times New Roman" w:cs="Times New Roman"/>
          <w:sz w:val="24"/>
          <w:szCs w:val="24"/>
        </w:rPr>
        <w:t xml:space="preserve"> </w:t>
      </w:r>
      <w:r w:rsidRPr="00E059CA">
        <w:rPr>
          <w:rFonts w:ascii="Times New Roman" w:hAnsi="Times New Roman" w:cs="Times New Roman"/>
          <w:sz w:val="24"/>
          <w:szCs w:val="24"/>
        </w:rPr>
        <w:t>based on accurate and complete clinical information sharing between partnering countries.</w:t>
      </w:r>
    </w:p>
    <w:p w:rsidRPr="00E059CA" w:rsidR="007F482E" w:rsidP="00A54DA5" w:rsidRDefault="007809CE" w14:paraId="362F34AE" w14:textId="0BE893F3">
      <w:pPr>
        <w:pStyle w:val="ListParagraph"/>
        <w:numPr>
          <w:ilvl w:val="0"/>
          <w:numId w:val="6"/>
        </w:numPr>
        <w:spacing w:after="0" w:line="240" w:lineRule="auto"/>
        <w:rPr>
          <w:rFonts w:ascii="Times New Roman" w:hAnsi="Times New Roman" w:cs="Times New Roman"/>
          <w:sz w:val="24"/>
          <w:szCs w:val="24"/>
        </w:rPr>
      </w:pPr>
      <w:r w:rsidRPr="00E059CA">
        <w:rPr>
          <w:rFonts w:ascii="Times New Roman" w:hAnsi="Times New Roman" w:cs="Times New Roman"/>
          <w:sz w:val="24"/>
          <w:szCs w:val="24"/>
        </w:rPr>
        <w:t xml:space="preserve">Estimate the </w:t>
      </w:r>
      <w:r w:rsidRPr="00E059CA" w:rsidR="00527C1D">
        <w:rPr>
          <w:rFonts w:ascii="Times New Roman" w:hAnsi="Times New Roman" w:cs="Times New Roman"/>
          <w:sz w:val="24"/>
          <w:szCs w:val="24"/>
        </w:rPr>
        <w:t xml:space="preserve">impact of </w:t>
      </w:r>
      <w:r w:rsidR="004962A0">
        <w:rPr>
          <w:rFonts w:ascii="Times New Roman" w:hAnsi="Times New Roman" w:cs="Times New Roman"/>
          <w:sz w:val="24"/>
          <w:szCs w:val="24"/>
        </w:rPr>
        <w:t xml:space="preserve">CDC </w:t>
      </w:r>
      <w:proofErr w:type="spellStart"/>
      <w:r w:rsidRPr="00E059CA" w:rsidR="00AD69FB">
        <w:rPr>
          <w:rFonts w:ascii="Times New Roman" w:hAnsi="Times New Roman" w:cs="Times New Roman"/>
          <w:sz w:val="24"/>
          <w:szCs w:val="24"/>
        </w:rPr>
        <w:t>CureTB</w:t>
      </w:r>
      <w:proofErr w:type="spellEnd"/>
      <w:r w:rsidRPr="00E059CA" w:rsidR="00AD69FB">
        <w:rPr>
          <w:rFonts w:ascii="Times New Roman" w:hAnsi="Times New Roman" w:cs="Times New Roman"/>
          <w:sz w:val="24"/>
          <w:szCs w:val="24"/>
        </w:rPr>
        <w:t xml:space="preserve"> in assuring TB patients who exit the US receive </w:t>
      </w:r>
      <w:r w:rsidRPr="00E059CA" w:rsidR="00BB7E3E">
        <w:rPr>
          <w:rFonts w:ascii="Times New Roman" w:hAnsi="Times New Roman" w:cs="Times New Roman"/>
          <w:sz w:val="24"/>
          <w:szCs w:val="24"/>
        </w:rPr>
        <w:t xml:space="preserve">appropriate continuity of care services. </w:t>
      </w:r>
    </w:p>
    <w:p w:rsidRPr="00E059CA" w:rsidR="00527C1D" w:rsidP="00A54DA5" w:rsidRDefault="00BB7E3E" w14:paraId="4C04B69A" w14:textId="418CCA84">
      <w:pPr>
        <w:pStyle w:val="ListParagraph"/>
        <w:numPr>
          <w:ilvl w:val="0"/>
          <w:numId w:val="6"/>
        </w:numPr>
        <w:spacing w:after="0" w:line="240" w:lineRule="auto"/>
        <w:rPr>
          <w:rFonts w:ascii="Times New Roman" w:hAnsi="Times New Roman" w:cs="Times New Roman"/>
          <w:sz w:val="24"/>
          <w:szCs w:val="24"/>
        </w:rPr>
      </w:pPr>
      <w:r w:rsidRPr="00E059CA">
        <w:rPr>
          <w:rFonts w:ascii="Times New Roman" w:hAnsi="Times New Roman" w:cs="Times New Roman"/>
          <w:sz w:val="24"/>
          <w:szCs w:val="24"/>
        </w:rPr>
        <w:t xml:space="preserve">Identify key countries where establishment of </w:t>
      </w:r>
      <w:r w:rsidRPr="00E059CA" w:rsidR="00DA0158">
        <w:rPr>
          <w:rFonts w:ascii="Times New Roman" w:hAnsi="Times New Roman" w:cs="Times New Roman"/>
          <w:sz w:val="24"/>
          <w:szCs w:val="24"/>
        </w:rPr>
        <w:t>high-level</w:t>
      </w:r>
      <w:r w:rsidRPr="00E059CA">
        <w:rPr>
          <w:rFonts w:ascii="Times New Roman" w:hAnsi="Times New Roman" w:cs="Times New Roman"/>
          <w:sz w:val="24"/>
          <w:szCs w:val="24"/>
        </w:rPr>
        <w:t xml:space="preserve"> continuity services will have the largest impact on morbidity in the US</w:t>
      </w:r>
      <w:r w:rsidRPr="00E059CA" w:rsidR="00B8161D">
        <w:rPr>
          <w:rFonts w:ascii="Times New Roman" w:hAnsi="Times New Roman" w:cs="Times New Roman"/>
          <w:sz w:val="24"/>
          <w:szCs w:val="24"/>
        </w:rPr>
        <w:t>.</w:t>
      </w:r>
      <w:r w:rsidRPr="00E059CA">
        <w:rPr>
          <w:rFonts w:ascii="Times New Roman" w:hAnsi="Times New Roman" w:cs="Times New Roman"/>
          <w:sz w:val="24"/>
          <w:szCs w:val="24"/>
        </w:rPr>
        <w:t xml:space="preserve"> </w:t>
      </w:r>
    </w:p>
    <w:p w:rsidRPr="00E059CA" w:rsidR="007F482E" w:rsidP="00A54DA5" w:rsidRDefault="007F482E" w14:paraId="6BDDFF0B" w14:textId="77777777">
      <w:pPr>
        <w:pStyle w:val="ListParagraph"/>
        <w:numPr>
          <w:ilvl w:val="0"/>
          <w:numId w:val="6"/>
        </w:numPr>
        <w:spacing w:after="0" w:line="240" w:lineRule="auto"/>
        <w:rPr>
          <w:rFonts w:ascii="Times New Roman" w:hAnsi="Times New Roman" w:cs="Times New Roman"/>
          <w:sz w:val="24"/>
          <w:szCs w:val="24"/>
        </w:rPr>
      </w:pPr>
      <w:r w:rsidRPr="00E059CA">
        <w:rPr>
          <w:rFonts w:ascii="Times New Roman" w:hAnsi="Times New Roman" w:cs="Times New Roman"/>
          <w:sz w:val="24"/>
          <w:szCs w:val="24"/>
        </w:rPr>
        <w:t xml:space="preserve">Detect and resolve problems at </w:t>
      </w:r>
      <w:r w:rsidRPr="00E059CA" w:rsidR="00BB7E3E">
        <w:rPr>
          <w:rFonts w:ascii="Times New Roman" w:hAnsi="Times New Roman" w:cs="Times New Roman"/>
          <w:sz w:val="24"/>
          <w:szCs w:val="24"/>
        </w:rPr>
        <w:t>domestic</w:t>
      </w:r>
      <w:r w:rsidRPr="00E059CA">
        <w:rPr>
          <w:rFonts w:ascii="Times New Roman" w:hAnsi="Times New Roman" w:cs="Times New Roman"/>
          <w:sz w:val="24"/>
          <w:szCs w:val="24"/>
        </w:rPr>
        <w:t xml:space="preserve"> sites demonstrating </w:t>
      </w:r>
      <w:r w:rsidRPr="00E059CA" w:rsidR="00406BAF">
        <w:rPr>
          <w:rFonts w:ascii="Times New Roman" w:hAnsi="Times New Roman" w:cs="Times New Roman"/>
          <w:sz w:val="24"/>
          <w:szCs w:val="24"/>
        </w:rPr>
        <w:t xml:space="preserve">lower than expected TB </w:t>
      </w:r>
      <w:r w:rsidRPr="00E059CA" w:rsidR="00BB7E3E">
        <w:rPr>
          <w:rFonts w:ascii="Times New Roman" w:hAnsi="Times New Roman" w:cs="Times New Roman"/>
          <w:sz w:val="24"/>
          <w:szCs w:val="24"/>
        </w:rPr>
        <w:t xml:space="preserve">referral </w:t>
      </w:r>
      <w:r w:rsidRPr="00E059CA" w:rsidR="00406BAF">
        <w:rPr>
          <w:rFonts w:ascii="Times New Roman" w:hAnsi="Times New Roman" w:cs="Times New Roman"/>
          <w:sz w:val="24"/>
          <w:szCs w:val="24"/>
        </w:rPr>
        <w:t xml:space="preserve">rates.  </w:t>
      </w:r>
    </w:p>
    <w:p w:rsidRPr="00E059CA" w:rsidR="00C51B8E" w:rsidP="003810EF" w:rsidRDefault="00C51B8E" w14:paraId="3E8E45AD" w14:textId="77777777">
      <w:pPr>
        <w:spacing w:after="0" w:line="240" w:lineRule="auto"/>
        <w:rPr>
          <w:rFonts w:ascii="Times New Roman" w:hAnsi="Times New Roman" w:cs="Times New Roman"/>
          <w:sz w:val="24"/>
          <w:szCs w:val="24"/>
        </w:rPr>
      </w:pPr>
    </w:p>
    <w:p w:rsidRPr="00E059CA" w:rsidR="00C51B8E" w:rsidP="00C51B8E" w:rsidRDefault="00C51B8E" w14:paraId="7313E146" w14:textId="77777777">
      <w:pPr>
        <w:tabs>
          <w:tab w:val="left" w:pos="-1440"/>
        </w:tabs>
        <w:spacing w:line="240" w:lineRule="auto"/>
        <w:rPr>
          <w:rFonts w:ascii="Times New Roman" w:hAnsi="Times New Roman" w:cs="Times New Roman"/>
          <w:sz w:val="24"/>
          <w:szCs w:val="24"/>
        </w:rPr>
      </w:pPr>
      <w:r w:rsidRPr="00E059CA">
        <w:rPr>
          <w:rFonts w:ascii="Times New Roman" w:hAnsi="Times New Roman" w:cs="Times New Roman"/>
          <w:sz w:val="24"/>
          <w:szCs w:val="24"/>
        </w:rPr>
        <w:t xml:space="preserve">Data will primarily be used to assist in continuity of TB care for mobile populations and will, therefore, be provided to specific downstream health entities and providers responsible for continuing care and management of the patient.  Data will also be used internally to monitor program impact.  Aggregated data may be shared with health authorities involved in TB control and dissemination may include abstract submission to scientific conferences, including the Union World Conference on Lung Health and the National TB Controllers Association. </w:t>
      </w:r>
    </w:p>
    <w:p w:rsidRPr="00E059CA" w:rsidR="0088113F" w:rsidP="005B73CD" w:rsidRDefault="0088113F" w14:paraId="5CB63C0E" w14:textId="77777777">
      <w:pPr>
        <w:pStyle w:val="Heading2"/>
        <w:spacing w:after="0" w:line="240" w:lineRule="auto"/>
      </w:pPr>
      <w:bookmarkStart w:name="_Toc457379300" w:id="9"/>
      <w:r w:rsidRPr="00E059CA">
        <w:t>3. Use of Improved Information Technology and Burden Reduction</w:t>
      </w:r>
      <w:bookmarkEnd w:id="9"/>
    </w:p>
    <w:p w:rsidRPr="00E059CA" w:rsidR="005B73CD" w:rsidP="005242B1" w:rsidRDefault="005B73CD" w14:paraId="562AC837" w14:textId="77777777">
      <w:pPr>
        <w:spacing w:after="0" w:line="240" w:lineRule="auto"/>
        <w:rPr>
          <w:rFonts w:ascii="Times New Roman" w:hAnsi="Times New Roman" w:eastAsia="Times New Roman" w:cs="Times New Roman"/>
          <w:sz w:val="24"/>
          <w:szCs w:val="24"/>
        </w:rPr>
      </w:pPr>
    </w:p>
    <w:p w:rsidR="00DA0158" w:rsidP="005242B1" w:rsidRDefault="00280D9E" w14:paraId="6C22926F" w14:textId="2E682C93">
      <w:pPr>
        <w:spacing w:after="0" w:line="240" w:lineRule="auto"/>
        <w:rPr>
          <w:rFonts w:ascii="Times New Roman" w:hAnsi="Times New Roman" w:eastAsia="Times New Roman" w:cs="Times New Roman"/>
          <w:sz w:val="24"/>
          <w:szCs w:val="24"/>
        </w:rPr>
      </w:pPr>
      <w:r w:rsidRPr="00E059CA">
        <w:rPr>
          <w:rFonts w:ascii="Times New Roman" w:hAnsi="Times New Roman" w:eastAsia="Times New Roman" w:cs="Times New Roman"/>
          <w:sz w:val="24"/>
          <w:szCs w:val="24"/>
        </w:rPr>
        <w:t>T</w:t>
      </w:r>
      <w:r w:rsidRPr="00E059CA" w:rsidR="004818B1">
        <w:rPr>
          <w:rFonts w:ascii="Times New Roman" w:hAnsi="Times New Roman" w:eastAsia="Times New Roman" w:cs="Times New Roman"/>
          <w:sz w:val="24"/>
          <w:szCs w:val="24"/>
        </w:rPr>
        <w:t xml:space="preserve">he primary method of information collection </w:t>
      </w:r>
      <w:r w:rsidRPr="00E059CA" w:rsidR="00E64638">
        <w:rPr>
          <w:rFonts w:ascii="Times New Roman" w:hAnsi="Times New Roman" w:eastAsia="Times New Roman" w:cs="Times New Roman"/>
          <w:sz w:val="24"/>
          <w:szCs w:val="24"/>
        </w:rPr>
        <w:t>is</w:t>
      </w:r>
      <w:r w:rsidRPr="00E059CA" w:rsidR="004818B1">
        <w:rPr>
          <w:rFonts w:ascii="Times New Roman" w:hAnsi="Times New Roman" w:eastAsia="Times New Roman" w:cs="Times New Roman"/>
          <w:sz w:val="24"/>
          <w:szCs w:val="24"/>
        </w:rPr>
        <w:t xml:space="preserve"> through completion of one</w:t>
      </w:r>
      <w:r w:rsidR="00B03358">
        <w:rPr>
          <w:rFonts w:ascii="Times New Roman" w:hAnsi="Times New Roman" w:eastAsia="Times New Roman" w:cs="Times New Roman"/>
          <w:sz w:val="24"/>
          <w:szCs w:val="24"/>
        </w:rPr>
        <w:t>-</w:t>
      </w:r>
      <w:r w:rsidRPr="00E059CA" w:rsidR="004818B1">
        <w:rPr>
          <w:rFonts w:ascii="Times New Roman" w:hAnsi="Times New Roman" w:eastAsia="Times New Roman" w:cs="Times New Roman"/>
          <w:sz w:val="24"/>
          <w:szCs w:val="24"/>
        </w:rPr>
        <w:t xml:space="preserve">page </w:t>
      </w:r>
      <w:r w:rsidRPr="00E059CA" w:rsidR="00402242">
        <w:rPr>
          <w:rFonts w:ascii="Times New Roman" w:hAnsi="Times New Roman" w:eastAsia="Times New Roman" w:cs="Times New Roman"/>
          <w:sz w:val="24"/>
          <w:szCs w:val="24"/>
        </w:rPr>
        <w:t xml:space="preserve">referral </w:t>
      </w:r>
      <w:r w:rsidRPr="00E059CA" w:rsidR="004818B1">
        <w:rPr>
          <w:rFonts w:ascii="Times New Roman" w:hAnsi="Times New Roman" w:eastAsia="Times New Roman" w:cs="Times New Roman"/>
          <w:sz w:val="24"/>
          <w:szCs w:val="24"/>
        </w:rPr>
        <w:t xml:space="preserve">forms that can be </w:t>
      </w:r>
      <w:r w:rsidRPr="00E059CA" w:rsidR="00674C1C">
        <w:rPr>
          <w:rFonts w:ascii="Times New Roman" w:hAnsi="Times New Roman" w:eastAsia="Times New Roman" w:cs="Times New Roman"/>
          <w:sz w:val="24"/>
          <w:szCs w:val="24"/>
        </w:rPr>
        <w:t>secure-</w:t>
      </w:r>
      <w:r w:rsidRPr="00E059CA" w:rsidR="004818B1">
        <w:rPr>
          <w:rFonts w:ascii="Times New Roman" w:hAnsi="Times New Roman" w:eastAsia="Times New Roman" w:cs="Times New Roman"/>
          <w:sz w:val="24"/>
          <w:szCs w:val="24"/>
        </w:rPr>
        <w:t>faxed or emailed to CDC</w:t>
      </w:r>
      <w:r w:rsidRPr="004F580D" w:rsidR="004818B1">
        <w:rPr>
          <w:rFonts w:ascii="Times New Roman" w:hAnsi="Times New Roman" w:eastAsia="Times New Roman" w:cs="Times New Roman"/>
          <w:sz w:val="24"/>
          <w:szCs w:val="24"/>
        </w:rPr>
        <w:t xml:space="preserve">. </w:t>
      </w:r>
      <w:r w:rsidRPr="004F580D">
        <w:rPr>
          <w:rFonts w:ascii="Times New Roman" w:hAnsi="Times New Roman" w:eastAsia="Times New Roman" w:cs="Times New Roman"/>
          <w:sz w:val="24"/>
          <w:szCs w:val="24"/>
        </w:rPr>
        <w:t xml:space="preserve"> </w:t>
      </w:r>
      <w:r w:rsidRPr="00E951CC">
        <w:rPr>
          <w:rFonts w:ascii="Times New Roman" w:hAnsi="Times New Roman" w:eastAsia="Times New Roman" w:cs="Times New Roman"/>
          <w:sz w:val="24"/>
          <w:szCs w:val="24"/>
        </w:rPr>
        <w:t xml:space="preserve">The </w:t>
      </w:r>
      <w:r w:rsidRPr="00E951CC" w:rsidR="004962A0">
        <w:rPr>
          <w:rFonts w:ascii="Times New Roman" w:hAnsi="Times New Roman" w:eastAsia="Times New Roman" w:cs="Times New Roman"/>
          <w:sz w:val="24"/>
          <w:szCs w:val="24"/>
        </w:rPr>
        <w:t xml:space="preserve">CDC </w:t>
      </w:r>
      <w:proofErr w:type="spellStart"/>
      <w:r w:rsidRPr="00E951CC">
        <w:rPr>
          <w:rFonts w:ascii="Times New Roman" w:hAnsi="Times New Roman" w:eastAsia="Times New Roman" w:cs="Times New Roman"/>
          <w:sz w:val="24"/>
          <w:szCs w:val="24"/>
        </w:rPr>
        <w:t>CureTB</w:t>
      </w:r>
      <w:proofErr w:type="spellEnd"/>
      <w:r w:rsidRPr="00E951CC">
        <w:rPr>
          <w:rFonts w:ascii="Times New Roman" w:hAnsi="Times New Roman" w:eastAsia="Times New Roman" w:cs="Times New Roman"/>
          <w:sz w:val="24"/>
          <w:szCs w:val="24"/>
        </w:rPr>
        <w:t xml:space="preserve"> form </w:t>
      </w:r>
      <w:r w:rsidRPr="00E951CC" w:rsidR="00E64638">
        <w:rPr>
          <w:rFonts w:ascii="Times New Roman" w:hAnsi="Times New Roman" w:eastAsia="Times New Roman" w:cs="Times New Roman"/>
          <w:sz w:val="24"/>
          <w:szCs w:val="24"/>
        </w:rPr>
        <w:t>is</w:t>
      </w:r>
      <w:r w:rsidRPr="00E951CC">
        <w:rPr>
          <w:rFonts w:ascii="Times New Roman" w:hAnsi="Times New Roman" w:eastAsia="Times New Roman" w:cs="Times New Roman"/>
          <w:sz w:val="24"/>
          <w:szCs w:val="24"/>
        </w:rPr>
        <w:t xml:space="preserve"> adapted from one </w:t>
      </w:r>
      <w:r w:rsidRPr="00E951CC" w:rsidR="00E64638">
        <w:rPr>
          <w:rFonts w:ascii="Times New Roman" w:hAnsi="Times New Roman" w:eastAsia="Times New Roman" w:cs="Times New Roman"/>
          <w:sz w:val="24"/>
          <w:szCs w:val="24"/>
        </w:rPr>
        <w:t xml:space="preserve">developed and </w:t>
      </w:r>
      <w:r w:rsidRPr="00E951CC">
        <w:rPr>
          <w:rFonts w:ascii="Times New Roman" w:hAnsi="Times New Roman" w:eastAsia="Times New Roman" w:cs="Times New Roman"/>
          <w:sz w:val="24"/>
          <w:szCs w:val="24"/>
        </w:rPr>
        <w:t>already in widespread use by health departments, so</w:t>
      </w:r>
      <w:r w:rsidRPr="00E951CC" w:rsidR="00E64638">
        <w:rPr>
          <w:rFonts w:ascii="Times New Roman" w:hAnsi="Times New Roman" w:eastAsia="Times New Roman" w:cs="Times New Roman"/>
          <w:sz w:val="24"/>
          <w:szCs w:val="24"/>
        </w:rPr>
        <w:t xml:space="preserve"> the </w:t>
      </w:r>
      <w:r w:rsidRPr="00E951CC" w:rsidR="004962A0">
        <w:rPr>
          <w:rFonts w:ascii="Times New Roman" w:hAnsi="Times New Roman" w:eastAsia="Times New Roman" w:cs="Times New Roman"/>
          <w:sz w:val="24"/>
          <w:szCs w:val="24"/>
        </w:rPr>
        <w:t xml:space="preserve">CDC </w:t>
      </w:r>
      <w:proofErr w:type="spellStart"/>
      <w:r w:rsidRPr="00E951CC" w:rsidR="00E64638">
        <w:rPr>
          <w:rFonts w:ascii="Times New Roman" w:hAnsi="Times New Roman" w:eastAsia="Times New Roman" w:cs="Times New Roman"/>
          <w:sz w:val="24"/>
          <w:szCs w:val="24"/>
        </w:rPr>
        <w:t>CureTB</w:t>
      </w:r>
      <w:proofErr w:type="spellEnd"/>
      <w:r w:rsidRPr="00E951CC" w:rsidR="00E64638">
        <w:rPr>
          <w:rFonts w:ascii="Times New Roman" w:hAnsi="Times New Roman" w:eastAsia="Times New Roman" w:cs="Times New Roman"/>
          <w:sz w:val="24"/>
          <w:szCs w:val="24"/>
        </w:rPr>
        <w:t xml:space="preserve"> form</w:t>
      </w:r>
      <w:r w:rsidRPr="00E951CC">
        <w:rPr>
          <w:rFonts w:ascii="Times New Roman" w:hAnsi="Times New Roman" w:eastAsia="Times New Roman" w:cs="Times New Roman"/>
          <w:sz w:val="24"/>
          <w:szCs w:val="24"/>
        </w:rPr>
        <w:t xml:space="preserve"> </w:t>
      </w:r>
      <w:r w:rsidRPr="00E951CC" w:rsidR="00E64638">
        <w:rPr>
          <w:rFonts w:ascii="Times New Roman" w:hAnsi="Times New Roman" w:eastAsia="Times New Roman" w:cs="Times New Roman"/>
          <w:sz w:val="24"/>
          <w:szCs w:val="24"/>
        </w:rPr>
        <w:t xml:space="preserve">merely </w:t>
      </w:r>
      <w:r w:rsidRPr="00E951CC">
        <w:rPr>
          <w:rFonts w:ascii="Times New Roman" w:hAnsi="Times New Roman" w:eastAsia="Times New Roman" w:cs="Times New Roman"/>
          <w:sz w:val="24"/>
          <w:szCs w:val="24"/>
        </w:rPr>
        <w:t xml:space="preserve">leverages standard practice by health departments.  </w:t>
      </w:r>
      <w:bookmarkStart w:name="_Hlk20139552" w:id="10"/>
      <w:r w:rsidRPr="00E951CC">
        <w:rPr>
          <w:rFonts w:ascii="Times New Roman" w:hAnsi="Times New Roman" w:eastAsia="Times New Roman" w:cs="Times New Roman"/>
          <w:sz w:val="24"/>
          <w:szCs w:val="24"/>
        </w:rPr>
        <w:t>Federal correctional agencies developed their own form, which serves several purposes for their agency.</w:t>
      </w:r>
      <w:r w:rsidRPr="004F580D">
        <w:rPr>
          <w:rFonts w:ascii="Times New Roman" w:hAnsi="Times New Roman" w:eastAsia="Times New Roman" w:cs="Times New Roman"/>
          <w:sz w:val="24"/>
          <w:szCs w:val="24"/>
        </w:rPr>
        <w:t xml:space="preserve"> </w:t>
      </w:r>
      <w:r w:rsidR="005C6F67">
        <w:rPr>
          <w:rFonts w:ascii="Times New Roman" w:hAnsi="Times New Roman" w:eastAsia="Times New Roman" w:cs="Times New Roman"/>
          <w:sz w:val="24"/>
          <w:szCs w:val="24"/>
        </w:rPr>
        <w:t xml:space="preserve"> </w:t>
      </w:r>
      <w:r w:rsidR="004962A0">
        <w:rPr>
          <w:rFonts w:ascii="Times New Roman" w:hAnsi="Times New Roman" w:eastAsia="Times New Roman" w:cs="Times New Roman"/>
          <w:sz w:val="24"/>
          <w:szCs w:val="24"/>
        </w:rPr>
        <w:t xml:space="preserve">CDC </w:t>
      </w:r>
      <w:proofErr w:type="spellStart"/>
      <w:r w:rsidRPr="004F580D">
        <w:rPr>
          <w:rFonts w:ascii="Times New Roman" w:hAnsi="Times New Roman" w:eastAsia="Times New Roman" w:cs="Times New Roman"/>
          <w:sz w:val="24"/>
          <w:szCs w:val="24"/>
        </w:rPr>
        <w:t>CureTB</w:t>
      </w:r>
      <w:proofErr w:type="spellEnd"/>
      <w:r w:rsidRPr="004F580D">
        <w:rPr>
          <w:rFonts w:ascii="Times New Roman" w:hAnsi="Times New Roman" w:eastAsia="Times New Roman" w:cs="Times New Roman"/>
          <w:sz w:val="24"/>
          <w:szCs w:val="24"/>
        </w:rPr>
        <w:t xml:space="preserve"> accepts their form </w:t>
      </w:r>
      <w:r w:rsidRPr="004F580D" w:rsidR="0072067A">
        <w:rPr>
          <w:rFonts w:ascii="Times New Roman" w:hAnsi="Times New Roman" w:eastAsia="Times New Roman" w:cs="Times New Roman"/>
          <w:sz w:val="24"/>
          <w:szCs w:val="24"/>
        </w:rPr>
        <w:t xml:space="preserve">and abstracts that data into the </w:t>
      </w:r>
      <w:r w:rsidR="00FA6F9D">
        <w:rPr>
          <w:rFonts w:ascii="Times New Roman" w:hAnsi="Times New Roman" w:eastAsia="Times New Roman" w:cs="Times New Roman"/>
          <w:sz w:val="24"/>
          <w:szCs w:val="24"/>
        </w:rPr>
        <w:t xml:space="preserve">CDC </w:t>
      </w:r>
      <w:proofErr w:type="spellStart"/>
      <w:r w:rsidRPr="004F580D" w:rsidR="0072067A">
        <w:rPr>
          <w:rFonts w:ascii="Times New Roman" w:hAnsi="Times New Roman" w:eastAsia="Times New Roman" w:cs="Times New Roman"/>
          <w:sz w:val="24"/>
          <w:szCs w:val="24"/>
        </w:rPr>
        <w:t>CureTB</w:t>
      </w:r>
      <w:proofErr w:type="spellEnd"/>
      <w:r w:rsidRPr="004F580D" w:rsidR="0072067A">
        <w:rPr>
          <w:rFonts w:ascii="Times New Roman" w:hAnsi="Times New Roman" w:eastAsia="Times New Roman" w:cs="Times New Roman"/>
          <w:sz w:val="24"/>
          <w:szCs w:val="24"/>
        </w:rPr>
        <w:t xml:space="preserve"> form </w:t>
      </w:r>
      <w:r w:rsidRPr="00E059CA">
        <w:rPr>
          <w:rFonts w:ascii="Times New Roman" w:hAnsi="Times New Roman" w:eastAsia="Times New Roman" w:cs="Times New Roman"/>
          <w:sz w:val="24"/>
          <w:szCs w:val="24"/>
        </w:rPr>
        <w:t xml:space="preserve">so, no </w:t>
      </w:r>
      <w:r w:rsidRPr="00E059CA" w:rsidR="00E64638">
        <w:rPr>
          <w:rFonts w:ascii="Times New Roman" w:hAnsi="Times New Roman" w:eastAsia="Times New Roman" w:cs="Times New Roman"/>
          <w:sz w:val="24"/>
          <w:szCs w:val="24"/>
        </w:rPr>
        <w:t xml:space="preserve">additional </w:t>
      </w:r>
      <w:r w:rsidRPr="00E059CA">
        <w:rPr>
          <w:rFonts w:ascii="Times New Roman" w:hAnsi="Times New Roman" w:eastAsia="Times New Roman" w:cs="Times New Roman"/>
          <w:sz w:val="24"/>
          <w:szCs w:val="24"/>
        </w:rPr>
        <w:t>burden is placed on those facilities.</w:t>
      </w:r>
      <w:r w:rsidRPr="00E059CA" w:rsidR="004818B1">
        <w:rPr>
          <w:rFonts w:ascii="Times New Roman" w:hAnsi="Times New Roman" w:eastAsia="Times New Roman" w:cs="Times New Roman"/>
          <w:sz w:val="24"/>
          <w:szCs w:val="24"/>
        </w:rPr>
        <w:t xml:space="preserve"> </w:t>
      </w:r>
      <w:bookmarkEnd w:id="10"/>
    </w:p>
    <w:p w:rsidR="00DA0158" w:rsidP="00DA0158" w:rsidRDefault="00DA0158" w14:paraId="5E442699" w14:textId="77777777">
      <w:pPr>
        <w:spacing w:after="0" w:line="240" w:lineRule="auto"/>
        <w:rPr>
          <w:rFonts w:ascii="Times New Roman" w:hAnsi="Times New Roman" w:eastAsia="Times New Roman" w:cs="Times New Roman"/>
          <w:sz w:val="24"/>
          <w:szCs w:val="24"/>
        </w:rPr>
      </w:pPr>
    </w:p>
    <w:p w:rsidRPr="00E059CA" w:rsidR="00DA0158" w:rsidP="00DA0158" w:rsidRDefault="00DA0158" w14:paraId="7E320AF6" w14:textId="4487B165">
      <w:pPr>
        <w:spacing w:after="0" w:line="240" w:lineRule="auto"/>
        <w:rPr>
          <w:rFonts w:ascii="Times New Roman" w:hAnsi="Times New Roman" w:eastAsia="Times New Roman" w:cs="Times New Roman"/>
          <w:sz w:val="24"/>
          <w:szCs w:val="24"/>
        </w:rPr>
      </w:pPr>
      <w:r w:rsidRPr="00E059CA">
        <w:rPr>
          <w:rFonts w:ascii="Times New Roman" w:hAnsi="Times New Roman" w:eastAsia="Times New Roman" w:cs="Times New Roman"/>
          <w:sz w:val="24"/>
          <w:szCs w:val="24"/>
        </w:rPr>
        <w:t xml:space="preserve">The data elements collected during the referral process are the minimum required to elicit the necessary TB-related information.  If a respondent leaves any critical elements </w:t>
      </w:r>
      <w:r w:rsidRPr="004F580D">
        <w:rPr>
          <w:rFonts w:ascii="Times New Roman" w:hAnsi="Times New Roman" w:eastAsia="Times New Roman" w:cs="Times New Roman"/>
          <w:sz w:val="24"/>
          <w:szCs w:val="24"/>
        </w:rPr>
        <w:t xml:space="preserve">described in section A2 </w:t>
      </w:r>
      <w:r w:rsidRPr="00E059CA">
        <w:rPr>
          <w:rFonts w:ascii="Times New Roman" w:hAnsi="Times New Roman" w:eastAsia="Times New Roman" w:cs="Times New Roman"/>
          <w:sz w:val="24"/>
          <w:szCs w:val="24"/>
        </w:rPr>
        <w:t xml:space="preserve">incomplete on the form, which can happen when lab results are pending, </w:t>
      </w:r>
      <w:r>
        <w:rPr>
          <w:rFonts w:ascii="Times New Roman" w:hAnsi="Times New Roman" w:eastAsia="Times New Roman" w:cs="Times New Roman"/>
          <w:sz w:val="24"/>
          <w:szCs w:val="24"/>
        </w:rPr>
        <w:t xml:space="preserve">CDC </w:t>
      </w:r>
      <w:proofErr w:type="spellStart"/>
      <w:r w:rsidRPr="00E059CA">
        <w:rPr>
          <w:rFonts w:ascii="Times New Roman" w:hAnsi="Times New Roman" w:eastAsia="Times New Roman" w:cs="Times New Roman"/>
          <w:sz w:val="24"/>
          <w:szCs w:val="24"/>
        </w:rPr>
        <w:t>CureTB</w:t>
      </w:r>
      <w:proofErr w:type="spellEnd"/>
      <w:r w:rsidRPr="00E059CA">
        <w:rPr>
          <w:rFonts w:ascii="Times New Roman" w:hAnsi="Times New Roman" w:eastAsia="Times New Roman" w:cs="Times New Roman"/>
          <w:sz w:val="24"/>
          <w:szCs w:val="24"/>
        </w:rPr>
        <w:t xml:space="preserve"> will contact the referring entity directly to gather any remaining critical information.  </w:t>
      </w:r>
    </w:p>
    <w:p w:rsidR="00DA0158" w:rsidP="00DA0158" w:rsidRDefault="00DA0158" w14:paraId="0877220C" w14:textId="77777777">
      <w:pPr>
        <w:spacing w:after="0" w:line="240" w:lineRule="auto"/>
        <w:rPr>
          <w:rFonts w:ascii="Times New Roman" w:hAnsi="Times New Roman" w:eastAsia="Times New Roman" w:cs="Times New Roman"/>
          <w:sz w:val="24"/>
          <w:szCs w:val="24"/>
        </w:rPr>
      </w:pPr>
    </w:p>
    <w:p w:rsidRPr="00E059CA" w:rsidR="00DA0158" w:rsidP="00DA0158" w:rsidRDefault="00DA0158" w14:paraId="0DF33376" w14:textId="7FF78361">
      <w:pPr>
        <w:spacing w:after="0" w:line="240" w:lineRule="auto"/>
        <w:rPr>
          <w:rFonts w:ascii="Times New Roman" w:hAnsi="Times New Roman" w:eastAsia="Times New Roman" w:cs="Times New Roman"/>
          <w:sz w:val="24"/>
          <w:szCs w:val="24"/>
        </w:rPr>
      </w:pPr>
      <w:proofErr w:type="gramStart"/>
      <w:r w:rsidRPr="00E059CA">
        <w:rPr>
          <w:rFonts w:ascii="Times New Roman" w:hAnsi="Times New Roman" w:eastAsia="Times New Roman" w:cs="Times New Roman"/>
          <w:sz w:val="24"/>
          <w:szCs w:val="24"/>
        </w:rPr>
        <w:t>Particular emphasis</w:t>
      </w:r>
      <w:proofErr w:type="gramEnd"/>
      <w:r w:rsidRPr="00E059CA">
        <w:rPr>
          <w:rFonts w:ascii="Times New Roman" w:hAnsi="Times New Roman" w:eastAsia="Times New Roman" w:cs="Times New Roman"/>
          <w:sz w:val="24"/>
          <w:szCs w:val="24"/>
        </w:rPr>
        <w:t xml:space="preserve"> will be placed on compliance with the Government Paperwork Elimination Act (GPEA), Public Law 105-277, title XVII. </w:t>
      </w:r>
      <w:r w:rsidR="005C6F67">
        <w:rPr>
          <w:rFonts w:ascii="Times New Roman" w:hAnsi="Times New Roman" w:eastAsia="Times New Roman" w:cs="Times New Roman"/>
          <w:sz w:val="24"/>
          <w:szCs w:val="24"/>
        </w:rPr>
        <w:t xml:space="preserve"> </w:t>
      </w:r>
      <w:r w:rsidRPr="00E059CA">
        <w:rPr>
          <w:rFonts w:ascii="Times New Roman" w:hAnsi="Times New Roman" w:eastAsia="Times New Roman" w:cs="Times New Roman"/>
          <w:sz w:val="24"/>
          <w:szCs w:val="24"/>
        </w:rPr>
        <w:t xml:space="preserve">The data elements will be the same as the hard copy forms, but could be, for example, presented in a fillable PDF format.   </w:t>
      </w:r>
    </w:p>
    <w:p w:rsidR="00DA0158" w:rsidP="005242B1" w:rsidRDefault="00DA0158" w14:paraId="35CB699F" w14:textId="77777777">
      <w:pPr>
        <w:spacing w:after="0" w:line="240" w:lineRule="auto"/>
        <w:rPr>
          <w:rFonts w:ascii="Times New Roman" w:hAnsi="Times New Roman" w:eastAsia="Times New Roman" w:cs="Times New Roman"/>
          <w:sz w:val="24"/>
          <w:szCs w:val="24"/>
        </w:rPr>
      </w:pPr>
    </w:p>
    <w:p w:rsidRPr="004F580D" w:rsidR="0072067A" w:rsidP="005242B1" w:rsidRDefault="00DA0158" w14:paraId="424FCBBC" w14:textId="7968047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CDC is considering further digitizing the submission of referrals to CDC, which would include the construction of a secure method of information collection and storage.  Options for deployment of this system are still in development. </w:t>
      </w:r>
      <w:r w:rsidR="005C6F67">
        <w:rPr>
          <w:rFonts w:ascii="Times New Roman" w:hAnsi="Times New Roman" w:eastAsia="Times New Roman" w:cs="Times New Roman"/>
          <w:sz w:val="24"/>
          <w:szCs w:val="24"/>
        </w:rPr>
        <w:t xml:space="preserve"> </w:t>
      </w:r>
      <w:r w:rsidRPr="004F580D" w:rsidR="0072067A">
        <w:rPr>
          <w:rFonts w:ascii="Times New Roman" w:hAnsi="Times New Roman" w:eastAsia="Times New Roman" w:cs="Times New Roman"/>
          <w:sz w:val="24"/>
          <w:szCs w:val="24"/>
        </w:rPr>
        <w:t xml:space="preserve">Any change to submission of the </w:t>
      </w:r>
      <w:r w:rsidR="004962A0">
        <w:rPr>
          <w:rFonts w:ascii="Times New Roman" w:hAnsi="Times New Roman" w:eastAsia="Times New Roman" w:cs="Times New Roman"/>
          <w:sz w:val="24"/>
          <w:szCs w:val="24"/>
        </w:rPr>
        <w:t xml:space="preserve">CDC </w:t>
      </w:r>
      <w:proofErr w:type="spellStart"/>
      <w:r w:rsidRPr="004F580D" w:rsidR="0072067A">
        <w:rPr>
          <w:rFonts w:ascii="Times New Roman" w:hAnsi="Times New Roman" w:eastAsia="Times New Roman" w:cs="Times New Roman"/>
          <w:sz w:val="24"/>
          <w:szCs w:val="24"/>
        </w:rPr>
        <w:lastRenderedPageBreak/>
        <w:t>CureTB</w:t>
      </w:r>
      <w:proofErr w:type="spellEnd"/>
      <w:r w:rsidRPr="004F580D" w:rsidR="0072067A">
        <w:rPr>
          <w:rFonts w:ascii="Times New Roman" w:hAnsi="Times New Roman" w:eastAsia="Times New Roman" w:cs="Times New Roman"/>
          <w:sz w:val="24"/>
          <w:szCs w:val="24"/>
        </w:rPr>
        <w:t xml:space="preserve"> forms to CDC will be sent to OMB for review and approval.</w:t>
      </w:r>
      <w:r w:rsidR="005C6F67">
        <w:rPr>
          <w:rFonts w:ascii="Times New Roman" w:hAnsi="Times New Roman" w:eastAsia="Times New Roman" w:cs="Times New Roman"/>
          <w:sz w:val="24"/>
          <w:szCs w:val="24"/>
        </w:rPr>
        <w:t xml:space="preserve"> </w:t>
      </w:r>
      <w:r w:rsidRPr="004F580D" w:rsidR="00AC52BC">
        <w:rPr>
          <w:rFonts w:ascii="Times New Roman" w:hAnsi="Times New Roman" w:eastAsia="Times New Roman" w:cs="Times New Roman"/>
          <w:sz w:val="24"/>
          <w:szCs w:val="24"/>
        </w:rPr>
        <w:t xml:space="preserve"> If the changes are substantive, a revision will be submitted for public comment and OMB review and approval.</w:t>
      </w:r>
    </w:p>
    <w:p w:rsidRPr="00E059CA" w:rsidR="0088113F" w:rsidP="005242B1" w:rsidRDefault="0088113F" w14:paraId="7C51307C" w14:textId="77777777">
      <w:pPr>
        <w:pStyle w:val="Heading2"/>
        <w:tabs>
          <w:tab w:val="left" w:pos="0"/>
        </w:tabs>
        <w:spacing w:line="240" w:lineRule="auto"/>
      </w:pPr>
      <w:bookmarkStart w:name="_Toc457379301" w:id="11"/>
      <w:r w:rsidRPr="00E059CA">
        <w:t>4. Efforts to Identify Duplication and Use of Similar Information</w:t>
      </w:r>
      <w:bookmarkEnd w:id="11"/>
      <w:r w:rsidRPr="00E059CA">
        <w:t xml:space="preserve"> </w:t>
      </w:r>
    </w:p>
    <w:p w:rsidRPr="00E059CA" w:rsidR="00B01E1D" w:rsidP="00AA2025" w:rsidRDefault="004B794D" w14:paraId="68452C86" w14:textId="2F5C7F84">
      <w:pPr>
        <w:autoSpaceDE w:val="0"/>
        <w:autoSpaceDN w:val="0"/>
        <w:adjustRightInd w:val="0"/>
        <w:spacing w:after="0" w:line="240" w:lineRule="auto"/>
        <w:rPr>
          <w:rFonts w:ascii="Times New Roman" w:hAnsi="Times New Roman" w:eastAsia="Times New Roman" w:cs="Times New Roman"/>
          <w:sz w:val="24"/>
          <w:szCs w:val="24"/>
        </w:rPr>
      </w:pPr>
      <w:r w:rsidRPr="00E059CA">
        <w:rPr>
          <w:rFonts w:ascii="Times New Roman" w:hAnsi="Times New Roman" w:eastAsia="Times New Roman" w:cs="Times New Roman"/>
          <w:sz w:val="24"/>
          <w:szCs w:val="24"/>
        </w:rPr>
        <w:t xml:space="preserve">Because DGMQ’s public heath mission is </w:t>
      </w:r>
      <w:r w:rsidRPr="00E059CA" w:rsidR="003B7A39">
        <w:rPr>
          <w:rFonts w:ascii="Times New Roman" w:hAnsi="Times New Roman" w:eastAsia="Times New Roman" w:cs="Times New Roman"/>
          <w:sz w:val="24"/>
          <w:szCs w:val="24"/>
        </w:rPr>
        <w:t xml:space="preserve">dedicated to migrating populations and </w:t>
      </w:r>
      <w:r w:rsidRPr="00E059CA">
        <w:rPr>
          <w:rFonts w:ascii="Times New Roman" w:hAnsi="Times New Roman" w:eastAsia="Times New Roman" w:cs="Times New Roman"/>
          <w:sz w:val="24"/>
          <w:szCs w:val="24"/>
        </w:rPr>
        <w:t>regulatory responsibilities</w:t>
      </w:r>
      <w:r w:rsidRPr="00E059CA" w:rsidR="00204AA2">
        <w:rPr>
          <w:rFonts w:ascii="Times New Roman" w:hAnsi="Times New Roman" w:eastAsia="Times New Roman" w:cs="Times New Roman"/>
          <w:sz w:val="24"/>
          <w:szCs w:val="24"/>
        </w:rPr>
        <w:t xml:space="preserve"> </w:t>
      </w:r>
      <w:r w:rsidRPr="00E059CA" w:rsidR="003B7A39">
        <w:rPr>
          <w:rFonts w:ascii="Times New Roman" w:hAnsi="Times New Roman" w:eastAsia="Times New Roman" w:cs="Times New Roman"/>
          <w:sz w:val="24"/>
          <w:szCs w:val="24"/>
        </w:rPr>
        <w:t>limiting the spread of infectious disease</w:t>
      </w:r>
      <w:r w:rsidR="001B34D0">
        <w:rPr>
          <w:rFonts w:ascii="Times New Roman" w:hAnsi="Times New Roman" w:eastAsia="Times New Roman" w:cs="Times New Roman"/>
          <w:sz w:val="24"/>
          <w:szCs w:val="24"/>
        </w:rPr>
        <w:t>s</w:t>
      </w:r>
      <w:r w:rsidRPr="00E059CA" w:rsidR="003B7A39">
        <w:rPr>
          <w:rFonts w:ascii="Times New Roman" w:hAnsi="Times New Roman" w:eastAsia="Times New Roman" w:cs="Times New Roman"/>
          <w:sz w:val="24"/>
          <w:szCs w:val="24"/>
        </w:rPr>
        <w:t xml:space="preserve"> into and within the United States</w:t>
      </w:r>
      <w:r w:rsidRPr="00E059CA">
        <w:rPr>
          <w:rFonts w:ascii="Times New Roman" w:hAnsi="Times New Roman" w:eastAsia="Times New Roman" w:cs="Times New Roman"/>
          <w:sz w:val="24"/>
          <w:szCs w:val="24"/>
        </w:rPr>
        <w:t>, it is not expected that</w:t>
      </w:r>
      <w:r w:rsidRPr="00E059CA" w:rsidR="00B3609E">
        <w:rPr>
          <w:rFonts w:ascii="Times New Roman" w:hAnsi="Times New Roman" w:eastAsia="Times New Roman" w:cs="Times New Roman"/>
          <w:sz w:val="24"/>
          <w:szCs w:val="24"/>
        </w:rPr>
        <w:t xml:space="preserve"> </w:t>
      </w:r>
      <w:proofErr w:type="gramStart"/>
      <w:r w:rsidRPr="00E059CA" w:rsidR="00B3609E">
        <w:rPr>
          <w:rFonts w:ascii="Times New Roman" w:hAnsi="Times New Roman" w:eastAsia="Times New Roman" w:cs="Times New Roman"/>
          <w:sz w:val="24"/>
          <w:szCs w:val="24"/>
        </w:rPr>
        <w:t>the majority of</w:t>
      </w:r>
      <w:proofErr w:type="gramEnd"/>
      <w:r w:rsidRPr="00E059CA">
        <w:rPr>
          <w:rFonts w:ascii="Times New Roman" w:hAnsi="Times New Roman" w:eastAsia="Times New Roman" w:cs="Times New Roman"/>
          <w:sz w:val="24"/>
          <w:szCs w:val="24"/>
        </w:rPr>
        <w:t xml:space="preserve"> the information collected under this proposed clearance is </w:t>
      </w:r>
      <w:r w:rsidRPr="00E059CA" w:rsidR="00B3609E">
        <w:rPr>
          <w:rFonts w:ascii="Times New Roman" w:hAnsi="Times New Roman" w:eastAsia="Times New Roman" w:cs="Times New Roman"/>
          <w:sz w:val="24"/>
          <w:szCs w:val="24"/>
        </w:rPr>
        <w:t xml:space="preserve">available through other systems maintained by the </w:t>
      </w:r>
      <w:r w:rsidRPr="00E059CA" w:rsidR="003B79D9">
        <w:rPr>
          <w:rFonts w:ascii="Times New Roman" w:hAnsi="Times New Roman" w:eastAsia="Times New Roman" w:cs="Times New Roman"/>
          <w:sz w:val="24"/>
          <w:szCs w:val="24"/>
        </w:rPr>
        <w:t>federal government.</w:t>
      </w:r>
      <w:r w:rsidRPr="00E059CA" w:rsidR="001B1930">
        <w:rPr>
          <w:rFonts w:ascii="Times New Roman" w:hAnsi="Times New Roman" w:eastAsia="Times New Roman" w:cs="Times New Roman"/>
          <w:sz w:val="24"/>
          <w:szCs w:val="24"/>
        </w:rPr>
        <w:t xml:space="preserve">  </w:t>
      </w:r>
      <w:r w:rsidRPr="00E059CA" w:rsidR="00B3609E">
        <w:rPr>
          <w:rFonts w:ascii="Times New Roman" w:hAnsi="Times New Roman" w:eastAsia="Times New Roman" w:cs="Times New Roman"/>
          <w:sz w:val="24"/>
          <w:szCs w:val="24"/>
        </w:rPr>
        <w:t xml:space="preserve">The </w:t>
      </w:r>
      <w:proofErr w:type="spellStart"/>
      <w:r w:rsidRPr="00E059CA" w:rsidR="00B3609E">
        <w:rPr>
          <w:rFonts w:ascii="Times New Roman" w:hAnsi="Times New Roman" w:eastAsia="Times New Roman" w:cs="Times New Roman"/>
          <w:sz w:val="24"/>
          <w:szCs w:val="24"/>
        </w:rPr>
        <w:t>CureTB</w:t>
      </w:r>
      <w:proofErr w:type="spellEnd"/>
      <w:r w:rsidRPr="00E059CA" w:rsidR="00B3609E">
        <w:rPr>
          <w:rFonts w:ascii="Times New Roman" w:hAnsi="Times New Roman" w:eastAsia="Times New Roman" w:cs="Times New Roman"/>
          <w:sz w:val="24"/>
          <w:szCs w:val="24"/>
        </w:rPr>
        <w:t xml:space="preserve"> information provides up-to-date clinical and exposure event</w:t>
      </w:r>
      <w:r w:rsidRPr="00E059CA" w:rsidR="00B8161D">
        <w:rPr>
          <w:rFonts w:ascii="Times New Roman" w:hAnsi="Times New Roman" w:eastAsia="Times New Roman" w:cs="Times New Roman"/>
          <w:sz w:val="24"/>
          <w:szCs w:val="24"/>
        </w:rPr>
        <w:t xml:space="preserve"> information</w:t>
      </w:r>
      <w:r w:rsidRPr="00E059CA" w:rsidR="004331EF">
        <w:rPr>
          <w:rFonts w:ascii="Times New Roman" w:hAnsi="Times New Roman" w:eastAsia="Times New Roman" w:cs="Times New Roman"/>
          <w:sz w:val="24"/>
          <w:szCs w:val="24"/>
        </w:rPr>
        <w:t xml:space="preserve">, </w:t>
      </w:r>
      <w:r w:rsidRPr="00E059CA" w:rsidR="001B1930">
        <w:rPr>
          <w:rFonts w:ascii="Times New Roman" w:hAnsi="Times New Roman" w:eastAsia="Times New Roman" w:cs="Times New Roman"/>
          <w:sz w:val="24"/>
          <w:szCs w:val="24"/>
        </w:rPr>
        <w:t>which is not available through any existing CDC system.</w:t>
      </w:r>
      <w:r w:rsidRPr="00E059CA" w:rsidR="00C277D8">
        <w:rPr>
          <w:rFonts w:ascii="Times New Roman" w:hAnsi="Times New Roman" w:eastAsia="Times New Roman" w:cs="Times New Roman"/>
          <w:sz w:val="24"/>
          <w:szCs w:val="24"/>
        </w:rPr>
        <w:t xml:space="preserve">  </w:t>
      </w:r>
      <w:proofErr w:type="gramStart"/>
      <w:r w:rsidRPr="00E059CA" w:rsidR="00B01E1D">
        <w:rPr>
          <w:rFonts w:ascii="Times New Roman" w:hAnsi="Times New Roman" w:eastAsia="Times New Roman" w:cs="Times New Roman"/>
          <w:sz w:val="24"/>
          <w:szCs w:val="24"/>
        </w:rPr>
        <w:t>All of</w:t>
      </w:r>
      <w:proofErr w:type="gramEnd"/>
      <w:r w:rsidRPr="00E059CA" w:rsidR="00B01E1D">
        <w:rPr>
          <w:rFonts w:ascii="Times New Roman" w:hAnsi="Times New Roman" w:eastAsia="Times New Roman" w:cs="Times New Roman"/>
          <w:sz w:val="24"/>
          <w:szCs w:val="24"/>
        </w:rPr>
        <w:t xml:space="preserve"> the functions of the </w:t>
      </w:r>
      <w:proofErr w:type="spellStart"/>
      <w:r w:rsidRPr="00E059CA" w:rsidR="00B01E1D">
        <w:rPr>
          <w:rFonts w:ascii="Times New Roman" w:hAnsi="Times New Roman" w:eastAsia="Times New Roman" w:cs="Times New Roman"/>
          <w:sz w:val="24"/>
          <w:szCs w:val="24"/>
        </w:rPr>
        <w:t>CureTB</w:t>
      </w:r>
      <w:proofErr w:type="spellEnd"/>
      <w:r w:rsidRPr="00E059CA" w:rsidR="00B01E1D">
        <w:rPr>
          <w:rFonts w:ascii="Times New Roman" w:hAnsi="Times New Roman" w:eastAsia="Times New Roman" w:cs="Times New Roman"/>
          <w:sz w:val="24"/>
          <w:szCs w:val="24"/>
        </w:rPr>
        <w:t xml:space="preserve"> management team have moved from San Diego County Public Health to the CDC.  The collection of data is being directed and managed by CDC </w:t>
      </w:r>
      <w:r w:rsidR="004962A0">
        <w:rPr>
          <w:rFonts w:ascii="Times New Roman" w:hAnsi="Times New Roman" w:eastAsia="Times New Roman" w:cs="Times New Roman"/>
          <w:sz w:val="24"/>
          <w:szCs w:val="24"/>
        </w:rPr>
        <w:t xml:space="preserve">DGMQ </w:t>
      </w:r>
      <w:r w:rsidRPr="00E059CA" w:rsidR="00B01E1D">
        <w:rPr>
          <w:rFonts w:ascii="Times New Roman" w:hAnsi="Times New Roman" w:eastAsia="Times New Roman" w:cs="Times New Roman"/>
          <w:sz w:val="24"/>
          <w:szCs w:val="24"/>
        </w:rPr>
        <w:t xml:space="preserve">staff.  </w:t>
      </w:r>
    </w:p>
    <w:p w:rsidRPr="00E059CA" w:rsidR="00B01E1D" w:rsidP="00AA2025" w:rsidRDefault="00B01E1D" w14:paraId="1F4A8A11" w14:textId="77777777">
      <w:pPr>
        <w:autoSpaceDE w:val="0"/>
        <w:autoSpaceDN w:val="0"/>
        <w:adjustRightInd w:val="0"/>
        <w:spacing w:after="0" w:line="240" w:lineRule="auto"/>
        <w:rPr>
          <w:rFonts w:ascii="Times New Roman" w:hAnsi="Times New Roman" w:eastAsia="Times New Roman" w:cs="Times New Roman"/>
          <w:sz w:val="24"/>
          <w:szCs w:val="24"/>
        </w:rPr>
      </w:pPr>
    </w:p>
    <w:p w:rsidRPr="00E059CA" w:rsidR="0088113F" w:rsidP="005242B1" w:rsidRDefault="0088113F" w14:paraId="01FBD8A7" w14:textId="77777777">
      <w:pPr>
        <w:pStyle w:val="Heading2"/>
        <w:tabs>
          <w:tab w:val="left" w:pos="0"/>
        </w:tabs>
        <w:spacing w:line="240" w:lineRule="auto"/>
        <w:rPr>
          <w:bCs/>
        </w:rPr>
      </w:pPr>
      <w:bookmarkStart w:name="_Toc457379302" w:id="12"/>
      <w:r w:rsidRPr="00E059CA">
        <w:t>5. Impact on Small Businesses or Other Small Entities</w:t>
      </w:r>
      <w:bookmarkEnd w:id="12"/>
      <w:r w:rsidRPr="00E059CA">
        <w:rPr>
          <w:bCs/>
        </w:rPr>
        <w:t xml:space="preserve"> </w:t>
      </w:r>
    </w:p>
    <w:p w:rsidRPr="00E059CA" w:rsidR="00993E49" w:rsidP="005242B1" w:rsidRDefault="006F7390" w14:paraId="35B338AA" w14:textId="2EEF348A">
      <w:pPr>
        <w:tabs>
          <w:tab w:val="left" w:pos="0"/>
        </w:tabs>
        <w:spacing w:line="240" w:lineRule="auto"/>
        <w:rPr>
          <w:rFonts w:ascii="Times New Roman" w:hAnsi="Times New Roman" w:cs="Times New Roman"/>
          <w:iCs/>
          <w:sz w:val="24"/>
          <w:szCs w:val="24"/>
        </w:rPr>
      </w:pPr>
      <w:r w:rsidRPr="00E059CA">
        <w:rPr>
          <w:rFonts w:ascii="Times New Roman" w:hAnsi="Times New Roman" w:cs="Times New Roman"/>
          <w:iCs/>
          <w:sz w:val="24"/>
          <w:szCs w:val="24"/>
        </w:rPr>
        <w:t>Health departments</w:t>
      </w:r>
      <w:r w:rsidRPr="00E059CA" w:rsidR="00B8161D">
        <w:rPr>
          <w:rFonts w:ascii="Times New Roman" w:hAnsi="Times New Roman" w:cs="Times New Roman"/>
          <w:iCs/>
          <w:sz w:val="24"/>
          <w:szCs w:val="24"/>
        </w:rPr>
        <w:t>,</w:t>
      </w:r>
      <w:r w:rsidRPr="00E059CA">
        <w:rPr>
          <w:rFonts w:ascii="Times New Roman" w:hAnsi="Times New Roman" w:cs="Times New Roman"/>
          <w:iCs/>
          <w:sz w:val="24"/>
          <w:szCs w:val="24"/>
        </w:rPr>
        <w:t xml:space="preserve"> correctional </w:t>
      </w:r>
      <w:r w:rsidRPr="00E059CA" w:rsidR="00B8161D">
        <w:rPr>
          <w:rFonts w:ascii="Times New Roman" w:hAnsi="Times New Roman" w:cs="Times New Roman"/>
          <w:iCs/>
          <w:sz w:val="24"/>
          <w:szCs w:val="24"/>
        </w:rPr>
        <w:t xml:space="preserve">and immigration facilities </w:t>
      </w:r>
      <w:r w:rsidRPr="00E059CA">
        <w:rPr>
          <w:rFonts w:ascii="Times New Roman" w:hAnsi="Times New Roman" w:cs="Times New Roman"/>
          <w:iCs/>
          <w:sz w:val="24"/>
          <w:szCs w:val="24"/>
        </w:rPr>
        <w:t xml:space="preserve">are the </w:t>
      </w:r>
      <w:r w:rsidRPr="00E059CA" w:rsidR="00D764A9">
        <w:rPr>
          <w:rFonts w:ascii="Times New Roman" w:hAnsi="Times New Roman" w:cs="Times New Roman"/>
          <w:iCs/>
          <w:sz w:val="24"/>
          <w:szCs w:val="24"/>
        </w:rPr>
        <w:t xml:space="preserve">majority </w:t>
      </w:r>
      <w:r w:rsidRPr="00E059CA">
        <w:rPr>
          <w:rFonts w:ascii="Times New Roman" w:hAnsi="Times New Roman" w:cs="Times New Roman"/>
          <w:iCs/>
          <w:sz w:val="24"/>
          <w:szCs w:val="24"/>
        </w:rPr>
        <w:t xml:space="preserve">providers of </w:t>
      </w:r>
      <w:proofErr w:type="spellStart"/>
      <w:r w:rsidRPr="00E059CA" w:rsidR="00D764A9">
        <w:rPr>
          <w:rFonts w:ascii="Times New Roman" w:hAnsi="Times New Roman" w:cs="Times New Roman"/>
          <w:iCs/>
          <w:sz w:val="24"/>
          <w:szCs w:val="24"/>
        </w:rPr>
        <w:t>CureTB</w:t>
      </w:r>
      <w:proofErr w:type="spellEnd"/>
      <w:r w:rsidRPr="00E059CA" w:rsidR="00D764A9">
        <w:rPr>
          <w:rFonts w:ascii="Times New Roman" w:hAnsi="Times New Roman" w:cs="Times New Roman"/>
          <w:iCs/>
          <w:sz w:val="24"/>
          <w:szCs w:val="24"/>
        </w:rPr>
        <w:t xml:space="preserve"> </w:t>
      </w:r>
      <w:r w:rsidRPr="00E059CA">
        <w:rPr>
          <w:rFonts w:ascii="Times New Roman" w:hAnsi="Times New Roman" w:cs="Times New Roman"/>
          <w:iCs/>
          <w:sz w:val="24"/>
          <w:szCs w:val="24"/>
        </w:rPr>
        <w:t xml:space="preserve">referrals and </w:t>
      </w:r>
      <w:r w:rsidRPr="00E059CA" w:rsidR="00D764A9">
        <w:rPr>
          <w:rFonts w:ascii="Times New Roman" w:hAnsi="Times New Roman" w:cs="Times New Roman"/>
          <w:iCs/>
          <w:sz w:val="24"/>
          <w:szCs w:val="24"/>
        </w:rPr>
        <w:t xml:space="preserve">would be </w:t>
      </w:r>
      <w:r w:rsidRPr="00E059CA">
        <w:rPr>
          <w:rFonts w:ascii="Times New Roman" w:hAnsi="Times New Roman" w:cs="Times New Roman"/>
          <w:iCs/>
          <w:sz w:val="24"/>
          <w:szCs w:val="24"/>
        </w:rPr>
        <w:t xml:space="preserve">the only </w:t>
      </w:r>
      <w:r w:rsidRPr="00E059CA" w:rsidR="00E4632E">
        <w:rPr>
          <w:rFonts w:ascii="Times New Roman" w:hAnsi="Times New Roman" w:cs="Times New Roman"/>
          <w:iCs/>
          <w:sz w:val="24"/>
          <w:szCs w:val="24"/>
        </w:rPr>
        <w:t xml:space="preserve">source of TB data </w:t>
      </w:r>
      <w:r w:rsidRPr="00E059CA" w:rsidR="00D764A9">
        <w:rPr>
          <w:rFonts w:ascii="Times New Roman" w:hAnsi="Times New Roman" w:cs="Times New Roman"/>
          <w:iCs/>
          <w:sz w:val="24"/>
          <w:szCs w:val="24"/>
        </w:rPr>
        <w:t>for</w:t>
      </w:r>
      <w:r w:rsidRPr="00E059CA" w:rsidR="00E4632E">
        <w:rPr>
          <w:rFonts w:ascii="Times New Roman" w:hAnsi="Times New Roman" w:cs="Times New Roman"/>
          <w:iCs/>
          <w:sz w:val="24"/>
          <w:szCs w:val="24"/>
        </w:rPr>
        <w:t xml:space="preserve"> these specific populations.  </w:t>
      </w:r>
      <w:r w:rsidRPr="00E059CA" w:rsidR="00014078">
        <w:rPr>
          <w:rFonts w:ascii="Times New Roman" w:hAnsi="Times New Roman" w:cs="Times New Roman"/>
          <w:iCs/>
          <w:sz w:val="24"/>
          <w:szCs w:val="24"/>
        </w:rPr>
        <w:t>S</w:t>
      </w:r>
      <w:r w:rsidRPr="00E059CA">
        <w:rPr>
          <w:rFonts w:ascii="Times New Roman" w:hAnsi="Times New Roman" w:cs="Times New Roman"/>
          <w:iCs/>
          <w:sz w:val="24"/>
          <w:szCs w:val="24"/>
        </w:rPr>
        <w:t xml:space="preserve">mall businesses </w:t>
      </w:r>
      <w:r w:rsidRPr="00E059CA" w:rsidR="00014078">
        <w:rPr>
          <w:rFonts w:ascii="Times New Roman" w:hAnsi="Times New Roman" w:cs="Times New Roman"/>
          <w:iCs/>
          <w:sz w:val="24"/>
          <w:szCs w:val="24"/>
        </w:rPr>
        <w:t xml:space="preserve">are not involved.  Health departments and federal correctional facilities already have standard forms </w:t>
      </w:r>
      <w:r w:rsidRPr="00E059CA" w:rsidR="001C2202">
        <w:rPr>
          <w:rFonts w:ascii="Times New Roman" w:hAnsi="Times New Roman" w:cs="Times New Roman"/>
          <w:iCs/>
          <w:sz w:val="24"/>
          <w:szCs w:val="24"/>
        </w:rPr>
        <w:t xml:space="preserve">and practices in place for trying to locate migrating patients.  </w:t>
      </w:r>
      <w:r w:rsidR="00FA6F9D">
        <w:rPr>
          <w:rFonts w:ascii="Times New Roman" w:hAnsi="Times New Roman" w:cs="Times New Roman"/>
          <w:iCs/>
          <w:sz w:val="24"/>
          <w:szCs w:val="24"/>
        </w:rPr>
        <w:t xml:space="preserve">CDC </w:t>
      </w:r>
      <w:proofErr w:type="spellStart"/>
      <w:r w:rsidRPr="00E059CA" w:rsidR="001C2202">
        <w:rPr>
          <w:rFonts w:ascii="Times New Roman" w:hAnsi="Times New Roman" w:cs="Times New Roman"/>
          <w:iCs/>
          <w:sz w:val="24"/>
          <w:szCs w:val="24"/>
        </w:rPr>
        <w:t>CureTB</w:t>
      </w:r>
      <w:proofErr w:type="spellEnd"/>
      <w:r w:rsidRPr="00E059CA" w:rsidR="001C2202">
        <w:rPr>
          <w:rFonts w:ascii="Times New Roman" w:hAnsi="Times New Roman" w:cs="Times New Roman"/>
          <w:iCs/>
          <w:sz w:val="24"/>
          <w:szCs w:val="24"/>
        </w:rPr>
        <w:t xml:space="preserve"> leverages, but does not add to the standard practices.</w:t>
      </w:r>
    </w:p>
    <w:p w:rsidRPr="00E059CA" w:rsidR="0088113F" w:rsidP="005242B1" w:rsidRDefault="0088113F" w14:paraId="37919BDD" w14:textId="77777777">
      <w:pPr>
        <w:pStyle w:val="Heading2"/>
        <w:spacing w:line="240" w:lineRule="auto"/>
      </w:pPr>
      <w:bookmarkStart w:name="_Toc457379303" w:id="13"/>
      <w:r w:rsidRPr="00E059CA">
        <w:t>6</w:t>
      </w:r>
      <w:r w:rsidRPr="00E059CA" w:rsidR="00E97098">
        <w:t>.</w:t>
      </w:r>
      <w:r w:rsidRPr="00E059CA">
        <w:t xml:space="preserve"> Consequences of Collecting the Information Less Frequently</w:t>
      </w:r>
      <w:bookmarkEnd w:id="13"/>
      <w:r w:rsidRPr="00E059CA">
        <w:t xml:space="preserve"> </w:t>
      </w:r>
    </w:p>
    <w:p w:rsidR="00C87804" w:rsidP="00C87804" w:rsidRDefault="005C6F67" w14:paraId="6815506A" w14:textId="150BF28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sidR="004869B0">
        <w:rPr>
          <w:rFonts w:ascii="Times New Roman" w:hAnsi="Times New Roman" w:eastAsia="Times New Roman" w:cs="Times New Roman"/>
          <w:sz w:val="24"/>
          <w:szCs w:val="24"/>
        </w:rPr>
        <w:t xml:space="preserve">CDC notes that </w:t>
      </w:r>
      <w:proofErr w:type="gramStart"/>
      <w:r w:rsidR="004869B0">
        <w:rPr>
          <w:rFonts w:ascii="Times New Roman" w:hAnsi="Times New Roman" w:eastAsia="Times New Roman" w:cs="Times New Roman"/>
          <w:sz w:val="24"/>
          <w:szCs w:val="24"/>
        </w:rPr>
        <w:t>the majority of</w:t>
      </w:r>
      <w:proofErr w:type="gramEnd"/>
      <w:r w:rsidR="004869B0">
        <w:rPr>
          <w:rFonts w:ascii="Times New Roman" w:hAnsi="Times New Roman" w:eastAsia="Times New Roman" w:cs="Times New Roman"/>
          <w:sz w:val="24"/>
          <w:szCs w:val="24"/>
        </w:rPr>
        <w:t xml:space="preserve"> this information is already being collected by the referring entities.  CDC is collecting this information in order to assist in coordinating continuity of care for individuals infected with TB.</w:t>
      </w:r>
      <w:r w:rsidR="00B800BA">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 </w:t>
      </w:r>
      <w:r w:rsidR="00B800BA">
        <w:rPr>
          <w:rFonts w:ascii="Times New Roman" w:hAnsi="Times New Roman" w:eastAsia="Times New Roman" w:cs="Times New Roman"/>
          <w:sz w:val="24"/>
          <w:szCs w:val="24"/>
        </w:rPr>
        <w:t xml:space="preserve">The majority of information that CDC collects from the initial referral is performed on </w:t>
      </w:r>
      <w:r>
        <w:rPr>
          <w:rFonts w:ascii="Times New Roman" w:hAnsi="Times New Roman" w:eastAsia="Times New Roman" w:cs="Times New Roman"/>
          <w:sz w:val="24"/>
          <w:szCs w:val="24"/>
        </w:rPr>
        <w:t xml:space="preserve">a </w:t>
      </w:r>
      <w:proofErr w:type="gramStart"/>
      <w:r w:rsidR="00B800BA">
        <w:rPr>
          <w:rFonts w:ascii="Times New Roman" w:hAnsi="Times New Roman" w:eastAsia="Times New Roman" w:cs="Times New Roman"/>
          <w:sz w:val="24"/>
          <w:szCs w:val="24"/>
        </w:rPr>
        <w:t>one time</w:t>
      </w:r>
      <w:proofErr w:type="gramEnd"/>
      <w:r w:rsidR="00B800BA">
        <w:rPr>
          <w:rFonts w:ascii="Times New Roman" w:hAnsi="Times New Roman" w:eastAsia="Times New Roman" w:cs="Times New Roman"/>
          <w:sz w:val="24"/>
          <w:szCs w:val="24"/>
        </w:rPr>
        <w:t xml:space="preserve"> basis, with updates only performed if critical gaps are missing that would prohibit completion of the referral and appropriate medical treatment in the patients’ new locations.</w:t>
      </w:r>
    </w:p>
    <w:p w:rsidR="006422A0" w:rsidP="00C87804" w:rsidRDefault="006422A0" w14:paraId="1AD0CD06" w14:textId="77777777">
      <w:pPr>
        <w:spacing w:after="0" w:line="240" w:lineRule="auto"/>
        <w:rPr>
          <w:rFonts w:ascii="Times New Roman" w:hAnsi="Times New Roman" w:eastAsia="Times New Roman" w:cs="Times New Roman"/>
          <w:sz w:val="24"/>
          <w:szCs w:val="24"/>
        </w:rPr>
      </w:pPr>
    </w:p>
    <w:p w:rsidRPr="00E059CA" w:rsidR="006422A0" w:rsidP="00C87804" w:rsidRDefault="006422A0" w14:paraId="1E8C0C62" w14:textId="74D71DE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consequences of not following up with the new treating physicians </w:t>
      </w:r>
      <w:r w:rsidR="00B800BA">
        <w:rPr>
          <w:rFonts w:ascii="Times New Roman" w:hAnsi="Times New Roman" w:eastAsia="Times New Roman" w:cs="Times New Roman"/>
          <w:sz w:val="24"/>
          <w:szCs w:val="24"/>
        </w:rPr>
        <w:t xml:space="preserve">on a regular basis </w:t>
      </w:r>
      <w:r>
        <w:rPr>
          <w:rFonts w:ascii="Times New Roman" w:hAnsi="Times New Roman" w:eastAsia="Times New Roman" w:cs="Times New Roman"/>
          <w:sz w:val="24"/>
          <w:szCs w:val="24"/>
        </w:rPr>
        <w:t xml:space="preserve">would be an absence of information on information on TB patient outcomes, patients who may be moving internationally. </w:t>
      </w:r>
      <w:r w:rsidR="00B800BA">
        <w:rPr>
          <w:rFonts w:ascii="Times New Roman" w:hAnsi="Times New Roman" w:eastAsia="Times New Roman" w:cs="Times New Roman"/>
          <w:sz w:val="24"/>
          <w:szCs w:val="24"/>
        </w:rPr>
        <w:t>This would result in a</w:t>
      </w:r>
      <w:r w:rsidRPr="00E059CA" w:rsidR="00B800BA">
        <w:rPr>
          <w:rFonts w:ascii="Times New Roman" w:hAnsi="Times New Roman" w:eastAsia="Times New Roman" w:cs="Times New Roman"/>
          <w:sz w:val="24"/>
          <w:szCs w:val="24"/>
        </w:rPr>
        <w:t xml:space="preserve"> reduction in the quality of care to the patient and reducing the confidence of referring health entities in the quality of </w:t>
      </w:r>
      <w:r w:rsidR="009459D6">
        <w:rPr>
          <w:rFonts w:ascii="Times New Roman" w:hAnsi="Times New Roman" w:eastAsia="Times New Roman" w:cs="Times New Roman"/>
          <w:sz w:val="24"/>
          <w:szCs w:val="24"/>
        </w:rPr>
        <w:t xml:space="preserve">CDC </w:t>
      </w:r>
      <w:proofErr w:type="spellStart"/>
      <w:r w:rsidRPr="00E059CA" w:rsidR="00B800BA">
        <w:rPr>
          <w:rFonts w:ascii="Times New Roman" w:hAnsi="Times New Roman" w:eastAsia="Times New Roman" w:cs="Times New Roman"/>
          <w:sz w:val="24"/>
          <w:szCs w:val="24"/>
        </w:rPr>
        <w:t>CureTB</w:t>
      </w:r>
      <w:proofErr w:type="spellEnd"/>
      <w:r w:rsidRPr="00E059CA" w:rsidR="00B800BA">
        <w:rPr>
          <w:rFonts w:ascii="Times New Roman" w:hAnsi="Times New Roman" w:eastAsia="Times New Roman" w:cs="Times New Roman"/>
          <w:sz w:val="24"/>
          <w:szCs w:val="24"/>
        </w:rPr>
        <w:t xml:space="preserve"> referral services.</w:t>
      </w:r>
      <w:r w:rsidR="002474CC">
        <w:rPr>
          <w:rFonts w:ascii="Times New Roman" w:hAnsi="Times New Roman" w:eastAsia="Times New Roman" w:cs="Times New Roman"/>
          <w:sz w:val="24"/>
          <w:szCs w:val="24"/>
        </w:rPr>
        <w:t xml:space="preserve"> It would also negatively impact global TB elimination goals.</w:t>
      </w:r>
    </w:p>
    <w:p w:rsidRPr="00E059CA" w:rsidR="004D48F5" w:rsidP="005242B1" w:rsidRDefault="0088113F" w14:paraId="14BAD843" w14:textId="77777777">
      <w:pPr>
        <w:pStyle w:val="Heading2"/>
        <w:spacing w:line="240" w:lineRule="auto"/>
      </w:pPr>
      <w:bookmarkStart w:name="_Toc457379304" w:id="14"/>
      <w:r w:rsidRPr="00E059CA">
        <w:t>7</w:t>
      </w:r>
      <w:r w:rsidRPr="00E059CA" w:rsidR="00E97098">
        <w:t>.</w:t>
      </w:r>
      <w:r w:rsidRPr="00E059CA">
        <w:t xml:space="preserve"> Special Circumstances Relating to the Guidelines of 5 CFR 1320.5</w:t>
      </w:r>
      <w:bookmarkEnd w:id="14"/>
    </w:p>
    <w:p w:rsidRPr="00E059CA" w:rsidR="007A5152" w:rsidP="005242B1" w:rsidRDefault="003F1D2E" w14:paraId="5F074F71" w14:textId="77777777">
      <w:pPr>
        <w:tabs>
          <w:tab w:val="left" w:pos="-1440"/>
        </w:tabs>
        <w:spacing w:line="240" w:lineRule="auto"/>
        <w:rPr>
          <w:rFonts w:ascii="Times New Roman" w:hAnsi="Times New Roman" w:cs="Times New Roman"/>
          <w:b/>
          <w:bCs/>
          <w:sz w:val="24"/>
          <w:szCs w:val="24"/>
        </w:rPr>
      </w:pPr>
      <w:r w:rsidRPr="00E059CA">
        <w:rPr>
          <w:rFonts w:ascii="Times New Roman" w:hAnsi="Times New Roman" w:cs="Times New Roman"/>
          <w:sz w:val="24"/>
          <w:szCs w:val="24"/>
        </w:rPr>
        <w:t>This request fully complies with the regulation 5 CFR 1320.5.</w:t>
      </w:r>
      <w:r w:rsidRPr="00E059CA">
        <w:rPr>
          <w:rStyle w:val="Strong"/>
          <w:rFonts w:ascii="Times New Roman" w:hAnsi="Times New Roman" w:cs="Times New Roman"/>
          <w:sz w:val="24"/>
          <w:szCs w:val="24"/>
        </w:rPr>
        <w:t xml:space="preserve"> </w:t>
      </w:r>
    </w:p>
    <w:p w:rsidRPr="00E059CA" w:rsidR="003F1D2E" w:rsidP="005242B1" w:rsidRDefault="0088113F" w14:paraId="367F785E" w14:textId="77777777">
      <w:pPr>
        <w:pStyle w:val="Heading2"/>
        <w:spacing w:line="240" w:lineRule="auto"/>
        <w:rPr>
          <w:b w:val="0"/>
        </w:rPr>
      </w:pPr>
      <w:bookmarkStart w:name="_Toc457379305" w:id="15"/>
      <w:r w:rsidRPr="00E059CA">
        <w:lastRenderedPageBreak/>
        <w:t>8</w:t>
      </w:r>
      <w:r w:rsidRPr="00E059CA" w:rsidR="00E97098">
        <w:t>.</w:t>
      </w:r>
      <w:r w:rsidRPr="00E059CA">
        <w:t xml:space="preserve"> Comments in Response to the Federal Register Notice and Efforts to Consult Outside the Agency</w:t>
      </w:r>
      <w:bookmarkEnd w:id="15"/>
    </w:p>
    <w:p w:rsidRPr="00E059CA" w:rsidR="004D48F5" w:rsidP="006F511D" w:rsidRDefault="004D48F5" w14:paraId="53399194" w14:textId="6BDBB1CA">
      <w:pPr>
        <w:pStyle w:val="ListParagraph"/>
        <w:numPr>
          <w:ilvl w:val="0"/>
          <w:numId w:val="1"/>
        </w:numPr>
        <w:spacing w:after="0" w:line="240" w:lineRule="auto"/>
        <w:ind w:hanging="720"/>
        <w:rPr>
          <w:rFonts w:ascii="Times New Roman" w:hAnsi="Times New Roman" w:cs="Times New Roman"/>
          <w:sz w:val="24"/>
          <w:szCs w:val="24"/>
        </w:rPr>
      </w:pPr>
      <w:r w:rsidRPr="00E059CA">
        <w:rPr>
          <w:rFonts w:ascii="Times New Roman" w:hAnsi="Times New Roman" w:cs="Times New Roman"/>
          <w:sz w:val="24"/>
          <w:szCs w:val="24"/>
        </w:rPr>
        <w:t>A 60-day Federal Register Notice was published in the Federal Register on</w:t>
      </w:r>
      <w:r w:rsidR="00E60C74">
        <w:rPr>
          <w:rFonts w:ascii="Times New Roman" w:hAnsi="Times New Roman" w:cs="Times New Roman"/>
          <w:sz w:val="24"/>
          <w:szCs w:val="24"/>
        </w:rPr>
        <w:t xml:space="preserve"> December 23, 2019</w:t>
      </w:r>
      <w:r w:rsidRPr="00E059CA" w:rsidR="002A64A5">
        <w:rPr>
          <w:rFonts w:ascii="Times New Roman" w:hAnsi="Times New Roman" w:cs="Times New Roman"/>
          <w:sz w:val="24"/>
          <w:szCs w:val="24"/>
        </w:rPr>
        <w:t xml:space="preserve">, Vol. </w:t>
      </w:r>
      <w:r w:rsidR="00E60C74">
        <w:rPr>
          <w:rFonts w:ascii="Times New Roman" w:hAnsi="Times New Roman" w:cs="Times New Roman"/>
          <w:sz w:val="24"/>
          <w:szCs w:val="24"/>
        </w:rPr>
        <w:t>84</w:t>
      </w:r>
      <w:r w:rsidRPr="00E059CA" w:rsidR="002A64A5">
        <w:rPr>
          <w:rFonts w:ascii="Times New Roman" w:hAnsi="Times New Roman" w:cs="Times New Roman"/>
          <w:sz w:val="24"/>
          <w:szCs w:val="24"/>
        </w:rPr>
        <w:t xml:space="preserve">, No. </w:t>
      </w:r>
      <w:r w:rsidR="00E60C74">
        <w:rPr>
          <w:rFonts w:ascii="Times New Roman" w:hAnsi="Times New Roman" w:cs="Times New Roman"/>
          <w:sz w:val="24"/>
          <w:szCs w:val="24"/>
        </w:rPr>
        <w:t>246</w:t>
      </w:r>
      <w:r w:rsidRPr="00E059CA" w:rsidR="002A64A5">
        <w:rPr>
          <w:rFonts w:ascii="Times New Roman" w:hAnsi="Times New Roman" w:cs="Times New Roman"/>
          <w:sz w:val="24"/>
          <w:szCs w:val="24"/>
        </w:rPr>
        <w:t xml:space="preserve">, p. </w:t>
      </w:r>
      <w:r w:rsidR="00E60C74">
        <w:rPr>
          <w:rFonts w:ascii="Times New Roman" w:hAnsi="Times New Roman" w:cs="Times New Roman"/>
          <w:sz w:val="24"/>
          <w:szCs w:val="24"/>
        </w:rPr>
        <w:t>70555</w:t>
      </w:r>
      <w:r w:rsidRPr="00E059CA" w:rsidR="006F065D">
        <w:rPr>
          <w:rFonts w:ascii="Times New Roman" w:hAnsi="Times New Roman" w:cs="Times New Roman"/>
          <w:sz w:val="24"/>
          <w:szCs w:val="24"/>
        </w:rPr>
        <w:t>.</w:t>
      </w:r>
      <w:r w:rsidRPr="00E059CA" w:rsidR="009D3A86">
        <w:rPr>
          <w:rFonts w:ascii="Times New Roman" w:hAnsi="Times New Roman" w:cs="Times New Roman"/>
          <w:sz w:val="24"/>
          <w:szCs w:val="24"/>
        </w:rPr>
        <w:t xml:space="preserve">  </w:t>
      </w:r>
      <w:r w:rsidRPr="00E059CA" w:rsidR="00B1255E">
        <w:rPr>
          <w:rFonts w:ascii="Times New Roman" w:hAnsi="Times New Roman" w:cs="Times New Roman"/>
          <w:sz w:val="24"/>
          <w:szCs w:val="24"/>
        </w:rPr>
        <w:t>No comments were received</w:t>
      </w:r>
      <w:r w:rsidRPr="00E059CA" w:rsidR="00563D24">
        <w:rPr>
          <w:rFonts w:ascii="Times New Roman" w:hAnsi="Times New Roman" w:cs="Times New Roman"/>
          <w:sz w:val="24"/>
          <w:szCs w:val="24"/>
        </w:rPr>
        <w:t xml:space="preserve">. </w:t>
      </w:r>
      <w:r w:rsidRPr="00E059CA" w:rsidR="003D613E">
        <w:rPr>
          <w:rFonts w:ascii="Times New Roman" w:hAnsi="Times New Roman" w:cs="Times New Roman"/>
          <w:sz w:val="24"/>
          <w:szCs w:val="24"/>
        </w:rPr>
        <w:t>(Attachment B)</w:t>
      </w:r>
      <w:r w:rsidRPr="00E059CA" w:rsidR="00563D24">
        <w:rPr>
          <w:rFonts w:ascii="Times New Roman" w:hAnsi="Times New Roman" w:cs="Times New Roman"/>
          <w:sz w:val="24"/>
          <w:szCs w:val="24"/>
        </w:rPr>
        <w:t xml:space="preserve">  </w:t>
      </w:r>
      <w:r w:rsidRPr="00E059CA" w:rsidR="001A10A8">
        <w:rPr>
          <w:rFonts w:ascii="Times New Roman" w:hAnsi="Times New Roman" w:cs="Times New Roman"/>
          <w:sz w:val="24"/>
          <w:szCs w:val="24"/>
        </w:rPr>
        <w:t> </w:t>
      </w:r>
    </w:p>
    <w:p w:rsidRPr="00E059CA" w:rsidR="004C39E2" w:rsidP="005242B1" w:rsidRDefault="004C39E2" w14:paraId="6292B607" w14:textId="77777777">
      <w:pPr>
        <w:pStyle w:val="ListParagraph"/>
        <w:spacing w:after="0" w:line="240" w:lineRule="auto"/>
        <w:ind w:left="0"/>
        <w:rPr>
          <w:rFonts w:ascii="Times New Roman" w:hAnsi="Times New Roman" w:cs="Times New Roman"/>
          <w:sz w:val="24"/>
          <w:szCs w:val="24"/>
        </w:rPr>
      </w:pPr>
    </w:p>
    <w:p w:rsidR="00577975" w:rsidP="006F511D" w:rsidRDefault="00577975" w14:paraId="315E0D86" w14:textId="5B64DA6B">
      <w:pPr>
        <w:pStyle w:val="ListParagraph"/>
        <w:numPr>
          <w:ilvl w:val="0"/>
          <w:numId w:val="1"/>
        </w:numPr>
        <w:spacing w:line="240" w:lineRule="auto"/>
        <w:ind w:hanging="720"/>
        <w:outlineLvl w:val="0"/>
        <w:rPr>
          <w:rFonts w:ascii="Times New Roman" w:hAnsi="Times New Roman" w:cs="Times New Roman"/>
          <w:sz w:val="24"/>
          <w:szCs w:val="24"/>
        </w:rPr>
      </w:pPr>
      <w:bookmarkStart w:name="_Toc457379306" w:id="16"/>
      <w:r w:rsidRPr="00E059CA">
        <w:rPr>
          <w:rFonts w:ascii="Times New Roman" w:hAnsi="Times New Roman" w:cs="Times New Roman"/>
          <w:sz w:val="24"/>
          <w:szCs w:val="24"/>
        </w:rPr>
        <w:t>Consultation</w:t>
      </w:r>
      <w:bookmarkEnd w:id="16"/>
    </w:p>
    <w:p w:rsidRPr="00B362A8" w:rsidR="00B362A8" w:rsidP="00B362A8" w:rsidRDefault="00B362A8" w14:paraId="471C3348" w14:textId="570EDA0C">
      <w:pPr>
        <w:spacing w:line="240" w:lineRule="auto"/>
        <w:outlineLvl w:val="0"/>
        <w:rPr>
          <w:rFonts w:ascii="Times New Roman" w:hAnsi="Times New Roman" w:cs="Times New Roman"/>
          <w:sz w:val="24"/>
          <w:szCs w:val="24"/>
        </w:rPr>
      </w:pPr>
      <w:proofErr w:type="gramStart"/>
      <w:r>
        <w:rPr>
          <w:rFonts w:ascii="Times New Roman" w:hAnsi="Times New Roman" w:cs="Times New Roman"/>
          <w:sz w:val="24"/>
          <w:szCs w:val="24"/>
        </w:rPr>
        <w:t>A number of</w:t>
      </w:r>
      <w:proofErr w:type="gramEnd"/>
      <w:r>
        <w:rPr>
          <w:rFonts w:ascii="Times New Roman" w:hAnsi="Times New Roman" w:cs="Times New Roman"/>
          <w:sz w:val="24"/>
          <w:szCs w:val="24"/>
        </w:rPr>
        <w:t xml:space="preserve"> public health professionals involved in referrals to </w:t>
      </w:r>
      <w:proofErr w:type="spellStart"/>
      <w:r>
        <w:rPr>
          <w:rFonts w:ascii="Times New Roman" w:hAnsi="Times New Roman" w:cs="Times New Roman"/>
          <w:sz w:val="24"/>
          <w:szCs w:val="24"/>
        </w:rPr>
        <w:t>CureTB</w:t>
      </w:r>
      <w:proofErr w:type="spellEnd"/>
      <w:r>
        <w:rPr>
          <w:rFonts w:ascii="Times New Roman" w:hAnsi="Times New Roman" w:cs="Times New Roman"/>
          <w:sz w:val="24"/>
          <w:szCs w:val="24"/>
        </w:rPr>
        <w:t xml:space="preserve"> have been consulted over the years on the utility of the program.  They are provided here:</w:t>
      </w:r>
    </w:p>
    <w:tbl>
      <w:tblPr>
        <w:tblW w:w="8707"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016"/>
        <w:gridCol w:w="2461"/>
        <w:gridCol w:w="4230"/>
      </w:tblGrid>
      <w:tr w:rsidRPr="00E059CA" w:rsidR="00AB7FDC" w:rsidTr="004D460C" w14:paraId="7C1DC57C" w14:textId="77777777">
        <w:tc>
          <w:tcPr>
            <w:tcW w:w="2016" w:type="dxa"/>
            <w:tcBorders>
              <w:top w:val="single" w:color="000000" w:sz="4" w:space="0"/>
              <w:left w:val="single" w:color="000000" w:sz="4" w:space="0"/>
              <w:bottom w:val="single" w:color="000000" w:sz="4" w:space="0"/>
              <w:right w:val="single" w:color="000000" w:sz="4" w:space="0"/>
            </w:tcBorders>
            <w:hideMark/>
          </w:tcPr>
          <w:p w:rsidRPr="00E059CA" w:rsidR="00AB7FDC" w:rsidP="005242B1" w:rsidRDefault="00AB7FDC" w14:paraId="0039A580" w14:textId="77777777">
            <w:pPr>
              <w:pStyle w:val="NoSpacing"/>
              <w:rPr>
                <w:rFonts w:ascii="Times New Roman" w:hAnsi="Times New Roman"/>
                <w:b/>
                <w:sz w:val="24"/>
                <w:szCs w:val="24"/>
              </w:rPr>
            </w:pPr>
            <w:r w:rsidRPr="00E059CA">
              <w:rPr>
                <w:rFonts w:ascii="Times New Roman" w:hAnsi="Times New Roman"/>
                <w:b/>
                <w:sz w:val="24"/>
                <w:szCs w:val="24"/>
              </w:rPr>
              <w:t>Individuals</w:t>
            </w:r>
          </w:p>
        </w:tc>
        <w:tc>
          <w:tcPr>
            <w:tcW w:w="2461" w:type="dxa"/>
            <w:tcBorders>
              <w:top w:val="single" w:color="000000" w:sz="4" w:space="0"/>
              <w:left w:val="single" w:color="000000" w:sz="4" w:space="0"/>
              <w:bottom w:val="single" w:color="000000" w:sz="4" w:space="0"/>
              <w:right w:val="single" w:color="000000" w:sz="4" w:space="0"/>
            </w:tcBorders>
          </w:tcPr>
          <w:p w:rsidRPr="00E059CA" w:rsidR="00AB7FDC" w:rsidP="005242B1" w:rsidRDefault="00AB7FDC" w14:paraId="3E8ECE7B" w14:textId="77777777">
            <w:pPr>
              <w:pStyle w:val="NoSpacing"/>
              <w:rPr>
                <w:rFonts w:ascii="Times New Roman" w:hAnsi="Times New Roman"/>
                <w:b/>
                <w:sz w:val="24"/>
                <w:szCs w:val="24"/>
              </w:rPr>
            </w:pPr>
            <w:r w:rsidRPr="00E059CA">
              <w:rPr>
                <w:rFonts w:ascii="Times New Roman" w:hAnsi="Times New Roman"/>
                <w:b/>
                <w:sz w:val="24"/>
                <w:szCs w:val="24"/>
              </w:rPr>
              <w:t>Title</w:t>
            </w:r>
          </w:p>
        </w:tc>
        <w:tc>
          <w:tcPr>
            <w:tcW w:w="4230" w:type="dxa"/>
            <w:tcBorders>
              <w:top w:val="single" w:color="000000" w:sz="4" w:space="0"/>
              <w:left w:val="single" w:color="000000" w:sz="4" w:space="0"/>
              <w:bottom w:val="single" w:color="000000" w:sz="4" w:space="0"/>
              <w:right w:val="single" w:color="000000" w:sz="4" w:space="0"/>
            </w:tcBorders>
          </w:tcPr>
          <w:p w:rsidRPr="00E059CA" w:rsidR="00AB7FDC" w:rsidP="005242B1" w:rsidRDefault="00AB7FDC" w14:paraId="07941A42" w14:textId="77777777">
            <w:pPr>
              <w:pStyle w:val="NoSpacing"/>
              <w:rPr>
                <w:rFonts w:ascii="Times New Roman" w:hAnsi="Times New Roman"/>
                <w:b/>
                <w:sz w:val="24"/>
                <w:szCs w:val="24"/>
              </w:rPr>
            </w:pPr>
            <w:r w:rsidRPr="00E059CA">
              <w:rPr>
                <w:rFonts w:ascii="Times New Roman" w:hAnsi="Times New Roman"/>
                <w:b/>
                <w:sz w:val="24"/>
                <w:szCs w:val="24"/>
              </w:rPr>
              <w:t>Role</w:t>
            </w:r>
          </w:p>
        </w:tc>
      </w:tr>
      <w:tr w:rsidRPr="00E059CA" w:rsidR="00AB7FDC" w:rsidTr="004D460C" w14:paraId="75A7E1CF" w14:textId="77777777">
        <w:tc>
          <w:tcPr>
            <w:tcW w:w="2016" w:type="dxa"/>
            <w:tcBorders>
              <w:top w:val="single" w:color="000000" w:sz="4" w:space="0"/>
              <w:left w:val="single" w:color="000000" w:sz="4" w:space="0"/>
              <w:bottom w:val="single" w:color="000000" w:sz="4" w:space="0"/>
              <w:right w:val="single" w:color="000000" w:sz="4" w:space="0"/>
            </w:tcBorders>
          </w:tcPr>
          <w:p w:rsidRPr="00E059CA" w:rsidR="00AB7FDC" w:rsidP="00C87804" w:rsidRDefault="00AB7FDC" w14:paraId="1D2E13AB" w14:textId="77777777">
            <w:pPr>
              <w:pStyle w:val="NoSpacing"/>
              <w:rPr>
                <w:rFonts w:ascii="Times New Roman" w:hAnsi="Times New Roman"/>
                <w:sz w:val="24"/>
                <w:szCs w:val="24"/>
              </w:rPr>
            </w:pPr>
            <w:proofErr w:type="spellStart"/>
            <w:r w:rsidRPr="00E059CA">
              <w:rPr>
                <w:rFonts w:ascii="Times New Roman" w:hAnsi="Times New Roman"/>
                <w:sz w:val="24"/>
                <w:szCs w:val="24"/>
              </w:rPr>
              <w:t>Ronelle</w:t>
            </w:r>
            <w:proofErr w:type="spellEnd"/>
            <w:r w:rsidRPr="00E059CA">
              <w:rPr>
                <w:rFonts w:ascii="Times New Roman" w:hAnsi="Times New Roman"/>
                <w:sz w:val="24"/>
                <w:szCs w:val="24"/>
              </w:rPr>
              <w:t xml:space="preserve"> Campbell, DO</w:t>
            </w:r>
          </w:p>
        </w:tc>
        <w:tc>
          <w:tcPr>
            <w:tcW w:w="2461" w:type="dxa"/>
            <w:tcBorders>
              <w:top w:val="single" w:color="000000" w:sz="4" w:space="0"/>
              <w:left w:val="single" w:color="000000" w:sz="4" w:space="0"/>
              <w:bottom w:val="single" w:color="000000" w:sz="4" w:space="0"/>
              <w:right w:val="single" w:color="000000" w:sz="4" w:space="0"/>
            </w:tcBorders>
          </w:tcPr>
          <w:p w:rsidRPr="00E059CA" w:rsidR="00AB7FDC" w:rsidP="005242B1" w:rsidRDefault="00AB7FDC" w14:paraId="0BB55713" w14:textId="77777777">
            <w:pPr>
              <w:pStyle w:val="NoSpacing"/>
              <w:rPr>
                <w:rFonts w:ascii="Times New Roman" w:hAnsi="Times New Roman"/>
                <w:sz w:val="24"/>
                <w:szCs w:val="24"/>
              </w:rPr>
            </w:pPr>
            <w:r w:rsidRPr="00E059CA">
              <w:rPr>
                <w:rFonts w:ascii="Times New Roman" w:hAnsi="Times New Roman"/>
                <w:sz w:val="24"/>
                <w:szCs w:val="24"/>
              </w:rPr>
              <w:t>Lead TB Clinician</w:t>
            </w:r>
          </w:p>
          <w:p w:rsidRPr="00E059CA" w:rsidR="00AB7FDC" w:rsidP="005242B1" w:rsidRDefault="00AB7FDC" w14:paraId="46DA201C" w14:textId="77777777">
            <w:pPr>
              <w:pStyle w:val="NoSpacing"/>
              <w:rPr>
                <w:rFonts w:ascii="Times New Roman" w:hAnsi="Times New Roman"/>
                <w:sz w:val="24"/>
                <w:szCs w:val="24"/>
              </w:rPr>
            </w:pPr>
          </w:p>
          <w:p w:rsidRPr="00E059CA" w:rsidR="00AB7FDC" w:rsidDel="00C87804" w:rsidP="005242B1" w:rsidRDefault="00AB7FDC" w14:paraId="390EB275" w14:textId="77777777">
            <w:pPr>
              <w:pStyle w:val="NoSpacing"/>
              <w:rPr>
                <w:rFonts w:ascii="Times New Roman" w:hAnsi="Times New Roman"/>
                <w:sz w:val="24"/>
                <w:szCs w:val="24"/>
              </w:rPr>
            </w:pPr>
            <w:r w:rsidRPr="00E059CA">
              <w:rPr>
                <w:rFonts w:ascii="Times New Roman" w:hAnsi="Times New Roman"/>
                <w:sz w:val="24"/>
                <w:szCs w:val="24"/>
              </w:rPr>
              <w:t xml:space="preserve">County of San Diego TB Branch </w:t>
            </w:r>
          </w:p>
        </w:tc>
        <w:tc>
          <w:tcPr>
            <w:tcW w:w="4230" w:type="dxa"/>
            <w:tcBorders>
              <w:top w:val="single" w:color="000000" w:sz="4" w:space="0"/>
              <w:left w:val="single" w:color="000000" w:sz="4" w:space="0"/>
              <w:bottom w:val="single" w:color="000000" w:sz="4" w:space="0"/>
              <w:right w:val="single" w:color="000000" w:sz="4" w:space="0"/>
            </w:tcBorders>
          </w:tcPr>
          <w:p w:rsidRPr="00E059CA" w:rsidR="00AB7FDC" w:rsidP="005242B1" w:rsidRDefault="00AB7FDC" w14:paraId="03E0F5A5" w14:textId="77777777">
            <w:pPr>
              <w:pStyle w:val="NoSpacing"/>
              <w:rPr>
                <w:rFonts w:ascii="Times New Roman" w:hAnsi="Times New Roman"/>
                <w:sz w:val="24"/>
                <w:szCs w:val="24"/>
              </w:rPr>
            </w:pPr>
            <w:r w:rsidRPr="00E059CA">
              <w:rPr>
                <w:rFonts w:ascii="Times New Roman" w:hAnsi="Times New Roman"/>
                <w:sz w:val="24"/>
                <w:szCs w:val="24"/>
              </w:rPr>
              <w:t>Consulted on the need for data collection, approved necessity of project</w:t>
            </w:r>
          </w:p>
        </w:tc>
      </w:tr>
      <w:tr w:rsidRPr="00E059CA" w:rsidR="00AB7FDC" w:rsidTr="004D460C" w14:paraId="2D66CE65" w14:textId="77777777">
        <w:tc>
          <w:tcPr>
            <w:tcW w:w="2016" w:type="dxa"/>
            <w:tcBorders>
              <w:top w:val="single" w:color="000000" w:sz="4" w:space="0"/>
              <w:left w:val="single" w:color="000000" w:sz="4" w:space="0"/>
              <w:bottom w:val="single" w:color="000000" w:sz="4" w:space="0"/>
              <w:right w:val="single" w:color="000000" w:sz="4" w:space="0"/>
            </w:tcBorders>
          </w:tcPr>
          <w:p w:rsidRPr="00E059CA" w:rsidR="00AB7FDC" w:rsidP="007D6814" w:rsidRDefault="00AB7FDC" w14:paraId="448EB1B1" w14:textId="77777777">
            <w:pPr>
              <w:rPr>
                <w:rFonts w:ascii="Times New Roman" w:hAnsi="Times New Roman" w:cs="Times New Roman"/>
                <w:color w:val="000000"/>
                <w:sz w:val="24"/>
                <w:szCs w:val="24"/>
              </w:rPr>
            </w:pPr>
            <w:r w:rsidRPr="00E059CA">
              <w:rPr>
                <w:rFonts w:ascii="Times New Roman" w:hAnsi="Times New Roman" w:cs="Times New Roman"/>
                <w:color w:val="000000"/>
                <w:sz w:val="24"/>
                <w:szCs w:val="24"/>
              </w:rPr>
              <w:t>Maria Nunez</w:t>
            </w:r>
          </w:p>
          <w:p w:rsidRPr="00E059CA" w:rsidR="00AB7FDC" w:rsidP="007D6814" w:rsidRDefault="00AB7FDC" w14:paraId="3143B7EE" w14:textId="77777777">
            <w:pPr>
              <w:rPr>
                <w:rFonts w:ascii="Times New Roman" w:hAnsi="Times New Roman" w:cs="Times New Roman"/>
                <w:color w:val="1F497D"/>
                <w:sz w:val="24"/>
                <w:szCs w:val="24"/>
              </w:rPr>
            </w:pPr>
          </w:p>
          <w:p w:rsidRPr="00E059CA" w:rsidR="00AB7FDC" w:rsidP="00C87804" w:rsidRDefault="00AB7FDC" w14:paraId="0DF3FD21" w14:textId="77777777">
            <w:pPr>
              <w:pStyle w:val="NoSpacing"/>
              <w:rPr>
                <w:rFonts w:ascii="Times New Roman" w:hAnsi="Times New Roman"/>
                <w:sz w:val="24"/>
                <w:szCs w:val="24"/>
              </w:rPr>
            </w:pPr>
          </w:p>
        </w:tc>
        <w:tc>
          <w:tcPr>
            <w:tcW w:w="2461" w:type="dxa"/>
            <w:tcBorders>
              <w:top w:val="single" w:color="000000" w:sz="4" w:space="0"/>
              <w:left w:val="single" w:color="000000" w:sz="4" w:space="0"/>
              <w:bottom w:val="single" w:color="000000" w:sz="4" w:space="0"/>
              <w:right w:val="single" w:color="000000" w:sz="4" w:space="0"/>
            </w:tcBorders>
          </w:tcPr>
          <w:p w:rsidRPr="00E059CA" w:rsidR="00AB7FDC" w:rsidP="007D6814" w:rsidRDefault="00AB7FDC" w14:paraId="6442A265" w14:textId="77777777">
            <w:pPr>
              <w:rPr>
                <w:rFonts w:ascii="Times New Roman" w:hAnsi="Times New Roman" w:cs="Times New Roman"/>
                <w:color w:val="000000"/>
                <w:sz w:val="24"/>
                <w:szCs w:val="24"/>
              </w:rPr>
            </w:pPr>
            <w:r w:rsidRPr="00E059CA">
              <w:rPr>
                <w:rFonts w:ascii="Times New Roman" w:hAnsi="Times New Roman" w:cs="Times New Roman"/>
                <w:color w:val="000000"/>
                <w:sz w:val="24"/>
                <w:szCs w:val="24"/>
              </w:rPr>
              <w:t xml:space="preserve">Deputy Director </w:t>
            </w:r>
          </w:p>
          <w:p w:rsidRPr="00E059CA" w:rsidR="00AB7FDC" w:rsidP="007D6814" w:rsidRDefault="00AB7FDC" w14:paraId="6B5CDA80" w14:textId="77777777">
            <w:pPr>
              <w:rPr>
                <w:rFonts w:ascii="Times New Roman" w:hAnsi="Times New Roman" w:cs="Times New Roman"/>
                <w:color w:val="000000"/>
                <w:sz w:val="24"/>
                <w:szCs w:val="24"/>
              </w:rPr>
            </w:pPr>
            <w:r w:rsidRPr="00E059CA">
              <w:rPr>
                <w:rFonts w:ascii="Times New Roman" w:hAnsi="Times New Roman" w:cs="Times New Roman"/>
                <w:color w:val="000000"/>
                <w:sz w:val="24"/>
                <w:szCs w:val="24"/>
              </w:rPr>
              <w:t xml:space="preserve">Yuma Health Department </w:t>
            </w:r>
          </w:p>
          <w:p w:rsidRPr="00E059CA" w:rsidR="00AB7FDC" w:rsidDel="00C87804" w:rsidP="005242B1" w:rsidRDefault="00AB7FDC" w14:paraId="64374A39" w14:textId="77777777">
            <w:pPr>
              <w:pStyle w:val="NoSpacing"/>
              <w:rPr>
                <w:rFonts w:ascii="Times New Roman" w:hAnsi="Times New Roman"/>
                <w:sz w:val="24"/>
                <w:szCs w:val="24"/>
              </w:rPr>
            </w:pPr>
            <w:r w:rsidRPr="00E059CA">
              <w:rPr>
                <w:rFonts w:ascii="Times New Roman" w:hAnsi="Times New Roman"/>
                <w:sz w:val="24"/>
                <w:szCs w:val="24"/>
              </w:rPr>
              <w:t>Yuma, Arizona</w:t>
            </w:r>
          </w:p>
        </w:tc>
        <w:tc>
          <w:tcPr>
            <w:tcW w:w="4230" w:type="dxa"/>
            <w:tcBorders>
              <w:top w:val="single" w:color="000000" w:sz="4" w:space="0"/>
              <w:left w:val="single" w:color="000000" w:sz="4" w:space="0"/>
              <w:bottom w:val="single" w:color="000000" w:sz="4" w:space="0"/>
              <w:right w:val="single" w:color="000000" w:sz="4" w:space="0"/>
            </w:tcBorders>
          </w:tcPr>
          <w:p w:rsidRPr="00E059CA" w:rsidR="00AB7FDC" w:rsidP="005242B1" w:rsidRDefault="00AB7FDC" w14:paraId="382751F0" w14:textId="77777777">
            <w:pPr>
              <w:pStyle w:val="NoSpacing"/>
              <w:rPr>
                <w:rFonts w:ascii="Times New Roman" w:hAnsi="Times New Roman"/>
                <w:sz w:val="24"/>
                <w:szCs w:val="24"/>
              </w:rPr>
            </w:pPr>
            <w:r w:rsidRPr="00E059CA">
              <w:rPr>
                <w:rFonts w:ascii="Times New Roman" w:hAnsi="Times New Roman"/>
                <w:sz w:val="24"/>
                <w:szCs w:val="24"/>
              </w:rPr>
              <w:t>Consulted on the need for data collection, approved necessity of project</w:t>
            </w:r>
          </w:p>
        </w:tc>
      </w:tr>
      <w:tr w:rsidRPr="00E059CA" w:rsidR="00AB7FDC" w:rsidTr="004D460C" w14:paraId="182C8226" w14:textId="77777777">
        <w:trPr>
          <w:trHeight w:val="1889"/>
        </w:trPr>
        <w:tc>
          <w:tcPr>
            <w:tcW w:w="2016" w:type="dxa"/>
            <w:tcBorders>
              <w:top w:val="single" w:color="000000" w:sz="4" w:space="0"/>
              <w:left w:val="single" w:color="000000" w:sz="4" w:space="0"/>
              <w:bottom w:val="single" w:color="000000" w:sz="4" w:space="0"/>
              <w:right w:val="single" w:color="000000" w:sz="4" w:space="0"/>
            </w:tcBorders>
          </w:tcPr>
          <w:p w:rsidRPr="00E059CA" w:rsidR="00AB7FDC" w:rsidP="007D6814" w:rsidRDefault="00AB7FDC" w14:paraId="5C08C38B" w14:textId="77777777">
            <w:pPr>
              <w:rPr>
                <w:rFonts w:ascii="Times New Roman" w:hAnsi="Times New Roman" w:cs="Times New Roman"/>
                <w:color w:val="000000"/>
                <w:sz w:val="24"/>
                <w:szCs w:val="24"/>
              </w:rPr>
            </w:pPr>
            <w:r w:rsidRPr="00E059CA">
              <w:rPr>
                <w:rFonts w:ascii="Times New Roman" w:hAnsi="Times New Roman" w:cs="Times New Roman"/>
                <w:color w:val="000000"/>
                <w:sz w:val="24"/>
                <w:szCs w:val="24"/>
              </w:rPr>
              <w:t xml:space="preserve">Maria </w:t>
            </w:r>
            <w:proofErr w:type="spellStart"/>
            <w:r w:rsidRPr="00E059CA">
              <w:rPr>
                <w:rFonts w:ascii="Times New Roman" w:hAnsi="Times New Roman" w:cs="Times New Roman"/>
                <w:color w:val="000000"/>
                <w:sz w:val="24"/>
                <w:szCs w:val="24"/>
              </w:rPr>
              <w:t>Dalbey</w:t>
            </w:r>
            <w:proofErr w:type="spellEnd"/>
            <w:r w:rsidRPr="00E059CA">
              <w:rPr>
                <w:rFonts w:ascii="Times New Roman" w:hAnsi="Times New Roman" w:cs="Times New Roman"/>
                <w:color w:val="000000"/>
                <w:sz w:val="24"/>
                <w:szCs w:val="24"/>
              </w:rPr>
              <w:t>, RN</w:t>
            </w:r>
          </w:p>
          <w:p w:rsidRPr="00E059CA" w:rsidR="00AB7FDC" w:rsidP="007D6814" w:rsidRDefault="00AB7FDC" w14:paraId="574296F1" w14:textId="77777777">
            <w:pPr>
              <w:rPr>
                <w:rFonts w:ascii="Times New Roman" w:hAnsi="Times New Roman" w:cs="Times New Roman"/>
                <w:sz w:val="24"/>
                <w:szCs w:val="24"/>
              </w:rPr>
            </w:pPr>
          </w:p>
        </w:tc>
        <w:tc>
          <w:tcPr>
            <w:tcW w:w="2461" w:type="dxa"/>
            <w:tcBorders>
              <w:top w:val="single" w:color="000000" w:sz="4" w:space="0"/>
              <w:left w:val="single" w:color="000000" w:sz="4" w:space="0"/>
              <w:bottom w:val="single" w:color="000000" w:sz="4" w:space="0"/>
              <w:right w:val="single" w:color="000000" w:sz="4" w:space="0"/>
            </w:tcBorders>
          </w:tcPr>
          <w:p w:rsidRPr="00E059CA" w:rsidR="00AB7FDC" w:rsidP="007D6814" w:rsidRDefault="00AB7FDC" w14:paraId="30A58786" w14:textId="77777777">
            <w:pPr>
              <w:rPr>
                <w:rFonts w:ascii="Times New Roman" w:hAnsi="Times New Roman" w:cs="Times New Roman"/>
                <w:color w:val="000000"/>
                <w:sz w:val="24"/>
                <w:szCs w:val="24"/>
              </w:rPr>
            </w:pPr>
            <w:r w:rsidRPr="00E059CA">
              <w:rPr>
                <w:rFonts w:ascii="Times New Roman" w:hAnsi="Times New Roman" w:cs="Times New Roman"/>
                <w:color w:val="000000"/>
                <w:sz w:val="24"/>
                <w:szCs w:val="24"/>
              </w:rPr>
              <w:t>TB Nurse Consultant</w:t>
            </w:r>
          </w:p>
          <w:p w:rsidRPr="00E059CA" w:rsidR="00AB7FDC" w:rsidP="007D6814" w:rsidRDefault="00AB7FDC" w14:paraId="7794A5ED" w14:textId="66409189">
            <w:pPr>
              <w:rPr>
                <w:rFonts w:ascii="Times New Roman" w:hAnsi="Times New Roman" w:cs="Times New Roman"/>
                <w:sz w:val="24"/>
                <w:szCs w:val="24"/>
              </w:rPr>
            </w:pPr>
            <w:r w:rsidRPr="00E059CA">
              <w:rPr>
                <w:rFonts w:ascii="Times New Roman" w:hAnsi="Times New Roman" w:cs="Times New Roman"/>
                <w:color w:val="000000"/>
                <w:sz w:val="24"/>
                <w:szCs w:val="24"/>
              </w:rPr>
              <w:t>Kentucky TB Prevention and Control Program</w:t>
            </w:r>
          </w:p>
        </w:tc>
        <w:tc>
          <w:tcPr>
            <w:tcW w:w="4230" w:type="dxa"/>
            <w:tcBorders>
              <w:top w:val="single" w:color="000000" w:sz="4" w:space="0"/>
              <w:left w:val="single" w:color="000000" w:sz="4" w:space="0"/>
              <w:bottom w:val="single" w:color="000000" w:sz="4" w:space="0"/>
              <w:right w:val="single" w:color="000000" w:sz="4" w:space="0"/>
            </w:tcBorders>
          </w:tcPr>
          <w:p w:rsidRPr="00E059CA" w:rsidR="00AB7FDC" w:rsidP="005242B1" w:rsidRDefault="00AB7FDC" w14:paraId="1CAE77A0" w14:textId="77777777">
            <w:pPr>
              <w:pStyle w:val="NoSpacing"/>
              <w:rPr>
                <w:rFonts w:ascii="Times New Roman" w:hAnsi="Times New Roman"/>
                <w:sz w:val="24"/>
                <w:szCs w:val="24"/>
              </w:rPr>
            </w:pPr>
            <w:r w:rsidRPr="00E059CA">
              <w:rPr>
                <w:rFonts w:ascii="Times New Roman" w:hAnsi="Times New Roman"/>
                <w:sz w:val="24"/>
                <w:szCs w:val="24"/>
              </w:rPr>
              <w:t>Consulted on the need for data collection, approved necessity of project</w:t>
            </w:r>
          </w:p>
        </w:tc>
      </w:tr>
      <w:tr w:rsidRPr="00E059CA" w:rsidR="00AB7FDC" w:rsidTr="004D460C" w14:paraId="51F76855" w14:textId="77777777">
        <w:tc>
          <w:tcPr>
            <w:tcW w:w="2016" w:type="dxa"/>
            <w:tcBorders>
              <w:top w:val="single" w:color="000000" w:sz="4" w:space="0"/>
              <w:left w:val="single" w:color="000000" w:sz="4" w:space="0"/>
              <w:bottom w:val="single" w:color="000000" w:sz="4" w:space="0"/>
              <w:right w:val="single" w:color="000000" w:sz="4" w:space="0"/>
            </w:tcBorders>
          </w:tcPr>
          <w:p w:rsidRPr="00E059CA" w:rsidR="00AB7FDC" w:rsidP="007D6814" w:rsidRDefault="00821790" w14:paraId="041477C7" w14:textId="73185C16">
            <w:pPr>
              <w:pStyle w:val="NoSpacing"/>
              <w:rPr>
                <w:rFonts w:ascii="Times New Roman" w:hAnsi="Times New Roman"/>
                <w:sz w:val="24"/>
                <w:szCs w:val="24"/>
              </w:rPr>
            </w:pPr>
            <w:r w:rsidRPr="00821790">
              <w:rPr>
                <w:rFonts w:ascii="Times New Roman" w:hAnsi="Times New Roman"/>
                <w:sz w:val="24"/>
                <w:szCs w:val="24"/>
              </w:rPr>
              <w:t>Fátima Leticia Luna López</w:t>
            </w:r>
            <w:r>
              <w:rPr>
                <w:rFonts w:ascii="Times New Roman" w:hAnsi="Times New Roman"/>
                <w:sz w:val="24"/>
                <w:szCs w:val="24"/>
              </w:rPr>
              <w:t>, MD</w:t>
            </w:r>
          </w:p>
        </w:tc>
        <w:tc>
          <w:tcPr>
            <w:tcW w:w="2461" w:type="dxa"/>
            <w:tcBorders>
              <w:top w:val="single" w:color="000000" w:sz="4" w:space="0"/>
              <w:left w:val="single" w:color="000000" w:sz="4" w:space="0"/>
              <w:bottom w:val="single" w:color="000000" w:sz="4" w:space="0"/>
              <w:right w:val="single" w:color="000000" w:sz="4" w:space="0"/>
            </w:tcBorders>
          </w:tcPr>
          <w:p w:rsidRPr="00E059CA" w:rsidR="00AB7FDC" w:rsidP="00674C1C" w:rsidRDefault="00AB7FDC" w14:paraId="2043AF63" w14:textId="77777777">
            <w:pPr>
              <w:pStyle w:val="NoSpacing"/>
              <w:rPr>
                <w:rFonts w:ascii="Times New Roman" w:hAnsi="Times New Roman"/>
                <w:sz w:val="24"/>
                <w:szCs w:val="24"/>
              </w:rPr>
            </w:pPr>
            <w:r w:rsidRPr="00E059CA">
              <w:rPr>
                <w:rFonts w:ascii="Times New Roman" w:hAnsi="Times New Roman"/>
                <w:sz w:val="24"/>
                <w:szCs w:val="24"/>
              </w:rPr>
              <w:t>Director</w:t>
            </w:r>
          </w:p>
          <w:p w:rsidRPr="00E059CA" w:rsidR="00AB7FDC" w:rsidP="00674C1C" w:rsidRDefault="00AB7FDC" w14:paraId="5FAC353E" w14:textId="77777777">
            <w:pPr>
              <w:pStyle w:val="NoSpacing"/>
              <w:rPr>
                <w:rFonts w:ascii="Times New Roman" w:hAnsi="Times New Roman"/>
                <w:sz w:val="24"/>
                <w:szCs w:val="24"/>
              </w:rPr>
            </w:pPr>
          </w:p>
          <w:p w:rsidRPr="00E059CA" w:rsidR="00AB7FDC" w:rsidP="00674C1C" w:rsidRDefault="00AB7FDC" w14:paraId="6C8361EA" w14:textId="77777777">
            <w:pPr>
              <w:pStyle w:val="NoSpacing"/>
              <w:rPr>
                <w:rFonts w:ascii="Times New Roman" w:hAnsi="Times New Roman"/>
                <w:sz w:val="24"/>
                <w:szCs w:val="24"/>
              </w:rPr>
            </w:pPr>
            <w:r w:rsidRPr="00E059CA">
              <w:rPr>
                <w:rFonts w:ascii="Times New Roman" w:hAnsi="Times New Roman"/>
                <w:sz w:val="24"/>
                <w:szCs w:val="24"/>
              </w:rPr>
              <w:t>Mexican National TB Program</w:t>
            </w:r>
          </w:p>
        </w:tc>
        <w:tc>
          <w:tcPr>
            <w:tcW w:w="4230" w:type="dxa"/>
            <w:tcBorders>
              <w:top w:val="single" w:color="000000" w:sz="4" w:space="0"/>
              <w:left w:val="single" w:color="000000" w:sz="4" w:space="0"/>
              <w:bottom w:val="single" w:color="000000" w:sz="4" w:space="0"/>
              <w:right w:val="single" w:color="000000" w:sz="4" w:space="0"/>
            </w:tcBorders>
          </w:tcPr>
          <w:p w:rsidRPr="00E059CA" w:rsidR="00AB7FDC" w:rsidP="005242B1" w:rsidRDefault="00AB7FDC" w14:paraId="07503869" w14:textId="77777777">
            <w:pPr>
              <w:pStyle w:val="NoSpacing"/>
              <w:rPr>
                <w:rFonts w:ascii="Times New Roman" w:hAnsi="Times New Roman"/>
                <w:sz w:val="24"/>
                <w:szCs w:val="24"/>
              </w:rPr>
            </w:pPr>
            <w:r w:rsidRPr="00E059CA">
              <w:rPr>
                <w:rFonts w:ascii="Times New Roman" w:hAnsi="Times New Roman"/>
                <w:sz w:val="24"/>
                <w:szCs w:val="24"/>
              </w:rPr>
              <w:t>Consulted on the need for data collection, approved necessity of project</w:t>
            </w:r>
          </w:p>
        </w:tc>
      </w:tr>
    </w:tbl>
    <w:p w:rsidRPr="00E059CA" w:rsidR="0088113F" w:rsidP="005242B1" w:rsidRDefault="0088113F" w14:paraId="1B6A6B4F" w14:textId="77777777">
      <w:pPr>
        <w:pStyle w:val="Heading2"/>
        <w:spacing w:line="240" w:lineRule="auto"/>
      </w:pPr>
      <w:bookmarkStart w:name="_Toc457379307" w:id="17"/>
      <w:r w:rsidRPr="00E059CA">
        <w:t>9</w:t>
      </w:r>
      <w:r w:rsidRPr="00E059CA" w:rsidR="00E97098">
        <w:t>.</w:t>
      </w:r>
      <w:r w:rsidRPr="00E059CA">
        <w:t xml:space="preserve"> Explanation of Any Payment or Gift to Respondents</w:t>
      </w:r>
      <w:bookmarkEnd w:id="17"/>
      <w:r w:rsidRPr="00E059CA">
        <w:t xml:space="preserve"> </w:t>
      </w:r>
    </w:p>
    <w:p w:rsidRPr="00E059CA" w:rsidR="003009B6" w:rsidP="005242B1" w:rsidRDefault="004F47AB" w14:paraId="5CA374CA" w14:textId="77777777">
      <w:pPr>
        <w:spacing w:line="240" w:lineRule="auto"/>
        <w:rPr>
          <w:rFonts w:ascii="Times New Roman" w:hAnsi="Times New Roman" w:cs="Times New Roman"/>
          <w:sz w:val="24"/>
          <w:szCs w:val="24"/>
        </w:rPr>
      </w:pPr>
      <w:r w:rsidRPr="00E059CA">
        <w:rPr>
          <w:rFonts w:ascii="Times New Roman" w:hAnsi="Times New Roman" w:cs="Times New Roman"/>
          <w:sz w:val="24"/>
          <w:szCs w:val="24"/>
        </w:rPr>
        <w:t xml:space="preserve">DGMQ will not provide remuneration </w:t>
      </w:r>
      <w:r w:rsidRPr="00E059CA" w:rsidR="007A5152">
        <w:rPr>
          <w:rFonts w:ascii="Times New Roman" w:hAnsi="Times New Roman" w:cs="Times New Roman"/>
          <w:sz w:val="24"/>
          <w:szCs w:val="24"/>
        </w:rPr>
        <w:t xml:space="preserve">or incentives </w:t>
      </w:r>
      <w:r w:rsidRPr="00E059CA" w:rsidR="00316243">
        <w:rPr>
          <w:rFonts w:ascii="Times New Roman" w:hAnsi="Times New Roman" w:cs="Times New Roman"/>
          <w:sz w:val="24"/>
          <w:szCs w:val="24"/>
        </w:rPr>
        <w:t>to participants</w:t>
      </w:r>
      <w:r w:rsidRPr="00E059CA" w:rsidR="006F065D">
        <w:rPr>
          <w:rFonts w:ascii="Times New Roman" w:hAnsi="Times New Roman" w:cs="Times New Roman"/>
          <w:sz w:val="24"/>
          <w:szCs w:val="24"/>
        </w:rPr>
        <w:t>.</w:t>
      </w:r>
    </w:p>
    <w:p w:rsidRPr="00E059CA" w:rsidR="00717EC0" w:rsidP="00717EC0" w:rsidRDefault="00717EC0" w14:paraId="05C440FA" w14:textId="77777777">
      <w:pPr>
        <w:pStyle w:val="Heading2"/>
        <w:spacing w:line="240" w:lineRule="auto"/>
      </w:pPr>
      <w:bookmarkStart w:name="_Toc457379308" w:id="18"/>
      <w:r w:rsidRPr="00E059CA">
        <w:t>10. Protection of the Privacy and Confidentiality of Information Provided by Respondents</w:t>
      </w:r>
      <w:bookmarkEnd w:id="18"/>
    </w:p>
    <w:p w:rsidRPr="001B34D0" w:rsidR="00AE5A98" w:rsidP="005242B1" w:rsidRDefault="000C0BB1" w14:paraId="54FD7742" w14:textId="3210E32E">
      <w:pPr>
        <w:spacing w:after="0" w:line="240" w:lineRule="auto"/>
        <w:rPr>
          <w:rFonts w:ascii="Times New Roman" w:hAnsi="Times New Roman" w:eastAsia="Times New Roman" w:cs="Times New Roman"/>
          <w:sz w:val="24"/>
          <w:szCs w:val="24"/>
        </w:rPr>
      </w:pPr>
      <w:r w:rsidRPr="001B34D0">
        <w:rPr>
          <w:rFonts w:ascii="Times New Roman" w:hAnsi="Times New Roman" w:eastAsia="Times New Roman" w:cs="Times New Roman"/>
          <w:sz w:val="24"/>
          <w:szCs w:val="24"/>
        </w:rPr>
        <w:t xml:space="preserve">CDC </w:t>
      </w:r>
      <w:r w:rsidRPr="001B34D0" w:rsidR="00AE5A98">
        <w:rPr>
          <w:rFonts w:ascii="Times New Roman" w:hAnsi="Times New Roman" w:eastAsia="Times New Roman" w:cs="Times New Roman"/>
          <w:sz w:val="24"/>
          <w:szCs w:val="24"/>
        </w:rPr>
        <w:t xml:space="preserve">has determined that the Privacy Act does apply to this information collection.  </w:t>
      </w:r>
      <w:r w:rsidRPr="001B34D0" w:rsidR="00E148A9">
        <w:rPr>
          <w:rFonts w:ascii="Times New Roman" w:hAnsi="Times New Roman" w:eastAsia="Times New Roman" w:cs="Times New Roman"/>
          <w:sz w:val="24"/>
          <w:szCs w:val="24"/>
        </w:rPr>
        <w:t xml:space="preserve">Individually identifiable data will be </w:t>
      </w:r>
      <w:r w:rsidRPr="001B34D0" w:rsidR="00253B22">
        <w:rPr>
          <w:rFonts w:ascii="Times New Roman" w:hAnsi="Times New Roman" w:eastAsia="Times New Roman" w:cs="Times New Roman"/>
          <w:sz w:val="24"/>
          <w:szCs w:val="24"/>
        </w:rPr>
        <w:t>stored according to</w:t>
      </w:r>
      <w:r w:rsidRPr="001B34D0" w:rsidR="00E148A9">
        <w:rPr>
          <w:rFonts w:ascii="Times New Roman" w:hAnsi="Times New Roman" w:eastAsia="Times New Roman" w:cs="Times New Roman"/>
          <w:sz w:val="24"/>
          <w:szCs w:val="24"/>
        </w:rPr>
        <w:t xml:space="preserve"> this system.  The applicable system of record notice is </w:t>
      </w:r>
      <w:r w:rsidRPr="001B34D0" w:rsidR="000D3D4F">
        <w:rPr>
          <w:rFonts w:ascii="Times New Roman" w:hAnsi="Times New Roman" w:eastAsia="Times New Roman" w:cs="Times New Roman"/>
          <w:sz w:val="24"/>
          <w:szCs w:val="24"/>
        </w:rPr>
        <w:t>Quarantine- and Traveler-Related Activities, Including Records for Contact Tracing Investigation and Notification under 42 CFR Parts 70 and 71</w:t>
      </w:r>
      <w:r w:rsidRPr="001B34D0" w:rsidR="00AE5A98">
        <w:rPr>
          <w:rFonts w:ascii="Times New Roman" w:hAnsi="Times New Roman" w:eastAsia="Times New Roman" w:cs="Times New Roman"/>
          <w:sz w:val="24"/>
          <w:szCs w:val="24"/>
        </w:rPr>
        <w:t xml:space="preserve">. </w:t>
      </w:r>
    </w:p>
    <w:p w:rsidRPr="001B34D0" w:rsidR="00AE5A98" w:rsidP="005242B1" w:rsidRDefault="00AE5A98" w14:paraId="1AD500E9" w14:textId="77777777">
      <w:pPr>
        <w:spacing w:after="0" w:line="240" w:lineRule="auto"/>
        <w:rPr>
          <w:rFonts w:ascii="Times New Roman" w:hAnsi="Times New Roman" w:eastAsia="Times New Roman" w:cs="Times New Roman"/>
          <w:sz w:val="24"/>
          <w:szCs w:val="24"/>
        </w:rPr>
      </w:pPr>
    </w:p>
    <w:p w:rsidRPr="001B34D0" w:rsidR="00452771" w:rsidP="00452771" w:rsidRDefault="00627A3C" w14:paraId="4C12AAB9" w14:textId="2EC0C8F0">
      <w:pPr>
        <w:spacing w:after="0" w:line="240" w:lineRule="auto"/>
        <w:rPr>
          <w:rFonts w:ascii="Times New Roman" w:hAnsi="Times New Roman" w:eastAsia="Times New Roman" w:cs="Times New Roman"/>
          <w:sz w:val="24"/>
          <w:szCs w:val="24"/>
        </w:rPr>
      </w:pPr>
      <w:r w:rsidRPr="00E059CA">
        <w:rPr>
          <w:rFonts w:ascii="Times New Roman" w:hAnsi="Times New Roman" w:eastAsia="Times New Roman" w:cs="Times New Roman"/>
          <w:sz w:val="24"/>
          <w:szCs w:val="24"/>
        </w:rPr>
        <w:lastRenderedPageBreak/>
        <w:t xml:space="preserve">DGMQ and contractors will follow procedures for </w:t>
      </w:r>
      <w:r w:rsidRPr="00E059CA" w:rsidR="001968D8">
        <w:rPr>
          <w:rFonts w:ascii="Times New Roman" w:hAnsi="Times New Roman" w:eastAsia="Times New Roman" w:cs="Times New Roman"/>
          <w:sz w:val="24"/>
          <w:szCs w:val="24"/>
        </w:rPr>
        <w:t xml:space="preserve">ensuring </w:t>
      </w:r>
      <w:r w:rsidRPr="00E059CA">
        <w:rPr>
          <w:rFonts w:ascii="Times New Roman" w:hAnsi="Times New Roman" w:eastAsia="Times New Roman" w:cs="Times New Roman"/>
          <w:sz w:val="24"/>
          <w:szCs w:val="24"/>
        </w:rPr>
        <w:t xml:space="preserve">and maintaining </w:t>
      </w:r>
      <w:r w:rsidRPr="00E059CA" w:rsidR="00DF563C">
        <w:rPr>
          <w:rFonts w:ascii="Times New Roman" w:hAnsi="Times New Roman" w:eastAsia="Times New Roman" w:cs="Times New Roman"/>
          <w:sz w:val="24"/>
          <w:szCs w:val="24"/>
        </w:rPr>
        <w:t>the security of the data</w:t>
      </w:r>
      <w:r w:rsidRPr="00E059CA" w:rsidR="00EB0852">
        <w:rPr>
          <w:rFonts w:ascii="Times New Roman" w:hAnsi="Times New Roman" w:eastAsia="Times New Roman" w:cs="Times New Roman"/>
          <w:sz w:val="24"/>
          <w:szCs w:val="24"/>
        </w:rPr>
        <w:t xml:space="preserve">.  </w:t>
      </w:r>
      <w:r w:rsidR="00821790">
        <w:rPr>
          <w:rFonts w:ascii="Times New Roman" w:hAnsi="Times New Roman" w:eastAsia="Times New Roman" w:cs="Times New Roman"/>
          <w:sz w:val="24"/>
          <w:szCs w:val="24"/>
        </w:rPr>
        <w:t>C</w:t>
      </w:r>
      <w:r w:rsidRPr="00E059CA" w:rsidR="00EB0852">
        <w:rPr>
          <w:rFonts w:ascii="Times New Roman" w:hAnsi="Times New Roman" w:eastAsia="Times New Roman" w:cs="Times New Roman"/>
          <w:sz w:val="24"/>
          <w:szCs w:val="24"/>
        </w:rPr>
        <w:t xml:space="preserve">ontract staff for </w:t>
      </w:r>
      <w:proofErr w:type="spellStart"/>
      <w:r w:rsidRPr="00E059CA" w:rsidR="00EB0852">
        <w:rPr>
          <w:rFonts w:ascii="Times New Roman" w:hAnsi="Times New Roman" w:eastAsia="Times New Roman" w:cs="Times New Roman"/>
          <w:sz w:val="24"/>
          <w:szCs w:val="24"/>
        </w:rPr>
        <w:t>CureTB</w:t>
      </w:r>
      <w:proofErr w:type="spellEnd"/>
      <w:r w:rsidRPr="00E059CA" w:rsidR="00EB0852">
        <w:rPr>
          <w:rFonts w:ascii="Times New Roman" w:hAnsi="Times New Roman" w:eastAsia="Times New Roman" w:cs="Times New Roman"/>
          <w:sz w:val="24"/>
          <w:szCs w:val="24"/>
        </w:rPr>
        <w:t xml:space="preserve"> must comply with CDC security standards. </w:t>
      </w:r>
      <w:r w:rsidR="00837743">
        <w:rPr>
          <w:rFonts w:ascii="Times New Roman" w:hAnsi="Times New Roman" w:eastAsia="Times New Roman" w:cs="Times New Roman"/>
          <w:sz w:val="24"/>
          <w:szCs w:val="24"/>
        </w:rPr>
        <w:t xml:space="preserve"> </w:t>
      </w:r>
      <w:r w:rsidRPr="001B34D0" w:rsidR="00EB0852">
        <w:rPr>
          <w:rFonts w:ascii="Times New Roman" w:hAnsi="Times New Roman" w:eastAsia="Times New Roman" w:cs="Times New Roman"/>
          <w:sz w:val="24"/>
          <w:szCs w:val="24"/>
        </w:rPr>
        <w:t>P</w:t>
      </w:r>
      <w:r w:rsidRPr="001B34D0" w:rsidR="00C51B8E">
        <w:rPr>
          <w:rFonts w:ascii="Times New Roman" w:hAnsi="Times New Roman" w:eastAsia="Times New Roman" w:cs="Times New Roman"/>
          <w:sz w:val="24"/>
          <w:szCs w:val="24"/>
        </w:rPr>
        <w:t xml:space="preserve">aper data forms will be stored in </w:t>
      </w:r>
      <w:r w:rsidRPr="001B34D0" w:rsidR="00EB0852">
        <w:rPr>
          <w:rFonts w:ascii="Times New Roman" w:hAnsi="Times New Roman" w:eastAsia="Times New Roman" w:cs="Times New Roman"/>
          <w:sz w:val="24"/>
          <w:szCs w:val="24"/>
        </w:rPr>
        <w:t xml:space="preserve">locked </w:t>
      </w:r>
      <w:r w:rsidRPr="001B34D0" w:rsidR="00C51B8E">
        <w:rPr>
          <w:rFonts w:ascii="Times New Roman" w:hAnsi="Times New Roman" w:eastAsia="Times New Roman" w:cs="Times New Roman"/>
          <w:sz w:val="24"/>
          <w:szCs w:val="24"/>
        </w:rPr>
        <w:t xml:space="preserve">cabinets </w:t>
      </w:r>
      <w:r w:rsidRPr="001B34D0" w:rsidR="00452771">
        <w:rPr>
          <w:rFonts w:ascii="Times New Roman" w:hAnsi="Times New Roman" w:eastAsia="Times New Roman" w:cs="Times New Roman"/>
          <w:sz w:val="24"/>
          <w:szCs w:val="24"/>
        </w:rPr>
        <w:t>at CDC headquarters and CDC Quarantine stations which are located in a secure area of the airport, in this case in a secured building owned by the San Diego Public Health Department used by CDC to house CDC and its contracted staff.</w:t>
      </w:r>
      <w:r w:rsidRPr="001B34D0" w:rsidR="00253B22">
        <w:rPr>
          <w:rFonts w:ascii="Times New Roman" w:hAnsi="Times New Roman" w:eastAsia="Times New Roman" w:cs="Times New Roman"/>
          <w:sz w:val="24"/>
          <w:szCs w:val="24"/>
        </w:rPr>
        <w:t xml:space="preserve">  Entry of electronic information pertinent to travel may also be </w:t>
      </w:r>
      <w:proofErr w:type="gramStart"/>
      <w:r w:rsidRPr="001B34D0" w:rsidR="00253B22">
        <w:rPr>
          <w:rFonts w:ascii="Times New Roman" w:hAnsi="Times New Roman" w:eastAsia="Times New Roman" w:cs="Times New Roman"/>
          <w:sz w:val="24"/>
          <w:szCs w:val="24"/>
        </w:rPr>
        <w:t>entered into</w:t>
      </w:r>
      <w:proofErr w:type="gramEnd"/>
      <w:r w:rsidRPr="001B34D0" w:rsidR="00253B22">
        <w:rPr>
          <w:rFonts w:ascii="Times New Roman" w:hAnsi="Times New Roman" w:eastAsia="Times New Roman" w:cs="Times New Roman"/>
          <w:sz w:val="24"/>
          <w:szCs w:val="24"/>
        </w:rPr>
        <w:t xml:space="preserve"> QARS at CDC headquarters in Atlanta.</w:t>
      </w:r>
      <w:r w:rsidRPr="001B34D0" w:rsidR="003306D3">
        <w:rPr>
          <w:rFonts w:ascii="Times New Roman" w:hAnsi="Times New Roman" w:eastAsia="Times New Roman" w:cs="Times New Roman"/>
          <w:sz w:val="24"/>
          <w:szCs w:val="24"/>
        </w:rPr>
        <w:t xml:space="preserve"> </w:t>
      </w:r>
      <w:r w:rsidR="00837743">
        <w:rPr>
          <w:rFonts w:ascii="Times New Roman" w:hAnsi="Times New Roman" w:eastAsia="Times New Roman" w:cs="Times New Roman"/>
          <w:sz w:val="24"/>
          <w:szCs w:val="24"/>
        </w:rPr>
        <w:t xml:space="preserve"> </w:t>
      </w:r>
      <w:proofErr w:type="gramStart"/>
      <w:r w:rsidRPr="001B34D0" w:rsidR="003306D3">
        <w:rPr>
          <w:rFonts w:ascii="Times New Roman" w:hAnsi="Times New Roman" w:eastAsia="Times New Roman" w:cs="Times New Roman"/>
          <w:sz w:val="24"/>
          <w:szCs w:val="24"/>
        </w:rPr>
        <w:t>The majority of</w:t>
      </w:r>
      <w:proofErr w:type="gramEnd"/>
      <w:r w:rsidRPr="001B34D0" w:rsidR="003306D3">
        <w:rPr>
          <w:rFonts w:ascii="Times New Roman" w:hAnsi="Times New Roman" w:eastAsia="Times New Roman" w:cs="Times New Roman"/>
          <w:sz w:val="24"/>
          <w:szCs w:val="24"/>
        </w:rPr>
        <w:t xml:space="preserve"> the data will be stored at the CDC office in San Diego.</w:t>
      </w:r>
    </w:p>
    <w:p w:rsidRPr="001B34D0" w:rsidR="00452771" w:rsidP="00452771" w:rsidRDefault="00452771" w14:paraId="08A305CD" w14:textId="77777777">
      <w:pPr>
        <w:spacing w:after="0" w:line="240" w:lineRule="auto"/>
        <w:rPr>
          <w:rFonts w:ascii="Times New Roman" w:hAnsi="Times New Roman" w:eastAsia="Times New Roman" w:cs="Times New Roman"/>
          <w:sz w:val="24"/>
          <w:szCs w:val="24"/>
        </w:rPr>
      </w:pPr>
    </w:p>
    <w:p w:rsidRPr="00E059CA" w:rsidR="00627A3C" w:rsidP="005242B1" w:rsidRDefault="00452771" w14:paraId="6161E229" w14:textId="7E1372CF">
      <w:pPr>
        <w:spacing w:after="0" w:line="240" w:lineRule="auto"/>
        <w:rPr>
          <w:rFonts w:ascii="Times New Roman" w:hAnsi="Times New Roman" w:eastAsia="Times New Roman" w:cs="Times New Roman"/>
          <w:sz w:val="24"/>
          <w:szCs w:val="24"/>
        </w:rPr>
      </w:pPr>
      <w:r w:rsidRPr="001B34D0">
        <w:rPr>
          <w:rFonts w:ascii="Times New Roman" w:hAnsi="Times New Roman" w:eastAsia="Times New Roman" w:cs="Times New Roman"/>
          <w:sz w:val="24"/>
          <w:szCs w:val="24"/>
        </w:rPr>
        <w:t xml:space="preserve">CDC and contractor employees who maintain records are instructed to check with the system manager prior to making disclosures of data. </w:t>
      </w:r>
      <w:r w:rsidR="00837743">
        <w:rPr>
          <w:rFonts w:ascii="Times New Roman" w:hAnsi="Times New Roman" w:eastAsia="Times New Roman" w:cs="Times New Roman"/>
          <w:sz w:val="24"/>
          <w:szCs w:val="24"/>
        </w:rPr>
        <w:t xml:space="preserve"> </w:t>
      </w:r>
      <w:r w:rsidRPr="001B34D0">
        <w:rPr>
          <w:rFonts w:ascii="Times New Roman" w:hAnsi="Times New Roman" w:eastAsia="Times New Roman" w:cs="Times New Roman"/>
          <w:sz w:val="24"/>
          <w:szCs w:val="24"/>
        </w:rPr>
        <w:t xml:space="preserve">When individually identified data are being used in a room, admittance at either CDC or contractor sites is restricted to specifically authorized personnel. </w:t>
      </w:r>
      <w:r w:rsidR="00837743">
        <w:rPr>
          <w:rFonts w:ascii="Times New Roman" w:hAnsi="Times New Roman" w:eastAsia="Times New Roman" w:cs="Times New Roman"/>
          <w:sz w:val="24"/>
          <w:szCs w:val="24"/>
        </w:rPr>
        <w:t xml:space="preserve"> </w:t>
      </w:r>
      <w:r w:rsidRPr="001B34D0">
        <w:rPr>
          <w:rFonts w:ascii="Times New Roman" w:hAnsi="Times New Roman" w:eastAsia="Times New Roman" w:cs="Times New Roman"/>
          <w:sz w:val="24"/>
          <w:szCs w:val="24"/>
        </w:rPr>
        <w:t xml:space="preserve">Privacy Act provisions are included in contracts, and the CDC Project Director, contract officers and project officers oversee compliance with these requirements. </w:t>
      </w:r>
      <w:r w:rsidR="00837743">
        <w:rPr>
          <w:rFonts w:ascii="Times New Roman" w:hAnsi="Times New Roman" w:eastAsia="Times New Roman" w:cs="Times New Roman"/>
          <w:sz w:val="24"/>
          <w:szCs w:val="24"/>
        </w:rPr>
        <w:t xml:space="preserve"> </w:t>
      </w:r>
      <w:r w:rsidRPr="001B34D0">
        <w:rPr>
          <w:rFonts w:ascii="Times New Roman" w:hAnsi="Times New Roman" w:eastAsia="Times New Roman" w:cs="Times New Roman"/>
          <w:sz w:val="24"/>
          <w:szCs w:val="24"/>
        </w:rPr>
        <w:t>Upon completion of the contract, all data will be either returned to CDC or destroyed, as specified by the contract.</w:t>
      </w:r>
    </w:p>
    <w:p w:rsidRPr="001B34D0" w:rsidR="00B52B26" w:rsidP="00246E8C" w:rsidRDefault="00B52B26" w14:paraId="37204CC0" w14:textId="77777777">
      <w:pPr>
        <w:tabs>
          <w:tab w:val="left" w:pos="-1440"/>
        </w:tabs>
        <w:spacing w:after="0" w:line="240" w:lineRule="auto"/>
        <w:rPr>
          <w:rFonts w:ascii="Times New Roman" w:hAnsi="Times New Roman" w:eastAsia="Times New Roman" w:cs="Times New Roman"/>
          <w:sz w:val="24"/>
          <w:szCs w:val="24"/>
        </w:rPr>
      </w:pPr>
    </w:p>
    <w:p w:rsidRPr="001B34D0" w:rsidR="00B8161D" w:rsidP="0007322E" w:rsidRDefault="004F580D" w14:paraId="032E35A9" w14:textId="44D428EA">
      <w:pPr>
        <w:tabs>
          <w:tab w:val="left" w:pos="-1440"/>
        </w:tabs>
        <w:spacing w:line="240" w:lineRule="auto"/>
        <w:rPr>
          <w:rFonts w:ascii="Times New Roman" w:hAnsi="Times New Roman" w:eastAsia="Times New Roman" w:cs="Times New Roman"/>
          <w:sz w:val="24"/>
          <w:szCs w:val="24"/>
        </w:rPr>
      </w:pPr>
      <w:r w:rsidRPr="001B34D0">
        <w:rPr>
          <w:rFonts w:ascii="Times New Roman" w:hAnsi="Times New Roman" w:eastAsia="Times New Roman" w:cs="Times New Roman"/>
          <w:sz w:val="24"/>
          <w:szCs w:val="24"/>
        </w:rPr>
        <w:t xml:space="preserve">All patient data accumulated by CDC is kept secure and stored according to CDC’s data security guidance and System of Records Notice. </w:t>
      </w:r>
      <w:r w:rsidR="00F04A91">
        <w:rPr>
          <w:rFonts w:ascii="Times New Roman" w:hAnsi="Times New Roman" w:eastAsia="Times New Roman" w:cs="Times New Roman"/>
          <w:sz w:val="24"/>
          <w:szCs w:val="24"/>
        </w:rPr>
        <w:t>CDC conducted a Privacy Impact Assessment (Att. G).</w:t>
      </w:r>
    </w:p>
    <w:p w:rsidRPr="001B34D0" w:rsidR="007E621F" w:rsidP="00A54DA5" w:rsidRDefault="004A1FAB" w14:paraId="1ECD440D" w14:textId="7FEF2391">
      <w:pPr>
        <w:tabs>
          <w:tab w:val="left" w:pos="-1440"/>
        </w:tabs>
        <w:spacing w:line="240" w:lineRule="auto"/>
        <w:rPr>
          <w:rFonts w:ascii="Times New Roman" w:hAnsi="Times New Roman" w:eastAsia="Times New Roman" w:cs="Times New Roman"/>
          <w:sz w:val="24"/>
          <w:szCs w:val="24"/>
        </w:rPr>
      </w:pPr>
      <w:r w:rsidRPr="001B34D0">
        <w:rPr>
          <w:rFonts w:ascii="Times New Roman" w:hAnsi="Times New Roman" w:eastAsia="Times New Roman" w:cs="Times New Roman"/>
          <w:sz w:val="24"/>
          <w:szCs w:val="24"/>
        </w:rPr>
        <w:t xml:space="preserve">Respondents send referrals to </w:t>
      </w:r>
      <w:r w:rsidRPr="001B34D0" w:rsidR="00430F93">
        <w:rPr>
          <w:rFonts w:ascii="Times New Roman" w:hAnsi="Times New Roman" w:eastAsia="Times New Roman" w:cs="Times New Roman"/>
          <w:sz w:val="24"/>
          <w:szCs w:val="24"/>
        </w:rPr>
        <w:t xml:space="preserve">CDC </w:t>
      </w:r>
      <w:proofErr w:type="spellStart"/>
      <w:r w:rsidRPr="001B34D0">
        <w:rPr>
          <w:rFonts w:ascii="Times New Roman" w:hAnsi="Times New Roman" w:eastAsia="Times New Roman" w:cs="Times New Roman"/>
          <w:sz w:val="24"/>
          <w:szCs w:val="24"/>
        </w:rPr>
        <w:t>CureTB</w:t>
      </w:r>
      <w:proofErr w:type="spellEnd"/>
      <w:r w:rsidRPr="001B34D0">
        <w:rPr>
          <w:rFonts w:ascii="Times New Roman" w:hAnsi="Times New Roman" w:eastAsia="Times New Roman" w:cs="Times New Roman"/>
          <w:sz w:val="24"/>
          <w:szCs w:val="24"/>
        </w:rPr>
        <w:t xml:space="preserve"> voluntarily</w:t>
      </w:r>
      <w:r w:rsidRPr="001B34D0" w:rsidR="007E621F">
        <w:rPr>
          <w:rFonts w:ascii="Times New Roman" w:hAnsi="Times New Roman" w:eastAsia="Times New Roman" w:cs="Times New Roman"/>
          <w:sz w:val="24"/>
          <w:szCs w:val="24"/>
        </w:rPr>
        <w:t xml:space="preserve"> </w:t>
      </w:r>
      <w:r w:rsidRPr="001B34D0">
        <w:rPr>
          <w:rFonts w:ascii="Times New Roman" w:hAnsi="Times New Roman" w:eastAsia="Times New Roman" w:cs="Times New Roman"/>
          <w:sz w:val="24"/>
          <w:szCs w:val="24"/>
        </w:rPr>
        <w:t xml:space="preserve">to enhance patient outcomes.  The CDC will not require this activity. </w:t>
      </w:r>
      <w:r w:rsidR="00837743">
        <w:rPr>
          <w:rFonts w:ascii="Times New Roman" w:hAnsi="Times New Roman" w:eastAsia="Times New Roman" w:cs="Times New Roman"/>
          <w:sz w:val="24"/>
          <w:szCs w:val="24"/>
        </w:rPr>
        <w:t xml:space="preserve"> </w:t>
      </w:r>
      <w:r w:rsidRPr="001B34D0">
        <w:rPr>
          <w:rFonts w:ascii="Times New Roman" w:hAnsi="Times New Roman" w:eastAsia="Times New Roman" w:cs="Times New Roman"/>
          <w:sz w:val="24"/>
          <w:szCs w:val="24"/>
        </w:rPr>
        <w:t xml:space="preserve">Respondents will be made aware that </w:t>
      </w:r>
      <w:r w:rsidRPr="001B34D0" w:rsidR="003203D1">
        <w:rPr>
          <w:rFonts w:ascii="Times New Roman" w:hAnsi="Times New Roman" w:eastAsia="Times New Roman" w:cs="Times New Roman"/>
          <w:sz w:val="24"/>
          <w:szCs w:val="24"/>
        </w:rPr>
        <w:t xml:space="preserve">de-identified, </w:t>
      </w:r>
      <w:r w:rsidRPr="001B34D0">
        <w:rPr>
          <w:rFonts w:ascii="Times New Roman" w:hAnsi="Times New Roman" w:eastAsia="Times New Roman" w:cs="Times New Roman"/>
          <w:sz w:val="24"/>
          <w:szCs w:val="24"/>
        </w:rPr>
        <w:t xml:space="preserve">aggregate data may be part of presentations or publications.  </w:t>
      </w:r>
    </w:p>
    <w:p w:rsidRPr="00E059CA" w:rsidR="00717EC0" w:rsidP="00717EC0" w:rsidRDefault="009D108F" w14:paraId="43B86E48" w14:textId="77777777">
      <w:pPr>
        <w:pStyle w:val="Heading2"/>
        <w:spacing w:line="240" w:lineRule="auto"/>
      </w:pPr>
      <w:bookmarkStart w:name="_Toc457379309" w:id="19"/>
      <w:r w:rsidRPr="00E059CA">
        <w:t>11</w:t>
      </w:r>
      <w:r w:rsidRPr="00E059CA" w:rsidR="00793E97">
        <w:t>.</w:t>
      </w:r>
      <w:r w:rsidRPr="00E059CA">
        <w:t xml:space="preserve"> </w:t>
      </w:r>
      <w:bookmarkStart w:name="_Toc441568630" w:id="20"/>
      <w:r w:rsidRPr="00E059CA" w:rsidR="00717EC0">
        <w:t>Institutional Review Board (IRB) and Justification for Sensitive Questions</w:t>
      </w:r>
      <w:bookmarkEnd w:id="19"/>
      <w:bookmarkEnd w:id="20"/>
    </w:p>
    <w:p w:rsidRPr="00E059CA" w:rsidR="00717EC0" w:rsidP="00717EC0" w:rsidRDefault="00717EC0" w14:paraId="156B9C8C" w14:textId="77777777">
      <w:pPr>
        <w:pStyle w:val="Heading3"/>
        <w:spacing w:line="240" w:lineRule="auto"/>
        <w:ind w:left="0"/>
      </w:pPr>
      <w:bookmarkStart w:name="_Toc457379310" w:id="21"/>
      <w:r w:rsidRPr="00E059CA">
        <w:t>IRB Approval</w:t>
      </w:r>
      <w:bookmarkEnd w:id="21"/>
    </w:p>
    <w:p w:rsidRPr="00E059CA" w:rsidR="001D2976" w:rsidP="005242B1" w:rsidRDefault="004A1FAB" w14:paraId="5C6158E9" w14:textId="6CEA4CB1">
      <w:pPr>
        <w:pStyle w:val="ListParagraph"/>
        <w:spacing w:after="0" w:line="240" w:lineRule="auto"/>
        <w:ind w:left="0"/>
        <w:rPr>
          <w:rFonts w:ascii="Times New Roman" w:hAnsi="Times New Roman" w:cs="Times New Roman"/>
          <w:sz w:val="24"/>
          <w:szCs w:val="24"/>
        </w:rPr>
      </w:pPr>
      <w:r w:rsidRPr="00E059CA">
        <w:rPr>
          <w:rFonts w:ascii="Times New Roman" w:hAnsi="Times New Roman" w:cs="Times New Roman"/>
          <w:sz w:val="24"/>
          <w:szCs w:val="24"/>
        </w:rPr>
        <w:t>Data collected will be only that which is required to maintain continuity of patient care</w:t>
      </w:r>
      <w:r w:rsidRPr="00E059CA" w:rsidR="00E827A5">
        <w:rPr>
          <w:rFonts w:ascii="Times New Roman" w:hAnsi="Times New Roman" w:cs="Times New Roman"/>
          <w:sz w:val="24"/>
          <w:szCs w:val="24"/>
        </w:rPr>
        <w:t xml:space="preserve"> and includes limited clinical</w:t>
      </w:r>
      <w:r w:rsidR="004F580D">
        <w:rPr>
          <w:rFonts w:ascii="Times New Roman" w:hAnsi="Times New Roman" w:cs="Times New Roman"/>
          <w:sz w:val="24"/>
          <w:szCs w:val="24"/>
        </w:rPr>
        <w:t xml:space="preserve"> data concerning the TB diagnosis and treatment,</w:t>
      </w:r>
      <w:r w:rsidRPr="00E059CA" w:rsidR="00E827A5">
        <w:rPr>
          <w:rFonts w:ascii="Times New Roman" w:hAnsi="Times New Roman" w:cs="Times New Roman"/>
          <w:sz w:val="24"/>
          <w:szCs w:val="24"/>
        </w:rPr>
        <w:t xml:space="preserve"> and contact information</w:t>
      </w:r>
      <w:r w:rsidR="0068511C">
        <w:rPr>
          <w:rFonts w:ascii="Times New Roman" w:hAnsi="Times New Roman" w:cs="Times New Roman"/>
          <w:sz w:val="24"/>
          <w:szCs w:val="24"/>
        </w:rPr>
        <w:t xml:space="preserve"> described in section A2</w:t>
      </w:r>
      <w:r w:rsidRPr="00E059CA" w:rsidR="00E827A5">
        <w:rPr>
          <w:rFonts w:ascii="Times New Roman" w:hAnsi="Times New Roman" w:cs="Times New Roman"/>
          <w:sz w:val="24"/>
          <w:szCs w:val="24"/>
        </w:rPr>
        <w:t xml:space="preserve">. </w:t>
      </w:r>
      <w:r w:rsidRPr="00E059CA" w:rsidR="001A11E2">
        <w:rPr>
          <w:rFonts w:ascii="Times New Roman" w:hAnsi="Times New Roman" w:cs="Times New Roman"/>
          <w:sz w:val="24"/>
          <w:szCs w:val="24"/>
        </w:rPr>
        <w:t xml:space="preserve"> The collection of this data is consi</w:t>
      </w:r>
      <w:r w:rsidRPr="00E059CA" w:rsidR="00650FB8">
        <w:rPr>
          <w:rFonts w:ascii="Times New Roman" w:hAnsi="Times New Roman" w:cs="Times New Roman"/>
          <w:sz w:val="24"/>
          <w:szCs w:val="24"/>
        </w:rPr>
        <w:t>stent with public health practice</w:t>
      </w:r>
      <w:proofErr w:type="gramStart"/>
      <w:r w:rsidRPr="00E059CA" w:rsidR="00650FB8">
        <w:rPr>
          <w:rFonts w:ascii="Times New Roman" w:hAnsi="Times New Roman" w:cs="Times New Roman"/>
          <w:sz w:val="24"/>
          <w:szCs w:val="24"/>
        </w:rPr>
        <w:t>, in particular, case</w:t>
      </w:r>
      <w:proofErr w:type="gramEnd"/>
      <w:r w:rsidRPr="00E059CA" w:rsidR="00650FB8">
        <w:rPr>
          <w:rFonts w:ascii="Times New Roman" w:hAnsi="Times New Roman" w:cs="Times New Roman"/>
          <w:sz w:val="24"/>
          <w:szCs w:val="24"/>
        </w:rPr>
        <w:t xml:space="preserve"> management and quality management.  </w:t>
      </w:r>
      <w:r w:rsidRPr="00E059CA" w:rsidR="00091EF0">
        <w:rPr>
          <w:rFonts w:ascii="Times New Roman" w:hAnsi="Times New Roman" w:cs="Times New Roman"/>
          <w:sz w:val="24"/>
          <w:szCs w:val="24"/>
        </w:rPr>
        <w:t xml:space="preserve">The project description has been submitted to the National Center for Emerging and Zoonotic Infectious Disease </w:t>
      </w:r>
      <w:r w:rsidRPr="00E059CA" w:rsidR="00AB7FDC">
        <w:rPr>
          <w:rFonts w:ascii="Times New Roman" w:hAnsi="Times New Roman" w:cs="Times New Roman"/>
          <w:sz w:val="24"/>
          <w:szCs w:val="24"/>
        </w:rPr>
        <w:t xml:space="preserve">and this collection has received a non-research determination. (Attachment </w:t>
      </w:r>
      <w:r w:rsidR="00E9334C">
        <w:rPr>
          <w:rFonts w:ascii="Times New Roman" w:hAnsi="Times New Roman" w:cs="Times New Roman"/>
          <w:sz w:val="24"/>
          <w:szCs w:val="24"/>
        </w:rPr>
        <w:t>F</w:t>
      </w:r>
      <w:r w:rsidRPr="00E059CA" w:rsidR="00AB7FDC">
        <w:rPr>
          <w:rFonts w:ascii="Times New Roman" w:hAnsi="Times New Roman" w:cs="Times New Roman"/>
          <w:sz w:val="24"/>
          <w:szCs w:val="24"/>
        </w:rPr>
        <w:t>)</w:t>
      </w:r>
    </w:p>
    <w:p w:rsidRPr="00E059CA" w:rsidR="001D2976" w:rsidP="005242B1" w:rsidRDefault="001D2976" w14:paraId="1D9CC960" w14:textId="77777777">
      <w:pPr>
        <w:pStyle w:val="ListParagraph"/>
        <w:spacing w:after="0" w:line="240" w:lineRule="auto"/>
        <w:ind w:left="0"/>
        <w:rPr>
          <w:rFonts w:ascii="Times New Roman" w:hAnsi="Times New Roman" w:cs="Times New Roman"/>
          <w:sz w:val="24"/>
          <w:szCs w:val="24"/>
          <w:u w:val="single"/>
        </w:rPr>
      </w:pPr>
    </w:p>
    <w:p w:rsidRPr="00E059CA" w:rsidR="00760CF6" w:rsidP="005242B1" w:rsidRDefault="001D2976" w14:paraId="22E61C7A" w14:textId="77777777">
      <w:pPr>
        <w:pStyle w:val="ListParagraph"/>
        <w:spacing w:after="0" w:line="240" w:lineRule="auto"/>
        <w:ind w:left="0"/>
        <w:rPr>
          <w:rFonts w:ascii="Times New Roman" w:hAnsi="Times New Roman" w:cs="Times New Roman"/>
          <w:sz w:val="24"/>
          <w:szCs w:val="24"/>
        </w:rPr>
      </w:pPr>
      <w:r w:rsidRPr="00E059CA">
        <w:rPr>
          <w:rFonts w:ascii="Times New Roman" w:hAnsi="Times New Roman" w:cs="Times New Roman"/>
          <w:sz w:val="24"/>
          <w:szCs w:val="24"/>
          <w:u w:val="single"/>
        </w:rPr>
        <w:t>Justification for Sensitive Questions</w:t>
      </w:r>
      <w:r w:rsidRPr="00E059CA" w:rsidR="00091EF0">
        <w:rPr>
          <w:rFonts w:ascii="Times New Roman" w:hAnsi="Times New Roman" w:cs="Times New Roman"/>
          <w:sz w:val="24"/>
          <w:szCs w:val="24"/>
        </w:rPr>
        <w:t xml:space="preserve"> </w:t>
      </w:r>
    </w:p>
    <w:p w:rsidRPr="00E059CA" w:rsidR="004E3925" w:rsidP="005242B1" w:rsidRDefault="00EB0852" w14:paraId="70DF3B6D" w14:textId="4B286104">
      <w:pPr>
        <w:pStyle w:val="ListParagraph"/>
        <w:spacing w:after="0" w:line="240" w:lineRule="auto"/>
        <w:ind w:left="0"/>
        <w:rPr>
          <w:rFonts w:ascii="Times New Roman" w:hAnsi="Times New Roman" w:cs="Times New Roman"/>
          <w:sz w:val="24"/>
          <w:szCs w:val="24"/>
        </w:rPr>
      </w:pPr>
      <w:r w:rsidRPr="00E059CA">
        <w:rPr>
          <w:rFonts w:ascii="Times New Roman" w:hAnsi="Times New Roman" w:cs="Times New Roman"/>
          <w:sz w:val="24"/>
          <w:szCs w:val="24"/>
        </w:rPr>
        <w:t xml:space="preserve">There are no sensitive questions asked by </w:t>
      </w:r>
      <w:r w:rsidR="001B69AC">
        <w:rPr>
          <w:rFonts w:ascii="Times New Roman" w:hAnsi="Times New Roman" w:cs="Times New Roman"/>
          <w:sz w:val="24"/>
          <w:szCs w:val="24"/>
        </w:rPr>
        <w:t xml:space="preserve">CDC </w:t>
      </w:r>
      <w:proofErr w:type="spellStart"/>
      <w:r w:rsidRPr="00E059CA">
        <w:rPr>
          <w:rFonts w:ascii="Times New Roman" w:hAnsi="Times New Roman" w:cs="Times New Roman"/>
          <w:sz w:val="24"/>
          <w:szCs w:val="24"/>
        </w:rPr>
        <w:t>CureTB</w:t>
      </w:r>
      <w:proofErr w:type="spellEnd"/>
      <w:r w:rsidRPr="00E059CA">
        <w:rPr>
          <w:rFonts w:ascii="Times New Roman" w:hAnsi="Times New Roman" w:cs="Times New Roman"/>
          <w:sz w:val="24"/>
          <w:szCs w:val="24"/>
        </w:rPr>
        <w:t>.  Health entities will provide the information needed to assure clients get appropriate downstream care.</w:t>
      </w:r>
      <w:r w:rsidR="006503F9">
        <w:rPr>
          <w:rFonts w:ascii="Times New Roman" w:hAnsi="Times New Roman" w:cs="Times New Roman"/>
          <w:sz w:val="24"/>
          <w:szCs w:val="24"/>
        </w:rPr>
        <w:t xml:space="preserve"> </w:t>
      </w:r>
      <w:r w:rsidR="00837743">
        <w:rPr>
          <w:rFonts w:ascii="Times New Roman" w:hAnsi="Times New Roman" w:cs="Times New Roman"/>
          <w:sz w:val="24"/>
          <w:szCs w:val="24"/>
        </w:rPr>
        <w:t xml:space="preserve"> </w:t>
      </w:r>
      <w:r w:rsidR="006503F9">
        <w:rPr>
          <w:rFonts w:ascii="Times New Roman" w:hAnsi="Times New Roman" w:cs="Times New Roman"/>
          <w:sz w:val="24"/>
          <w:szCs w:val="24"/>
        </w:rPr>
        <w:t xml:space="preserve">While some content may be sensitive, </w:t>
      </w:r>
      <w:r w:rsidRPr="006503F9" w:rsidR="006503F9">
        <w:rPr>
          <w:rFonts w:ascii="Times New Roman" w:hAnsi="Times New Roman" w:cs="Times New Roman"/>
          <w:sz w:val="24"/>
          <w:szCs w:val="24"/>
        </w:rPr>
        <w:t xml:space="preserve">TB control and continuity of care aims cannot be achieved without </w:t>
      </w:r>
      <w:r w:rsidR="006503F9">
        <w:rPr>
          <w:rFonts w:ascii="Times New Roman" w:hAnsi="Times New Roman" w:cs="Times New Roman"/>
          <w:sz w:val="24"/>
          <w:szCs w:val="24"/>
        </w:rPr>
        <w:t>sharing with appropriate health authorities and healthcare providers.</w:t>
      </w:r>
    </w:p>
    <w:p w:rsidRPr="00E059CA" w:rsidR="004D48F5" w:rsidP="005242B1" w:rsidRDefault="003E3192" w14:paraId="3EB0C766" w14:textId="4DBB6365">
      <w:pPr>
        <w:pStyle w:val="Heading2"/>
        <w:spacing w:line="240" w:lineRule="auto"/>
      </w:pPr>
      <w:bookmarkStart w:name="_Toc457379311" w:id="22"/>
      <w:r w:rsidRPr="00E059CA">
        <w:t>1</w:t>
      </w:r>
      <w:r w:rsidRPr="00E059CA" w:rsidR="009D108F">
        <w:t>2</w:t>
      </w:r>
      <w:r w:rsidRPr="00E059CA" w:rsidR="00793E97">
        <w:t>.</w:t>
      </w:r>
      <w:r w:rsidRPr="00E059CA" w:rsidR="009D108F">
        <w:t xml:space="preserve"> Estimates of Annualized Burden Hours and Costs</w:t>
      </w:r>
      <w:bookmarkEnd w:id="22"/>
    </w:p>
    <w:p w:rsidR="00281F29" w:rsidP="00E777D0" w:rsidRDefault="00B45B75" w14:paraId="30029950" w14:textId="7C78D8BE">
      <w:pPr>
        <w:spacing w:after="0" w:line="240" w:lineRule="auto"/>
        <w:rPr>
          <w:rFonts w:ascii="Times New Roman" w:hAnsi="Times New Roman" w:eastAsia="Times New Roman" w:cs="Times New Roman"/>
          <w:bCs/>
          <w:iCs/>
          <w:sz w:val="24"/>
          <w:szCs w:val="24"/>
        </w:rPr>
      </w:pPr>
      <w:r w:rsidRPr="00E059CA">
        <w:rPr>
          <w:rFonts w:ascii="Times New Roman" w:hAnsi="Times New Roman" w:eastAsia="Times New Roman" w:cs="Times New Roman"/>
          <w:bCs/>
          <w:iCs/>
          <w:sz w:val="24"/>
          <w:szCs w:val="24"/>
        </w:rPr>
        <w:t xml:space="preserve">A. </w:t>
      </w:r>
      <w:r w:rsidRPr="00E059CA" w:rsidR="003E3192">
        <w:rPr>
          <w:rFonts w:ascii="Times New Roman" w:hAnsi="Times New Roman" w:eastAsia="Times New Roman" w:cs="Times New Roman"/>
          <w:bCs/>
          <w:iCs/>
          <w:sz w:val="24"/>
          <w:szCs w:val="24"/>
        </w:rPr>
        <w:t xml:space="preserve">Health departments </w:t>
      </w:r>
      <w:r w:rsidRPr="00E059CA" w:rsidR="00EE1309">
        <w:rPr>
          <w:rFonts w:ascii="Times New Roman" w:hAnsi="Times New Roman" w:eastAsia="Times New Roman" w:cs="Times New Roman"/>
          <w:bCs/>
          <w:iCs/>
          <w:sz w:val="24"/>
          <w:szCs w:val="24"/>
        </w:rPr>
        <w:t xml:space="preserve">submit </w:t>
      </w:r>
      <w:r w:rsidR="001B69AC">
        <w:rPr>
          <w:rFonts w:ascii="Times New Roman" w:hAnsi="Times New Roman" w:eastAsia="Times New Roman" w:cs="Times New Roman"/>
          <w:bCs/>
          <w:iCs/>
          <w:sz w:val="24"/>
          <w:szCs w:val="24"/>
        </w:rPr>
        <w:t xml:space="preserve">CDC </w:t>
      </w:r>
      <w:proofErr w:type="spellStart"/>
      <w:r w:rsidRPr="00E059CA" w:rsidR="0031796B">
        <w:rPr>
          <w:rFonts w:ascii="Times New Roman" w:hAnsi="Times New Roman" w:eastAsia="Times New Roman" w:cs="Times New Roman"/>
          <w:bCs/>
          <w:iCs/>
          <w:sz w:val="24"/>
          <w:szCs w:val="24"/>
        </w:rPr>
        <w:t>CureTB</w:t>
      </w:r>
      <w:proofErr w:type="spellEnd"/>
      <w:r w:rsidRPr="00E059CA" w:rsidR="0031796B">
        <w:rPr>
          <w:rFonts w:ascii="Times New Roman" w:hAnsi="Times New Roman" w:eastAsia="Times New Roman" w:cs="Times New Roman"/>
          <w:bCs/>
          <w:iCs/>
          <w:sz w:val="24"/>
          <w:szCs w:val="24"/>
        </w:rPr>
        <w:t xml:space="preserve"> forms</w:t>
      </w:r>
      <w:r w:rsidRPr="00E059CA" w:rsidR="004823ED">
        <w:rPr>
          <w:rFonts w:ascii="Times New Roman" w:hAnsi="Times New Roman" w:eastAsia="Times New Roman" w:cs="Times New Roman"/>
          <w:bCs/>
          <w:iCs/>
          <w:sz w:val="24"/>
          <w:szCs w:val="24"/>
        </w:rPr>
        <w:t xml:space="preserve"> (Attachment</w:t>
      </w:r>
      <w:r w:rsidR="0085154E">
        <w:rPr>
          <w:rFonts w:ascii="Times New Roman" w:hAnsi="Times New Roman" w:eastAsia="Times New Roman" w:cs="Times New Roman"/>
          <w:bCs/>
          <w:iCs/>
          <w:sz w:val="24"/>
          <w:szCs w:val="24"/>
        </w:rPr>
        <w:t xml:space="preserve"> </w:t>
      </w:r>
      <w:r w:rsidR="00E9334C">
        <w:rPr>
          <w:rFonts w:ascii="Times New Roman" w:hAnsi="Times New Roman" w:eastAsia="Times New Roman" w:cs="Times New Roman"/>
          <w:bCs/>
          <w:iCs/>
          <w:sz w:val="24"/>
          <w:szCs w:val="24"/>
        </w:rPr>
        <w:t>C</w:t>
      </w:r>
      <w:r w:rsidRPr="00E059CA" w:rsidR="009A586B">
        <w:rPr>
          <w:rFonts w:ascii="Times New Roman" w:hAnsi="Times New Roman" w:eastAsia="Times New Roman" w:cs="Times New Roman"/>
          <w:bCs/>
          <w:iCs/>
          <w:sz w:val="24"/>
          <w:szCs w:val="24"/>
        </w:rPr>
        <w:t xml:space="preserve">, </w:t>
      </w:r>
      <w:proofErr w:type="spellStart"/>
      <w:r w:rsidRPr="00E059CA" w:rsidR="009A586B">
        <w:rPr>
          <w:rFonts w:ascii="Times New Roman" w:hAnsi="Times New Roman" w:eastAsia="Times New Roman" w:cs="Times New Roman"/>
          <w:bCs/>
          <w:iCs/>
          <w:sz w:val="24"/>
          <w:szCs w:val="24"/>
        </w:rPr>
        <w:t>CureTB</w:t>
      </w:r>
      <w:proofErr w:type="spellEnd"/>
      <w:r w:rsidRPr="00E059CA" w:rsidR="009A586B">
        <w:rPr>
          <w:rFonts w:ascii="Times New Roman" w:hAnsi="Times New Roman" w:eastAsia="Times New Roman" w:cs="Times New Roman"/>
          <w:bCs/>
          <w:iCs/>
          <w:sz w:val="24"/>
          <w:szCs w:val="24"/>
        </w:rPr>
        <w:t xml:space="preserve"> Transnational Notification</w:t>
      </w:r>
      <w:r w:rsidR="00E951CC">
        <w:rPr>
          <w:rFonts w:ascii="Times New Roman" w:hAnsi="Times New Roman" w:eastAsia="Times New Roman" w:cs="Times New Roman"/>
          <w:bCs/>
          <w:iCs/>
          <w:sz w:val="24"/>
          <w:szCs w:val="24"/>
        </w:rPr>
        <w:t>)</w:t>
      </w:r>
      <w:r w:rsidR="00BC1631">
        <w:rPr>
          <w:rFonts w:ascii="Times New Roman" w:hAnsi="Times New Roman" w:eastAsia="Times New Roman" w:cs="Times New Roman"/>
          <w:bCs/>
          <w:iCs/>
          <w:sz w:val="24"/>
          <w:szCs w:val="24"/>
        </w:rPr>
        <w:t xml:space="preserve"> to the </w:t>
      </w:r>
      <w:proofErr w:type="spellStart"/>
      <w:r w:rsidR="00BC1631">
        <w:rPr>
          <w:rFonts w:ascii="Times New Roman" w:hAnsi="Times New Roman" w:eastAsia="Times New Roman" w:cs="Times New Roman"/>
          <w:bCs/>
          <w:iCs/>
          <w:sz w:val="24"/>
          <w:szCs w:val="24"/>
        </w:rPr>
        <w:t>CureTB</w:t>
      </w:r>
      <w:proofErr w:type="spellEnd"/>
      <w:r w:rsidR="00BC1631">
        <w:rPr>
          <w:rFonts w:ascii="Times New Roman" w:hAnsi="Times New Roman" w:eastAsia="Times New Roman" w:cs="Times New Roman"/>
          <w:bCs/>
          <w:iCs/>
          <w:sz w:val="24"/>
          <w:szCs w:val="24"/>
        </w:rPr>
        <w:t xml:space="preserve"> program</w:t>
      </w:r>
      <w:r w:rsidR="00E951CC">
        <w:rPr>
          <w:rFonts w:ascii="Times New Roman" w:hAnsi="Times New Roman" w:eastAsia="Times New Roman" w:cs="Times New Roman"/>
          <w:bCs/>
          <w:iCs/>
          <w:sz w:val="24"/>
          <w:szCs w:val="24"/>
        </w:rPr>
        <w:t xml:space="preserve"> </w:t>
      </w:r>
      <w:r w:rsidR="00BC1631">
        <w:rPr>
          <w:rFonts w:ascii="Times New Roman" w:hAnsi="Times New Roman" w:eastAsia="Times New Roman" w:cs="Times New Roman"/>
          <w:bCs/>
          <w:iCs/>
          <w:sz w:val="24"/>
          <w:szCs w:val="24"/>
        </w:rPr>
        <w:t>each time they</w:t>
      </w:r>
      <w:r w:rsidRPr="00E059CA" w:rsidR="0031796B">
        <w:rPr>
          <w:rFonts w:ascii="Times New Roman" w:hAnsi="Times New Roman" w:eastAsia="Times New Roman" w:cs="Times New Roman"/>
          <w:bCs/>
          <w:iCs/>
          <w:sz w:val="24"/>
          <w:szCs w:val="24"/>
        </w:rPr>
        <w:t xml:space="preserve"> request </w:t>
      </w:r>
      <w:r w:rsidR="005A25CC">
        <w:rPr>
          <w:rFonts w:ascii="Times New Roman" w:hAnsi="Times New Roman" w:eastAsia="Times New Roman" w:cs="Times New Roman"/>
          <w:bCs/>
          <w:iCs/>
          <w:sz w:val="24"/>
          <w:szCs w:val="24"/>
        </w:rPr>
        <w:t xml:space="preserve">TB </w:t>
      </w:r>
      <w:r w:rsidRPr="00E059CA" w:rsidR="003E3192">
        <w:rPr>
          <w:rFonts w:ascii="Times New Roman" w:hAnsi="Times New Roman" w:eastAsia="Times New Roman" w:cs="Times New Roman"/>
          <w:bCs/>
          <w:iCs/>
          <w:sz w:val="24"/>
          <w:szCs w:val="24"/>
        </w:rPr>
        <w:t xml:space="preserve">referral </w:t>
      </w:r>
      <w:r w:rsidRPr="00E059CA" w:rsidR="0031796B">
        <w:rPr>
          <w:rFonts w:ascii="Times New Roman" w:hAnsi="Times New Roman" w:eastAsia="Times New Roman" w:cs="Times New Roman"/>
          <w:bCs/>
          <w:iCs/>
          <w:sz w:val="24"/>
          <w:szCs w:val="24"/>
        </w:rPr>
        <w:t xml:space="preserve">services. </w:t>
      </w:r>
      <w:r w:rsidR="00322962">
        <w:rPr>
          <w:rFonts w:ascii="Times New Roman" w:hAnsi="Times New Roman" w:eastAsia="Times New Roman" w:cs="Times New Roman"/>
          <w:bCs/>
          <w:iCs/>
          <w:sz w:val="24"/>
          <w:szCs w:val="24"/>
        </w:rPr>
        <w:t xml:space="preserve"> </w:t>
      </w:r>
      <w:r w:rsidRPr="00322962" w:rsidR="00322962">
        <w:rPr>
          <w:rFonts w:ascii="Times New Roman" w:hAnsi="Times New Roman" w:eastAsia="Times New Roman" w:cs="Times New Roman"/>
          <w:bCs/>
          <w:iCs/>
          <w:sz w:val="24"/>
          <w:szCs w:val="24"/>
        </w:rPr>
        <w:t xml:space="preserve">One referral is sent for each patient. </w:t>
      </w:r>
      <w:r w:rsidR="00322962">
        <w:rPr>
          <w:rFonts w:ascii="Times New Roman" w:hAnsi="Times New Roman" w:eastAsia="Times New Roman" w:cs="Times New Roman"/>
          <w:bCs/>
          <w:iCs/>
          <w:sz w:val="24"/>
          <w:szCs w:val="24"/>
        </w:rPr>
        <w:t xml:space="preserve"> </w:t>
      </w:r>
      <w:r w:rsidR="00281F29">
        <w:rPr>
          <w:rFonts w:ascii="Times New Roman" w:hAnsi="Times New Roman" w:eastAsia="Times New Roman" w:cs="Times New Roman"/>
          <w:bCs/>
          <w:iCs/>
          <w:sz w:val="24"/>
          <w:szCs w:val="24"/>
        </w:rPr>
        <w:t xml:space="preserve">On average, 70 health departments send approximately </w:t>
      </w:r>
      <w:r w:rsidR="00322962">
        <w:rPr>
          <w:rFonts w:ascii="Times New Roman" w:hAnsi="Times New Roman" w:eastAsia="Times New Roman" w:cs="Times New Roman"/>
          <w:bCs/>
          <w:iCs/>
          <w:sz w:val="24"/>
          <w:szCs w:val="24"/>
        </w:rPr>
        <w:t>4</w:t>
      </w:r>
      <w:r w:rsidR="00281F29">
        <w:rPr>
          <w:rFonts w:ascii="Times New Roman" w:hAnsi="Times New Roman" w:eastAsia="Times New Roman" w:cs="Times New Roman"/>
          <w:bCs/>
          <w:iCs/>
          <w:sz w:val="24"/>
          <w:szCs w:val="24"/>
        </w:rPr>
        <w:t xml:space="preserve"> referrals each year to the </w:t>
      </w:r>
      <w:proofErr w:type="spellStart"/>
      <w:r w:rsidR="00281F29">
        <w:rPr>
          <w:rFonts w:ascii="Times New Roman" w:hAnsi="Times New Roman" w:eastAsia="Times New Roman" w:cs="Times New Roman"/>
          <w:bCs/>
          <w:iCs/>
          <w:sz w:val="24"/>
          <w:szCs w:val="24"/>
        </w:rPr>
        <w:t>CureTB</w:t>
      </w:r>
      <w:proofErr w:type="spellEnd"/>
      <w:r w:rsidR="00281F29">
        <w:rPr>
          <w:rFonts w:ascii="Times New Roman" w:hAnsi="Times New Roman" w:eastAsia="Times New Roman" w:cs="Times New Roman"/>
          <w:bCs/>
          <w:iCs/>
          <w:sz w:val="24"/>
          <w:szCs w:val="24"/>
        </w:rPr>
        <w:t xml:space="preserve"> program, making a total of 280 referrals from health departments annually.</w:t>
      </w:r>
      <w:r w:rsidRPr="00C4604B" w:rsidR="00C4604B">
        <w:rPr>
          <w:rFonts w:ascii="Times New Roman" w:hAnsi="Times New Roman" w:eastAsia="Times New Roman" w:cs="Times New Roman"/>
          <w:bCs/>
          <w:iCs/>
          <w:sz w:val="24"/>
          <w:szCs w:val="24"/>
        </w:rPr>
        <w:t xml:space="preserve"> </w:t>
      </w:r>
      <w:r w:rsidR="003A62FB">
        <w:rPr>
          <w:rFonts w:ascii="Times New Roman" w:hAnsi="Times New Roman" w:eastAsia="Times New Roman" w:cs="Times New Roman"/>
          <w:bCs/>
          <w:iCs/>
          <w:sz w:val="24"/>
          <w:szCs w:val="24"/>
        </w:rPr>
        <w:t xml:space="preserve"> </w:t>
      </w:r>
      <w:r w:rsidRPr="00E059CA" w:rsidR="00C4604B">
        <w:rPr>
          <w:rFonts w:ascii="Times New Roman" w:hAnsi="Times New Roman" w:eastAsia="Times New Roman" w:cs="Times New Roman"/>
          <w:bCs/>
          <w:iCs/>
          <w:sz w:val="24"/>
          <w:szCs w:val="24"/>
        </w:rPr>
        <w:t xml:space="preserve">The average time to complete and send a </w:t>
      </w:r>
      <w:proofErr w:type="spellStart"/>
      <w:r w:rsidRPr="00E059CA" w:rsidR="00C4604B">
        <w:rPr>
          <w:rFonts w:ascii="Times New Roman" w:hAnsi="Times New Roman" w:eastAsia="Times New Roman" w:cs="Times New Roman"/>
          <w:bCs/>
          <w:iCs/>
          <w:sz w:val="24"/>
          <w:szCs w:val="24"/>
        </w:rPr>
        <w:t>CureTB</w:t>
      </w:r>
      <w:proofErr w:type="spellEnd"/>
      <w:r w:rsidRPr="00E059CA" w:rsidR="00C4604B">
        <w:rPr>
          <w:rFonts w:ascii="Times New Roman" w:hAnsi="Times New Roman" w:eastAsia="Times New Roman" w:cs="Times New Roman"/>
          <w:bCs/>
          <w:iCs/>
          <w:sz w:val="24"/>
          <w:szCs w:val="24"/>
        </w:rPr>
        <w:t xml:space="preserve"> referral form is </w:t>
      </w:r>
      <w:r w:rsidRPr="002933AB" w:rsidR="00C4604B">
        <w:rPr>
          <w:rFonts w:ascii="Times New Roman" w:hAnsi="Times New Roman" w:eastAsia="Times New Roman" w:cs="Times New Roman"/>
          <w:bCs/>
          <w:iCs/>
          <w:sz w:val="24"/>
          <w:szCs w:val="24"/>
        </w:rPr>
        <w:t>estimated at 30 minutes.</w:t>
      </w:r>
      <w:r w:rsidR="00C4604B">
        <w:rPr>
          <w:rFonts w:ascii="Times New Roman" w:hAnsi="Times New Roman" w:eastAsia="Times New Roman" w:cs="Times New Roman"/>
          <w:bCs/>
          <w:iCs/>
          <w:sz w:val="24"/>
          <w:szCs w:val="24"/>
        </w:rPr>
        <w:t xml:space="preserve"> </w:t>
      </w:r>
      <w:r w:rsidR="003A62FB">
        <w:rPr>
          <w:rFonts w:ascii="Times New Roman" w:hAnsi="Times New Roman" w:eastAsia="Times New Roman" w:cs="Times New Roman"/>
          <w:bCs/>
          <w:iCs/>
          <w:sz w:val="24"/>
          <w:szCs w:val="24"/>
        </w:rPr>
        <w:t xml:space="preserve"> </w:t>
      </w:r>
      <w:r w:rsidR="00C4604B">
        <w:rPr>
          <w:rFonts w:ascii="Times New Roman" w:hAnsi="Times New Roman" w:eastAsia="Times New Roman" w:cs="Times New Roman"/>
          <w:bCs/>
          <w:iCs/>
          <w:sz w:val="24"/>
          <w:szCs w:val="24"/>
        </w:rPr>
        <w:lastRenderedPageBreak/>
        <w:t xml:space="preserve">Therefore, the </w:t>
      </w:r>
      <w:r w:rsidR="00322962">
        <w:rPr>
          <w:rFonts w:ascii="Times New Roman" w:hAnsi="Times New Roman" w:eastAsia="Times New Roman" w:cs="Times New Roman"/>
          <w:bCs/>
          <w:iCs/>
          <w:sz w:val="24"/>
          <w:szCs w:val="24"/>
        </w:rPr>
        <w:t xml:space="preserve">annual </w:t>
      </w:r>
      <w:r w:rsidRPr="00366D38" w:rsidR="00C4604B">
        <w:rPr>
          <w:rFonts w:ascii="Times New Roman" w:hAnsi="Times New Roman" w:eastAsia="Times New Roman" w:cs="Times New Roman"/>
          <w:bCs/>
          <w:iCs/>
          <w:sz w:val="24"/>
          <w:szCs w:val="24"/>
        </w:rPr>
        <w:t>estimated b</w:t>
      </w:r>
      <w:r w:rsidR="00C4604B">
        <w:rPr>
          <w:rFonts w:ascii="Times New Roman" w:hAnsi="Times New Roman" w:eastAsia="Times New Roman" w:cs="Times New Roman"/>
          <w:bCs/>
          <w:iCs/>
          <w:sz w:val="24"/>
          <w:szCs w:val="24"/>
        </w:rPr>
        <w:t xml:space="preserve">urden to health departments to submit a </w:t>
      </w:r>
      <w:proofErr w:type="spellStart"/>
      <w:r w:rsidRPr="003766F2" w:rsidR="00C4604B">
        <w:rPr>
          <w:rFonts w:ascii="Times New Roman" w:hAnsi="Times New Roman" w:eastAsia="Times New Roman" w:cs="Times New Roman"/>
          <w:bCs/>
          <w:iCs/>
          <w:sz w:val="24"/>
          <w:szCs w:val="24"/>
        </w:rPr>
        <w:t>CureTB</w:t>
      </w:r>
      <w:proofErr w:type="spellEnd"/>
      <w:r w:rsidRPr="003766F2" w:rsidR="00C4604B">
        <w:rPr>
          <w:rFonts w:ascii="Times New Roman" w:hAnsi="Times New Roman" w:eastAsia="Times New Roman" w:cs="Times New Roman"/>
          <w:bCs/>
          <w:iCs/>
          <w:sz w:val="24"/>
          <w:szCs w:val="24"/>
        </w:rPr>
        <w:t xml:space="preserve"> Transnational Notification form is </w:t>
      </w:r>
      <w:r w:rsidRPr="003766F2" w:rsidR="00214217">
        <w:rPr>
          <w:rFonts w:ascii="Times New Roman" w:hAnsi="Times New Roman" w:eastAsia="Times New Roman" w:cs="Times New Roman"/>
          <w:bCs/>
          <w:iCs/>
          <w:sz w:val="24"/>
          <w:szCs w:val="24"/>
        </w:rPr>
        <w:t>140 hours.</w:t>
      </w:r>
    </w:p>
    <w:p w:rsidR="00322962" w:rsidP="00E777D0" w:rsidRDefault="00322962" w14:paraId="20686915" w14:textId="6094054C">
      <w:pPr>
        <w:spacing w:after="0" w:line="240" w:lineRule="auto"/>
        <w:rPr>
          <w:rFonts w:ascii="Times New Roman" w:hAnsi="Times New Roman" w:eastAsia="Times New Roman" w:cs="Times New Roman"/>
          <w:bCs/>
          <w:iCs/>
          <w:sz w:val="24"/>
          <w:szCs w:val="24"/>
        </w:rPr>
      </w:pPr>
    </w:p>
    <w:p w:rsidR="00281F29" w:rsidP="00E777D0" w:rsidRDefault="00554004" w14:paraId="07BD2536" w14:textId="4E76A083">
      <w:pPr>
        <w:spacing w:after="0" w:line="240" w:lineRule="auto"/>
        <w:rPr>
          <w:rFonts w:ascii="Times New Roman" w:hAnsi="Times New Roman" w:eastAsia="Times New Roman" w:cs="Times New Roman"/>
          <w:bCs/>
          <w:iCs/>
          <w:sz w:val="24"/>
          <w:szCs w:val="24"/>
        </w:rPr>
      </w:pPr>
      <w:r>
        <w:rPr>
          <w:rFonts w:ascii="Times New Roman" w:hAnsi="Times New Roman" w:eastAsia="Times New Roman" w:cs="Times New Roman"/>
          <w:bCs/>
          <w:iCs/>
          <w:sz w:val="24"/>
          <w:szCs w:val="24"/>
        </w:rPr>
        <w:t xml:space="preserve">Federal </w:t>
      </w:r>
      <w:r w:rsidRPr="00F3176B" w:rsidR="00EB0852">
        <w:rPr>
          <w:rFonts w:ascii="Times New Roman" w:hAnsi="Times New Roman" w:eastAsia="Times New Roman" w:cs="Times New Roman"/>
          <w:bCs/>
          <w:iCs/>
          <w:sz w:val="24"/>
          <w:szCs w:val="24"/>
        </w:rPr>
        <w:t>I</w:t>
      </w:r>
      <w:r w:rsidR="00FF7BA5">
        <w:rPr>
          <w:rFonts w:ascii="Times New Roman" w:hAnsi="Times New Roman" w:eastAsia="Times New Roman" w:cs="Times New Roman"/>
          <w:bCs/>
          <w:iCs/>
          <w:sz w:val="24"/>
          <w:szCs w:val="24"/>
        </w:rPr>
        <w:t xml:space="preserve">mmigration and Customs Enforcement </w:t>
      </w:r>
      <w:r>
        <w:rPr>
          <w:rFonts w:ascii="Times New Roman" w:hAnsi="Times New Roman" w:eastAsia="Times New Roman" w:cs="Times New Roman"/>
          <w:bCs/>
          <w:iCs/>
          <w:sz w:val="24"/>
          <w:szCs w:val="24"/>
        </w:rPr>
        <w:t xml:space="preserve">(ICE) </w:t>
      </w:r>
      <w:r w:rsidR="00FF7BA5">
        <w:rPr>
          <w:rFonts w:ascii="Times New Roman" w:hAnsi="Times New Roman" w:eastAsia="Times New Roman" w:cs="Times New Roman"/>
          <w:bCs/>
          <w:iCs/>
          <w:sz w:val="24"/>
          <w:szCs w:val="24"/>
        </w:rPr>
        <w:t>Detention Centers also send</w:t>
      </w:r>
      <w:r w:rsidR="005A25CC">
        <w:rPr>
          <w:rFonts w:ascii="Times New Roman" w:hAnsi="Times New Roman" w:eastAsia="Times New Roman" w:cs="Times New Roman"/>
          <w:bCs/>
          <w:iCs/>
          <w:sz w:val="24"/>
          <w:szCs w:val="24"/>
        </w:rPr>
        <w:t xml:space="preserve"> TB</w:t>
      </w:r>
      <w:r w:rsidR="00FF7BA5">
        <w:rPr>
          <w:rFonts w:ascii="Times New Roman" w:hAnsi="Times New Roman" w:eastAsia="Times New Roman" w:cs="Times New Roman"/>
          <w:bCs/>
          <w:iCs/>
          <w:sz w:val="24"/>
          <w:szCs w:val="24"/>
        </w:rPr>
        <w:t xml:space="preserve"> referrals to the </w:t>
      </w:r>
      <w:proofErr w:type="spellStart"/>
      <w:r w:rsidR="00FF7BA5">
        <w:rPr>
          <w:rFonts w:ascii="Times New Roman" w:hAnsi="Times New Roman" w:eastAsia="Times New Roman" w:cs="Times New Roman"/>
          <w:bCs/>
          <w:iCs/>
          <w:sz w:val="24"/>
          <w:szCs w:val="24"/>
        </w:rPr>
        <w:t>CureTB</w:t>
      </w:r>
      <w:proofErr w:type="spellEnd"/>
      <w:r w:rsidR="00FF7BA5">
        <w:rPr>
          <w:rFonts w:ascii="Times New Roman" w:hAnsi="Times New Roman" w:eastAsia="Times New Roman" w:cs="Times New Roman"/>
          <w:bCs/>
          <w:iCs/>
          <w:sz w:val="24"/>
          <w:szCs w:val="24"/>
        </w:rPr>
        <w:t xml:space="preserve"> program</w:t>
      </w:r>
      <w:r w:rsidR="00281F29">
        <w:rPr>
          <w:rFonts w:ascii="Times New Roman" w:hAnsi="Times New Roman" w:eastAsia="Times New Roman" w:cs="Times New Roman"/>
          <w:bCs/>
          <w:iCs/>
          <w:sz w:val="24"/>
          <w:szCs w:val="24"/>
        </w:rPr>
        <w:t xml:space="preserve">. </w:t>
      </w:r>
      <w:r w:rsidR="003A62FB">
        <w:rPr>
          <w:rFonts w:ascii="Times New Roman" w:hAnsi="Times New Roman" w:eastAsia="Times New Roman" w:cs="Times New Roman"/>
          <w:bCs/>
          <w:iCs/>
          <w:sz w:val="24"/>
          <w:szCs w:val="24"/>
        </w:rPr>
        <w:t xml:space="preserve"> </w:t>
      </w:r>
      <w:r w:rsidR="00BC329E">
        <w:rPr>
          <w:rFonts w:ascii="Times New Roman" w:hAnsi="Times New Roman" w:eastAsia="Times New Roman" w:cs="Times New Roman"/>
          <w:bCs/>
          <w:iCs/>
          <w:sz w:val="24"/>
          <w:szCs w:val="24"/>
        </w:rPr>
        <w:t xml:space="preserve">On average, 22 ICE detention centers send approximately 40 referrals each year to the </w:t>
      </w:r>
      <w:proofErr w:type="spellStart"/>
      <w:r w:rsidR="00BC329E">
        <w:rPr>
          <w:rFonts w:ascii="Times New Roman" w:hAnsi="Times New Roman" w:eastAsia="Times New Roman" w:cs="Times New Roman"/>
          <w:bCs/>
          <w:iCs/>
          <w:sz w:val="24"/>
          <w:szCs w:val="24"/>
        </w:rPr>
        <w:t>CureTB</w:t>
      </w:r>
      <w:proofErr w:type="spellEnd"/>
      <w:r w:rsidR="00BC329E">
        <w:rPr>
          <w:rFonts w:ascii="Times New Roman" w:hAnsi="Times New Roman" w:eastAsia="Times New Roman" w:cs="Times New Roman"/>
          <w:bCs/>
          <w:iCs/>
          <w:sz w:val="24"/>
          <w:szCs w:val="24"/>
        </w:rPr>
        <w:t xml:space="preserve"> program, making a total of 880 referrals from ICE detention centers annually. </w:t>
      </w:r>
      <w:r w:rsidR="003A62FB">
        <w:rPr>
          <w:rFonts w:ascii="Times New Roman" w:hAnsi="Times New Roman" w:eastAsia="Times New Roman" w:cs="Times New Roman"/>
          <w:bCs/>
          <w:iCs/>
          <w:sz w:val="24"/>
          <w:szCs w:val="24"/>
        </w:rPr>
        <w:t xml:space="preserve"> </w:t>
      </w:r>
      <w:r w:rsidR="00281F29">
        <w:rPr>
          <w:rFonts w:ascii="Times New Roman" w:hAnsi="Times New Roman" w:eastAsia="Times New Roman" w:cs="Times New Roman"/>
          <w:bCs/>
          <w:iCs/>
          <w:sz w:val="24"/>
          <w:szCs w:val="24"/>
        </w:rPr>
        <w:t>Approximately</w:t>
      </w:r>
      <w:r>
        <w:rPr>
          <w:rFonts w:ascii="Times New Roman" w:hAnsi="Times New Roman" w:eastAsia="Times New Roman" w:cs="Times New Roman"/>
          <w:bCs/>
          <w:iCs/>
          <w:sz w:val="24"/>
          <w:szCs w:val="24"/>
        </w:rPr>
        <w:t xml:space="preserve"> </w:t>
      </w:r>
      <w:r w:rsidR="00FF7BA5">
        <w:rPr>
          <w:rFonts w:ascii="Times New Roman" w:hAnsi="Times New Roman" w:eastAsia="Times New Roman" w:cs="Times New Roman"/>
          <w:bCs/>
          <w:iCs/>
          <w:sz w:val="24"/>
          <w:szCs w:val="24"/>
        </w:rPr>
        <w:t xml:space="preserve">95% of them send </w:t>
      </w:r>
      <w:r w:rsidR="0055541E">
        <w:rPr>
          <w:rFonts w:ascii="Times New Roman" w:hAnsi="Times New Roman" w:eastAsia="Times New Roman" w:cs="Times New Roman"/>
          <w:bCs/>
          <w:iCs/>
          <w:sz w:val="24"/>
          <w:szCs w:val="24"/>
        </w:rPr>
        <w:t xml:space="preserve">forms </w:t>
      </w:r>
      <w:r w:rsidR="00281F29">
        <w:rPr>
          <w:rFonts w:ascii="Times New Roman" w:hAnsi="Times New Roman" w:eastAsia="Times New Roman" w:cs="Times New Roman"/>
          <w:bCs/>
          <w:iCs/>
          <w:sz w:val="24"/>
          <w:szCs w:val="24"/>
        </w:rPr>
        <w:t xml:space="preserve">that </w:t>
      </w:r>
      <w:r w:rsidR="0055541E">
        <w:rPr>
          <w:rFonts w:ascii="Times New Roman" w:hAnsi="Times New Roman" w:eastAsia="Times New Roman" w:cs="Times New Roman"/>
          <w:bCs/>
          <w:iCs/>
          <w:sz w:val="24"/>
          <w:szCs w:val="24"/>
        </w:rPr>
        <w:t xml:space="preserve">have already </w:t>
      </w:r>
      <w:r w:rsidR="00281F29">
        <w:rPr>
          <w:rFonts w:ascii="Times New Roman" w:hAnsi="Times New Roman" w:eastAsia="Times New Roman" w:cs="Times New Roman"/>
          <w:bCs/>
          <w:iCs/>
          <w:sz w:val="24"/>
          <w:szCs w:val="24"/>
        </w:rPr>
        <w:t xml:space="preserve">been </w:t>
      </w:r>
      <w:r w:rsidR="0055541E">
        <w:rPr>
          <w:rFonts w:ascii="Times New Roman" w:hAnsi="Times New Roman" w:eastAsia="Times New Roman" w:cs="Times New Roman"/>
          <w:bCs/>
          <w:iCs/>
          <w:sz w:val="24"/>
          <w:szCs w:val="24"/>
        </w:rPr>
        <w:t>filled out through the</w:t>
      </w:r>
      <w:r w:rsidR="00281F29">
        <w:rPr>
          <w:rFonts w:ascii="Times New Roman" w:hAnsi="Times New Roman" w:eastAsia="Times New Roman" w:cs="Times New Roman"/>
          <w:bCs/>
          <w:iCs/>
          <w:sz w:val="24"/>
          <w:szCs w:val="24"/>
        </w:rPr>
        <w:t xml:space="preserve"> ICE </w:t>
      </w:r>
      <w:r w:rsidR="0055541E">
        <w:rPr>
          <w:rFonts w:ascii="Times New Roman" w:hAnsi="Times New Roman" w:eastAsia="Times New Roman" w:cs="Times New Roman"/>
          <w:bCs/>
          <w:iCs/>
          <w:sz w:val="24"/>
          <w:szCs w:val="24"/>
        </w:rPr>
        <w:t>system t</w:t>
      </w:r>
      <w:r w:rsidR="00FF7BA5">
        <w:rPr>
          <w:rFonts w:ascii="Times New Roman" w:hAnsi="Times New Roman" w:eastAsia="Times New Roman" w:cs="Times New Roman"/>
          <w:bCs/>
          <w:iCs/>
          <w:sz w:val="24"/>
          <w:szCs w:val="24"/>
        </w:rPr>
        <w:t>o reduce the burden of having to fill out an additional form</w:t>
      </w:r>
      <w:r w:rsidR="00CF5234">
        <w:rPr>
          <w:rFonts w:ascii="Times New Roman" w:hAnsi="Times New Roman" w:eastAsia="Times New Roman" w:cs="Times New Roman"/>
          <w:bCs/>
          <w:iCs/>
          <w:sz w:val="24"/>
          <w:szCs w:val="24"/>
        </w:rPr>
        <w:t xml:space="preserve"> and not duplicate federal efforts</w:t>
      </w:r>
      <w:r w:rsidR="00FF7BA5">
        <w:rPr>
          <w:rFonts w:ascii="Times New Roman" w:hAnsi="Times New Roman" w:eastAsia="Times New Roman" w:cs="Times New Roman"/>
          <w:bCs/>
          <w:iCs/>
          <w:sz w:val="24"/>
          <w:szCs w:val="24"/>
        </w:rPr>
        <w:t>.</w:t>
      </w:r>
      <w:r w:rsidR="0055541E">
        <w:rPr>
          <w:rFonts w:ascii="Times New Roman" w:hAnsi="Times New Roman" w:eastAsia="Times New Roman" w:cs="Times New Roman"/>
          <w:bCs/>
          <w:iCs/>
          <w:sz w:val="24"/>
          <w:szCs w:val="24"/>
        </w:rPr>
        <w:t xml:space="preserve"> </w:t>
      </w:r>
      <w:r w:rsidR="00BC329E">
        <w:rPr>
          <w:rFonts w:ascii="Times New Roman" w:hAnsi="Times New Roman" w:eastAsia="Times New Roman" w:cs="Times New Roman"/>
          <w:bCs/>
          <w:iCs/>
          <w:sz w:val="24"/>
          <w:szCs w:val="24"/>
        </w:rPr>
        <w:t xml:space="preserve">An estimated </w:t>
      </w:r>
      <w:r w:rsidR="0055541E">
        <w:rPr>
          <w:rFonts w:ascii="Times New Roman" w:hAnsi="Times New Roman" w:eastAsia="Times New Roman" w:cs="Times New Roman"/>
          <w:bCs/>
          <w:iCs/>
          <w:sz w:val="24"/>
          <w:szCs w:val="24"/>
        </w:rPr>
        <w:t xml:space="preserve">5% </w:t>
      </w:r>
      <w:r w:rsidR="00C4604B">
        <w:rPr>
          <w:rFonts w:ascii="Times New Roman" w:hAnsi="Times New Roman" w:eastAsia="Times New Roman" w:cs="Times New Roman"/>
          <w:bCs/>
          <w:iCs/>
          <w:sz w:val="24"/>
          <w:szCs w:val="24"/>
        </w:rPr>
        <w:t xml:space="preserve">don’t have access to the ICE TB forms and will </w:t>
      </w:r>
      <w:r w:rsidR="0055541E">
        <w:rPr>
          <w:rFonts w:ascii="Times New Roman" w:hAnsi="Times New Roman" w:eastAsia="Times New Roman" w:cs="Times New Roman"/>
          <w:bCs/>
          <w:iCs/>
          <w:sz w:val="24"/>
          <w:szCs w:val="24"/>
        </w:rPr>
        <w:t xml:space="preserve">use the </w:t>
      </w:r>
      <w:proofErr w:type="spellStart"/>
      <w:r w:rsidR="0055541E">
        <w:rPr>
          <w:rFonts w:ascii="Times New Roman" w:hAnsi="Times New Roman" w:eastAsia="Times New Roman" w:cs="Times New Roman"/>
          <w:bCs/>
          <w:iCs/>
          <w:sz w:val="24"/>
          <w:szCs w:val="24"/>
        </w:rPr>
        <w:t>CureTB</w:t>
      </w:r>
      <w:proofErr w:type="spellEnd"/>
      <w:r w:rsidR="0055541E">
        <w:rPr>
          <w:rFonts w:ascii="Times New Roman" w:hAnsi="Times New Roman" w:eastAsia="Times New Roman" w:cs="Times New Roman"/>
          <w:bCs/>
          <w:iCs/>
          <w:sz w:val="24"/>
          <w:szCs w:val="24"/>
        </w:rPr>
        <w:t xml:space="preserve"> form</w:t>
      </w:r>
      <w:r w:rsidR="005A25CC">
        <w:rPr>
          <w:rFonts w:ascii="Times New Roman" w:hAnsi="Times New Roman" w:eastAsia="Times New Roman" w:cs="Times New Roman"/>
          <w:bCs/>
          <w:iCs/>
          <w:sz w:val="24"/>
          <w:szCs w:val="24"/>
        </w:rPr>
        <w:t xml:space="preserve"> </w:t>
      </w:r>
      <w:r w:rsidRPr="00214217" w:rsidR="00214217">
        <w:rPr>
          <w:rFonts w:ascii="Times New Roman" w:hAnsi="Times New Roman" w:eastAsia="Times New Roman" w:cs="Times New Roman"/>
          <w:bCs/>
          <w:iCs/>
          <w:sz w:val="24"/>
          <w:szCs w:val="24"/>
        </w:rPr>
        <w:t xml:space="preserve">(Attachment C, </w:t>
      </w:r>
      <w:proofErr w:type="spellStart"/>
      <w:r w:rsidRPr="00214217" w:rsidR="00214217">
        <w:rPr>
          <w:rFonts w:ascii="Times New Roman" w:hAnsi="Times New Roman" w:eastAsia="Times New Roman" w:cs="Times New Roman"/>
          <w:bCs/>
          <w:iCs/>
          <w:sz w:val="24"/>
          <w:szCs w:val="24"/>
        </w:rPr>
        <w:t>CureTB</w:t>
      </w:r>
      <w:proofErr w:type="spellEnd"/>
      <w:r w:rsidRPr="00214217" w:rsidR="00214217">
        <w:rPr>
          <w:rFonts w:ascii="Times New Roman" w:hAnsi="Times New Roman" w:eastAsia="Times New Roman" w:cs="Times New Roman"/>
          <w:bCs/>
          <w:iCs/>
          <w:sz w:val="24"/>
          <w:szCs w:val="24"/>
        </w:rPr>
        <w:t xml:space="preserve"> Transnational Notification)</w:t>
      </w:r>
      <w:r w:rsidR="00214217">
        <w:rPr>
          <w:rFonts w:ascii="Times New Roman" w:hAnsi="Times New Roman" w:eastAsia="Times New Roman" w:cs="Times New Roman"/>
          <w:bCs/>
          <w:iCs/>
          <w:sz w:val="24"/>
          <w:szCs w:val="24"/>
        </w:rPr>
        <w:t xml:space="preserve"> </w:t>
      </w:r>
      <w:r w:rsidR="005A25CC">
        <w:rPr>
          <w:rFonts w:ascii="Times New Roman" w:hAnsi="Times New Roman" w:eastAsia="Times New Roman" w:cs="Times New Roman"/>
          <w:bCs/>
          <w:iCs/>
          <w:sz w:val="24"/>
          <w:szCs w:val="24"/>
        </w:rPr>
        <w:t xml:space="preserve">to capture the </w:t>
      </w:r>
      <w:r w:rsidR="00C4604B">
        <w:rPr>
          <w:rFonts w:ascii="Times New Roman" w:hAnsi="Times New Roman" w:eastAsia="Times New Roman" w:cs="Times New Roman"/>
          <w:bCs/>
          <w:iCs/>
          <w:sz w:val="24"/>
          <w:szCs w:val="24"/>
        </w:rPr>
        <w:t>necessary i</w:t>
      </w:r>
      <w:r w:rsidR="005A25CC">
        <w:rPr>
          <w:rFonts w:ascii="Times New Roman" w:hAnsi="Times New Roman" w:eastAsia="Times New Roman" w:cs="Times New Roman"/>
          <w:bCs/>
          <w:iCs/>
          <w:sz w:val="24"/>
          <w:szCs w:val="24"/>
        </w:rPr>
        <w:t xml:space="preserve">nformation of the TB </w:t>
      </w:r>
      <w:r w:rsidR="00C4604B">
        <w:rPr>
          <w:rFonts w:ascii="Times New Roman" w:hAnsi="Times New Roman" w:eastAsia="Times New Roman" w:cs="Times New Roman"/>
          <w:bCs/>
          <w:iCs/>
          <w:sz w:val="24"/>
          <w:szCs w:val="24"/>
        </w:rPr>
        <w:t>case</w:t>
      </w:r>
      <w:r w:rsidR="0055541E">
        <w:rPr>
          <w:rFonts w:ascii="Times New Roman" w:hAnsi="Times New Roman" w:eastAsia="Times New Roman" w:cs="Times New Roman"/>
          <w:bCs/>
          <w:iCs/>
          <w:sz w:val="24"/>
          <w:szCs w:val="24"/>
        </w:rPr>
        <w:t>.</w:t>
      </w:r>
      <w:r w:rsidRPr="00E059CA" w:rsidR="0031796B">
        <w:rPr>
          <w:rFonts w:ascii="Times New Roman" w:hAnsi="Times New Roman" w:eastAsia="Times New Roman" w:cs="Times New Roman"/>
          <w:bCs/>
          <w:iCs/>
          <w:sz w:val="24"/>
          <w:szCs w:val="24"/>
        </w:rPr>
        <w:t xml:space="preserve"> </w:t>
      </w:r>
      <w:r w:rsidR="003A62FB">
        <w:rPr>
          <w:rFonts w:ascii="Times New Roman" w:hAnsi="Times New Roman" w:eastAsia="Times New Roman" w:cs="Times New Roman"/>
          <w:bCs/>
          <w:iCs/>
          <w:sz w:val="24"/>
          <w:szCs w:val="24"/>
        </w:rPr>
        <w:t xml:space="preserve"> </w:t>
      </w:r>
      <w:r w:rsidRPr="00BC329E" w:rsidR="00BC329E">
        <w:rPr>
          <w:rFonts w:ascii="Times New Roman" w:hAnsi="Times New Roman" w:eastAsia="Times New Roman" w:cs="Times New Roman"/>
          <w:bCs/>
          <w:iCs/>
          <w:sz w:val="24"/>
          <w:szCs w:val="24"/>
        </w:rPr>
        <w:t>As these requests come from</w:t>
      </w:r>
      <w:r w:rsidR="00C4604B">
        <w:rPr>
          <w:rFonts w:ascii="Times New Roman" w:hAnsi="Times New Roman" w:eastAsia="Times New Roman" w:cs="Times New Roman"/>
          <w:bCs/>
          <w:iCs/>
          <w:sz w:val="24"/>
          <w:szCs w:val="24"/>
        </w:rPr>
        <w:t xml:space="preserve"> federal employees at an agency that</w:t>
      </w:r>
      <w:r w:rsidRPr="00BC329E" w:rsidR="00BC329E">
        <w:rPr>
          <w:rFonts w:ascii="Times New Roman" w:hAnsi="Times New Roman" w:eastAsia="Times New Roman" w:cs="Times New Roman"/>
          <w:bCs/>
          <w:iCs/>
          <w:sz w:val="24"/>
          <w:szCs w:val="24"/>
        </w:rPr>
        <w:t xml:space="preserve"> </w:t>
      </w:r>
      <w:r w:rsidR="00BC329E">
        <w:rPr>
          <w:rFonts w:ascii="Times New Roman" w:hAnsi="Times New Roman" w:eastAsia="Times New Roman" w:cs="Times New Roman"/>
          <w:bCs/>
          <w:iCs/>
          <w:sz w:val="24"/>
          <w:szCs w:val="24"/>
        </w:rPr>
        <w:t>capture</w:t>
      </w:r>
      <w:r w:rsidR="00C4604B">
        <w:rPr>
          <w:rFonts w:ascii="Times New Roman" w:hAnsi="Times New Roman" w:eastAsia="Times New Roman" w:cs="Times New Roman"/>
          <w:bCs/>
          <w:iCs/>
          <w:sz w:val="24"/>
          <w:szCs w:val="24"/>
        </w:rPr>
        <w:t>s</w:t>
      </w:r>
      <w:r w:rsidR="00BC329E">
        <w:rPr>
          <w:rFonts w:ascii="Times New Roman" w:hAnsi="Times New Roman" w:eastAsia="Times New Roman" w:cs="Times New Roman"/>
          <w:bCs/>
          <w:iCs/>
          <w:sz w:val="24"/>
          <w:szCs w:val="24"/>
        </w:rPr>
        <w:t xml:space="preserve"> this information for </w:t>
      </w:r>
      <w:r w:rsidR="00C4604B">
        <w:rPr>
          <w:rFonts w:ascii="Times New Roman" w:hAnsi="Times New Roman" w:eastAsia="Times New Roman" w:cs="Times New Roman"/>
          <w:bCs/>
          <w:iCs/>
          <w:sz w:val="24"/>
          <w:szCs w:val="24"/>
        </w:rPr>
        <w:t>its own</w:t>
      </w:r>
      <w:r w:rsidR="00BC329E">
        <w:rPr>
          <w:rFonts w:ascii="Times New Roman" w:hAnsi="Times New Roman" w:eastAsia="Times New Roman" w:cs="Times New Roman"/>
          <w:bCs/>
          <w:iCs/>
          <w:sz w:val="24"/>
          <w:szCs w:val="24"/>
        </w:rPr>
        <w:t xml:space="preserve"> purposes,</w:t>
      </w:r>
      <w:r w:rsidRPr="00BC329E" w:rsidR="00BC329E">
        <w:rPr>
          <w:rFonts w:ascii="Times New Roman" w:hAnsi="Times New Roman" w:eastAsia="Times New Roman" w:cs="Times New Roman"/>
          <w:bCs/>
          <w:iCs/>
          <w:sz w:val="24"/>
          <w:szCs w:val="24"/>
        </w:rPr>
        <w:t xml:space="preserve"> we do not consider this as respondent burden</w:t>
      </w:r>
      <w:r w:rsidR="00BC329E">
        <w:rPr>
          <w:rFonts w:ascii="Times New Roman" w:hAnsi="Times New Roman" w:eastAsia="Times New Roman" w:cs="Times New Roman"/>
          <w:bCs/>
          <w:iCs/>
          <w:sz w:val="24"/>
          <w:szCs w:val="24"/>
        </w:rPr>
        <w:t xml:space="preserve"> and have not included it in the burden table</w:t>
      </w:r>
      <w:r w:rsidRPr="00BC329E" w:rsidR="00BC329E">
        <w:rPr>
          <w:rFonts w:ascii="Times New Roman" w:hAnsi="Times New Roman" w:eastAsia="Times New Roman" w:cs="Times New Roman"/>
          <w:bCs/>
          <w:iCs/>
          <w:sz w:val="24"/>
          <w:szCs w:val="24"/>
        </w:rPr>
        <w:t>.</w:t>
      </w:r>
    </w:p>
    <w:p w:rsidRPr="002933AB" w:rsidR="00DC6591" w:rsidP="00E777D0" w:rsidRDefault="00DC6591" w14:paraId="0AD1FBC0" w14:textId="77777777">
      <w:pPr>
        <w:spacing w:after="0" w:line="240" w:lineRule="auto"/>
        <w:rPr>
          <w:rFonts w:ascii="Times New Roman" w:hAnsi="Times New Roman" w:eastAsia="Times New Roman" w:cs="Times New Roman"/>
          <w:bCs/>
          <w:iCs/>
          <w:sz w:val="24"/>
          <w:szCs w:val="24"/>
        </w:rPr>
      </w:pPr>
    </w:p>
    <w:p w:rsidR="004C02C2" w:rsidP="00E777D0" w:rsidRDefault="00A50BFC" w14:paraId="2E82630C" w14:textId="37F8AF10">
      <w:pPr>
        <w:spacing w:after="0" w:line="240" w:lineRule="auto"/>
        <w:rPr>
          <w:rFonts w:ascii="Times New Roman" w:hAnsi="Times New Roman" w:eastAsia="Times New Roman" w:cs="Times New Roman"/>
          <w:bCs/>
          <w:iCs/>
          <w:sz w:val="24"/>
          <w:szCs w:val="24"/>
        </w:rPr>
      </w:pPr>
      <w:bookmarkStart w:name="_Hlk36210940" w:id="23"/>
      <w:r w:rsidRPr="002933AB">
        <w:rPr>
          <w:rFonts w:ascii="Times New Roman" w:hAnsi="Times New Roman" w:eastAsia="Times New Roman" w:cs="Times New Roman"/>
          <w:bCs/>
          <w:iCs/>
          <w:sz w:val="24"/>
          <w:szCs w:val="24"/>
        </w:rPr>
        <w:t xml:space="preserve">In approximately </w:t>
      </w:r>
      <w:r w:rsidRPr="00BC0C85" w:rsidR="00E951CC">
        <w:rPr>
          <w:rFonts w:ascii="Times New Roman" w:hAnsi="Times New Roman" w:eastAsia="Times New Roman" w:cs="Times New Roman"/>
          <w:bCs/>
          <w:iCs/>
          <w:sz w:val="24"/>
          <w:szCs w:val="24"/>
        </w:rPr>
        <w:t>67%</w:t>
      </w:r>
      <w:r w:rsidRPr="002933AB">
        <w:rPr>
          <w:rFonts w:ascii="Times New Roman" w:hAnsi="Times New Roman" w:eastAsia="Times New Roman" w:cs="Times New Roman"/>
          <w:bCs/>
          <w:iCs/>
          <w:sz w:val="24"/>
          <w:szCs w:val="24"/>
        </w:rPr>
        <w:t xml:space="preserve"> percent </w:t>
      </w:r>
      <w:r w:rsidR="00322962">
        <w:rPr>
          <w:rFonts w:ascii="Times New Roman" w:hAnsi="Times New Roman" w:eastAsia="Times New Roman" w:cs="Times New Roman"/>
          <w:bCs/>
          <w:iCs/>
          <w:sz w:val="24"/>
          <w:szCs w:val="24"/>
        </w:rPr>
        <w:t xml:space="preserve">of referrals from health departments and ICE </w:t>
      </w:r>
      <w:r w:rsidR="00A44A28">
        <w:rPr>
          <w:rFonts w:ascii="Times New Roman" w:hAnsi="Times New Roman" w:eastAsia="Times New Roman" w:cs="Times New Roman"/>
          <w:bCs/>
          <w:iCs/>
          <w:sz w:val="24"/>
          <w:szCs w:val="24"/>
        </w:rPr>
        <w:t>d</w:t>
      </w:r>
      <w:r w:rsidR="00322962">
        <w:rPr>
          <w:rFonts w:ascii="Times New Roman" w:hAnsi="Times New Roman" w:eastAsia="Times New Roman" w:cs="Times New Roman"/>
          <w:bCs/>
          <w:iCs/>
          <w:sz w:val="24"/>
          <w:szCs w:val="24"/>
        </w:rPr>
        <w:t xml:space="preserve">etention </w:t>
      </w:r>
      <w:r w:rsidR="00A44A28">
        <w:rPr>
          <w:rFonts w:ascii="Times New Roman" w:hAnsi="Times New Roman" w:eastAsia="Times New Roman" w:cs="Times New Roman"/>
          <w:bCs/>
          <w:iCs/>
          <w:sz w:val="24"/>
          <w:szCs w:val="24"/>
        </w:rPr>
        <w:t>c</w:t>
      </w:r>
      <w:r w:rsidR="00322962">
        <w:rPr>
          <w:rFonts w:ascii="Times New Roman" w:hAnsi="Times New Roman" w:eastAsia="Times New Roman" w:cs="Times New Roman"/>
          <w:bCs/>
          <w:iCs/>
          <w:sz w:val="24"/>
          <w:szCs w:val="24"/>
        </w:rPr>
        <w:t>enter referrals</w:t>
      </w:r>
      <w:r w:rsidRPr="002933AB">
        <w:rPr>
          <w:rFonts w:ascii="Times New Roman" w:hAnsi="Times New Roman" w:eastAsia="Times New Roman" w:cs="Times New Roman"/>
          <w:bCs/>
          <w:iCs/>
          <w:sz w:val="24"/>
          <w:szCs w:val="24"/>
        </w:rPr>
        <w:t xml:space="preserve">, </w:t>
      </w:r>
      <w:r w:rsidRPr="002933AB" w:rsidR="001B69AC">
        <w:rPr>
          <w:rFonts w:ascii="Times New Roman" w:hAnsi="Times New Roman" w:eastAsia="Times New Roman" w:cs="Times New Roman"/>
          <w:bCs/>
          <w:iCs/>
          <w:sz w:val="24"/>
          <w:szCs w:val="24"/>
        </w:rPr>
        <w:t xml:space="preserve">CDC </w:t>
      </w:r>
      <w:proofErr w:type="spellStart"/>
      <w:r w:rsidRPr="002933AB">
        <w:rPr>
          <w:rFonts w:ascii="Times New Roman" w:hAnsi="Times New Roman" w:eastAsia="Times New Roman" w:cs="Times New Roman"/>
          <w:bCs/>
          <w:iCs/>
          <w:sz w:val="24"/>
          <w:szCs w:val="24"/>
        </w:rPr>
        <w:t>CureTB</w:t>
      </w:r>
      <w:proofErr w:type="spellEnd"/>
      <w:r w:rsidRPr="002933AB">
        <w:rPr>
          <w:rFonts w:ascii="Times New Roman" w:hAnsi="Times New Roman" w:eastAsia="Times New Roman" w:cs="Times New Roman"/>
          <w:bCs/>
          <w:iCs/>
          <w:sz w:val="24"/>
          <w:szCs w:val="24"/>
        </w:rPr>
        <w:t xml:space="preserve"> may need to follow up with an individual to complete missing data fields concerning clinical or contact information. </w:t>
      </w:r>
      <w:r w:rsidR="00322962">
        <w:rPr>
          <w:rFonts w:ascii="Times New Roman" w:hAnsi="Times New Roman" w:eastAsia="Times New Roman" w:cs="Times New Roman"/>
          <w:bCs/>
          <w:iCs/>
          <w:sz w:val="24"/>
          <w:szCs w:val="24"/>
        </w:rPr>
        <w:t xml:space="preserve"> </w:t>
      </w:r>
      <w:bookmarkEnd w:id="23"/>
      <w:r w:rsidRPr="002933AB">
        <w:rPr>
          <w:rFonts w:ascii="Times New Roman" w:hAnsi="Times New Roman" w:eastAsia="Times New Roman" w:cs="Times New Roman"/>
          <w:bCs/>
          <w:iCs/>
          <w:sz w:val="24"/>
          <w:szCs w:val="24"/>
        </w:rPr>
        <w:t>This is done to ensure continuity of care.</w:t>
      </w:r>
      <w:r w:rsidRPr="002933AB" w:rsidR="00E32F49">
        <w:rPr>
          <w:rFonts w:ascii="Times New Roman" w:hAnsi="Times New Roman" w:eastAsia="Times New Roman" w:cs="Times New Roman"/>
          <w:bCs/>
          <w:iCs/>
          <w:sz w:val="24"/>
          <w:szCs w:val="24"/>
        </w:rPr>
        <w:t xml:space="preserve">  Because this missing data is not uniformly absent from the</w:t>
      </w:r>
      <w:r w:rsidR="00E32F49">
        <w:rPr>
          <w:rFonts w:ascii="Times New Roman" w:hAnsi="Times New Roman" w:eastAsia="Times New Roman" w:cs="Times New Roman"/>
          <w:bCs/>
          <w:iCs/>
          <w:sz w:val="24"/>
          <w:szCs w:val="24"/>
        </w:rPr>
        <w:t xml:space="preserve"> data sets, the amount of time needed to follow up with each patient differs.</w:t>
      </w:r>
    </w:p>
    <w:p w:rsidR="004C02C2" w:rsidP="00E777D0" w:rsidRDefault="004C02C2" w14:paraId="41421689" w14:textId="77777777">
      <w:pPr>
        <w:spacing w:after="0" w:line="240" w:lineRule="auto"/>
        <w:rPr>
          <w:rFonts w:ascii="Times New Roman" w:hAnsi="Times New Roman" w:eastAsia="Times New Roman" w:cs="Times New Roman"/>
          <w:bCs/>
          <w:iCs/>
          <w:sz w:val="24"/>
          <w:szCs w:val="24"/>
        </w:rPr>
      </w:pPr>
    </w:p>
    <w:p w:rsidR="00D81BC5" w:rsidP="00E777D0" w:rsidRDefault="00A44A28" w14:paraId="33C65E3F" w14:textId="6E66705E">
      <w:pPr>
        <w:spacing w:after="0" w:line="240" w:lineRule="auto"/>
        <w:rPr>
          <w:rFonts w:ascii="Times New Roman" w:hAnsi="Times New Roman" w:eastAsia="Times New Roman" w:cs="Times New Roman"/>
          <w:bCs/>
          <w:iCs/>
          <w:sz w:val="24"/>
          <w:szCs w:val="24"/>
        </w:rPr>
      </w:pPr>
      <w:r>
        <w:rPr>
          <w:rFonts w:ascii="Times New Roman" w:hAnsi="Times New Roman" w:eastAsia="Times New Roman" w:cs="Times New Roman"/>
          <w:bCs/>
          <w:iCs/>
          <w:sz w:val="24"/>
          <w:szCs w:val="24"/>
        </w:rPr>
        <w:t xml:space="preserve">CDC estimates it takes </w:t>
      </w:r>
      <w:r w:rsidR="003A62FB">
        <w:rPr>
          <w:rFonts w:ascii="Times New Roman" w:hAnsi="Times New Roman" w:eastAsia="Times New Roman" w:cs="Times New Roman"/>
          <w:bCs/>
          <w:iCs/>
          <w:sz w:val="24"/>
          <w:szCs w:val="24"/>
        </w:rPr>
        <w:t xml:space="preserve">approximately 5 mins to </w:t>
      </w:r>
      <w:r w:rsidR="00D545F6">
        <w:rPr>
          <w:rFonts w:ascii="Times New Roman" w:hAnsi="Times New Roman" w:eastAsia="Times New Roman" w:cs="Times New Roman"/>
          <w:bCs/>
          <w:iCs/>
          <w:sz w:val="24"/>
          <w:szCs w:val="24"/>
        </w:rPr>
        <w:t>complete the needed</w:t>
      </w:r>
      <w:r w:rsidR="003A62FB">
        <w:rPr>
          <w:rFonts w:ascii="Times New Roman" w:hAnsi="Times New Roman" w:eastAsia="Times New Roman" w:cs="Times New Roman"/>
          <w:bCs/>
          <w:iCs/>
          <w:sz w:val="24"/>
          <w:szCs w:val="24"/>
        </w:rPr>
        <w:t xml:space="preserve"> information from TB patients referred by h</w:t>
      </w:r>
      <w:r>
        <w:rPr>
          <w:rFonts w:ascii="Times New Roman" w:hAnsi="Times New Roman" w:eastAsia="Times New Roman" w:cs="Times New Roman"/>
          <w:bCs/>
          <w:iCs/>
          <w:sz w:val="24"/>
          <w:szCs w:val="24"/>
        </w:rPr>
        <w:t>ealth departments</w:t>
      </w:r>
      <w:r w:rsidR="00E32F49">
        <w:rPr>
          <w:rFonts w:ascii="Times New Roman" w:hAnsi="Times New Roman" w:eastAsia="Times New Roman" w:cs="Times New Roman"/>
          <w:bCs/>
          <w:iCs/>
          <w:sz w:val="24"/>
          <w:szCs w:val="24"/>
        </w:rPr>
        <w:t xml:space="preserve">. </w:t>
      </w:r>
      <w:r>
        <w:rPr>
          <w:rFonts w:ascii="Times New Roman" w:hAnsi="Times New Roman" w:eastAsia="Times New Roman" w:cs="Times New Roman"/>
          <w:bCs/>
          <w:iCs/>
          <w:sz w:val="24"/>
          <w:szCs w:val="24"/>
        </w:rPr>
        <w:t xml:space="preserve"> </w:t>
      </w:r>
      <w:r w:rsidRPr="00BC0C85" w:rsidR="00E32F49">
        <w:rPr>
          <w:rFonts w:ascii="Times New Roman" w:hAnsi="Times New Roman" w:eastAsia="Times New Roman" w:cs="Times New Roman"/>
          <w:bCs/>
          <w:iCs/>
          <w:sz w:val="24"/>
          <w:szCs w:val="24"/>
        </w:rPr>
        <w:t xml:space="preserve">CDC generally needs more information directly from the </w:t>
      </w:r>
      <w:r w:rsidR="00E32F49">
        <w:rPr>
          <w:rFonts w:ascii="Times New Roman" w:hAnsi="Times New Roman" w:eastAsia="Times New Roman" w:cs="Times New Roman"/>
          <w:bCs/>
          <w:iCs/>
          <w:sz w:val="24"/>
          <w:szCs w:val="24"/>
        </w:rPr>
        <w:t xml:space="preserve">TB patients who are ICE </w:t>
      </w:r>
      <w:r w:rsidRPr="00BC0C85" w:rsidR="00E32F49">
        <w:rPr>
          <w:rFonts w:ascii="Times New Roman" w:hAnsi="Times New Roman" w:eastAsia="Times New Roman" w:cs="Times New Roman"/>
          <w:bCs/>
          <w:iCs/>
          <w:sz w:val="24"/>
          <w:szCs w:val="24"/>
        </w:rPr>
        <w:t>detainees</w:t>
      </w:r>
      <w:r w:rsidR="00E32F49">
        <w:rPr>
          <w:rFonts w:ascii="Times New Roman" w:hAnsi="Times New Roman" w:eastAsia="Times New Roman" w:cs="Times New Roman"/>
          <w:bCs/>
          <w:iCs/>
          <w:sz w:val="24"/>
          <w:szCs w:val="24"/>
        </w:rPr>
        <w:t xml:space="preserve"> than it does from the TB patients referred by the health departments</w:t>
      </w:r>
      <w:r w:rsidRPr="00BC0C85" w:rsidR="00E32F49">
        <w:rPr>
          <w:rFonts w:ascii="Times New Roman" w:hAnsi="Times New Roman" w:eastAsia="Times New Roman" w:cs="Times New Roman"/>
          <w:bCs/>
          <w:iCs/>
          <w:sz w:val="24"/>
          <w:szCs w:val="24"/>
        </w:rPr>
        <w:t xml:space="preserve">.  Because of this, there is a higher level of burden </w:t>
      </w:r>
      <w:r w:rsidR="00E32F49">
        <w:rPr>
          <w:rFonts w:ascii="Times New Roman" w:hAnsi="Times New Roman" w:eastAsia="Times New Roman" w:cs="Times New Roman"/>
          <w:bCs/>
          <w:iCs/>
          <w:sz w:val="24"/>
          <w:szCs w:val="24"/>
        </w:rPr>
        <w:t>of needing</w:t>
      </w:r>
      <w:r>
        <w:rPr>
          <w:rFonts w:ascii="Times New Roman" w:hAnsi="Times New Roman" w:eastAsia="Times New Roman" w:cs="Times New Roman"/>
          <w:bCs/>
          <w:iCs/>
          <w:sz w:val="24"/>
          <w:szCs w:val="24"/>
        </w:rPr>
        <w:t xml:space="preserve"> </w:t>
      </w:r>
      <w:r w:rsidR="005A4100">
        <w:rPr>
          <w:rFonts w:ascii="Times New Roman" w:hAnsi="Times New Roman" w:eastAsia="Times New Roman" w:cs="Times New Roman"/>
          <w:bCs/>
          <w:iCs/>
          <w:sz w:val="24"/>
          <w:szCs w:val="24"/>
        </w:rPr>
        <w:t xml:space="preserve">45 mins to get complete information from TB patients referred </w:t>
      </w:r>
      <w:r>
        <w:rPr>
          <w:rFonts w:ascii="Times New Roman" w:hAnsi="Times New Roman" w:eastAsia="Times New Roman" w:cs="Times New Roman"/>
          <w:bCs/>
          <w:iCs/>
          <w:sz w:val="24"/>
          <w:szCs w:val="24"/>
        </w:rPr>
        <w:t xml:space="preserve">by ICE detention centers. </w:t>
      </w:r>
      <w:r w:rsidR="00D81BC5">
        <w:rPr>
          <w:rFonts w:ascii="Times New Roman" w:hAnsi="Times New Roman" w:eastAsia="Times New Roman" w:cs="Times New Roman"/>
          <w:bCs/>
          <w:iCs/>
          <w:sz w:val="24"/>
          <w:szCs w:val="24"/>
        </w:rPr>
        <w:t xml:space="preserve">This </w:t>
      </w:r>
      <w:r w:rsidR="00E32F49">
        <w:rPr>
          <w:rFonts w:ascii="Times New Roman" w:hAnsi="Times New Roman" w:eastAsia="Times New Roman" w:cs="Times New Roman"/>
          <w:bCs/>
          <w:iCs/>
          <w:sz w:val="24"/>
          <w:szCs w:val="24"/>
        </w:rPr>
        <w:t xml:space="preserve">results in an anticipated 16 </w:t>
      </w:r>
      <w:r w:rsidR="00D81BC5">
        <w:rPr>
          <w:rFonts w:ascii="Times New Roman" w:hAnsi="Times New Roman" w:eastAsia="Times New Roman" w:cs="Times New Roman"/>
          <w:bCs/>
          <w:iCs/>
          <w:sz w:val="24"/>
          <w:szCs w:val="24"/>
        </w:rPr>
        <w:t>total burden hours for follow up with approximately 18</w:t>
      </w:r>
      <w:r w:rsidR="00E32F49">
        <w:rPr>
          <w:rFonts w:ascii="Times New Roman" w:hAnsi="Times New Roman" w:eastAsia="Times New Roman" w:cs="Times New Roman"/>
          <w:bCs/>
          <w:iCs/>
          <w:sz w:val="24"/>
          <w:szCs w:val="24"/>
        </w:rPr>
        <w:t>7</w:t>
      </w:r>
      <w:r w:rsidR="00D81BC5">
        <w:rPr>
          <w:rFonts w:ascii="Times New Roman" w:hAnsi="Times New Roman" w:eastAsia="Times New Roman" w:cs="Times New Roman"/>
          <w:bCs/>
          <w:iCs/>
          <w:sz w:val="24"/>
          <w:szCs w:val="24"/>
        </w:rPr>
        <w:t xml:space="preserve"> (6</w:t>
      </w:r>
      <w:r w:rsidR="00595E79">
        <w:rPr>
          <w:rFonts w:ascii="Times New Roman" w:hAnsi="Times New Roman" w:eastAsia="Times New Roman" w:cs="Times New Roman"/>
          <w:bCs/>
          <w:iCs/>
          <w:sz w:val="24"/>
          <w:szCs w:val="24"/>
        </w:rPr>
        <w:t>6.6</w:t>
      </w:r>
      <w:r w:rsidR="00D81BC5">
        <w:rPr>
          <w:rFonts w:ascii="Times New Roman" w:hAnsi="Times New Roman" w:eastAsia="Times New Roman" w:cs="Times New Roman"/>
          <w:bCs/>
          <w:iCs/>
          <w:sz w:val="24"/>
          <w:szCs w:val="24"/>
        </w:rPr>
        <w:t>7% of 280)</w:t>
      </w:r>
      <w:r w:rsidRPr="00D81BC5" w:rsidR="00D81BC5">
        <w:rPr>
          <w:rFonts w:ascii="Times New Roman" w:hAnsi="Times New Roman" w:eastAsia="Times New Roman" w:cs="Times New Roman"/>
          <w:bCs/>
          <w:iCs/>
          <w:sz w:val="24"/>
          <w:szCs w:val="24"/>
        </w:rPr>
        <w:t xml:space="preserve"> </w:t>
      </w:r>
      <w:r w:rsidR="00D81BC5">
        <w:rPr>
          <w:rFonts w:ascii="Times New Roman" w:hAnsi="Times New Roman" w:eastAsia="Times New Roman" w:cs="Times New Roman"/>
          <w:bCs/>
          <w:iCs/>
          <w:sz w:val="24"/>
          <w:szCs w:val="24"/>
        </w:rPr>
        <w:t xml:space="preserve">TB patients referred </w:t>
      </w:r>
      <w:r w:rsidR="00E32F49">
        <w:rPr>
          <w:rFonts w:ascii="Times New Roman" w:hAnsi="Times New Roman" w:eastAsia="Times New Roman" w:cs="Times New Roman"/>
          <w:bCs/>
          <w:iCs/>
          <w:sz w:val="24"/>
          <w:szCs w:val="24"/>
        </w:rPr>
        <w:t xml:space="preserve">by </w:t>
      </w:r>
      <w:r w:rsidR="00D81BC5">
        <w:rPr>
          <w:rFonts w:ascii="Times New Roman" w:hAnsi="Times New Roman" w:eastAsia="Times New Roman" w:cs="Times New Roman"/>
          <w:bCs/>
          <w:iCs/>
          <w:sz w:val="24"/>
          <w:szCs w:val="24"/>
        </w:rPr>
        <w:t xml:space="preserve">health departments, and </w:t>
      </w:r>
      <w:r w:rsidR="00E32F49">
        <w:rPr>
          <w:rFonts w:ascii="Times New Roman" w:hAnsi="Times New Roman" w:eastAsia="Times New Roman" w:cs="Times New Roman"/>
          <w:bCs/>
          <w:iCs/>
          <w:sz w:val="24"/>
          <w:szCs w:val="24"/>
        </w:rPr>
        <w:t xml:space="preserve">an anticipated 440 </w:t>
      </w:r>
      <w:r w:rsidR="00D81BC5">
        <w:rPr>
          <w:rFonts w:ascii="Times New Roman" w:hAnsi="Times New Roman" w:eastAsia="Times New Roman" w:cs="Times New Roman"/>
          <w:bCs/>
          <w:iCs/>
          <w:sz w:val="24"/>
          <w:szCs w:val="24"/>
        </w:rPr>
        <w:t>total burden hours for follow up with approximately 587 (6</w:t>
      </w:r>
      <w:r w:rsidR="00595E79">
        <w:rPr>
          <w:rFonts w:ascii="Times New Roman" w:hAnsi="Times New Roman" w:eastAsia="Times New Roman" w:cs="Times New Roman"/>
          <w:bCs/>
          <w:iCs/>
          <w:sz w:val="24"/>
          <w:szCs w:val="24"/>
        </w:rPr>
        <w:t>6.6</w:t>
      </w:r>
      <w:r w:rsidR="00D81BC5">
        <w:rPr>
          <w:rFonts w:ascii="Times New Roman" w:hAnsi="Times New Roman" w:eastAsia="Times New Roman" w:cs="Times New Roman"/>
          <w:bCs/>
          <w:iCs/>
          <w:sz w:val="24"/>
          <w:szCs w:val="24"/>
        </w:rPr>
        <w:t>7% of 880)</w:t>
      </w:r>
      <w:r w:rsidR="00E32F49">
        <w:rPr>
          <w:rFonts w:ascii="Times New Roman" w:hAnsi="Times New Roman" w:eastAsia="Times New Roman" w:cs="Times New Roman"/>
          <w:bCs/>
          <w:iCs/>
          <w:sz w:val="24"/>
          <w:szCs w:val="24"/>
        </w:rPr>
        <w:t xml:space="preserve"> </w:t>
      </w:r>
      <w:r w:rsidR="00D81BC5">
        <w:rPr>
          <w:rFonts w:ascii="Times New Roman" w:hAnsi="Times New Roman" w:eastAsia="Times New Roman" w:cs="Times New Roman"/>
          <w:bCs/>
          <w:iCs/>
          <w:sz w:val="24"/>
          <w:szCs w:val="24"/>
        </w:rPr>
        <w:t>TB patients referred by ICE detention centers</w:t>
      </w:r>
      <w:r w:rsidR="00E32F49">
        <w:rPr>
          <w:rFonts w:ascii="Times New Roman" w:hAnsi="Times New Roman" w:eastAsia="Times New Roman" w:cs="Times New Roman"/>
          <w:bCs/>
          <w:iCs/>
          <w:sz w:val="24"/>
          <w:szCs w:val="24"/>
        </w:rPr>
        <w:t>.</w:t>
      </w:r>
    </w:p>
    <w:p w:rsidRPr="002933AB" w:rsidR="00273ADE" w:rsidP="00E777D0" w:rsidRDefault="00273ADE" w14:paraId="1DCE3631" w14:textId="77777777">
      <w:pPr>
        <w:spacing w:after="0" w:line="240" w:lineRule="auto"/>
        <w:rPr>
          <w:rFonts w:ascii="Times New Roman" w:hAnsi="Times New Roman" w:eastAsia="Times New Roman" w:cs="Times New Roman"/>
          <w:bCs/>
          <w:iCs/>
          <w:sz w:val="24"/>
          <w:szCs w:val="24"/>
        </w:rPr>
      </w:pPr>
    </w:p>
    <w:p w:rsidRPr="00E059CA" w:rsidR="00273ADE" w:rsidP="00E777D0" w:rsidRDefault="00273ADE" w14:paraId="0B01A8D5" w14:textId="416E6D2F">
      <w:pPr>
        <w:spacing w:after="0" w:line="240" w:lineRule="auto"/>
        <w:rPr>
          <w:rFonts w:ascii="Times New Roman" w:hAnsi="Times New Roman" w:eastAsia="Times New Roman" w:cs="Times New Roman"/>
          <w:sz w:val="24"/>
          <w:szCs w:val="24"/>
        </w:rPr>
      </w:pPr>
      <w:r w:rsidRPr="002933AB">
        <w:rPr>
          <w:rFonts w:ascii="Times New Roman" w:hAnsi="Times New Roman" w:eastAsia="Times New Roman" w:cs="Times New Roman"/>
          <w:bCs/>
          <w:iCs/>
          <w:sz w:val="24"/>
          <w:szCs w:val="24"/>
        </w:rPr>
        <w:t>CDC</w:t>
      </w:r>
      <w:r w:rsidRPr="002933AB" w:rsidR="004E37AA">
        <w:rPr>
          <w:rFonts w:ascii="Times New Roman" w:hAnsi="Times New Roman" w:eastAsia="Times New Roman" w:cs="Times New Roman"/>
          <w:bCs/>
          <w:iCs/>
          <w:sz w:val="24"/>
          <w:szCs w:val="24"/>
        </w:rPr>
        <w:t xml:space="preserve"> staff in the </w:t>
      </w:r>
      <w:proofErr w:type="spellStart"/>
      <w:r w:rsidRPr="002933AB" w:rsidR="004E37AA">
        <w:rPr>
          <w:rFonts w:ascii="Times New Roman" w:hAnsi="Times New Roman" w:eastAsia="Times New Roman" w:cs="Times New Roman"/>
          <w:bCs/>
          <w:iCs/>
          <w:sz w:val="24"/>
          <w:szCs w:val="24"/>
        </w:rPr>
        <w:t>CureTB</w:t>
      </w:r>
      <w:proofErr w:type="spellEnd"/>
      <w:r w:rsidRPr="002933AB" w:rsidR="004E37AA">
        <w:rPr>
          <w:rFonts w:ascii="Times New Roman" w:hAnsi="Times New Roman" w:eastAsia="Times New Roman" w:cs="Times New Roman"/>
          <w:bCs/>
          <w:iCs/>
          <w:sz w:val="24"/>
          <w:szCs w:val="24"/>
        </w:rPr>
        <w:t xml:space="preserve"> program </w:t>
      </w:r>
      <w:r w:rsidRPr="002933AB">
        <w:rPr>
          <w:rFonts w:ascii="Times New Roman" w:hAnsi="Times New Roman" w:eastAsia="Times New Roman" w:cs="Times New Roman"/>
          <w:bCs/>
          <w:iCs/>
          <w:sz w:val="24"/>
          <w:szCs w:val="24"/>
        </w:rPr>
        <w:t xml:space="preserve">also contact the new treating physicians </w:t>
      </w:r>
      <w:r w:rsidR="00D545F6">
        <w:rPr>
          <w:rFonts w:ascii="Times New Roman" w:hAnsi="Times New Roman" w:eastAsia="Times New Roman" w:cs="Times New Roman"/>
          <w:bCs/>
          <w:iCs/>
          <w:sz w:val="24"/>
          <w:szCs w:val="24"/>
        </w:rPr>
        <w:t>in the new country</w:t>
      </w:r>
      <w:r w:rsidRPr="002933AB" w:rsidR="00D545F6">
        <w:rPr>
          <w:rFonts w:ascii="Times New Roman" w:hAnsi="Times New Roman" w:eastAsia="Times New Roman" w:cs="Times New Roman"/>
          <w:bCs/>
          <w:iCs/>
          <w:sz w:val="24"/>
          <w:szCs w:val="24"/>
        </w:rPr>
        <w:t xml:space="preserve"> </w:t>
      </w:r>
      <w:r w:rsidRPr="002933AB">
        <w:rPr>
          <w:rFonts w:ascii="Times New Roman" w:hAnsi="Times New Roman" w:eastAsia="Times New Roman" w:cs="Times New Roman"/>
          <w:bCs/>
          <w:iCs/>
          <w:sz w:val="24"/>
          <w:szCs w:val="24"/>
        </w:rPr>
        <w:t xml:space="preserve">to </w:t>
      </w:r>
      <w:r w:rsidRPr="002933AB" w:rsidR="006B3D95">
        <w:rPr>
          <w:rFonts w:ascii="Times New Roman" w:hAnsi="Times New Roman" w:eastAsia="Times New Roman" w:cs="Times New Roman"/>
          <w:bCs/>
          <w:iCs/>
          <w:sz w:val="24"/>
          <w:szCs w:val="24"/>
        </w:rPr>
        <w:t>determine patient outcomes</w:t>
      </w:r>
      <w:r w:rsidRPr="002933AB" w:rsidR="004E37AA">
        <w:rPr>
          <w:rFonts w:ascii="Times New Roman" w:hAnsi="Times New Roman" w:eastAsia="Times New Roman" w:cs="Times New Roman"/>
          <w:bCs/>
          <w:iCs/>
          <w:sz w:val="24"/>
          <w:szCs w:val="24"/>
        </w:rPr>
        <w:t xml:space="preserve"> </w:t>
      </w:r>
      <w:r w:rsidR="00D545F6">
        <w:rPr>
          <w:rFonts w:ascii="Times New Roman" w:hAnsi="Times New Roman" w:eastAsia="Times New Roman" w:cs="Times New Roman"/>
          <w:bCs/>
          <w:iCs/>
          <w:sz w:val="24"/>
          <w:szCs w:val="24"/>
        </w:rPr>
        <w:t xml:space="preserve">using the </w:t>
      </w:r>
      <w:proofErr w:type="spellStart"/>
      <w:r w:rsidRPr="002933AB" w:rsidR="004E37AA">
        <w:rPr>
          <w:rFonts w:ascii="Times New Roman" w:hAnsi="Times New Roman" w:eastAsia="Times New Roman" w:cs="Times New Roman"/>
          <w:bCs/>
          <w:iCs/>
          <w:sz w:val="24"/>
          <w:szCs w:val="24"/>
        </w:rPr>
        <w:t>CureTB</w:t>
      </w:r>
      <w:proofErr w:type="spellEnd"/>
      <w:r w:rsidRPr="002933AB" w:rsidR="004E37AA">
        <w:rPr>
          <w:rFonts w:ascii="Times New Roman" w:hAnsi="Times New Roman" w:eastAsia="Times New Roman" w:cs="Times New Roman"/>
          <w:bCs/>
          <w:iCs/>
          <w:sz w:val="24"/>
          <w:szCs w:val="24"/>
        </w:rPr>
        <w:t xml:space="preserve"> Clinician Public Health Department Follow-up Script (Attachment </w:t>
      </w:r>
      <w:r w:rsidR="00E9334C">
        <w:rPr>
          <w:rFonts w:ascii="Times New Roman" w:hAnsi="Times New Roman" w:eastAsia="Times New Roman" w:cs="Times New Roman"/>
          <w:bCs/>
          <w:iCs/>
          <w:sz w:val="24"/>
          <w:szCs w:val="24"/>
        </w:rPr>
        <w:t>E</w:t>
      </w:r>
      <w:r w:rsidRPr="002933AB" w:rsidR="004E37AA">
        <w:rPr>
          <w:rFonts w:ascii="Times New Roman" w:hAnsi="Times New Roman" w:eastAsia="Times New Roman" w:cs="Times New Roman"/>
          <w:bCs/>
          <w:iCs/>
          <w:sz w:val="24"/>
          <w:szCs w:val="24"/>
        </w:rPr>
        <w:t>)</w:t>
      </w:r>
      <w:r w:rsidR="00D545F6">
        <w:rPr>
          <w:rFonts w:ascii="Times New Roman" w:hAnsi="Times New Roman" w:eastAsia="Times New Roman" w:cs="Times New Roman"/>
          <w:bCs/>
          <w:iCs/>
          <w:sz w:val="24"/>
          <w:szCs w:val="24"/>
        </w:rPr>
        <w:t xml:space="preserve"> for</w:t>
      </w:r>
      <w:r w:rsidRPr="002933AB" w:rsidR="00701E1D">
        <w:rPr>
          <w:rFonts w:ascii="Times New Roman" w:hAnsi="Times New Roman" w:eastAsia="Times New Roman" w:cs="Times New Roman"/>
          <w:bCs/>
          <w:iCs/>
          <w:sz w:val="24"/>
          <w:szCs w:val="24"/>
        </w:rPr>
        <w:t xml:space="preserve"> approximately </w:t>
      </w:r>
      <w:r w:rsidR="00366D38">
        <w:rPr>
          <w:rFonts w:ascii="Times New Roman" w:hAnsi="Times New Roman" w:eastAsia="Times New Roman" w:cs="Times New Roman"/>
          <w:bCs/>
          <w:iCs/>
          <w:sz w:val="24"/>
          <w:szCs w:val="24"/>
        </w:rPr>
        <w:t>870 patients (</w:t>
      </w:r>
      <w:r w:rsidRPr="002933AB" w:rsidR="00701E1D">
        <w:rPr>
          <w:rFonts w:ascii="Times New Roman" w:hAnsi="Times New Roman" w:eastAsia="Times New Roman" w:cs="Times New Roman"/>
          <w:bCs/>
          <w:iCs/>
          <w:sz w:val="24"/>
          <w:szCs w:val="24"/>
        </w:rPr>
        <w:t xml:space="preserve">75% of </w:t>
      </w:r>
      <w:r w:rsidR="00D545F6">
        <w:rPr>
          <w:rFonts w:ascii="Times New Roman" w:hAnsi="Times New Roman" w:eastAsia="Times New Roman" w:cs="Times New Roman"/>
          <w:bCs/>
          <w:iCs/>
          <w:sz w:val="24"/>
          <w:szCs w:val="24"/>
        </w:rPr>
        <w:t xml:space="preserve">the 1,160 </w:t>
      </w:r>
      <w:r w:rsidRPr="002933AB" w:rsidR="00701E1D">
        <w:rPr>
          <w:rFonts w:ascii="Times New Roman" w:hAnsi="Times New Roman" w:eastAsia="Times New Roman" w:cs="Times New Roman"/>
          <w:bCs/>
          <w:iCs/>
          <w:sz w:val="24"/>
          <w:szCs w:val="24"/>
        </w:rPr>
        <w:t>patient referrals</w:t>
      </w:r>
      <w:r w:rsidR="00D545F6">
        <w:rPr>
          <w:rFonts w:ascii="Times New Roman" w:hAnsi="Times New Roman" w:eastAsia="Times New Roman" w:cs="Times New Roman"/>
          <w:bCs/>
          <w:iCs/>
          <w:sz w:val="24"/>
          <w:szCs w:val="24"/>
        </w:rPr>
        <w:t xml:space="preserve"> made by health departments and ICE detention centers</w:t>
      </w:r>
      <w:r w:rsidR="00366D38">
        <w:rPr>
          <w:rFonts w:ascii="Times New Roman" w:hAnsi="Times New Roman" w:eastAsia="Times New Roman" w:cs="Times New Roman"/>
          <w:bCs/>
          <w:iCs/>
          <w:sz w:val="24"/>
          <w:szCs w:val="24"/>
        </w:rPr>
        <w:t>)</w:t>
      </w:r>
      <w:r w:rsidRPr="002933AB" w:rsidR="006B3D95">
        <w:rPr>
          <w:rFonts w:ascii="Times New Roman" w:hAnsi="Times New Roman" w:eastAsia="Times New Roman" w:cs="Times New Roman"/>
          <w:bCs/>
          <w:iCs/>
          <w:sz w:val="24"/>
          <w:szCs w:val="24"/>
        </w:rPr>
        <w:t xml:space="preserve">. The </w:t>
      </w:r>
      <w:r w:rsidRPr="002933AB" w:rsidR="004E37AA">
        <w:rPr>
          <w:rFonts w:ascii="Times New Roman" w:hAnsi="Times New Roman" w:eastAsia="Times New Roman" w:cs="Times New Roman"/>
          <w:bCs/>
          <w:iCs/>
          <w:sz w:val="24"/>
          <w:szCs w:val="24"/>
        </w:rPr>
        <w:t>physicians</w:t>
      </w:r>
      <w:r w:rsidRPr="002933AB" w:rsidR="006B3D95">
        <w:rPr>
          <w:rFonts w:ascii="Times New Roman" w:hAnsi="Times New Roman" w:eastAsia="Times New Roman" w:cs="Times New Roman"/>
          <w:bCs/>
          <w:iCs/>
          <w:sz w:val="24"/>
          <w:szCs w:val="24"/>
        </w:rPr>
        <w:t xml:space="preserve"> are generally contacted every two months over the course of </w:t>
      </w:r>
      <w:r w:rsidR="00366D38">
        <w:rPr>
          <w:rFonts w:ascii="Times New Roman" w:hAnsi="Times New Roman" w:eastAsia="Times New Roman" w:cs="Times New Roman"/>
          <w:bCs/>
          <w:iCs/>
          <w:sz w:val="24"/>
          <w:szCs w:val="24"/>
        </w:rPr>
        <w:t xml:space="preserve">the </w:t>
      </w:r>
      <w:r w:rsidRPr="002933AB" w:rsidR="006B3D95">
        <w:rPr>
          <w:rFonts w:ascii="Times New Roman" w:hAnsi="Times New Roman" w:eastAsia="Times New Roman" w:cs="Times New Roman"/>
          <w:bCs/>
          <w:iCs/>
          <w:sz w:val="24"/>
          <w:szCs w:val="24"/>
        </w:rPr>
        <w:t xml:space="preserve">standard </w:t>
      </w:r>
      <w:proofErr w:type="gramStart"/>
      <w:r w:rsidRPr="002933AB" w:rsidR="006B3D95">
        <w:rPr>
          <w:rFonts w:ascii="Times New Roman" w:hAnsi="Times New Roman" w:eastAsia="Times New Roman" w:cs="Times New Roman"/>
          <w:bCs/>
          <w:iCs/>
          <w:sz w:val="24"/>
          <w:szCs w:val="24"/>
        </w:rPr>
        <w:t>6 month</w:t>
      </w:r>
      <w:proofErr w:type="gramEnd"/>
      <w:r w:rsidRPr="002933AB" w:rsidR="006B3D95">
        <w:rPr>
          <w:rFonts w:ascii="Times New Roman" w:hAnsi="Times New Roman" w:eastAsia="Times New Roman" w:cs="Times New Roman"/>
          <w:bCs/>
          <w:iCs/>
          <w:sz w:val="24"/>
          <w:szCs w:val="24"/>
        </w:rPr>
        <w:t xml:space="preserve"> TB treatment, for a total of 3 follow-up contacts</w:t>
      </w:r>
      <w:r w:rsidRPr="002933AB" w:rsidR="004E37AA">
        <w:rPr>
          <w:rFonts w:ascii="Times New Roman" w:hAnsi="Times New Roman" w:eastAsia="Times New Roman" w:cs="Times New Roman"/>
          <w:bCs/>
          <w:iCs/>
          <w:sz w:val="24"/>
          <w:szCs w:val="24"/>
        </w:rPr>
        <w:t xml:space="preserve"> per patient.  This totals </w:t>
      </w:r>
      <w:r w:rsidR="00366D38">
        <w:rPr>
          <w:rFonts w:ascii="Times New Roman" w:hAnsi="Times New Roman" w:eastAsia="Times New Roman" w:cs="Times New Roman"/>
          <w:bCs/>
          <w:iCs/>
          <w:sz w:val="24"/>
          <w:szCs w:val="24"/>
        </w:rPr>
        <w:t xml:space="preserve">to </w:t>
      </w:r>
      <w:r w:rsidR="00D545F6">
        <w:rPr>
          <w:rFonts w:ascii="Times New Roman" w:hAnsi="Times New Roman" w:eastAsia="Times New Roman" w:cs="Times New Roman"/>
          <w:bCs/>
          <w:iCs/>
          <w:sz w:val="24"/>
          <w:szCs w:val="24"/>
        </w:rPr>
        <w:t>2,610</w:t>
      </w:r>
      <w:r w:rsidRPr="002933AB" w:rsidR="00D545F6">
        <w:rPr>
          <w:rFonts w:ascii="Times New Roman" w:hAnsi="Times New Roman" w:eastAsia="Times New Roman" w:cs="Times New Roman"/>
          <w:bCs/>
          <w:iCs/>
          <w:sz w:val="24"/>
          <w:szCs w:val="24"/>
        </w:rPr>
        <w:t xml:space="preserve"> </w:t>
      </w:r>
      <w:r w:rsidRPr="002933AB" w:rsidR="004E37AA">
        <w:rPr>
          <w:rFonts w:ascii="Times New Roman" w:hAnsi="Times New Roman" w:eastAsia="Times New Roman" w:cs="Times New Roman"/>
          <w:bCs/>
          <w:iCs/>
          <w:sz w:val="24"/>
          <w:szCs w:val="24"/>
        </w:rPr>
        <w:t>follow-up contacts. CDC estimates that each follow-up contact requires approximately 10 minutes</w:t>
      </w:r>
      <w:r w:rsidR="00366D38">
        <w:rPr>
          <w:rFonts w:ascii="Times New Roman" w:hAnsi="Times New Roman" w:eastAsia="Times New Roman" w:cs="Times New Roman"/>
          <w:bCs/>
          <w:iCs/>
          <w:sz w:val="24"/>
          <w:szCs w:val="24"/>
        </w:rPr>
        <w:t xml:space="preserve"> resulting in an</w:t>
      </w:r>
      <w:r w:rsidRPr="002933AB" w:rsidR="004E37AA">
        <w:rPr>
          <w:rFonts w:ascii="Times New Roman" w:hAnsi="Times New Roman" w:eastAsia="Times New Roman" w:cs="Times New Roman"/>
          <w:bCs/>
          <w:iCs/>
          <w:sz w:val="24"/>
          <w:szCs w:val="24"/>
        </w:rPr>
        <w:t xml:space="preserve"> estimated annual burden for follow-up contacts </w:t>
      </w:r>
      <w:r w:rsidR="00366D38">
        <w:rPr>
          <w:rFonts w:ascii="Times New Roman" w:hAnsi="Times New Roman" w:eastAsia="Times New Roman" w:cs="Times New Roman"/>
          <w:bCs/>
          <w:iCs/>
          <w:sz w:val="24"/>
          <w:szCs w:val="24"/>
        </w:rPr>
        <w:t xml:space="preserve">of </w:t>
      </w:r>
      <w:r w:rsidRPr="002933AB" w:rsidR="004E37AA">
        <w:rPr>
          <w:rFonts w:ascii="Times New Roman" w:hAnsi="Times New Roman" w:eastAsia="Times New Roman" w:cs="Times New Roman"/>
          <w:bCs/>
          <w:iCs/>
          <w:sz w:val="24"/>
          <w:szCs w:val="24"/>
        </w:rPr>
        <w:t>hours.</w:t>
      </w:r>
      <w:r w:rsidR="004E37AA">
        <w:rPr>
          <w:rFonts w:ascii="Times New Roman" w:hAnsi="Times New Roman" w:eastAsia="Times New Roman" w:cs="Times New Roman"/>
          <w:bCs/>
          <w:iCs/>
          <w:sz w:val="24"/>
          <w:szCs w:val="24"/>
        </w:rPr>
        <w:t xml:space="preserve">  </w:t>
      </w:r>
    </w:p>
    <w:p w:rsidR="00E951CC" w:rsidP="00E951CC" w:rsidRDefault="00E951CC" w14:paraId="476CE022" w14:textId="77777777">
      <w:pPr>
        <w:spacing w:after="0" w:line="240" w:lineRule="auto"/>
        <w:rPr>
          <w:rFonts w:ascii="Times New Roman" w:hAnsi="Times New Roman" w:eastAsia="Times New Roman" w:cs="Times New Roman"/>
          <w:bCs/>
          <w:iCs/>
          <w:sz w:val="24"/>
          <w:szCs w:val="24"/>
        </w:rPr>
      </w:pPr>
    </w:p>
    <w:p w:rsidR="00E951CC" w:rsidP="00E951CC" w:rsidRDefault="00E951CC" w14:paraId="629E0D48" w14:textId="3865773C">
      <w:pPr>
        <w:spacing w:after="0" w:line="240" w:lineRule="auto"/>
        <w:rPr>
          <w:rFonts w:ascii="Times New Roman" w:hAnsi="Times New Roman" w:eastAsia="Times New Roman" w:cs="Times New Roman"/>
          <w:bCs/>
          <w:iCs/>
          <w:sz w:val="24"/>
          <w:szCs w:val="24"/>
        </w:rPr>
      </w:pPr>
      <w:r w:rsidRPr="00E059CA">
        <w:rPr>
          <w:rFonts w:ascii="Times New Roman" w:hAnsi="Times New Roman" w:eastAsia="Times New Roman" w:cs="Times New Roman"/>
          <w:bCs/>
          <w:iCs/>
          <w:sz w:val="24"/>
          <w:szCs w:val="24"/>
        </w:rPr>
        <w:t xml:space="preserve">CDC’s </w:t>
      </w:r>
      <w:proofErr w:type="spellStart"/>
      <w:r w:rsidRPr="00E059CA">
        <w:rPr>
          <w:rFonts w:ascii="Times New Roman" w:hAnsi="Times New Roman" w:eastAsia="Times New Roman" w:cs="Times New Roman"/>
          <w:bCs/>
          <w:iCs/>
          <w:sz w:val="24"/>
          <w:szCs w:val="24"/>
        </w:rPr>
        <w:t>CureTB</w:t>
      </w:r>
      <w:proofErr w:type="spellEnd"/>
      <w:r w:rsidRPr="00E059CA">
        <w:rPr>
          <w:rFonts w:ascii="Times New Roman" w:hAnsi="Times New Roman" w:eastAsia="Times New Roman" w:cs="Times New Roman"/>
          <w:bCs/>
          <w:iCs/>
          <w:sz w:val="24"/>
          <w:szCs w:val="24"/>
        </w:rPr>
        <w:t xml:space="preserve"> program </w:t>
      </w:r>
      <w:r w:rsidR="00D05C42">
        <w:rPr>
          <w:rFonts w:ascii="Times New Roman" w:hAnsi="Times New Roman" w:eastAsia="Times New Roman" w:cs="Times New Roman"/>
          <w:bCs/>
          <w:iCs/>
          <w:sz w:val="24"/>
          <w:szCs w:val="24"/>
        </w:rPr>
        <w:t>helps</w:t>
      </w:r>
      <w:r w:rsidRPr="00E059CA">
        <w:rPr>
          <w:rFonts w:ascii="Times New Roman" w:hAnsi="Times New Roman" w:eastAsia="Times New Roman" w:cs="Times New Roman"/>
          <w:bCs/>
          <w:iCs/>
          <w:sz w:val="24"/>
          <w:szCs w:val="24"/>
        </w:rPr>
        <w:t xml:space="preserve"> </w:t>
      </w:r>
      <w:r w:rsidR="00D05C42">
        <w:rPr>
          <w:rFonts w:ascii="Times New Roman" w:hAnsi="Times New Roman" w:eastAsia="Times New Roman" w:cs="Times New Roman"/>
          <w:bCs/>
          <w:iCs/>
          <w:sz w:val="24"/>
          <w:szCs w:val="24"/>
        </w:rPr>
        <w:t>health departments in the United States notify</w:t>
      </w:r>
      <w:r w:rsidRPr="00E059CA">
        <w:rPr>
          <w:rFonts w:ascii="Times New Roman" w:hAnsi="Times New Roman" w:eastAsia="Times New Roman" w:cs="Times New Roman"/>
          <w:bCs/>
          <w:iCs/>
          <w:sz w:val="24"/>
          <w:szCs w:val="24"/>
        </w:rPr>
        <w:t xml:space="preserve"> contacts of TB cases</w:t>
      </w:r>
      <w:r>
        <w:rPr>
          <w:rFonts w:ascii="Times New Roman" w:hAnsi="Times New Roman" w:eastAsia="Times New Roman" w:cs="Times New Roman"/>
          <w:bCs/>
          <w:iCs/>
          <w:sz w:val="24"/>
          <w:szCs w:val="24"/>
        </w:rPr>
        <w:t xml:space="preserve"> </w:t>
      </w:r>
      <w:r w:rsidR="00D05C42">
        <w:rPr>
          <w:rFonts w:ascii="Times New Roman" w:hAnsi="Times New Roman" w:eastAsia="Times New Roman" w:cs="Times New Roman"/>
          <w:bCs/>
          <w:iCs/>
          <w:sz w:val="24"/>
          <w:szCs w:val="24"/>
        </w:rPr>
        <w:t xml:space="preserve">who may have been exposed in the new country </w:t>
      </w:r>
      <w:r>
        <w:rPr>
          <w:rFonts w:ascii="Times New Roman" w:hAnsi="Times New Roman" w:eastAsia="Times New Roman" w:cs="Times New Roman"/>
          <w:bCs/>
          <w:iCs/>
          <w:sz w:val="24"/>
          <w:szCs w:val="24"/>
        </w:rPr>
        <w:t xml:space="preserve">(Attachment </w:t>
      </w:r>
      <w:r w:rsidR="00E9334C">
        <w:rPr>
          <w:rFonts w:ascii="Times New Roman" w:hAnsi="Times New Roman" w:eastAsia="Times New Roman" w:cs="Times New Roman"/>
          <w:bCs/>
          <w:iCs/>
          <w:sz w:val="24"/>
          <w:szCs w:val="24"/>
        </w:rPr>
        <w:t>D</w:t>
      </w:r>
      <w:r w:rsidRPr="00E059CA">
        <w:rPr>
          <w:rFonts w:ascii="Times New Roman" w:hAnsi="Times New Roman" w:eastAsia="Times New Roman" w:cs="Times New Roman"/>
          <w:bCs/>
          <w:iCs/>
          <w:sz w:val="24"/>
          <w:szCs w:val="24"/>
        </w:rPr>
        <w:t xml:space="preserve">, </w:t>
      </w:r>
      <w:proofErr w:type="spellStart"/>
      <w:r w:rsidRPr="00E059CA">
        <w:rPr>
          <w:rFonts w:ascii="Times New Roman" w:hAnsi="Times New Roman" w:eastAsia="Times New Roman" w:cs="Times New Roman"/>
          <w:bCs/>
          <w:iCs/>
          <w:sz w:val="24"/>
          <w:szCs w:val="24"/>
        </w:rPr>
        <w:t>CureTB</w:t>
      </w:r>
      <w:proofErr w:type="spellEnd"/>
      <w:r w:rsidRPr="00E059CA">
        <w:rPr>
          <w:rFonts w:ascii="Times New Roman" w:hAnsi="Times New Roman" w:eastAsia="Times New Roman" w:cs="Times New Roman"/>
          <w:bCs/>
          <w:iCs/>
          <w:sz w:val="24"/>
          <w:szCs w:val="24"/>
        </w:rPr>
        <w:t xml:space="preserve"> Contact/Source Investigation (CI/SI) Notification).  This is a lesser used function of </w:t>
      </w:r>
      <w:proofErr w:type="spellStart"/>
      <w:proofErr w:type="gramStart"/>
      <w:r w:rsidRPr="00E059CA">
        <w:rPr>
          <w:rFonts w:ascii="Times New Roman" w:hAnsi="Times New Roman" w:eastAsia="Times New Roman" w:cs="Times New Roman"/>
          <w:bCs/>
          <w:iCs/>
          <w:sz w:val="24"/>
          <w:szCs w:val="24"/>
        </w:rPr>
        <w:t>CureTB</w:t>
      </w:r>
      <w:proofErr w:type="spellEnd"/>
      <w:proofErr w:type="gramEnd"/>
      <w:r w:rsidRPr="00E059CA">
        <w:rPr>
          <w:rFonts w:ascii="Times New Roman" w:hAnsi="Times New Roman" w:eastAsia="Times New Roman" w:cs="Times New Roman"/>
          <w:bCs/>
          <w:iCs/>
          <w:sz w:val="24"/>
          <w:szCs w:val="24"/>
        </w:rPr>
        <w:t xml:space="preserve"> but burden is included below.  These respondents are </w:t>
      </w:r>
      <w:r w:rsidR="00087140">
        <w:rPr>
          <w:rFonts w:ascii="Times New Roman" w:hAnsi="Times New Roman" w:eastAsia="Times New Roman" w:cs="Times New Roman"/>
          <w:bCs/>
          <w:iCs/>
          <w:sz w:val="24"/>
          <w:szCs w:val="24"/>
        </w:rPr>
        <w:t xml:space="preserve">only the </w:t>
      </w:r>
      <w:r w:rsidRPr="00E059CA">
        <w:rPr>
          <w:rFonts w:ascii="Times New Roman" w:hAnsi="Times New Roman" w:eastAsia="Times New Roman" w:cs="Times New Roman"/>
          <w:bCs/>
          <w:iCs/>
          <w:sz w:val="24"/>
          <w:szCs w:val="24"/>
        </w:rPr>
        <w:t>health departments</w:t>
      </w:r>
      <w:r w:rsidRPr="00087140" w:rsidR="00087140">
        <w:rPr>
          <w:rFonts w:ascii="Times New Roman" w:hAnsi="Times New Roman" w:eastAsia="Times New Roman" w:cs="Times New Roman"/>
          <w:bCs/>
          <w:iCs/>
          <w:sz w:val="24"/>
          <w:szCs w:val="24"/>
        </w:rPr>
        <w:t xml:space="preserve"> </w:t>
      </w:r>
      <w:r w:rsidR="00087140">
        <w:rPr>
          <w:rFonts w:ascii="Times New Roman" w:hAnsi="Times New Roman" w:eastAsia="Times New Roman" w:cs="Times New Roman"/>
          <w:bCs/>
          <w:iCs/>
          <w:sz w:val="24"/>
          <w:szCs w:val="24"/>
        </w:rPr>
        <w:t>as ICE detention centers do not do contact investigations. O</w:t>
      </w:r>
      <w:r w:rsidR="00837743">
        <w:rPr>
          <w:rFonts w:ascii="Times New Roman" w:hAnsi="Times New Roman" w:eastAsia="Times New Roman" w:cs="Times New Roman"/>
          <w:bCs/>
          <w:iCs/>
          <w:sz w:val="24"/>
          <w:szCs w:val="24"/>
        </w:rPr>
        <w:t xml:space="preserve">f the approximately 280 responses a year, </w:t>
      </w:r>
      <w:r w:rsidRPr="00E059CA">
        <w:rPr>
          <w:rFonts w:ascii="Times New Roman" w:hAnsi="Times New Roman" w:eastAsia="Times New Roman" w:cs="Times New Roman"/>
          <w:bCs/>
          <w:iCs/>
          <w:sz w:val="24"/>
          <w:szCs w:val="24"/>
        </w:rPr>
        <w:t xml:space="preserve">20 </w:t>
      </w:r>
      <w:r w:rsidR="00837743">
        <w:rPr>
          <w:rFonts w:ascii="Times New Roman" w:hAnsi="Times New Roman" w:eastAsia="Times New Roman" w:cs="Times New Roman"/>
          <w:bCs/>
          <w:iCs/>
          <w:sz w:val="24"/>
          <w:szCs w:val="24"/>
        </w:rPr>
        <w:t xml:space="preserve">health departments </w:t>
      </w:r>
      <w:r w:rsidRPr="00E059CA">
        <w:rPr>
          <w:rFonts w:ascii="Times New Roman" w:hAnsi="Times New Roman" w:eastAsia="Times New Roman" w:cs="Times New Roman"/>
          <w:bCs/>
          <w:iCs/>
          <w:sz w:val="24"/>
          <w:szCs w:val="24"/>
        </w:rPr>
        <w:t>submit approximately five notifications per year.</w:t>
      </w:r>
      <w:r w:rsidR="00B510E9">
        <w:rPr>
          <w:rFonts w:ascii="Times New Roman" w:hAnsi="Times New Roman" w:eastAsia="Times New Roman" w:cs="Times New Roman"/>
          <w:bCs/>
          <w:iCs/>
          <w:sz w:val="24"/>
          <w:szCs w:val="24"/>
        </w:rPr>
        <w:t xml:space="preserve"> CDC estimates it takes about 30 min to fill out this form, making a total annual burden of approximately 50 hours.</w:t>
      </w:r>
    </w:p>
    <w:p w:rsidRPr="00E059CA" w:rsidR="00F677C0" w:rsidP="005242B1" w:rsidRDefault="00F677C0" w14:paraId="57A34AEC" w14:textId="77777777">
      <w:pPr>
        <w:spacing w:after="0" w:line="240" w:lineRule="auto"/>
        <w:outlineLvl w:val="0"/>
        <w:rPr>
          <w:rFonts w:ascii="Times New Roman" w:hAnsi="Times New Roman" w:eastAsia="Times New Roman" w:cs="Times New Roman"/>
          <w:b/>
          <w:bCs/>
          <w:sz w:val="24"/>
          <w:szCs w:val="24"/>
        </w:rPr>
      </w:pPr>
    </w:p>
    <w:p w:rsidRPr="00E059CA" w:rsidR="00FA724A" w:rsidP="002537EE" w:rsidRDefault="004F715A" w14:paraId="2E7E165A" w14:textId="77777777">
      <w:pPr>
        <w:spacing w:after="0" w:line="240" w:lineRule="auto"/>
        <w:outlineLvl w:val="0"/>
        <w:rPr>
          <w:rFonts w:ascii="Times New Roman" w:hAnsi="Times New Roman" w:eastAsia="Times New Roman" w:cs="Times New Roman"/>
          <w:i/>
          <w:sz w:val="24"/>
          <w:szCs w:val="24"/>
        </w:rPr>
      </w:pPr>
      <w:bookmarkStart w:name="_Toc295818078" w:id="24"/>
      <w:bookmarkStart w:name="_Toc295819851" w:id="25"/>
      <w:bookmarkStart w:name="_Toc457379312" w:id="26"/>
      <w:r w:rsidRPr="00E059CA">
        <w:rPr>
          <w:rFonts w:ascii="Times New Roman" w:hAnsi="Times New Roman" w:eastAsia="Times New Roman" w:cs="Times New Roman"/>
          <w:bCs/>
          <w:i/>
          <w:sz w:val="24"/>
          <w:szCs w:val="24"/>
        </w:rPr>
        <w:lastRenderedPageBreak/>
        <w:t>Table 12.</w:t>
      </w:r>
      <w:r w:rsidRPr="00E059CA" w:rsidR="00FA724A">
        <w:rPr>
          <w:rFonts w:ascii="Times New Roman" w:hAnsi="Times New Roman" w:eastAsia="Times New Roman" w:cs="Times New Roman"/>
          <w:bCs/>
          <w:i/>
          <w:sz w:val="24"/>
          <w:szCs w:val="24"/>
        </w:rPr>
        <w:t>A: Estimated Annualized Burden to Respondents</w:t>
      </w:r>
      <w:bookmarkEnd w:id="24"/>
      <w:bookmarkEnd w:id="25"/>
      <w:bookmarkEnd w:id="26"/>
    </w:p>
    <w:tbl>
      <w:tblPr>
        <w:tblStyle w:val="TableGrid2"/>
        <w:tblW w:w="9576" w:type="dxa"/>
        <w:jc w:val="center"/>
        <w:tblLayout w:type="fixed"/>
        <w:tblLook w:val="04A0" w:firstRow="1" w:lastRow="0" w:firstColumn="1" w:lastColumn="0" w:noHBand="0" w:noVBand="1"/>
      </w:tblPr>
      <w:tblGrid>
        <w:gridCol w:w="1998"/>
        <w:gridCol w:w="1890"/>
        <w:gridCol w:w="1530"/>
        <w:gridCol w:w="1440"/>
        <w:gridCol w:w="1440"/>
        <w:gridCol w:w="1278"/>
      </w:tblGrid>
      <w:tr w:rsidRPr="00E059CA" w:rsidR="005242B1" w:rsidTr="003766F2" w14:paraId="4D0D77A4" w14:textId="77777777">
        <w:trPr>
          <w:tblHeader/>
          <w:jc w:val="center"/>
        </w:trPr>
        <w:tc>
          <w:tcPr>
            <w:tcW w:w="1998" w:type="dxa"/>
          </w:tcPr>
          <w:p w:rsidRPr="00E059CA" w:rsidR="00FA724A" w:rsidP="00D618A3" w:rsidRDefault="00FA724A" w14:paraId="362C53A3" w14:textId="77777777">
            <w:pPr>
              <w:spacing w:before="120" w:after="120"/>
              <w:jc w:val="center"/>
              <w:rPr>
                <w:sz w:val="24"/>
                <w:szCs w:val="24"/>
              </w:rPr>
            </w:pPr>
            <w:bookmarkStart w:name="_Hlk40717014" w:id="27"/>
            <w:r w:rsidRPr="00E059CA">
              <w:rPr>
                <w:b/>
                <w:sz w:val="24"/>
                <w:szCs w:val="24"/>
              </w:rPr>
              <w:t>Type of Respondents</w:t>
            </w:r>
          </w:p>
        </w:tc>
        <w:tc>
          <w:tcPr>
            <w:tcW w:w="1890" w:type="dxa"/>
          </w:tcPr>
          <w:p w:rsidRPr="00E059CA" w:rsidR="00FA724A" w:rsidP="00D618A3" w:rsidRDefault="00FA724A" w14:paraId="5D915EFE" w14:textId="77777777">
            <w:pPr>
              <w:spacing w:before="120" w:after="120"/>
              <w:jc w:val="center"/>
              <w:rPr>
                <w:sz w:val="24"/>
                <w:szCs w:val="24"/>
              </w:rPr>
            </w:pPr>
            <w:r w:rsidRPr="00E059CA">
              <w:rPr>
                <w:b/>
                <w:sz w:val="24"/>
                <w:szCs w:val="24"/>
              </w:rPr>
              <w:t>Form Name</w:t>
            </w:r>
          </w:p>
        </w:tc>
        <w:tc>
          <w:tcPr>
            <w:tcW w:w="1530" w:type="dxa"/>
          </w:tcPr>
          <w:p w:rsidRPr="00E059CA" w:rsidR="00FA724A" w:rsidP="00D618A3" w:rsidRDefault="00FA724A" w14:paraId="2CF61AC1" w14:textId="77777777">
            <w:pPr>
              <w:spacing w:before="120" w:after="120"/>
              <w:jc w:val="center"/>
              <w:rPr>
                <w:b/>
                <w:sz w:val="24"/>
                <w:szCs w:val="24"/>
              </w:rPr>
            </w:pPr>
            <w:r w:rsidRPr="00E059CA">
              <w:rPr>
                <w:b/>
                <w:sz w:val="24"/>
                <w:szCs w:val="24"/>
              </w:rPr>
              <w:t>Number of Respondents</w:t>
            </w:r>
          </w:p>
        </w:tc>
        <w:tc>
          <w:tcPr>
            <w:tcW w:w="1440" w:type="dxa"/>
          </w:tcPr>
          <w:p w:rsidRPr="00E059CA" w:rsidR="00FA724A" w:rsidP="00D618A3" w:rsidRDefault="00FA724A" w14:paraId="786D27D7" w14:textId="77777777">
            <w:pPr>
              <w:spacing w:before="120" w:after="120"/>
              <w:jc w:val="center"/>
              <w:rPr>
                <w:b/>
                <w:sz w:val="24"/>
                <w:szCs w:val="24"/>
              </w:rPr>
            </w:pPr>
            <w:r w:rsidRPr="00E059CA">
              <w:rPr>
                <w:b/>
                <w:sz w:val="24"/>
                <w:szCs w:val="24"/>
              </w:rPr>
              <w:t>Number of Responses per Respondent</w:t>
            </w:r>
          </w:p>
        </w:tc>
        <w:tc>
          <w:tcPr>
            <w:tcW w:w="1440" w:type="dxa"/>
          </w:tcPr>
          <w:p w:rsidRPr="00E059CA" w:rsidR="00FA724A" w:rsidP="00D618A3" w:rsidRDefault="00FA724A" w14:paraId="0E9E591F" w14:textId="77777777">
            <w:pPr>
              <w:spacing w:before="120" w:after="120"/>
              <w:jc w:val="center"/>
              <w:rPr>
                <w:b/>
                <w:sz w:val="24"/>
                <w:szCs w:val="24"/>
              </w:rPr>
            </w:pPr>
            <w:r w:rsidRPr="00E059CA">
              <w:rPr>
                <w:b/>
                <w:sz w:val="24"/>
                <w:szCs w:val="24"/>
              </w:rPr>
              <w:t>Average Burden per Response (in hours)</w:t>
            </w:r>
          </w:p>
        </w:tc>
        <w:tc>
          <w:tcPr>
            <w:tcW w:w="1278" w:type="dxa"/>
          </w:tcPr>
          <w:p w:rsidRPr="00E059CA" w:rsidR="00FA724A" w:rsidP="004F715A" w:rsidRDefault="00FA724A" w14:paraId="6BCDB108" w14:textId="77777777">
            <w:pPr>
              <w:spacing w:before="120" w:after="120"/>
              <w:jc w:val="center"/>
              <w:rPr>
                <w:b/>
                <w:sz w:val="24"/>
                <w:szCs w:val="24"/>
              </w:rPr>
            </w:pPr>
            <w:r w:rsidRPr="00E059CA">
              <w:rPr>
                <w:b/>
                <w:sz w:val="24"/>
                <w:szCs w:val="24"/>
              </w:rPr>
              <w:t>Total Burden</w:t>
            </w:r>
            <w:r w:rsidRPr="00E059CA" w:rsidR="004F715A">
              <w:rPr>
                <w:b/>
                <w:sz w:val="24"/>
                <w:szCs w:val="24"/>
              </w:rPr>
              <w:t xml:space="preserve"> Hours</w:t>
            </w:r>
          </w:p>
        </w:tc>
      </w:tr>
      <w:tr w:rsidRPr="00E059CA" w:rsidR="004823ED" w:rsidTr="003766F2" w14:paraId="34D27FB4" w14:textId="77777777">
        <w:trPr>
          <w:trHeight w:val="386"/>
          <w:jc w:val="center"/>
        </w:trPr>
        <w:tc>
          <w:tcPr>
            <w:tcW w:w="1998" w:type="dxa"/>
          </w:tcPr>
          <w:p w:rsidRPr="008F7514" w:rsidR="004823ED" w:rsidRDefault="004A4942" w14:paraId="18B3B29C" w14:textId="279C0479">
            <w:pPr>
              <w:spacing w:before="120" w:after="120"/>
              <w:rPr>
                <w:sz w:val="24"/>
                <w:szCs w:val="24"/>
              </w:rPr>
            </w:pPr>
            <w:r w:rsidRPr="008F7514">
              <w:rPr>
                <w:sz w:val="24"/>
                <w:szCs w:val="24"/>
              </w:rPr>
              <w:t xml:space="preserve">Local </w:t>
            </w:r>
            <w:r w:rsidRPr="008F7514" w:rsidR="002A04A0">
              <w:rPr>
                <w:sz w:val="24"/>
                <w:szCs w:val="24"/>
              </w:rPr>
              <w:t>Health Departments</w:t>
            </w:r>
            <w:r w:rsidRPr="008F7514">
              <w:rPr>
                <w:sz w:val="24"/>
                <w:szCs w:val="24"/>
              </w:rPr>
              <w:t xml:space="preserve"> (LHD)</w:t>
            </w:r>
            <w:r w:rsidRPr="008F7514" w:rsidR="002A04A0">
              <w:rPr>
                <w:sz w:val="24"/>
                <w:szCs w:val="24"/>
              </w:rPr>
              <w:t xml:space="preserve"> </w:t>
            </w:r>
            <w:r w:rsidRPr="008F7514">
              <w:rPr>
                <w:sz w:val="24"/>
                <w:szCs w:val="24"/>
              </w:rPr>
              <w:t>in the United States</w:t>
            </w:r>
          </w:p>
        </w:tc>
        <w:tc>
          <w:tcPr>
            <w:tcW w:w="1890" w:type="dxa"/>
          </w:tcPr>
          <w:p w:rsidRPr="008F7514" w:rsidR="004823ED" w:rsidP="00786045" w:rsidRDefault="004823ED" w14:paraId="40D7D0F4" w14:textId="6A55B504">
            <w:pPr>
              <w:spacing w:before="120" w:after="120"/>
              <w:rPr>
                <w:sz w:val="24"/>
                <w:szCs w:val="24"/>
              </w:rPr>
            </w:pPr>
            <w:proofErr w:type="spellStart"/>
            <w:r w:rsidRPr="008F7514">
              <w:rPr>
                <w:sz w:val="24"/>
                <w:szCs w:val="24"/>
              </w:rPr>
              <w:t>CureTB</w:t>
            </w:r>
            <w:proofErr w:type="spellEnd"/>
            <w:r w:rsidRPr="008F7514">
              <w:rPr>
                <w:sz w:val="24"/>
                <w:szCs w:val="24"/>
              </w:rPr>
              <w:t xml:space="preserve"> Transnational Notification</w:t>
            </w:r>
            <w:r w:rsidRPr="008F7514" w:rsidR="00314B04">
              <w:rPr>
                <w:sz w:val="24"/>
                <w:szCs w:val="24"/>
              </w:rPr>
              <w:t xml:space="preserve"> </w:t>
            </w:r>
          </w:p>
        </w:tc>
        <w:tc>
          <w:tcPr>
            <w:tcW w:w="1530" w:type="dxa"/>
          </w:tcPr>
          <w:p w:rsidRPr="008F7514" w:rsidR="004823ED" w:rsidP="004823ED" w:rsidRDefault="000621DC" w14:paraId="32780904" w14:textId="778FA100">
            <w:pPr>
              <w:spacing w:before="120" w:after="120"/>
              <w:jc w:val="center"/>
              <w:rPr>
                <w:sz w:val="24"/>
                <w:szCs w:val="24"/>
              </w:rPr>
            </w:pPr>
            <w:r w:rsidRPr="008F7514">
              <w:rPr>
                <w:sz w:val="24"/>
                <w:szCs w:val="24"/>
              </w:rPr>
              <w:t>7</w:t>
            </w:r>
            <w:r w:rsidRPr="008F7514" w:rsidR="00B62F67">
              <w:rPr>
                <w:sz w:val="24"/>
                <w:szCs w:val="24"/>
              </w:rPr>
              <w:t>0</w:t>
            </w:r>
          </w:p>
        </w:tc>
        <w:tc>
          <w:tcPr>
            <w:tcW w:w="1440" w:type="dxa"/>
          </w:tcPr>
          <w:p w:rsidRPr="008F7514" w:rsidR="004823ED" w:rsidP="004823ED" w:rsidRDefault="00FF7BA5" w14:paraId="41FEB944" w14:textId="27645353">
            <w:pPr>
              <w:spacing w:before="120" w:after="120"/>
              <w:jc w:val="center"/>
              <w:rPr>
                <w:sz w:val="24"/>
                <w:szCs w:val="24"/>
              </w:rPr>
            </w:pPr>
            <w:r w:rsidRPr="008F7514">
              <w:rPr>
                <w:sz w:val="24"/>
                <w:szCs w:val="24"/>
              </w:rPr>
              <w:t>4</w:t>
            </w:r>
          </w:p>
        </w:tc>
        <w:tc>
          <w:tcPr>
            <w:tcW w:w="1440" w:type="dxa"/>
          </w:tcPr>
          <w:p w:rsidRPr="008F7514" w:rsidR="004823ED" w:rsidP="004823ED" w:rsidRDefault="0017593A" w14:paraId="6416453C" w14:textId="77777777">
            <w:pPr>
              <w:spacing w:before="120" w:after="120"/>
              <w:jc w:val="center"/>
              <w:rPr>
                <w:sz w:val="24"/>
                <w:szCs w:val="24"/>
              </w:rPr>
            </w:pPr>
            <w:r w:rsidRPr="008F7514">
              <w:rPr>
                <w:sz w:val="24"/>
                <w:szCs w:val="24"/>
              </w:rPr>
              <w:t>30/60</w:t>
            </w:r>
          </w:p>
        </w:tc>
        <w:tc>
          <w:tcPr>
            <w:tcW w:w="1278" w:type="dxa"/>
          </w:tcPr>
          <w:p w:rsidRPr="008F7514" w:rsidR="004823ED" w:rsidP="004823ED" w:rsidRDefault="00C4604B" w14:paraId="6CE5A2DC" w14:textId="1EE8C199">
            <w:pPr>
              <w:spacing w:before="120" w:after="120"/>
              <w:jc w:val="center"/>
              <w:rPr>
                <w:sz w:val="24"/>
                <w:szCs w:val="24"/>
              </w:rPr>
            </w:pPr>
            <w:r w:rsidRPr="008F7514">
              <w:rPr>
                <w:sz w:val="24"/>
                <w:szCs w:val="24"/>
              </w:rPr>
              <w:t>140</w:t>
            </w:r>
          </w:p>
          <w:p w:rsidRPr="008F7514" w:rsidR="00C4604B" w:rsidP="004823ED" w:rsidRDefault="00C4604B" w14:paraId="456AFF57" w14:textId="4CFEFABA">
            <w:pPr>
              <w:spacing w:before="120" w:after="120"/>
              <w:jc w:val="center"/>
              <w:rPr>
                <w:sz w:val="24"/>
                <w:szCs w:val="24"/>
              </w:rPr>
            </w:pPr>
          </w:p>
        </w:tc>
      </w:tr>
      <w:tr w:rsidRPr="00E059CA" w:rsidR="00A75170" w:rsidTr="003766F2" w14:paraId="65812331" w14:textId="77777777">
        <w:trPr>
          <w:trHeight w:val="386"/>
          <w:jc w:val="center"/>
        </w:trPr>
        <w:tc>
          <w:tcPr>
            <w:tcW w:w="1998" w:type="dxa"/>
            <w:shd w:val="clear" w:color="auto" w:fill="auto"/>
          </w:tcPr>
          <w:p w:rsidRPr="008F7514" w:rsidR="00A75170" w:rsidRDefault="00A75170" w14:paraId="054A011D" w14:textId="18B6CF5E">
            <w:pPr>
              <w:spacing w:before="120" w:after="120"/>
              <w:rPr>
                <w:sz w:val="24"/>
                <w:szCs w:val="24"/>
              </w:rPr>
            </w:pPr>
            <w:r w:rsidRPr="008F7514">
              <w:rPr>
                <w:sz w:val="24"/>
                <w:szCs w:val="24"/>
              </w:rPr>
              <w:t>TB patients</w:t>
            </w:r>
            <w:r w:rsidRPr="008F7514" w:rsidR="004A4942">
              <w:rPr>
                <w:sz w:val="24"/>
                <w:szCs w:val="24"/>
              </w:rPr>
              <w:t xml:space="preserve"> referred by LHD </w:t>
            </w:r>
          </w:p>
        </w:tc>
        <w:tc>
          <w:tcPr>
            <w:tcW w:w="1890" w:type="dxa"/>
            <w:shd w:val="clear" w:color="auto" w:fill="FFFFFF" w:themeFill="background1"/>
          </w:tcPr>
          <w:p w:rsidRPr="008F7514" w:rsidR="00A75170" w:rsidP="00786045" w:rsidRDefault="00A75170" w14:paraId="031977A0" w14:textId="128DF0A5">
            <w:pPr>
              <w:spacing w:before="120" w:after="120"/>
              <w:rPr>
                <w:sz w:val="24"/>
                <w:szCs w:val="24"/>
              </w:rPr>
            </w:pPr>
            <w:proofErr w:type="spellStart"/>
            <w:r w:rsidRPr="008F7514">
              <w:rPr>
                <w:sz w:val="24"/>
                <w:szCs w:val="24"/>
              </w:rPr>
              <w:t>CureTB</w:t>
            </w:r>
            <w:proofErr w:type="spellEnd"/>
            <w:r w:rsidRPr="008F7514">
              <w:rPr>
                <w:sz w:val="24"/>
                <w:szCs w:val="24"/>
              </w:rPr>
              <w:t xml:space="preserve"> Transnational Notification </w:t>
            </w:r>
          </w:p>
        </w:tc>
        <w:tc>
          <w:tcPr>
            <w:tcW w:w="1530" w:type="dxa"/>
            <w:shd w:val="clear" w:color="auto" w:fill="FFFFFF" w:themeFill="background1"/>
          </w:tcPr>
          <w:p w:rsidRPr="008F7514" w:rsidR="006D227E" w:rsidP="00366D38" w:rsidRDefault="003A62FB" w14:paraId="138ED8D3" w14:textId="6257BD88">
            <w:pPr>
              <w:spacing w:before="120" w:after="120"/>
              <w:jc w:val="center"/>
              <w:rPr>
                <w:sz w:val="24"/>
                <w:szCs w:val="24"/>
              </w:rPr>
            </w:pPr>
            <w:r w:rsidRPr="008F7514">
              <w:rPr>
                <w:sz w:val="24"/>
                <w:szCs w:val="24"/>
              </w:rPr>
              <w:t>18</w:t>
            </w:r>
            <w:r w:rsidRPr="008F7514" w:rsidR="006D227E">
              <w:rPr>
                <w:sz w:val="24"/>
                <w:szCs w:val="24"/>
              </w:rPr>
              <w:t>7</w:t>
            </w:r>
          </w:p>
          <w:p w:rsidRPr="008F7514" w:rsidR="006D227E" w:rsidP="00B62F67" w:rsidRDefault="006D227E" w14:paraId="030EF08C" w14:textId="22F13804">
            <w:pPr>
              <w:spacing w:before="120" w:after="120"/>
              <w:jc w:val="center"/>
              <w:rPr>
                <w:sz w:val="24"/>
                <w:szCs w:val="24"/>
              </w:rPr>
            </w:pPr>
          </w:p>
        </w:tc>
        <w:tc>
          <w:tcPr>
            <w:tcW w:w="1440" w:type="dxa"/>
            <w:shd w:val="clear" w:color="auto" w:fill="FFFFFF" w:themeFill="background1"/>
          </w:tcPr>
          <w:p w:rsidRPr="008F7514" w:rsidR="00A75170" w:rsidP="004823ED" w:rsidRDefault="00A75170" w14:paraId="6F2EDFE9" w14:textId="2A39460A">
            <w:pPr>
              <w:spacing w:before="120" w:after="120"/>
              <w:jc w:val="center"/>
              <w:rPr>
                <w:sz w:val="24"/>
                <w:szCs w:val="24"/>
              </w:rPr>
            </w:pPr>
            <w:r w:rsidRPr="008F7514">
              <w:rPr>
                <w:sz w:val="24"/>
                <w:szCs w:val="24"/>
              </w:rPr>
              <w:t>1</w:t>
            </w:r>
          </w:p>
        </w:tc>
        <w:tc>
          <w:tcPr>
            <w:tcW w:w="1440" w:type="dxa"/>
            <w:shd w:val="clear" w:color="auto" w:fill="FFFFFF" w:themeFill="background1"/>
          </w:tcPr>
          <w:p w:rsidRPr="008F7514" w:rsidR="00A75170" w:rsidP="004823ED" w:rsidRDefault="00A75170" w14:paraId="7450CF32" w14:textId="7240A9CC">
            <w:pPr>
              <w:spacing w:before="120" w:after="120"/>
              <w:jc w:val="center"/>
              <w:rPr>
                <w:sz w:val="24"/>
                <w:szCs w:val="24"/>
              </w:rPr>
            </w:pPr>
            <w:r w:rsidRPr="008F7514">
              <w:rPr>
                <w:sz w:val="24"/>
                <w:szCs w:val="24"/>
              </w:rPr>
              <w:t>5/60</w:t>
            </w:r>
          </w:p>
        </w:tc>
        <w:tc>
          <w:tcPr>
            <w:tcW w:w="1278" w:type="dxa"/>
            <w:shd w:val="clear" w:color="auto" w:fill="FFFFFF" w:themeFill="background1"/>
          </w:tcPr>
          <w:p w:rsidRPr="008F7514" w:rsidR="00A75170" w:rsidP="004823ED" w:rsidRDefault="00E951CC" w14:paraId="5B29968A" w14:textId="5B0EF806">
            <w:pPr>
              <w:spacing w:before="120" w:after="120"/>
              <w:jc w:val="center"/>
              <w:rPr>
                <w:sz w:val="24"/>
                <w:szCs w:val="24"/>
              </w:rPr>
            </w:pPr>
            <w:r w:rsidRPr="008F7514">
              <w:rPr>
                <w:sz w:val="24"/>
                <w:szCs w:val="24"/>
              </w:rPr>
              <w:t>1</w:t>
            </w:r>
            <w:r w:rsidRPr="008F7514" w:rsidR="006D227E">
              <w:rPr>
                <w:sz w:val="24"/>
                <w:szCs w:val="24"/>
              </w:rPr>
              <w:t>6</w:t>
            </w:r>
          </w:p>
        </w:tc>
      </w:tr>
      <w:tr w:rsidRPr="00E059CA" w:rsidR="00E951CC" w:rsidTr="003766F2" w14:paraId="5F74F8FF" w14:textId="77777777">
        <w:trPr>
          <w:trHeight w:val="386"/>
          <w:jc w:val="center"/>
        </w:trPr>
        <w:tc>
          <w:tcPr>
            <w:tcW w:w="1998" w:type="dxa"/>
          </w:tcPr>
          <w:p w:rsidRPr="008F7514" w:rsidR="00E951CC" w:rsidRDefault="00E951CC" w14:paraId="1DF83F4B" w14:textId="684DF46A">
            <w:pPr>
              <w:spacing w:before="120" w:after="120"/>
              <w:rPr>
                <w:sz w:val="24"/>
                <w:szCs w:val="24"/>
              </w:rPr>
            </w:pPr>
            <w:r w:rsidRPr="008F7514">
              <w:rPr>
                <w:sz w:val="24"/>
                <w:szCs w:val="24"/>
              </w:rPr>
              <w:t xml:space="preserve">TB patients </w:t>
            </w:r>
            <w:r w:rsidRPr="008F7514" w:rsidR="004A4942">
              <w:rPr>
                <w:sz w:val="24"/>
                <w:szCs w:val="24"/>
              </w:rPr>
              <w:t xml:space="preserve">referred by </w:t>
            </w:r>
            <w:r w:rsidRPr="008F7514" w:rsidR="00214217">
              <w:rPr>
                <w:sz w:val="24"/>
                <w:szCs w:val="24"/>
              </w:rPr>
              <w:t>ICE*</w:t>
            </w:r>
          </w:p>
        </w:tc>
        <w:tc>
          <w:tcPr>
            <w:tcW w:w="1890" w:type="dxa"/>
          </w:tcPr>
          <w:p w:rsidRPr="008F7514" w:rsidR="00E951CC" w:rsidP="00786045" w:rsidRDefault="00E951CC" w14:paraId="57A0D658" w14:textId="22CB0AAF">
            <w:pPr>
              <w:spacing w:before="120" w:after="120"/>
              <w:rPr>
                <w:sz w:val="24"/>
                <w:szCs w:val="24"/>
              </w:rPr>
            </w:pPr>
            <w:proofErr w:type="spellStart"/>
            <w:r w:rsidRPr="008F7514">
              <w:rPr>
                <w:sz w:val="24"/>
                <w:szCs w:val="24"/>
              </w:rPr>
              <w:t>CureTB</w:t>
            </w:r>
            <w:proofErr w:type="spellEnd"/>
            <w:r w:rsidRPr="008F7514">
              <w:rPr>
                <w:sz w:val="24"/>
                <w:szCs w:val="24"/>
              </w:rPr>
              <w:t xml:space="preserve"> Transnational Notification</w:t>
            </w:r>
          </w:p>
        </w:tc>
        <w:tc>
          <w:tcPr>
            <w:tcW w:w="1530" w:type="dxa"/>
          </w:tcPr>
          <w:p w:rsidRPr="008F7514" w:rsidR="00E951CC" w:rsidP="00B62F67" w:rsidRDefault="00D81BC5" w14:paraId="504BCD5A" w14:textId="11A6787A">
            <w:pPr>
              <w:spacing w:before="120" w:after="120"/>
              <w:jc w:val="center"/>
              <w:rPr>
                <w:sz w:val="24"/>
                <w:szCs w:val="24"/>
              </w:rPr>
            </w:pPr>
            <w:r w:rsidRPr="008F7514">
              <w:rPr>
                <w:sz w:val="24"/>
                <w:szCs w:val="24"/>
              </w:rPr>
              <w:t>587</w:t>
            </w:r>
          </w:p>
        </w:tc>
        <w:tc>
          <w:tcPr>
            <w:tcW w:w="1440" w:type="dxa"/>
          </w:tcPr>
          <w:p w:rsidRPr="008F7514" w:rsidR="00E951CC" w:rsidP="004823ED" w:rsidRDefault="00E951CC" w14:paraId="0711D84E" w14:textId="0509885B">
            <w:pPr>
              <w:spacing w:before="120" w:after="120"/>
              <w:jc w:val="center"/>
              <w:rPr>
                <w:sz w:val="24"/>
                <w:szCs w:val="24"/>
              </w:rPr>
            </w:pPr>
            <w:r w:rsidRPr="008F7514">
              <w:rPr>
                <w:sz w:val="24"/>
                <w:szCs w:val="24"/>
              </w:rPr>
              <w:t>1</w:t>
            </w:r>
          </w:p>
        </w:tc>
        <w:tc>
          <w:tcPr>
            <w:tcW w:w="1440" w:type="dxa"/>
          </w:tcPr>
          <w:p w:rsidRPr="008F7514" w:rsidR="00E951CC" w:rsidP="004823ED" w:rsidRDefault="00E951CC" w14:paraId="52A3DD4F" w14:textId="2FC5D088">
            <w:pPr>
              <w:spacing w:before="120" w:after="120"/>
              <w:jc w:val="center"/>
              <w:rPr>
                <w:sz w:val="24"/>
                <w:szCs w:val="24"/>
              </w:rPr>
            </w:pPr>
            <w:r w:rsidRPr="008F7514">
              <w:rPr>
                <w:sz w:val="24"/>
                <w:szCs w:val="24"/>
              </w:rPr>
              <w:t>45</w:t>
            </w:r>
            <w:r w:rsidRPr="008F7514" w:rsidR="009409B9">
              <w:rPr>
                <w:sz w:val="24"/>
                <w:szCs w:val="24"/>
              </w:rPr>
              <w:t>/60</w:t>
            </w:r>
          </w:p>
        </w:tc>
        <w:tc>
          <w:tcPr>
            <w:tcW w:w="1278" w:type="dxa"/>
          </w:tcPr>
          <w:p w:rsidRPr="008F7514" w:rsidR="00E951CC" w:rsidP="004823ED" w:rsidRDefault="006D227E" w14:paraId="736E09A5" w14:textId="3A689E5D">
            <w:pPr>
              <w:spacing w:before="120" w:after="120"/>
              <w:jc w:val="center"/>
              <w:rPr>
                <w:sz w:val="24"/>
                <w:szCs w:val="24"/>
              </w:rPr>
            </w:pPr>
            <w:r w:rsidRPr="008F7514">
              <w:rPr>
                <w:sz w:val="24"/>
                <w:szCs w:val="24"/>
              </w:rPr>
              <w:t>440</w:t>
            </w:r>
          </w:p>
        </w:tc>
      </w:tr>
      <w:tr w:rsidRPr="00E059CA" w:rsidR="004E37AA" w:rsidTr="00366D38" w14:paraId="1EA87BB7" w14:textId="77777777">
        <w:tblPrEx>
          <w:jc w:val="left"/>
        </w:tblPrEx>
        <w:trPr>
          <w:trHeight w:val="386"/>
        </w:trPr>
        <w:tc>
          <w:tcPr>
            <w:tcW w:w="1998" w:type="dxa"/>
          </w:tcPr>
          <w:p w:rsidRPr="008F7514" w:rsidR="004E37AA" w:rsidRDefault="004E37AA" w14:paraId="7E525D7F" w14:textId="6D035BBA">
            <w:pPr>
              <w:spacing w:before="120" w:after="120"/>
              <w:rPr>
                <w:sz w:val="24"/>
                <w:szCs w:val="24"/>
              </w:rPr>
            </w:pPr>
            <w:r w:rsidRPr="008F7514">
              <w:rPr>
                <w:sz w:val="24"/>
                <w:szCs w:val="24"/>
              </w:rPr>
              <w:t>TB treating physicians</w:t>
            </w:r>
            <w:r w:rsidRPr="008F7514" w:rsidR="00214217">
              <w:rPr>
                <w:sz w:val="24"/>
                <w:szCs w:val="24"/>
              </w:rPr>
              <w:t xml:space="preserve"> in new country</w:t>
            </w:r>
          </w:p>
        </w:tc>
        <w:tc>
          <w:tcPr>
            <w:tcW w:w="1890" w:type="dxa"/>
          </w:tcPr>
          <w:p w:rsidRPr="008F7514" w:rsidR="004E37AA" w:rsidP="004823ED" w:rsidRDefault="004E37AA" w14:paraId="38D9C02E" w14:textId="12ED9E49">
            <w:pPr>
              <w:spacing w:before="120" w:after="120"/>
              <w:rPr>
                <w:sz w:val="24"/>
                <w:szCs w:val="24"/>
              </w:rPr>
            </w:pPr>
            <w:r w:rsidRPr="008F7514">
              <w:rPr>
                <w:bCs/>
                <w:iCs/>
                <w:sz w:val="24"/>
                <w:szCs w:val="24"/>
              </w:rPr>
              <w:t>Clinician Public Health Department Follow-up Script</w:t>
            </w:r>
          </w:p>
        </w:tc>
        <w:tc>
          <w:tcPr>
            <w:tcW w:w="1530" w:type="dxa"/>
          </w:tcPr>
          <w:p w:rsidRPr="008F7514" w:rsidR="004E37AA" w:rsidP="00B62F67" w:rsidRDefault="00366D38" w14:paraId="14AE860C" w14:textId="5A90188C">
            <w:pPr>
              <w:spacing w:before="120" w:after="120"/>
              <w:jc w:val="center"/>
              <w:rPr>
                <w:sz w:val="24"/>
                <w:szCs w:val="24"/>
              </w:rPr>
            </w:pPr>
            <w:r w:rsidRPr="008F7514">
              <w:rPr>
                <w:sz w:val="24"/>
                <w:szCs w:val="24"/>
              </w:rPr>
              <w:t>870</w:t>
            </w:r>
          </w:p>
        </w:tc>
        <w:tc>
          <w:tcPr>
            <w:tcW w:w="1440" w:type="dxa"/>
          </w:tcPr>
          <w:p w:rsidRPr="008F7514" w:rsidR="004E37AA" w:rsidP="004823ED" w:rsidRDefault="004E37AA" w14:paraId="06592BF7" w14:textId="2320B711">
            <w:pPr>
              <w:spacing w:before="120" w:after="120"/>
              <w:jc w:val="center"/>
              <w:rPr>
                <w:sz w:val="24"/>
                <w:szCs w:val="24"/>
              </w:rPr>
            </w:pPr>
            <w:r w:rsidRPr="008F7514">
              <w:rPr>
                <w:sz w:val="24"/>
                <w:szCs w:val="24"/>
              </w:rPr>
              <w:t>3</w:t>
            </w:r>
          </w:p>
        </w:tc>
        <w:tc>
          <w:tcPr>
            <w:tcW w:w="1440" w:type="dxa"/>
          </w:tcPr>
          <w:p w:rsidRPr="008F7514" w:rsidR="004E37AA" w:rsidP="004823ED" w:rsidRDefault="004E37AA" w14:paraId="25F85FA6" w14:textId="391BCE49">
            <w:pPr>
              <w:spacing w:before="120" w:after="120"/>
              <w:jc w:val="center"/>
              <w:rPr>
                <w:sz w:val="24"/>
                <w:szCs w:val="24"/>
              </w:rPr>
            </w:pPr>
            <w:r w:rsidRPr="008F7514">
              <w:rPr>
                <w:sz w:val="24"/>
                <w:szCs w:val="24"/>
              </w:rPr>
              <w:t>10/60</w:t>
            </w:r>
          </w:p>
        </w:tc>
        <w:tc>
          <w:tcPr>
            <w:tcW w:w="1278" w:type="dxa"/>
          </w:tcPr>
          <w:p w:rsidRPr="008F7514" w:rsidR="004E37AA" w:rsidP="004823ED" w:rsidRDefault="00366D38" w14:paraId="447A30A1" w14:textId="650A86A1">
            <w:pPr>
              <w:spacing w:before="120" w:after="120"/>
              <w:jc w:val="center"/>
              <w:rPr>
                <w:sz w:val="24"/>
                <w:szCs w:val="24"/>
              </w:rPr>
            </w:pPr>
            <w:r w:rsidRPr="008F7514">
              <w:rPr>
                <w:sz w:val="24"/>
                <w:szCs w:val="24"/>
              </w:rPr>
              <w:t>435</w:t>
            </w:r>
          </w:p>
        </w:tc>
      </w:tr>
      <w:tr w:rsidRPr="00E059CA" w:rsidR="00E951CC" w:rsidTr="003766F2" w14:paraId="2C047552" w14:textId="77777777">
        <w:trPr>
          <w:trHeight w:val="386"/>
          <w:jc w:val="center"/>
        </w:trPr>
        <w:tc>
          <w:tcPr>
            <w:tcW w:w="1998" w:type="dxa"/>
          </w:tcPr>
          <w:p w:rsidRPr="008F7514" w:rsidR="00E951CC" w:rsidP="00B24A9C" w:rsidRDefault="00214217" w14:paraId="617C68C7" w14:textId="5FDBAB2C">
            <w:pPr>
              <w:spacing w:before="120" w:after="120"/>
              <w:rPr>
                <w:sz w:val="24"/>
                <w:szCs w:val="24"/>
              </w:rPr>
            </w:pPr>
            <w:r w:rsidRPr="008F7514">
              <w:rPr>
                <w:sz w:val="24"/>
                <w:szCs w:val="24"/>
              </w:rPr>
              <w:t>LHD in the United States</w:t>
            </w:r>
          </w:p>
        </w:tc>
        <w:tc>
          <w:tcPr>
            <w:tcW w:w="1890" w:type="dxa"/>
          </w:tcPr>
          <w:p w:rsidRPr="008F7514" w:rsidR="00E951CC" w:rsidP="00B24A9C" w:rsidRDefault="00E951CC" w14:paraId="7CCC91F3" w14:textId="77777777">
            <w:pPr>
              <w:spacing w:before="120" w:after="120"/>
              <w:rPr>
                <w:sz w:val="24"/>
                <w:szCs w:val="24"/>
              </w:rPr>
            </w:pPr>
            <w:proofErr w:type="spellStart"/>
            <w:r w:rsidRPr="008F7514">
              <w:rPr>
                <w:sz w:val="24"/>
                <w:szCs w:val="24"/>
              </w:rPr>
              <w:t>CureTB</w:t>
            </w:r>
            <w:proofErr w:type="spellEnd"/>
            <w:r w:rsidRPr="008F7514">
              <w:rPr>
                <w:sz w:val="24"/>
                <w:szCs w:val="24"/>
              </w:rPr>
              <w:t xml:space="preserve"> Contact/Source Investigation (CI/SI) Notification </w:t>
            </w:r>
          </w:p>
        </w:tc>
        <w:tc>
          <w:tcPr>
            <w:tcW w:w="1530" w:type="dxa"/>
          </w:tcPr>
          <w:p w:rsidRPr="008F7514" w:rsidR="00E951CC" w:rsidP="00B24A9C" w:rsidRDefault="00E951CC" w14:paraId="4F081A8D" w14:textId="77777777">
            <w:pPr>
              <w:spacing w:before="120" w:after="120"/>
              <w:jc w:val="center"/>
              <w:rPr>
                <w:sz w:val="24"/>
                <w:szCs w:val="24"/>
              </w:rPr>
            </w:pPr>
            <w:r w:rsidRPr="008F7514">
              <w:rPr>
                <w:sz w:val="24"/>
                <w:szCs w:val="24"/>
              </w:rPr>
              <w:t>20</w:t>
            </w:r>
          </w:p>
        </w:tc>
        <w:tc>
          <w:tcPr>
            <w:tcW w:w="1440" w:type="dxa"/>
          </w:tcPr>
          <w:p w:rsidRPr="008F7514" w:rsidR="00E951CC" w:rsidP="00B24A9C" w:rsidRDefault="00E951CC" w14:paraId="04EF760F" w14:textId="77777777">
            <w:pPr>
              <w:spacing w:before="120" w:after="120"/>
              <w:jc w:val="center"/>
              <w:rPr>
                <w:sz w:val="24"/>
                <w:szCs w:val="24"/>
              </w:rPr>
            </w:pPr>
            <w:r w:rsidRPr="008F7514">
              <w:rPr>
                <w:sz w:val="24"/>
                <w:szCs w:val="24"/>
              </w:rPr>
              <w:t>5</w:t>
            </w:r>
          </w:p>
        </w:tc>
        <w:tc>
          <w:tcPr>
            <w:tcW w:w="1440" w:type="dxa"/>
          </w:tcPr>
          <w:p w:rsidRPr="008F7514" w:rsidR="00E951CC" w:rsidP="00B24A9C" w:rsidRDefault="00E951CC" w14:paraId="7190C0F6" w14:textId="77777777">
            <w:pPr>
              <w:spacing w:before="120" w:after="120"/>
              <w:jc w:val="center"/>
              <w:rPr>
                <w:sz w:val="24"/>
                <w:szCs w:val="24"/>
              </w:rPr>
            </w:pPr>
            <w:r w:rsidRPr="008F7514">
              <w:rPr>
                <w:sz w:val="24"/>
                <w:szCs w:val="24"/>
              </w:rPr>
              <w:t>30/60</w:t>
            </w:r>
          </w:p>
        </w:tc>
        <w:tc>
          <w:tcPr>
            <w:tcW w:w="1278" w:type="dxa"/>
          </w:tcPr>
          <w:p w:rsidRPr="008F7514" w:rsidR="00E951CC" w:rsidP="00B24A9C" w:rsidRDefault="00E951CC" w14:paraId="5947A151" w14:textId="77777777">
            <w:pPr>
              <w:spacing w:before="120" w:after="120"/>
              <w:jc w:val="center"/>
              <w:rPr>
                <w:sz w:val="24"/>
                <w:szCs w:val="24"/>
              </w:rPr>
            </w:pPr>
            <w:r w:rsidRPr="008F7514">
              <w:rPr>
                <w:sz w:val="24"/>
                <w:szCs w:val="24"/>
              </w:rPr>
              <w:t>50</w:t>
            </w:r>
          </w:p>
        </w:tc>
      </w:tr>
      <w:tr w:rsidRPr="00E059CA" w:rsidR="004823ED" w:rsidTr="003766F2" w14:paraId="2B5B57BB" w14:textId="77777777">
        <w:trPr>
          <w:jc w:val="center"/>
        </w:trPr>
        <w:tc>
          <w:tcPr>
            <w:tcW w:w="1998" w:type="dxa"/>
          </w:tcPr>
          <w:p w:rsidRPr="00E059CA" w:rsidR="004823ED" w:rsidP="004823ED" w:rsidRDefault="004823ED" w14:paraId="3B76A757" w14:textId="77777777">
            <w:pPr>
              <w:spacing w:before="120" w:after="120"/>
              <w:rPr>
                <w:b/>
                <w:sz w:val="24"/>
                <w:szCs w:val="24"/>
              </w:rPr>
            </w:pPr>
            <w:r w:rsidRPr="00E059CA">
              <w:rPr>
                <w:b/>
                <w:sz w:val="24"/>
                <w:szCs w:val="24"/>
              </w:rPr>
              <w:t>TOTAL</w:t>
            </w:r>
          </w:p>
        </w:tc>
        <w:tc>
          <w:tcPr>
            <w:tcW w:w="7578" w:type="dxa"/>
            <w:gridSpan w:val="5"/>
          </w:tcPr>
          <w:p w:rsidRPr="00E059CA" w:rsidR="004823ED" w:rsidP="004E37AA" w:rsidRDefault="004823ED" w14:paraId="51FE7F02" w14:textId="0942AB47">
            <w:pPr>
              <w:spacing w:before="120" w:after="120"/>
              <w:rPr>
                <w:sz w:val="24"/>
                <w:szCs w:val="24"/>
              </w:rPr>
            </w:pPr>
            <w:r w:rsidRPr="00E059CA">
              <w:rPr>
                <w:b/>
                <w:sz w:val="24"/>
                <w:szCs w:val="24"/>
              </w:rPr>
              <w:t xml:space="preserve">                                                                                                           </w:t>
            </w:r>
            <w:r w:rsidR="0087027F">
              <w:rPr>
                <w:sz w:val="24"/>
                <w:szCs w:val="24"/>
              </w:rPr>
              <w:t>1</w:t>
            </w:r>
            <w:r w:rsidR="002933AB">
              <w:rPr>
                <w:sz w:val="24"/>
                <w:szCs w:val="24"/>
              </w:rPr>
              <w:t>,</w:t>
            </w:r>
            <w:r w:rsidR="00B510E9">
              <w:rPr>
                <w:sz w:val="24"/>
                <w:szCs w:val="24"/>
              </w:rPr>
              <w:t>081</w:t>
            </w:r>
          </w:p>
        </w:tc>
      </w:tr>
    </w:tbl>
    <w:bookmarkEnd w:id="27"/>
    <w:p w:rsidRPr="003766F2" w:rsidR="00FA724A" w:rsidP="005242B1" w:rsidRDefault="00214217" w14:paraId="6A4158E7" w14:textId="7F5A384C">
      <w:pPr>
        <w:spacing w:after="0" w:line="240" w:lineRule="auto"/>
        <w:rPr>
          <w:rFonts w:ascii="Times New Roman" w:hAnsi="Times New Roman" w:eastAsia="Times New Roman" w:cs="Times New Roman"/>
          <w:sz w:val="18"/>
          <w:szCs w:val="18"/>
        </w:rPr>
      </w:pPr>
      <w:r w:rsidRPr="003766F2">
        <w:rPr>
          <w:rFonts w:ascii="Times New Roman" w:hAnsi="Times New Roman" w:eastAsia="Times New Roman" w:cs="Times New Roman"/>
          <w:sz w:val="18"/>
          <w:szCs w:val="18"/>
        </w:rPr>
        <w:t>*ICE captures information about patient for its own purposes</w:t>
      </w:r>
      <w:r w:rsidR="007769C6">
        <w:rPr>
          <w:rFonts w:ascii="Times New Roman" w:hAnsi="Times New Roman" w:eastAsia="Times New Roman" w:cs="Times New Roman"/>
          <w:sz w:val="18"/>
          <w:szCs w:val="18"/>
        </w:rPr>
        <w:t>.</w:t>
      </w:r>
      <w:r w:rsidRPr="003766F2">
        <w:rPr>
          <w:rFonts w:ascii="Times New Roman" w:hAnsi="Times New Roman" w:eastAsia="Times New Roman" w:cs="Times New Roman"/>
          <w:sz w:val="18"/>
          <w:szCs w:val="18"/>
        </w:rPr>
        <w:t xml:space="preserve"> </w:t>
      </w:r>
      <w:r w:rsidR="007769C6">
        <w:rPr>
          <w:rFonts w:ascii="Times New Roman" w:hAnsi="Times New Roman" w:eastAsia="Times New Roman" w:cs="Times New Roman"/>
          <w:sz w:val="18"/>
          <w:szCs w:val="18"/>
        </w:rPr>
        <w:t>CDC does</w:t>
      </w:r>
      <w:r w:rsidRPr="003766F2">
        <w:rPr>
          <w:rFonts w:ascii="Times New Roman" w:hAnsi="Times New Roman" w:eastAsia="Times New Roman" w:cs="Times New Roman"/>
          <w:sz w:val="18"/>
          <w:szCs w:val="18"/>
        </w:rPr>
        <w:t xml:space="preserve"> not consider this as respondent burden and have not included it in the burden table.  </w:t>
      </w:r>
    </w:p>
    <w:p w:rsidRPr="00E059CA" w:rsidR="00214217" w:rsidP="005242B1" w:rsidRDefault="00214217" w14:paraId="4B5EF021" w14:textId="77777777">
      <w:pPr>
        <w:spacing w:after="0" w:line="240" w:lineRule="auto"/>
        <w:rPr>
          <w:rFonts w:ascii="Times New Roman" w:hAnsi="Times New Roman" w:eastAsia="Times New Roman" w:cs="Times New Roman"/>
          <w:sz w:val="24"/>
          <w:szCs w:val="24"/>
        </w:rPr>
      </w:pPr>
    </w:p>
    <w:p w:rsidR="00A50BFC" w:rsidP="003009B6" w:rsidRDefault="00B45B75" w14:paraId="181E24C6" w14:textId="47781FE5">
      <w:pPr>
        <w:tabs>
          <w:tab w:val="left" w:pos="-1440"/>
        </w:tabs>
        <w:spacing w:line="240" w:lineRule="auto"/>
        <w:ind w:right="720"/>
        <w:rPr>
          <w:rFonts w:ascii="Times New Roman" w:hAnsi="Times New Roman" w:cs="Times New Roman"/>
          <w:sz w:val="24"/>
          <w:szCs w:val="24"/>
        </w:rPr>
      </w:pPr>
      <w:r w:rsidRPr="00E059CA">
        <w:rPr>
          <w:rFonts w:ascii="Times New Roman" w:hAnsi="Times New Roman" w:cs="Times New Roman"/>
          <w:sz w:val="24"/>
          <w:szCs w:val="24"/>
        </w:rPr>
        <w:t xml:space="preserve">B. </w:t>
      </w:r>
      <w:r w:rsidRPr="00E059CA" w:rsidR="007A427E">
        <w:rPr>
          <w:rFonts w:ascii="Times New Roman" w:hAnsi="Times New Roman" w:cs="Times New Roman"/>
          <w:sz w:val="24"/>
          <w:szCs w:val="24"/>
        </w:rPr>
        <w:t xml:space="preserve">Most of the respondents will be </w:t>
      </w:r>
      <w:r w:rsidRPr="00E059CA" w:rsidR="009F25AA">
        <w:rPr>
          <w:rFonts w:ascii="Times New Roman" w:hAnsi="Times New Roman" w:cs="Times New Roman"/>
          <w:sz w:val="24"/>
          <w:szCs w:val="24"/>
        </w:rPr>
        <w:t>nurse</w:t>
      </w:r>
      <w:r w:rsidRPr="00E059CA" w:rsidR="008D454A">
        <w:rPr>
          <w:rFonts w:ascii="Times New Roman" w:hAnsi="Times New Roman" w:cs="Times New Roman"/>
          <w:sz w:val="24"/>
          <w:szCs w:val="24"/>
        </w:rPr>
        <w:t>s in the public health field (RNs and NPs).</w:t>
      </w:r>
      <w:r w:rsidR="0087027F">
        <w:rPr>
          <w:rFonts w:ascii="Times New Roman" w:hAnsi="Times New Roman" w:cs="Times New Roman"/>
          <w:sz w:val="24"/>
          <w:szCs w:val="24"/>
        </w:rPr>
        <w:t xml:space="preserve">  </w:t>
      </w:r>
      <w:r w:rsidRPr="00E059CA" w:rsidR="004F715A">
        <w:rPr>
          <w:rFonts w:ascii="Times New Roman" w:hAnsi="Times New Roman" w:cs="Times New Roman"/>
          <w:sz w:val="24"/>
          <w:szCs w:val="24"/>
        </w:rPr>
        <w:t>Table 12.</w:t>
      </w:r>
      <w:r w:rsidRPr="00E059CA">
        <w:rPr>
          <w:rFonts w:ascii="Times New Roman" w:hAnsi="Times New Roman" w:cs="Times New Roman"/>
          <w:sz w:val="24"/>
          <w:szCs w:val="24"/>
        </w:rPr>
        <w:t xml:space="preserve">B presents the calculations for cost of respondents’ time using </w:t>
      </w:r>
      <w:r w:rsidRPr="00E059CA" w:rsidR="007B2DEC">
        <w:rPr>
          <w:rFonts w:ascii="Times New Roman" w:hAnsi="Times New Roman" w:cs="Times New Roman"/>
          <w:sz w:val="24"/>
          <w:szCs w:val="24"/>
        </w:rPr>
        <w:t xml:space="preserve">one category of mean hourly wages for </w:t>
      </w:r>
      <w:r w:rsidRPr="00E059CA" w:rsidR="00DC7252">
        <w:rPr>
          <w:rFonts w:ascii="Times New Roman" w:hAnsi="Times New Roman" w:cs="Times New Roman"/>
          <w:sz w:val="24"/>
          <w:szCs w:val="24"/>
        </w:rPr>
        <w:t xml:space="preserve">a </w:t>
      </w:r>
      <w:r w:rsidRPr="00E059CA" w:rsidR="009F25AA">
        <w:rPr>
          <w:rFonts w:ascii="Times New Roman" w:hAnsi="Times New Roman" w:cs="Times New Roman"/>
          <w:sz w:val="24"/>
          <w:szCs w:val="24"/>
        </w:rPr>
        <w:t xml:space="preserve">nurse </w:t>
      </w:r>
      <w:r w:rsidRPr="00E059CA" w:rsidR="00DC7252">
        <w:rPr>
          <w:rFonts w:ascii="Times New Roman" w:hAnsi="Times New Roman" w:cs="Times New Roman"/>
          <w:sz w:val="24"/>
          <w:szCs w:val="24"/>
        </w:rPr>
        <w:t xml:space="preserve">in the U.S. </w:t>
      </w:r>
      <w:r w:rsidRPr="00E059CA">
        <w:rPr>
          <w:rFonts w:ascii="Times New Roman" w:hAnsi="Times New Roman" w:cs="Times New Roman"/>
          <w:sz w:val="24"/>
          <w:szCs w:val="24"/>
        </w:rPr>
        <w:t xml:space="preserve"> Hourly mean wage information is from the U.S. Department of Labor's Bu</w:t>
      </w:r>
      <w:r w:rsidRPr="00E059CA" w:rsidR="00DC7252">
        <w:rPr>
          <w:rFonts w:ascii="Times New Roman" w:hAnsi="Times New Roman" w:cs="Times New Roman"/>
          <w:sz w:val="24"/>
          <w:szCs w:val="24"/>
        </w:rPr>
        <w:t>r</w:t>
      </w:r>
      <w:r w:rsidRPr="00E059CA" w:rsidR="00F44780">
        <w:rPr>
          <w:rFonts w:ascii="Times New Roman" w:hAnsi="Times New Roman" w:cs="Times New Roman"/>
          <w:sz w:val="24"/>
          <w:szCs w:val="24"/>
        </w:rPr>
        <w:t xml:space="preserve">eau of Labor Statistics website </w:t>
      </w:r>
      <w:r w:rsidRPr="00E059CA" w:rsidR="0093782F">
        <w:rPr>
          <w:rFonts w:ascii="Times New Roman" w:hAnsi="Times New Roman" w:cs="Times New Roman"/>
          <w:sz w:val="24"/>
          <w:szCs w:val="24"/>
        </w:rPr>
        <w:t>(</w:t>
      </w:r>
      <w:hyperlink w:history="1" r:id="rId18">
        <w:r w:rsidRPr="0087027F" w:rsidR="0087027F">
          <w:rPr>
            <w:rStyle w:val="Hyperlink"/>
            <w:rFonts w:ascii="Times New Roman" w:hAnsi="Times New Roman" w:cs="Times New Roman"/>
            <w:sz w:val="24"/>
            <w:szCs w:val="24"/>
          </w:rPr>
          <w:t>https://www.bls.gov/oes/current/oes_nat.htm</w:t>
        </w:r>
      </w:hyperlink>
      <w:r w:rsidRPr="00E059CA" w:rsidR="0093782F">
        <w:rPr>
          <w:rFonts w:ascii="Times New Roman" w:hAnsi="Times New Roman" w:cs="Times New Roman"/>
          <w:sz w:val="24"/>
          <w:szCs w:val="24"/>
        </w:rPr>
        <w:t>)</w:t>
      </w:r>
      <w:r w:rsidRPr="00E059CA">
        <w:rPr>
          <w:rFonts w:ascii="Times New Roman" w:hAnsi="Times New Roman" w:cs="Times New Roman"/>
          <w:sz w:val="24"/>
          <w:szCs w:val="24"/>
        </w:rPr>
        <w:t>.</w:t>
      </w:r>
      <w:r w:rsidRPr="00E059CA" w:rsidR="0093782F">
        <w:rPr>
          <w:rFonts w:ascii="Times New Roman" w:hAnsi="Times New Roman" w:cs="Times New Roman"/>
          <w:sz w:val="24"/>
          <w:szCs w:val="24"/>
        </w:rPr>
        <w:t xml:space="preserve"> </w:t>
      </w:r>
      <w:r w:rsidRPr="00E059CA" w:rsidR="0061064F">
        <w:rPr>
          <w:rFonts w:ascii="Times New Roman" w:hAnsi="Times New Roman" w:cs="Times New Roman"/>
          <w:sz w:val="24"/>
          <w:szCs w:val="24"/>
        </w:rPr>
        <w:t xml:space="preserve"> </w:t>
      </w:r>
      <w:r w:rsidRPr="00E059CA" w:rsidR="0093782F">
        <w:rPr>
          <w:rFonts w:ascii="Times New Roman" w:hAnsi="Times New Roman" w:cs="Times New Roman"/>
          <w:sz w:val="24"/>
          <w:szCs w:val="24"/>
        </w:rPr>
        <w:t xml:space="preserve">Based on </w:t>
      </w:r>
      <w:r w:rsidRPr="00E059CA" w:rsidR="00DF563C">
        <w:rPr>
          <w:rFonts w:ascii="Times New Roman" w:hAnsi="Times New Roman" w:cs="Times New Roman"/>
          <w:sz w:val="24"/>
          <w:szCs w:val="24"/>
        </w:rPr>
        <w:t>BLS</w:t>
      </w:r>
      <w:r w:rsidRPr="00E059CA" w:rsidR="0093782F">
        <w:rPr>
          <w:rFonts w:ascii="Times New Roman" w:hAnsi="Times New Roman" w:cs="Times New Roman"/>
          <w:sz w:val="24"/>
          <w:szCs w:val="24"/>
        </w:rPr>
        <w:t xml:space="preserve"> </w:t>
      </w:r>
      <w:r w:rsidRPr="00E059CA" w:rsidR="00DF563C">
        <w:rPr>
          <w:rFonts w:ascii="Times New Roman" w:hAnsi="Times New Roman" w:cs="Times New Roman"/>
          <w:sz w:val="24"/>
          <w:szCs w:val="24"/>
        </w:rPr>
        <w:t xml:space="preserve">wage category </w:t>
      </w:r>
      <w:r w:rsidRPr="00E059CA" w:rsidR="0061064F">
        <w:rPr>
          <w:rFonts w:ascii="Times New Roman" w:hAnsi="Times New Roman" w:cs="Times New Roman"/>
          <w:sz w:val="24"/>
          <w:szCs w:val="24"/>
        </w:rPr>
        <w:t>29-</w:t>
      </w:r>
      <w:r w:rsidRPr="00E059CA" w:rsidR="008D454A">
        <w:rPr>
          <w:rFonts w:ascii="Times New Roman" w:hAnsi="Times New Roman" w:cs="Times New Roman"/>
          <w:sz w:val="24"/>
          <w:szCs w:val="24"/>
        </w:rPr>
        <w:t>1141 Registered Nurses</w:t>
      </w:r>
      <w:r w:rsidRPr="00E059CA" w:rsidR="0093782F">
        <w:rPr>
          <w:rFonts w:ascii="Times New Roman" w:hAnsi="Times New Roman" w:cs="Times New Roman"/>
          <w:sz w:val="24"/>
          <w:szCs w:val="24"/>
        </w:rPr>
        <w:t>, average hourly wag</w:t>
      </w:r>
      <w:r w:rsidRPr="00E059CA" w:rsidR="00DC7252">
        <w:rPr>
          <w:rFonts w:ascii="Times New Roman" w:hAnsi="Times New Roman" w:cs="Times New Roman"/>
          <w:sz w:val="24"/>
          <w:szCs w:val="24"/>
        </w:rPr>
        <w:t>e of $</w:t>
      </w:r>
      <w:r w:rsidR="0087027F">
        <w:rPr>
          <w:rFonts w:ascii="Times New Roman" w:hAnsi="Times New Roman" w:cs="Times New Roman"/>
          <w:sz w:val="24"/>
          <w:szCs w:val="24"/>
        </w:rPr>
        <w:t>36.30</w:t>
      </w:r>
      <w:r w:rsidRPr="00E059CA" w:rsidR="008D454A">
        <w:rPr>
          <w:rFonts w:ascii="Times New Roman" w:hAnsi="Times New Roman" w:cs="Times New Roman"/>
          <w:sz w:val="24"/>
          <w:szCs w:val="24"/>
        </w:rPr>
        <w:t xml:space="preserve"> and 29-1171 Nurse Practitioners, average hourly wage of $</w:t>
      </w:r>
      <w:r w:rsidR="0087027F">
        <w:rPr>
          <w:rFonts w:ascii="Times New Roman" w:hAnsi="Times New Roman" w:cs="Times New Roman"/>
          <w:sz w:val="24"/>
          <w:szCs w:val="24"/>
        </w:rPr>
        <w:t>52.90</w:t>
      </w:r>
      <w:r w:rsidRPr="00E059CA" w:rsidR="008D454A">
        <w:rPr>
          <w:rFonts w:ascii="Times New Roman" w:hAnsi="Times New Roman" w:cs="Times New Roman"/>
          <w:sz w:val="24"/>
          <w:szCs w:val="24"/>
        </w:rPr>
        <w:t>; an average overall</w:t>
      </w:r>
      <w:r w:rsidRPr="00E059CA" w:rsidR="009F6E9D">
        <w:rPr>
          <w:rFonts w:ascii="Times New Roman" w:hAnsi="Times New Roman" w:cs="Times New Roman"/>
          <w:sz w:val="24"/>
          <w:szCs w:val="24"/>
        </w:rPr>
        <w:t xml:space="preserve"> is estimated </w:t>
      </w:r>
      <w:r w:rsidRPr="00E059CA" w:rsidR="008D454A">
        <w:rPr>
          <w:rFonts w:ascii="Times New Roman" w:hAnsi="Times New Roman" w:cs="Times New Roman"/>
          <w:sz w:val="24"/>
          <w:szCs w:val="24"/>
        </w:rPr>
        <w:t>at $</w:t>
      </w:r>
      <w:r w:rsidR="0087027F">
        <w:rPr>
          <w:rFonts w:ascii="Times New Roman" w:hAnsi="Times New Roman" w:cs="Times New Roman"/>
          <w:sz w:val="24"/>
          <w:szCs w:val="24"/>
        </w:rPr>
        <w:t xml:space="preserve">44.60 </w:t>
      </w:r>
      <w:r w:rsidRPr="00E059CA" w:rsidR="009F6E9D">
        <w:rPr>
          <w:rFonts w:ascii="Times New Roman" w:hAnsi="Times New Roman" w:cs="Times New Roman"/>
          <w:sz w:val="24"/>
          <w:szCs w:val="24"/>
        </w:rPr>
        <w:t>for al</w:t>
      </w:r>
      <w:r w:rsidRPr="00E059CA" w:rsidR="00F07E6C">
        <w:rPr>
          <w:rFonts w:ascii="Times New Roman" w:hAnsi="Times New Roman" w:cs="Times New Roman"/>
          <w:sz w:val="24"/>
          <w:szCs w:val="24"/>
        </w:rPr>
        <w:t xml:space="preserve">l </w:t>
      </w:r>
      <w:r w:rsidRPr="00E059CA" w:rsidR="003F1079">
        <w:rPr>
          <w:rFonts w:ascii="Times New Roman" w:hAnsi="Times New Roman" w:cs="Times New Roman"/>
          <w:sz w:val="24"/>
          <w:szCs w:val="24"/>
        </w:rPr>
        <w:t xml:space="preserve">respondents. </w:t>
      </w:r>
      <w:r w:rsidR="0087027F">
        <w:rPr>
          <w:rFonts w:ascii="Times New Roman" w:hAnsi="Times New Roman" w:cs="Times New Roman"/>
          <w:sz w:val="24"/>
          <w:szCs w:val="24"/>
        </w:rPr>
        <w:t xml:space="preserve"> </w:t>
      </w:r>
    </w:p>
    <w:p w:rsidR="00A50BFC" w:rsidP="003009B6" w:rsidRDefault="00A50BFC" w14:paraId="50072C62" w14:textId="7E76C159">
      <w:pPr>
        <w:tabs>
          <w:tab w:val="left" w:pos="-1440"/>
        </w:tabs>
        <w:spacing w:line="240" w:lineRule="auto"/>
        <w:ind w:right="720"/>
        <w:rPr>
          <w:rFonts w:ascii="Times New Roman" w:hAnsi="Times New Roman" w:cs="Times New Roman"/>
          <w:sz w:val="24"/>
          <w:szCs w:val="24"/>
        </w:rPr>
      </w:pPr>
      <w:r>
        <w:rPr>
          <w:rFonts w:ascii="Times New Roman" w:hAnsi="Times New Roman" w:cs="Times New Roman"/>
          <w:sz w:val="24"/>
          <w:szCs w:val="24"/>
        </w:rPr>
        <w:t>TB patients come from a variety of occupations, so CDC is using the All Occupations category from the BLS to calculate annualized cost to respondents.</w:t>
      </w:r>
      <w:r w:rsidR="009F1D3B">
        <w:rPr>
          <w:rFonts w:ascii="Times New Roman" w:hAnsi="Times New Roman" w:cs="Times New Roman"/>
          <w:sz w:val="24"/>
          <w:szCs w:val="24"/>
        </w:rPr>
        <w:t xml:space="preserve"> That mean wage is $</w:t>
      </w:r>
      <w:r w:rsidR="0087027F">
        <w:rPr>
          <w:rFonts w:ascii="Times New Roman" w:hAnsi="Times New Roman" w:cs="Times New Roman"/>
          <w:sz w:val="24"/>
          <w:szCs w:val="24"/>
        </w:rPr>
        <w:t>24.98</w:t>
      </w:r>
      <w:r w:rsidR="009F1D3B">
        <w:rPr>
          <w:rFonts w:ascii="Times New Roman" w:hAnsi="Times New Roman" w:cs="Times New Roman"/>
          <w:sz w:val="24"/>
          <w:szCs w:val="24"/>
        </w:rPr>
        <w:t xml:space="preserve"> per hour.</w:t>
      </w:r>
    </w:p>
    <w:p w:rsidR="004E37AA" w:rsidP="003009B6" w:rsidRDefault="004E37AA" w14:paraId="3C981664" w14:textId="5FEE1C54">
      <w:pPr>
        <w:tabs>
          <w:tab w:val="left" w:pos="-1440"/>
        </w:tabs>
        <w:spacing w:line="240" w:lineRule="auto"/>
        <w:ind w:right="720"/>
        <w:rPr>
          <w:rFonts w:ascii="Times New Roman" w:hAnsi="Times New Roman" w:cs="Times New Roman"/>
          <w:sz w:val="24"/>
          <w:szCs w:val="24"/>
        </w:rPr>
      </w:pPr>
      <w:r>
        <w:rPr>
          <w:rFonts w:ascii="Times New Roman" w:hAnsi="Times New Roman" w:cs="Times New Roman"/>
          <w:sz w:val="24"/>
          <w:szCs w:val="24"/>
        </w:rPr>
        <w:lastRenderedPageBreak/>
        <w:t>TB treating physicians’ wages were</w:t>
      </w:r>
      <w:r w:rsidR="00DE7CE4">
        <w:rPr>
          <w:rFonts w:ascii="Times New Roman" w:hAnsi="Times New Roman" w:cs="Times New Roman"/>
          <w:sz w:val="24"/>
          <w:szCs w:val="24"/>
        </w:rPr>
        <w:t xml:space="preserve"> estimated from data published by the Mexico Secretary of Health.  Th</w:t>
      </w:r>
      <w:r w:rsidR="00E61F09">
        <w:rPr>
          <w:rFonts w:ascii="Times New Roman" w:hAnsi="Times New Roman" w:cs="Times New Roman"/>
          <w:sz w:val="24"/>
          <w:szCs w:val="24"/>
        </w:rPr>
        <w:t>e</w:t>
      </w:r>
      <w:r w:rsidR="00DE7CE4">
        <w:rPr>
          <w:rFonts w:ascii="Times New Roman" w:hAnsi="Times New Roman" w:cs="Times New Roman"/>
          <w:sz w:val="24"/>
          <w:szCs w:val="24"/>
        </w:rPr>
        <w:t>s</w:t>
      </w:r>
      <w:r w:rsidR="00E61F09">
        <w:rPr>
          <w:rFonts w:ascii="Times New Roman" w:hAnsi="Times New Roman" w:cs="Times New Roman"/>
          <w:sz w:val="24"/>
          <w:szCs w:val="24"/>
        </w:rPr>
        <w:t>e</w:t>
      </w:r>
      <w:r w:rsidR="00DE7CE4">
        <w:rPr>
          <w:rFonts w:ascii="Times New Roman" w:hAnsi="Times New Roman" w:cs="Times New Roman"/>
          <w:sz w:val="24"/>
          <w:szCs w:val="24"/>
        </w:rPr>
        <w:t xml:space="preserve"> data w</w:t>
      </w:r>
      <w:r w:rsidR="00E61F09">
        <w:rPr>
          <w:rFonts w:ascii="Times New Roman" w:hAnsi="Times New Roman" w:cs="Times New Roman"/>
          <w:sz w:val="24"/>
          <w:szCs w:val="24"/>
        </w:rPr>
        <w:t>ere</w:t>
      </w:r>
      <w:r w:rsidR="00DE7CE4">
        <w:rPr>
          <w:rFonts w:ascii="Times New Roman" w:hAnsi="Times New Roman" w:cs="Times New Roman"/>
          <w:sz w:val="24"/>
          <w:szCs w:val="24"/>
        </w:rPr>
        <w:t xml:space="preserve"> used because </w:t>
      </w:r>
      <w:r w:rsidR="00357697">
        <w:rPr>
          <w:rFonts w:ascii="Times New Roman" w:hAnsi="Times New Roman" w:cs="Times New Roman"/>
          <w:sz w:val="24"/>
          <w:szCs w:val="24"/>
        </w:rPr>
        <w:t>a</w:t>
      </w:r>
      <w:r w:rsidR="00DE7CE4">
        <w:rPr>
          <w:rFonts w:ascii="Times New Roman" w:hAnsi="Times New Roman" w:cs="Times New Roman"/>
          <w:sz w:val="24"/>
          <w:szCs w:val="24"/>
        </w:rPr>
        <w:t xml:space="preserve"> </w:t>
      </w:r>
      <w:r w:rsidR="00357697">
        <w:rPr>
          <w:rFonts w:ascii="Times New Roman" w:hAnsi="Times New Roman" w:cs="Times New Roman"/>
          <w:sz w:val="24"/>
          <w:szCs w:val="24"/>
        </w:rPr>
        <w:t xml:space="preserve">large </w:t>
      </w:r>
      <w:r w:rsidR="00DE7CE4">
        <w:rPr>
          <w:rFonts w:ascii="Times New Roman" w:hAnsi="Times New Roman" w:cs="Times New Roman"/>
          <w:sz w:val="24"/>
          <w:szCs w:val="24"/>
        </w:rPr>
        <w:t xml:space="preserve">majority of the referrals are made to Mexico.  The category of physician used for this estimate is a </w:t>
      </w:r>
      <w:proofErr w:type="spellStart"/>
      <w:r w:rsidR="00DE7CE4">
        <w:rPr>
          <w:rFonts w:ascii="Times New Roman" w:hAnsi="Times New Roman" w:cs="Times New Roman"/>
          <w:sz w:val="24"/>
          <w:szCs w:val="24"/>
        </w:rPr>
        <w:t>Médico</w:t>
      </w:r>
      <w:proofErr w:type="spellEnd"/>
      <w:r w:rsidR="00DE7CE4">
        <w:rPr>
          <w:rFonts w:ascii="Times New Roman" w:hAnsi="Times New Roman" w:cs="Times New Roman"/>
          <w:sz w:val="24"/>
          <w:szCs w:val="24"/>
        </w:rPr>
        <w:t xml:space="preserve"> General “A”, which commonly serves as a</w:t>
      </w:r>
      <w:r w:rsidRPr="00DE7CE4" w:rsidR="00DE7CE4">
        <w:rPr>
          <w:rFonts w:ascii="Times New Roman" w:hAnsi="Times New Roman" w:cs="Times New Roman"/>
          <w:sz w:val="24"/>
          <w:szCs w:val="24"/>
        </w:rPr>
        <w:t xml:space="preserve"> TB controller</w:t>
      </w:r>
      <w:r w:rsidR="00DE7CE4">
        <w:rPr>
          <w:rFonts w:ascii="Times New Roman" w:hAnsi="Times New Roman" w:cs="Times New Roman"/>
          <w:sz w:val="24"/>
          <w:szCs w:val="24"/>
        </w:rPr>
        <w:t xml:space="preserve">. The salary data is available on a monthly basis, and </w:t>
      </w:r>
      <w:r w:rsidR="00E4409B">
        <w:rPr>
          <w:rFonts w:ascii="Times New Roman" w:hAnsi="Times New Roman" w:cs="Times New Roman"/>
          <w:sz w:val="24"/>
          <w:szCs w:val="24"/>
        </w:rPr>
        <w:t xml:space="preserve">approximately </w:t>
      </w:r>
      <w:r w:rsidRPr="00E4409B" w:rsidR="00E4409B">
        <w:rPr>
          <w:rFonts w:ascii="Times New Roman" w:hAnsi="Times New Roman" w:cs="Times New Roman"/>
          <w:sz w:val="24"/>
          <w:szCs w:val="24"/>
        </w:rPr>
        <w:t>35</w:t>
      </w:r>
      <w:r w:rsidR="00E4409B">
        <w:rPr>
          <w:rFonts w:ascii="Times New Roman" w:hAnsi="Times New Roman" w:cs="Times New Roman"/>
          <w:sz w:val="24"/>
          <w:szCs w:val="24"/>
        </w:rPr>
        <w:t>,</w:t>
      </w:r>
      <w:r w:rsidRPr="00E4409B" w:rsidR="00E4409B">
        <w:rPr>
          <w:rFonts w:ascii="Times New Roman" w:hAnsi="Times New Roman" w:cs="Times New Roman"/>
          <w:sz w:val="24"/>
          <w:szCs w:val="24"/>
        </w:rPr>
        <w:t>46</w:t>
      </w:r>
      <w:r w:rsidR="00E4409B">
        <w:rPr>
          <w:rFonts w:ascii="Times New Roman" w:hAnsi="Times New Roman" w:cs="Times New Roman"/>
          <w:sz w:val="24"/>
          <w:szCs w:val="24"/>
        </w:rPr>
        <w:t xml:space="preserve">3 </w:t>
      </w:r>
      <w:r w:rsidR="00DE7CE4">
        <w:rPr>
          <w:rFonts w:ascii="Times New Roman" w:hAnsi="Times New Roman" w:cs="Times New Roman"/>
          <w:sz w:val="24"/>
          <w:szCs w:val="24"/>
        </w:rPr>
        <w:t xml:space="preserve">Mexican </w:t>
      </w:r>
      <w:r w:rsidR="00F12FA9">
        <w:rPr>
          <w:rFonts w:ascii="Times New Roman" w:hAnsi="Times New Roman" w:cs="Times New Roman"/>
          <w:sz w:val="24"/>
          <w:szCs w:val="24"/>
        </w:rPr>
        <w:t>pesos per month</w:t>
      </w:r>
      <w:r w:rsidR="00E4409B">
        <w:rPr>
          <w:rFonts w:ascii="Times New Roman" w:hAnsi="Times New Roman" w:cs="Times New Roman"/>
          <w:sz w:val="24"/>
          <w:szCs w:val="24"/>
        </w:rPr>
        <w:t xml:space="preserve"> gross</w:t>
      </w:r>
      <w:r w:rsidR="00F12FA9">
        <w:rPr>
          <w:rFonts w:ascii="Times New Roman" w:hAnsi="Times New Roman" w:cs="Times New Roman"/>
          <w:sz w:val="24"/>
          <w:szCs w:val="24"/>
        </w:rPr>
        <w:t>.  Usi</w:t>
      </w:r>
      <w:r w:rsidR="001228D5">
        <w:rPr>
          <w:rFonts w:ascii="Times New Roman" w:hAnsi="Times New Roman" w:cs="Times New Roman"/>
          <w:sz w:val="24"/>
          <w:szCs w:val="24"/>
        </w:rPr>
        <w:t>ng PPP data from the World Bank</w:t>
      </w:r>
      <w:r w:rsidR="001228D5">
        <w:rPr>
          <w:rStyle w:val="FootnoteReference"/>
          <w:rFonts w:ascii="Times New Roman" w:hAnsi="Times New Roman" w:cs="Times New Roman"/>
          <w:sz w:val="24"/>
          <w:szCs w:val="24"/>
        </w:rPr>
        <w:footnoteReference w:id="1"/>
      </w:r>
      <w:r w:rsidR="00F12FA9">
        <w:rPr>
          <w:rFonts w:ascii="Times New Roman" w:hAnsi="Times New Roman" w:cs="Times New Roman"/>
          <w:sz w:val="24"/>
          <w:szCs w:val="24"/>
        </w:rPr>
        <w:t>, this equates to approximately $3,</w:t>
      </w:r>
      <w:r w:rsidR="00E4409B">
        <w:rPr>
          <w:rFonts w:ascii="Times New Roman" w:hAnsi="Times New Roman" w:cs="Times New Roman"/>
          <w:sz w:val="24"/>
          <w:szCs w:val="24"/>
        </w:rPr>
        <w:t>780</w:t>
      </w:r>
      <w:r w:rsidR="00DE7CE4">
        <w:rPr>
          <w:rFonts w:ascii="Times New Roman" w:hAnsi="Times New Roman" w:cs="Times New Roman"/>
          <w:sz w:val="24"/>
          <w:szCs w:val="24"/>
        </w:rPr>
        <w:t xml:space="preserve">.  We assume that these physicians work 40 hours per week, which result in an hour wage of </w:t>
      </w:r>
      <w:r w:rsidR="00642C81">
        <w:rPr>
          <w:rFonts w:ascii="Times New Roman" w:hAnsi="Times New Roman" w:cs="Times New Roman"/>
          <w:sz w:val="24"/>
          <w:szCs w:val="24"/>
        </w:rPr>
        <w:t xml:space="preserve">approximately </w:t>
      </w:r>
      <w:r w:rsidR="00F12FA9">
        <w:rPr>
          <w:rFonts w:ascii="Times New Roman" w:hAnsi="Times New Roman" w:cs="Times New Roman"/>
          <w:sz w:val="24"/>
          <w:szCs w:val="24"/>
        </w:rPr>
        <w:t>$</w:t>
      </w:r>
      <w:r w:rsidR="00C16645">
        <w:rPr>
          <w:rFonts w:ascii="Times New Roman" w:hAnsi="Times New Roman" w:cs="Times New Roman"/>
          <w:sz w:val="24"/>
          <w:szCs w:val="24"/>
        </w:rPr>
        <w:t>23.63</w:t>
      </w:r>
      <w:r w:rsidR="00DE7CE4">
        <w:rPr>
          <w:rFonts w:ascii="Times New Roman" w:hAnsi="Times New Roman" w:cs="Times New Roman"/>
          <w:sz w:val="24"/>
          <w:szCs w:val="24"/>
        </w:rPr>
        <w:t xml:space="preserve"> per hour.</w:t>
      </w:r>
    </w:p>
    <w:p w:rsidRPr="00E059CA" w:rsidR="002537EE" w:rsidP="003009B6" w:rsidRDefault="003F1079" w14:paraId="67FC8A0E" w14:textId="4735D10E">
      <w:pPr>
        <w:tabs>
          <w:tab w:val="left" w:pos="-1440"/>
        </w:tabs>
        <w:spacing w:line="240" w:lineRule="auto"/>
        <w:ind w:right="720"/>
        <w:rPr>
          <w:rFonts w:ascii="Times New Roman" w:hAnsi="Times New Roman" w:cs="Times New Roman"/>
          <w:sz w:val="24"/>
          <w:szCs w:val="24"/>
        </w:rPr>
      </w:pPr>
      <w:r w:rsidRPr="00E059CA">
        <w:rPr>
          <w:rFonts w:ascii="Times New Roman" w:hAnsi="Times New Roman" w:cs="Times New Roman"/>
          <w:sz w:val="24"/>
          <w:szCs w:val="24"/>
        </w:rPr>
        <w:t>Table A.</w:t>
      </w:r>
      <w:r w:rsidRPr="00E059CA" w:rsidR="0093782F">
        <w:rPr>
          <w:rFonts w:ascii="Times New Roman" w:hAnsi="Times New Roman" w:cs="Times New Roman"/>
          <w:sz w:val="24"/>
          <w:szCs w:val="24"/>
        </w:rPr>
        <w:t>12</w:t>
      </w:r>
      <w:r w:rsidRPr="00E059CA">
        <w:rPr>
          <w:rFonts w:ascii="Times New Roman" w:hAnsi="Times New Roman" w:cs="Times New Roman"/>
          <w:sz w:val="24"/>
          <w:szCs w:val="24"/>
        </w:rPr>
        <w:t>-B</w:t>
      </w:r>
      <w:r w:rsidRPr="00E059CA" w:rsidR="0093782F">
        <w:rPr>
          <w:rFonts w:ascii="Times New Roman" w:hAnsi="Times New Roman" w:cs="Times New Roman"/>
          <w:sz w:val="24"/>
          <w:szCs w:val="24"/>
        </w:rPr>
        <w:t xml:space="preserve"> shows estimated burden and cost information.</w:t>
      </w:r>
      <w:r w:rsidRPr="00E059CA" w:rsidR="00B45B75">
        <w:rPr>
          <w:rFonts w:ascii="Times New Roman" w:hAnsi="Times New Roman" w:cs="Times New Roman"/>
          <w:sz w:val="24"/>
          <w:szCs w:val="24"/>
        </w:rPr>
        <w:t xml:space="preserve"> The total estim</w:t>
      </w:r>
      <w:r w:rsidRPr="00E059CA">
        <w:rPr>
          <w:rFonts w:ascii="Times New Roman" w:hAnsi="Times New Roman" w:cs="Times New Roman"/>
          <w:sz w:val="24"/>
          <w:szCs w:val="24"/>
        </w:rPr>
        <w:t>ated annualized respondent cost</w:t>
      </w:r>
      <w:r w:rsidRPr="00E059CA" w:rsidR="00B45B75">
        <w:rPr>
          <w:rFonts w:ascii="Times New Roman" w:hAnsi="Times New Roman" w:cs="Times New Roman"/>
          <w:sz w:val="24"/>
          <w:szCs w:val="24"/>
        </w:rPr>
        <w:t xml:space="preserve"> is</w:t>
      </w:r>
      <w:r w:rsidRPr="00E059CA">
        <w:rPr>
          <w:rFonts w:ascii="Times New Roman" w:hAnsi="Times New Roman" w:cs="Times New Roman"/>
          <w:sz w:val="24"/>
          <w:szCs w:val="24"/>
        </w:rPr>
        <w:t xml:space="preserve"> </w:t>
      </w:r>
      <w:r w:rsidRPr="00E57735" w:rsidR="00E57735">
        <w:rPr>
          <w:rFonts w:ascii="Times New Roman" w:hAnsi="Times New Roman" w:cs="Times New Roman"/>
          <w:sz w:val="24"/>
          <w:szCs w:val="24"/>
        </w:rPr>
        <w:t>$30,</w:t>
      </w:r>
      <w:r w:rsidR="00E64713">
        <w:rPr>
          <w:rFonts w:ascii="Times New Roman" w:hAnsi="Times New Roman" w:cs="Times New Roman"/>
          <w:sz w:val="24"/>
          <w:szCs w:val="24"/>
        </w:rPr>
        <w:t>139.</w:t>
      </w:r>
    </w:p>
    <w:p w:rsidRPr="00E059CA" w:rsidR="004D48F5" w:rsidP="00F677C0" w:rsidRDefault="004F715A" w14:paraId="37D3B5D1" w14:textId="68974565">
      <w:pPr>
        <w:pStyle w:val="ListParagraph"/>
        <w:autoSpaceDE w:val="0"/>
        <w:autoSpaceDN w:val="0"/>
        <w:adjustRightInd w:val="0"/>
        <w:spacing w:after="0" w:line="240" w:lineRule="auto"/>
        <w:ind w:left="0" w:right="720"/>
        <w:rPr>
          <w:rFonts w:ascii="Times New Roman" w:hAnsi="Times New Roman" w:cs="Times New Roman"/>
          <w:i/>
          <w:sz w:val="24"/>
          <w:szCs w:val="24"/>
        </w:rPr>
      </w:pPr>
      <w:r w:rsidRPr="00E059CA">
        <w:rPr>
          <w:rFonts w:ascii="Times New Roman" w:hAnsi="Times New Roman" w:cs="Times New Roman"/>
          <w:i/>
          <w:sz w:val="24"/>
          <w:szCs w:val="24"/>
        </w:rPr>
        <w:t xml:space="preserve">Table </w:t>
      </w:r>
      <w:r w:rsidRPr="00E059CA" w:rsidR="004D48F5">
        <w:rPr>
          <w:rFonts w:ascii="Times New Roman" w:hAnsi="Times New Roman" w:cs="Times New Roman"/>
          <w:i/>
          <w:sz w:val="24"/>
          <w:szCs w:val="24"/>
        </w:rPr>
        <w:t>12</w:t>
      </w:r>
      <w:r w:rsidRPr="00E059CA">
        <w:rPr>
          <w:rFonts w:ascii="Times New Roman" w:hAnsi="Times New Roman" w:cs="Times New Roman"/>
          <w:i/>
          <w:sz w:val="24"/>
          <w:szCs w:val="24"/>
        </w:rPr>
        <w:t>.</w:t>
      </w:r>
      <w:r w:rsidRPr="00E059CA" w:rsidR="009F70E3">
        <w:rPr>
          <w:rFonts w:ascii="Times New Roman" w:hAnsi="Times New Roman" w:cs="Times New Roman"/>
          <w:i/>
          <w:sz w:val="24"/>
          <w:szCs w:val="24"/>
        </w:rPr>
        <w:t>B</w:t>
      </w:r>
      <w:r w:rsidRPr="00E059CA" w:rsidR="004D48F5">
        <w:rPr>
          <w:rFonts w:ascii="Times New Roman" w:hAnsi="Times New Roman" w:cs="Times New Roman"/>
          <w:i/>
          <w:sz w:val="24"/>
          <w:szCs w:val="24"/>
        </w:rPr>
        <w:t xml:space="preserve">: </w:t>
      </w:r>
      <w:r w:rsidR="00A50BFC">
        <w:rPr>
          <w:rFonts w:ascii="Times New Roman" w:hAnsi="Times New Roman" w:cs="Times New Roman"/>
          <w:i/>
          <w:sz w:val="24"/>
          <w:szCs w:val="24"/>
        </w:rPr>
        <w:t>Estimated</w:t>
      </w:r>
      <w:r w:rsidRPr="00A50BFC" w:rsidR="00A50BFC">
        <w:rPr>
          <w:rFonts w:ascii="Times New Roman" w:hAnsi="Times New Roman" w:cs="Times New Roman"/>
          <w:i/>
          <w:sz w:val="24"/>
          <w:szCs w:val="24"/>
        </w:rPr>
        <w:t xml:space="preserve"> Annualized Cost</w:t>
      </w:r>
      <w:r w:rsidR="00A50BFC">
        <w:rPr>
          <w:rFonts w:ascii="Times New Roman" w:hAnsi="Times New Roman" w:cs="Times New Roman"/>
          <w:i/>
          <w:sz w:val="24"/>
          <w:szCs w:val="24"/>
        </w:rPr>
        <w:t xml:space="preserve"> to Respondents</w:t>
      </w:r>
    </w:p>
    <w:tbl>
      <w:tblPr>
        <w:tblW w:w="107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885"/>
        <w:gridCol w:w="1710"/>
        <w:gridCol w:w="1530"/>
        <w:gridCol w:w="1710"/>
        <w:gridCol w:w="1440"/>
        <w:gridCol w:w="1260"/>
        <w:gridCol w:w="1260"/>
      </w:tblGrid>
      <w:tr w:rsidRPr="00E059CA" w:rsidR="00D81370" w:rsidTr="004D460C" w14:paraId="54175871" w14:textId="77777777">
        <w:trPr>
          <w:trHeight w:val="1530"/>
          <w:jc w:val="center"/>
        </w:trPr>
        <w:tc>
          <w:tcPr>
            <w:tcW w:w="1885" w:type="dxa"/>
            <w:tcBorders>
              <w:bottom w:val="single" w:color="auto" w:sz="4" w:space="0"/>
            </w:tcBorders>
            <w:shd w:val="clear" w:color="auto" w:fill="auto"/>
            <w:vAlign w:val="center"/>
          </w:tcPr>
          <w:p w:rsidRPr="00D81370" w:rsidR="00D81370" w:rsidP="00591232" w:rsidRDefault="00D81370" w14:paraId="3629E499" w14:textId="77777777">
            <w:pPr>
              <w:spacing w:line="240" w:lineRule="auto"/>
              <w:jc w:val="center"/>
              <w:rPr>
                <w:rFonts w:ascii="Times New Roman" w:hAnsi="Times New Roman" w:cs="Times New Roman"/>
                <w:b/>
                <w:sz w:val="24"/>
                <w:szCs w:val="24"/>
              </w:rPr>
            </w:pPr>
            <w:r w:rsidRPr="00D81370">
              <w:rPr>
                <w:rFonts w:ascii="Times New Roman" w:hAnsi="Times New Roman" w:cs="Times New Roman"/>
                <w:b/>
                <w:sz w:val="24"/>
                <w:szCs w:val="24"/>
              </w:rPr>
              <w:t>Type of Respondent</w:t>
            </w:r>
          </w:p>
        </w:tc>
        <w:tc>
          <w:tcPr>
            <w:tcW w:w="1710" w:type="dxa"/>
            <w:tcBorders>
              <w:bottom w:val="single" w:color="auto" w:sz="4" w:space="0"/>
            </w:tcBorders>
            <w:shd w:val="clear" w:color="auto" w:fill="auto"/>
            <w:vAlign w:val="center"/>
          </w:tcPr>
          <w:p w:rsidRPr="00D81370" w:rsidR="00D81370" w:rsidP="00591232" w:rsidRDefault="00D81370" w14:paraId="00339FC5" w14:textId="77777777">
            <w:pPr>
              <w:spacing w:line="240" w:lineRule="auto"/>
              <w:jc w:val="center"/>
              <w:rPr>
                <w:rFonts w:ascii="Times New Roman" w:hAnsi="Times New Roman" w:cs="Times New Roman"/>
                <w:b/>
                <w:sz w:val="24"/>
                <w:szCs w:val="24"/>
              </w:rPr>
            </w:pPr>
            <w:r w:rsidRPr="00D81370">
              <w:rPr>
                <w:rFonts w:ascii="Times New Roman" w:hAnsi="Times New Roman" w:cs="Times New Roman"/>
                <w:b/>
                <w:sz w:val="24"/>
                <w:szCs w:val="24"/>
              </w:rPr>
              <w:t>Form Name</w:t>
            </w:r>
          </w:p>
        </w:tc>
        <w:tc>
          <w:tcPr>
            <w:tcW w:w="1530" w:type="dxa"/>
            <w:tcBorders>
              <w:bottom w:val="single" w:color="auto" w:sz="4" w:space="0"/>
            </w:tcBorders>
            <w:vAlign w:val="center"/>
          </w:tcPr>
          <w:p w:rsidRPr="00D81370" w:rsidR="00D81370" w:rsidDel="00D81370" w:rsidP="00591232" w:rsidRDefault="00D81370" w14:paraId="5353D8E6" w14:textId="1EC0496A">
            <w:pPr>
              <w:spacing w:line="240" w:lineRule="auto"/>
              <w:jc w:val="center"/>
              <w:rPr>
                <w:rFonts w:ascii="Times New Roman" w:hAnsi="Times New Roman" w:cs="Times New Roman"/>
                <w:b/>
                <w:sz w:val="24"/>
                <w:szCs w:val="24"/>
              </w:rPr>
            </w:pPr>
            <w:r w:rsidRPr="00D81370">
              <w:rPr>
                <w:rFonts w:ascii="Times New Roman" w:hAnsi="Times New Roman" w:cs="Times New Roman"/>
                <w:b/>
                <w:sz w:val="24"/>
                <w:szCs w:val="24"/>
              </w:rPr>
              <w:t>Number of Respondents</w:t>
            </w:r>
          </w:p>
        </w:tc>
        <w:tc>
          <w:tcPr>
            <w:tcW w:w="1710" w:type="dxa"/>
            <w:tcBorders>
              <w:bottom w:val="single" w:color="auto" w:sz="4" w:space="0"/>
            </w:tcBorders>
            <w:vAlign w:val="center"/>
          </w:tcPr>
          <w:p w:rsidRPr="00D81370" w:rsidR="00D81370" w:rsidDel="00D81370" w:rsidP="00591232" w:rsidRDefault="00D81370" w14:paraId="2DD59D57" w14:textId="45C26155">
            <w:pPr>
              <w:spacing w:line="240" w:lineRule="auto"/>
              <w:jc w:val="center"/>
              <w:rPr>
                <w:rFonts w:ascii="Times New Roman" w:hAnsi="Times New Roman" w:cs="Times New Roman"/>
                <w:b/>
                <w:sz w:val="24"/>
                <w:szCs w:val="24"/>
              </w:rPr>
            </w:pPr>
            <w:r w:rsidRPr="00D81370">
              <w:rPr>
                <w:rFonts w:ascii="Times New Roman" w:hAnsi="Times New Roman" w:cs="Times New Roman"/>
                <w:b/>
                <w:sz w:val="24"/>
                <w:szCs w:val="24"/>
              </w:rPr>
              <w:t>Number of Responses per Respondent</w:t>
            </w:r>
          </w:p>
        </w:tc>
        <w:tc>
          <w:tcPr>
            <w:tcW w:w="1440" w:type="dxa"/>
            <w:tcBorders>
              <w:bottom w:val="single" w:color="auto" w:sz="4" w:space="0"/>
            </w:tcBorders>
            <w:shd w:val="clear" w:color="auto" w:fill="auto"/>
            <w:vAlign w:val="center"/>
          </w:tcPr>
          <w:p w:rsidRPr="00D81370" w:rsidR="00D81370" w:rsidP="00591232" w:rsidRDefault="00D81370" w14:paraId="57850867" w14:textId="392CCEE3">
            <w:pPr>
              <w:spacing w:line="240" w:lineRule="auto"/>
              <w:jc w:val="center"/>
              <w:rPr>
                <w:rFonts w:ascii="Times New Roman" w:hAnsi="Times New Roman" w:cs="Times New Roman"/>
                <w:b/>
                <w:sz w:val="24"/>
                <w:szCs w:val="24"/>
              </w:rPr>
            </w:pPr>
            <w:r w:rsidRPr="00D81370">
              <w:rPr>
                <w:rFonts w:ascii="Times New Roman" w:hAnsi="Times New Roman" w:cs="Times New Roman"/>
                <w:b/>
                <w:sz w:val="24"/>
                <w:szCs w:val="24"/>
              </w:rPr>
              <w:t xml:space="preserve">Average </w:t>
            </w:r>
            <w:r w:rsidRPr="005A0DE0">
              <w:rPr>
                <w:rFonts w:ascii="Times New Roman" w:hAnsi="Times New Roman" w:cs="Times New Roman"/>
                <w:b/>
                <w:sz w:val="24"/>
                <w:szCs w:val="24"/>
              </w:rPr>
              <w:t>Burden per Response</w:t>
            </w:r>
          </w:p>
        </w:tc>
        <w:tc>
          <w:tcPr>
            <w:tcW w:w="1260" w:type="dxa"/>
            <w:tcBorders>
              <w:bottom w:val="single" w:color="auto" w:sz="4" w:space="0"/>
            </w:tcBorders>
            <w:shd w:val="clear" w:color="auto" w:fill="auto"/>
            <w:vAlign w:val="center"/>
          </w:tcPr>
          <w:p w:rsidRPr="00D81370" w:rsidR="00D81370" w:rsidP="00591232" w:rsidRDefault="00D81370" w14:paraId="25A04E55" w14:textId="77777777">
            <w:pPr>
              <w:spacing w:line="240" w:lineRule="auto"/>
              <w:jc w:val="center"/>
              <w:rPr>
                <w:rFonts w:ascii="Times New Roman" w:hAnsi="Times New Roman" w:cs="Times New Roman"/>
                <w:b/>
                <w:sz w:val="24"/>
                <w:szCs w:val="24"/>
              </w:rPr>
            </w:pPr>
            <w:r w:rsidRPr="00D81370">
              <w:rPr>
                <w:rFonts w:ascii="Times New Roman" w:hAnsi="Times New Roman" w:cs="Times New Roman"/>
                <w:b/>
                <w:sz w:val="24"/>
                <w:szCs w:val="24"/>
              </w:rPr>
              <w:t>Hourly Wage Rate</w:t>
            </w:r>
          </w:p>
        </w:tc>
        <w:tc>
          <w:tcPr>
            <w:tcW w:w="1260" w:type="dxa"/>
            <w:tcBorders>
              <w:bottom w:val="single" w:color="auto" w:sz="4" w:space="0"/>
            </w:tcBorders>
            <w:shd w:val="clear" w:color="auto" w:fill="auto"/>
            <w:vAlign w:val="center"/>
          </w:tcPr>
          <w:p w:rsidRPr="00D81370" w:rsidR="00D81370" w:rsidP="00591232" w:rsidRDefault="00D81370" w14:paraId="11E9DEDC" w14:textId="488B07FA">
            <w:pPr>
              <w:spacing w:line="240" w:lineRule="auto"/>
              <w:jc w:val="center"/>
              <w:rPr>
                <w:rFonts w:ascii="Times New Roman" w:hAnsi="Times New Roman" w:cs="Times New Roman"/>
                <w:b/>
                <w:sz w:val="24"/>
                <w:szCs w:val="24"/>
              </w:rPr>
            </w:pPr>
            <w:proofErr w:type="spellStart"/>
            <w:r w:rsidRPr="00D81370">
              <w:rPr>
                <w:rFonts w:ascii="Times New Roman" w:hAnsi="Times New Roman" w:cs="Times New Roman"/>
                <w:b/>
                <w:sz w:val="24"/>
                <w:szCs w:val="24"/>
              </w:rPr>
              <w:t>TotalCost</w:t>
            </w:r>
            <w:proofErr w:type="spellEnd"/>
          </w:p>
        </w:tc>
      </w:tr>
      <w:tr w:rsidRPr="00E059CA" w:rsidR="00D81370" w:rsidTr="004D460C" w14:paraId="17D969BA" w14:textId="77777777">
        <w:trPr>
          <w:trHeight w:val="784"/>
          <w:jc w:val="center"/>
        </w:trPr>
        <w:tc>
          <w:tcPr>
            <w:tcW w:w="1885" w:type="dxa"/>
            <w:tcBorders>
              <w:top w:val="single" w:color="auto" w:sz="4" w:space="0"/>
              <w:left w:val="single" w:color="auto" w:sz="4" w:space="0"/>
              <w:bottom w:val="single" w:color="auto" w:sz="4" w:space="0"/>
              <w:right w:val="single" w:color="auto" w:sz="4" w:space="0"/>
            </w:tcBorders>
            <w:shd w:val="clear" w:color="auto" w:fill="auto"/>
            <w:vAlign w:val="center"/>
          </w:tcPr>
          <w:p w:rsidRPr="00D81370" w:rsidR="00D81370" w:rsidP="00D81370" w:rsidRDefault="00D81370" w14:paraId="1EA8BB92" w14:textId="41935E11">
            <w:pPr>
              <w:spacing w:before="120" w:after="120" w:line="240" w:lineRule="auto"/>
              <w:rPr>
                <w:rFonts w:ascii="Times New Roman" w:hAnsi="Times New Roman" w:cs="Times New Roman"/>
                <w:sz w:val="24"/>
                <w:szCs w:val="24"/>
              </w:rPr>
            </w:pPr>
            <w:r w:rsidRPr="00D81370">
              <w:rPr>
                <w:rFonts w:ascii="Times New Roman" w:hAnsi="Times New Roman" w:cs="Times New Roman"/>
                <w:sz w:val="24"/>
                <w:szCs w:val="24"/>
              </w:rPr>
              <w:t>Local Health Departments (LHD) in the United States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D81370" w:rsidR="00D81370" w:rsidP="00D81370" w:rsidRDefault="00D81370" w14:paraId="4A30A5AF" w14:textId="33886682">
            <w:pPr>
              <w:spacing w:line="240" w:lineRule="auto"/>
              <w:rPr>
                <w:rFonts w:ascii="Times New Roman" w:hAnsi="Times New Roman" w:cs="Times New Roman"/>
                <w:sz w:val="24"/>
                <w:szCs w:val="24"/>
              </w:rPr>
            </w:pPr>
            <w:proofErr w:type="spellStart"/>
            <w:r w:rsidRPr="00D81370">
              <w:rPr>
                <w:rFonts w:ascii="Times New Roman" w:hAnsi="Times New Roman" w:cs="Times New Roman"/>
                <w:sz w:val="24"/>
                <w:szCs w:val="24"/>
              </w:rPr>
              <w:t>CureTB</w:t>
            </w:r>
            <w:proofErr w:type="spellEnd"/>
            <w:r w:rsidRPr="00D81370">
              <w:rPr>
                <w:rFonts w:ascii="Times New Roman" w:hAnsi="Times New Roman" w:cs="Times New Roman"/>
                <w:sz w:val="24"/>
                <w:szCs w:val="24"/>
              </w:rPr>
              <w:t xml:space="preserve"> Transnational Notification </w:t>
            </w:r>
          </w:p>
        </w:tc>
        <w:tc>
          <w:tcPr>
            <w:tcW w:w="1530" w:type="dxa"/>
            <w:tcBorders>
              <w:top w:val="single" w:color="auto" w:sz="4" w:space="0"/>
              <w:left w:val="single" w:color="auto" w:sz="4" w:space="0"/>
              <w:bottom w:val="single" w:color="auto" w:sz="4" w:space="0"/>
              <w:right w:val="single" w:color="auto" w:sz="4" w:space="0"/>
            </w:tcBorders>
            <w:vAlign w:val="center"/>
          </w:tcPr>
          <w:p w:rsidRPr="004D460C" w:rsidR="00D81370" w:rsidP="00D81370" w:rsidRDefault="00D81370" w14:paraId="7B1DCAB1" w14:textId="1B3003D9">
            <w:pPr>
              <w:spacing w:line="240" w:lineRule="auto"/>
              <w:jc w:val="center"/>
              <w:rPr>
                <w:rFonts w:ascii="Times New Roman" w:hAnsi="Times New Roman" w:cs="Times New Roman"/>
                <w:sz w:val="24"/>
                <w:szCs w:val="24"/>
              </w:rPr>
            </w:pPr>
            <w:r w:rsidRPr="004D460C">
              <w:rPr>
                <w:rFonts w:ascii="Times New Roman" w:hAnsi="Times New Roman" w:cs="Times New Roman"/>
                <w:sz w:val="24"/>
                <w:szCs w:val="24"/>
              </w:rPr>
              <w:t>70</w:t>
            </w:r>
          </w:p>
        </w:tc>
        <w:tc>
          <w:tcPr>
            <w:tcW w:w="1710" w:type="dxa"/>
            <w:tcBorders>
              <w:top w:val="single" w:color="auto" w:sz="4" w:space="0"/>
              <w:left w:val="single" w:color="auto" w:sz="4" w:space="0"/>
              <w:bottom w:val="single" w:color="auto" w:sz="4" w:space="0"/>
              <w:right w:val="single" w:color="auto" w:sz="4" w:space="0"/>
            </w:tcBorders>
            <w:vAlign w:val="center"/>
          </w:tcPr>
          <w:p w:rsidRPr="004D460C" w:rsidR="00D81370" w:rsidP="00D81370" w:rsidRDefault="00D81370" w14:paraId="1B1B99AA" w14:textId="17054D7C">
            <w:pPr>
              <w:spacing w:line="240" w:lineRule="auto"/>
              <w:jc w:val="center"/>
              <w:rPr>
                <w:rFonts w:ascii="Times New Roman" w:hAnsi="Times New Roman" w:cs="Times New Roman"/>
                <w:sz w:val="24"/>
                <w:szCs w:val="24"/>
              </w:rPr>
            </w:pPr>
            <w:r w:rsidRPr="004D460C">
              <w:rPr>
                <w:rFonts w:ascii="Times New Roman" w:hAnsi="Times New Roman" w:cs="Times New Roman"/>
                <w:sz w:val="24"/>
                <w:szCs w:val="24"/>
              </w:rPr>
              <w:t>4</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D81370" w:rsidR="00D81370" w:rsidP="00D81370" w:rsidRDefault="00D81370" w14:paraId="4750F5A7" w14:textId="18BDEE9E">
            <w:pPr>
              <w:spacing w:line="240" w:lineRule="auto"/>
              <w:jc w:val="center"/>
              <w:rPr>
                <w:rFonts w:ascii="Times New Roman" w:hAnsi="Times New Roman" w:cs="Times New Roman"/>
                <w:sz w:val="24"/>
                <w:szCs w:val="24"/>
              </w:rPr>
            </w:pPr>
            <w:r w:rsidRPr="004D460C">
              <w:rPr>
                <w:rFonts w:ascii="Times New Roman" w:hAnsi="Times New Roman" w:cs="Times New Roman"/>
                <w:sz w:val="24"/>
                <w:szCs w:val="24"/>
              </w:rPr>
              <w:t>30/60</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D81370" w:rsidR="00D81370" w:rsidP="00D81370" w:rsidRDefault="00D81370" w14:paraId="07ECE1A9" w14:textId="253F5902">
            <w:pPr>
              <w:spacing w:line="240" w:lineRule="auto"/>
              <w:jc w:val="center"/>
              <w:rPr>
                <w:rFonts w:ascii="Times New Roman" w:hAnsi="Times New Roman" w:cs="Times New Roman"/>
                <w:sz w:val="24"/>
                <w:szCs w:val="24"/>
              </w:rPr>
            </w:pPr>
            <w:r w:rsidRPr="00D81370">
              <w:rPr>
                <w:rFonts w:ascii="Times New Roman" w:hAnsi="Times New Roman" w:cs="Times New Roman"/>
                <w:sz w:val="24"/>
                <w:szCs w:val="24"/>
              </w:rPr>
              <w:t>$44.60</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D81370" w:rsidR="00D81370" w:rsidP="00D81370" w:rsidRDefault="00D81370" w14:paraId="2599C9A4" w14:textId="23013158">
            <w:pPr>
              <w:spacing w:line="240" w:lineRule="auto"/>
              <w:jc w:val="center"/>
              <w:rPr>
                <w:rFonts w:ascii="Times New Roman" w:hAnsi="Times New Roman" w:cs="Times New Roman"/>
                <w:sz w:val="24"/>
                <w:szCs w:val="24"/>
              </w:rPr>
            </w:pPr>
            <w:r w:rsidRPr="00D81370">
              <w:rPr>
                <w:rFonts w:ascii="Times New Roman" w:hAnsi="Times New Roman" w:cs="Times New Roman"/>
                <w:sz w:val="24"/>
                <w:szCs w:val="24"/>
              </w:rPr>
              <w:t>$6,244</w:t>
            </w:r>
          </w:p>
        </w:tc>
      </w:tr>
      <w:tr w:rsidRPr="00E059CA" w:rsidR="00D81370" w:rsidTr="004D460C" w14:paraId="5A8C8F5C" w14:textId="77777777">
        <w:trPr>
          <w:trHeight w:val="784"/>
          <w:jc w:val="center"/>
        </w:trPr>
        <w:tc>
          <w:tcPr>
            <w:tcW w:w="1885" w:type="dxa"/>
            <w:tcBorders>
              <w:top w:val="single" w:color="auto" w:sz="4" w:space="0"/>
              <w:left w:val="single" w:color="auto" w:sz="4" w:space="0"/>
              <w:bottom w:val="single" w:color="auto" w:sz="4" w:space="0"/>
              <w:right w:val="single" w:color="auto" w:sz="4" w:space="0"/>
            </w:tcBorders>
            <w:shd w:val="clear" w:color="auto" w:fill="auto"/>
            <w:vAlign w:val="center"/>
          </w:tcPr>
          <w:p w:rsidRPr="00D81370" w:rsidR="00D81370" w:rsidP="00D81370" w:rsidRDefault="00D81370" w14:paraId="4F748A00" w14:textId="7FCEC2A6">
            <w:pPr>
              <w:spacing w:before="120" w:after="120" w:line="240" w:lineRule="auto"/>
              <w:rPr>
                <w:rFonts w:ascii="Times New Roman" w:hAnsi="Times New Roman" w:cs="Times New Roman"/>
                <w:sz w:val="24"/>
                <w:szCs w:val="24"/>
              </w:rPr>
            </w:pPr>
            <w:r w:rsidRPr="00D81370">
              <w:rPr>
                <w:rFonts w:ascii="Times New Roman" w:hAnsi="Times New Roman" w:cs="Times New Roman"/>
                <w:sz w:val="24"/>
                <w:szCs w:val="24"/>
              </w:rPr>
              <w:t xml:space="preserve">TB patients referred by LHD </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D81370" w:rsidR="00D81370" w:rsidP="00D81370" w:rsidRDefault="00D81370" w14:paraId="44DF06A1" w14:textId="6C525020">
            <w:pPr>
              <w:spacing w:line="240" w:lineRule="auto"/>
              <w:rPr>
                <w:rFonts w:ascii="Times New Roman" w:hAnsi="Times New Roman" w:cs="Times New Roman"/>
                <w:sz w:val="24"/>
                <w:szCs w:val="24"/>
              </w:rPr>
            </w:pPr>
            <w:proofErr w:type="spellStart"/>
            <w:r w:rsidRPr="00D81370">
              <w:rPr>
                <w:rFonts w:ascii="Times New Roman" w:hAnsi="Times New Roman" w:cs="Times New Roman"/>
                <w:sz w:val="24"/>
                <w:szCs w:val="24"/>
              </w:rPr>
              <w:t>CureTB</w:t>
            </w:r>
            <w:proofErr w:type="spellEnd"/>
            <w:r w:rsidRPr="00D81370">
              <w:rPr>
                <w:rFonts w:ascii="Times New Roman" w:hAnsi="Times New Roman" w:cs="Times New Roman"/>
                <w:sz w:val="24"/>
                <w:szCs w:val="24"/>
              </w:rPr>
              <w:t xml:space="preserve"> Transnational Notification</w:t>
            </w:r>
          </w:p>
        </w:tc>
        <w:tc>
          <w:tcPr>
            <w:tcW w:w="1530" w:type="dxa"/>
            <w:tcBorders>
              <w:top w:val="single" w:color="auto" w:sz="4" w:space="0"/>
              <w:left w:val="single" w:color="auto" w:sz="4" w:space="0"/>
              <w:bottom w:val="single" w:color="auto" w:sz="4" w:space="0"/>
              <w:right w:val="single" w:color="auto" w:sz="4" w:space="0"/>
            </w:tcBorders>
            <w:vAlign w:val="center"/>
          </w:tcPr>
          <w:p w:rsidRPr="00D81370" w:rsidR="00D81370" w:rsidP="004D460C" w:rsidRDefault="00D81370" w14:paraId="3159177A" w14:textId="52913176">
            <w:pPr>
              <w:spacing w:before="120" w:after="120"/>
              <w:jc w:val="center"/>
              <w:rPr>
                <w:rFonts w:ascii="Times New Roman" w:hAnsi="Times New Roman" w:cs="Times New Roman"/>
                <w:sz w:val="24"/>
                <w:szCs w:val="24"/>
              </w:rPr>
            </w:pPr>
            <w:r w:rsidRPr="004D460C">
              <w:rPr>
                <w:rFonts w:ascii="Times New Roman" w:hAnsi="Times New Roman" w:cs="Times New Roman"/>
                <w:sz w:val="24"/>
                <w:szCs w:val="24"/>
              </w:rPr>
              <w:t>187</w:t>
            </w:r>
          </w:p>
        </w:tc>
        <w:tc>
          <w:tcPr>
            <w:tcW w:w="1710" w:type="dxa"/>
            <w:tcBorders>
              <w:top w:val="single" w:color="auto" w:sz="4" w:space="0"/>
              <w:left w:val="single" w:color="auto" w:sz="4" w:space="0"/>
              <w:bottom w:val="single" w:color="auto" w:sz="4" w:space="0"/>
              <w:right w:val="single" w:color="auto" w:sz="4" w:space="0"/>
            </w:tcBorders>
            <w:vAlign w:val="center"/>
          </w:tcPr>
          <w:p w:rsidRPr="00D81370" w:rsidR="00D81370" w:rsidP="00D81370" w:rsidRDefault="00D81370" w14:paraId="7419B442" w14:textId="0AF3FA90">
            <w:pPr>
              <w:spacing w:line="240" w:lineRule="auto"/>
              <w:jc w:val="center"/>
              <w:rPr>
                <w:rFonts w:ascii="Times New Roman" w:hAnsi="Times New Roman" w:cs="Times New Roman"/>
                <w:sz w:val="24"/>
                <w:szCs w:val="24"/>
              </w:rPr>
            </w:pPr>
            <w:r w:rsidRPr="004D460C">
              <w:rPr>
                <w:rFonts w:ascii="Times New Roman" w:hAnsi="Times New Roman" w:cs="Times New Roman"/>
                <w:sz w:val="24"/>
                <w:szCs w:val="24"/>
              </w:rPr>
              <w:t>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D81370" w:rsidR="00D81370" w:rsidP="00D81370" w:rsidRDefault="00D81370" w14:paraId="3B0E2628" w14:textId="4977F359">
            <w:pPr>
              <w:spacing w:line="240" w:lineRule="auto"/>
              <w:jc w:val="center"/>
              <w:rPr>
                <w:rFonts w:ascii="Times New Roman" w:hAnsi="Times New Roman" w:cs="Times New Roman"/>
                <w:sz w:val="24"/>
                <w:szCs w:val="24"/>
              </w:rPr>
            </w:pPr>
            <w:r w:rsidRPr="004D460C">
              <w:rPr>
                <w:rFonts w:ascii="Times New Roman" w:hAnsi="Times New Roman" w:cs="Times New Roman"/>
                <w:sz w:val="24"/>
                <w:szCs w:val="24"/>
              </w:rPr>
              <w:t>5/60</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D81370" w:rsidR="00D81370" w:rsidP="00D81370" w:rsidRDefault="00D81370" w14:paraId="28DA93F1" w14:textId="77B74A69">
            <w:pPr>
              <w:spacing w:line="240" w:lineRule="auto"/>
              <w:jc w:val="center"/>
              <w:rPr>
                <w:rFonts w:ascii="Times New Roman" w:hAnsi="Times New Roman" w:cs="Times New Roman"/>
                <w:sz w:val="24"/>
                <w:szCs w:val="24"/>
              </w:rPr>
            </w:pPr>
            <w:r w:rsidRPr="00D81370">
              <w:rPr>
                <w:rFonts w:ascii="Times New Roman" w:hAnsi="Times New Roman" w:cs="Times New Roman"/>
                <w:sz w:val="24"/>
                <w:szCs w:val="24"/>
              </w:rPr>
              <w:t>$24.98</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D81370" w:rsidR="00D81370" w:rsidP="00D81370" w:rsidRDefault="00D81370" w14:paraId="646A3BFF" w14:textId="19BF6FE8">
            <w:pPr>
              <w:spacing w:line="240" w:lineRule="auto"/>
              <w:jc w:val="center"/>
              <w:rPr>
                <w:rFonts w:ascii="Times New Roman" w:hAnsi="Times New Roman" w:cs="Times New Roman"/>
                <w:sz w:val="24"/>
                <w:szCs w:val="24"/>
              </w:rPr>
            </w:pPr>
            <w:r w:rsidRPr="00D81370">
              <w:rPr>
                <w:rFonts w:ascii="Times New Roman" w:hAnsi="Times New Roman" w:cs="Times New Roman"/>
                <w:sz w:val="24"/>
                <w:szCs w:val="24"/>
              </w:rPr>
              <w:t>$</w:t>
            </w:r>
            <w:r>
              <w:rPr>
                <w:rFonts w:ascii="Times New Roman" w:hAnsi="Times New Roman" w:cs="Times New Roman"/>
                <w:sz w:val="24"/>
                <w:szCs w:val="24"/>
              </w:rPr>
              <w:t>389</w:t>
            </w:r>
          </w:p>
        </w:tc>
      </w:tr>
      <w:tr w:rsidRPr="00E059CA" w:rsidR="00D81370" w:rsidTr="004D460C" w14:paraId="6EB3D496" w14:textId="77777777">
        <w:trPr>
          <w:trHeight w:val="784"/>
          <w:jc w:val="center"/>
        </w:trPr>
        <w:tc>
          <w:tcPr>
            <w:tcW w:w="1885" w:type="dxa"/>
            <w:tcBorders>
              <w:top w:val="single" w:color="auto" w:sz="4" w:space="0"/>
              <w:left w:val="single" w:color="auto" w:sz="4" w:space="0"/>
              <w:bottom w:val="single" w:color="auto" w:sz="4" w:space="0"/>
              <w:right w:val="single" w:color="auto" w:sz="4" w:space="0"/>
            </w:tcBorders>
            <w:shd w:val="clear" w:color="auto" w:fill="auto"/>
            <w:vAlign w:val="center"/>
          </w:tcPr>
          <w:p w:rsidRPr="00D81370" w:rsidR="00D81370" w:rsidP="00D81370" w:rsidRDefault="00D81370" w14:paraId="32FFAB48" w14:textId="51431253">
            <w:pPr>
              <w:spacing w:before="120" w:after="120" w:line="240" w:lineRule="auto"/>
              <w:rPr>
                <w:rFonts w:ascii="Times New Roman" w:hAnsi="Times New Roman" w:cs="Times New Roman"/>
                <w:sz w:val="24"/>
                <w:szCs w:val="24"/>
              </w:rPr>
            </w:pPr>
            <w:r w:rsidRPr="00D81370">
              <w:rPr>
                <w:rFonts w:ascii="Times New Roman" w:hAnsi="Times New Roman" w:cs="Times New Roman"/>
                <w:sz w:val="24"/>
                <w:szCs w:val="24"/>
              </w:rPr>
              <w:t>TB patients referred by ICE*</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D81370" w:rsidR="00D81370" w:rsidP="00D81370" w:rsidRDefault="00D81370" w14:paraId="155ABEE1" w14:textId="2CD8D17D">
            <w:pPr>
              <w:spacing w:line="240" w:lineRule="auto"/>
              <w:rPr>
                <w:rFonts w:ascii="Times New Roman" w:hAnsi="Times New Roman" w:cs="Times New Roman"/>
                <w:sz w:val="24"/>
                <w:szCs w:val="24"/>
              </w:rPr>
            </w:pPr>
            <w:proofErr w:type="spellStart"/>
            <w:r w:rsidRPr="00D81370">
              <w:rPr>
                <w:rFonts w:ascii="Times New Roman" w:hAnsi="Times New Roman" w:cs="Times New Roman"/>
                <w:sz w:val="24"/>
                <w:szCs w:val="24"/>
              </w:rPr>
              <w:t>CureTB</w:t>
            </w:r>
            <w:proofErr w:type="spellEnd"/>
            <w:r w:rsidRPr="00D81370">
              <w:rPr>
                <w:rFonts w:ascii="Times New Roman" w:hAnsi="Times New Roman" w:cs="Times New Roman"/>
                <w:sz w:val="24"/>
                <w:szCs w:val="24"/>
              </w:rPr>
              <w:t xml:space="preserve"> Transnational Notification</w:t>
            </w:r>
          </w:p>
        </w:tc>
        <w:tc>
          <w:tcPr>
            <w:tcW w:w="1530" w:type="dxa"/>
            <w:tcBorders>
              <w:top w:val="single" w:color="auto" w:sz="4" w:space="0"/>
              <w:left w:val="single" w:color="auto" w:sz="4" w:space="0"/>
              <w:bottom w:val="single" w:color="auto" w:sz="4" w:space="0"/>
              <w:right w:val="single" w:color="auto" w:sz="4" w:space="0"/>
            </w:tcBorders>
            <w:vAlign w:val="center"/>
          </w:tcPr>
          <w:p w:rsidRPr="004D460C" w:rsidR="00D81370" w:rsidP="00D81370" w:rsidRDefault="00D81370" w14:paraId="4305F7F0" w14:textId="3A7A0775">
            <w:pPr>
              <w:spacing w:line="240" w:lineRule="auto"/>
              <w:jc w:val="center"/>
              <w:rPr>
                <w:rFonts w:ascii="Times New Roman" w:hAnsi="Times New Roman" w:cs="Times New Roman"/>
                <w:sz w:val="24"/>
                <w:szCs w:val="24"/>
              </w:rPr>
            </w:pPr>
            <w:r w:rsidRPr="004D460C">
              <w:rPr>
                <w:rFonts w:ascii="Times New Roman" w:hAnsi="Times New Roman" w:cs="Times New Roman"/>
                <w:sz w:val="24"/>
                <w:szCs w:val="24"/>
              </w:rPr>
              <w:t>587</w:t>
            </w:r>
          </w:p>
        </w:tc>
        <w:tc>
          <w:tcPr>
            <w:tcW w:w="1710" w:type="dxa"/>
            <w:tcBorders>
              <w:top w:val="single" w:color="auto" w:sz="4" w:space="0"/>
              <w:left w:val="single" w:color="auto" w:sz="4" w:space="0"/>
              <w:bottom w:val="single" w:color="auto" w:sz="4" w:space="0"/>
              <w:right w:val="single" w:color="auto" w:sz="4" w:space="0"/>
            </w:tcBorders>
            <w:vAlign w:val="center"/>
          </w:tcPr>
          <w:p w:rsidRPr="004D460C" w:rsidR="00D81370" w:rsidP="00D81370" w:rsidRDefault="00D81370" w14:paraId="42B1481A" w14:textId="4A788101">
            <w:pPr>
              <w:spacing w:line="240" w:lineRule="auto"/>
              <w:jc w:val="center"/>
              <w:rPr>
                <w:rFonts w:ascii="Times New Roman" w:hAnsi="Times New Roman" w:cs="Times New Roman"/>
                <w:sz w:val="24"/>
                <w:szCs w:val="24"/>
              </w:rPr>
            </w:pPr>
            <w:r w:rsidRPr="004D460C">
              <w:rPr>
                <w:rFonts w:ascii="Times New Roman" w:hAnsi="Times New Roman" w:cs="Times New Roman"/>
                <w:sz w:val="24"/>
                <w:szCs w:val="24"/>
              </w:rPr>
              <w:t>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D81370" w:rsidR="00D81370" w:rsidP="00D81370" w:rsidRDefault="00D81370" w14:paraId="5559696C" w14:textId="6034D133">
            <w:pPr>
              <w:spacing w:line="240" w:lineRule="auto"/>
              <w:jc w:val="center"/>
              <w:rPr>
                <w:rFonts w:ascii="Times New Roman" w:hAnsi="Times New Roman" w:cs="Times New Roman"/>
                <w:sz w:val="24"/>
                <w:szCs w:val="24"/>
              </w:rPr>
            </w:pPr>
            <w:r w:rsidRPr="004D460C">
              <w:rPr>
                <w:rFonts w:ascii="Times New Roman" w:hAnsi="Times New Roman" w:cs="Times New Roman"/>
                <w:sz w:val="24"/>
                <w:szCs w:val="24"/>
              </w:rPr>
              <w:t>45/60</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D81370" w:rsidR="00D81370" w:rsidP="00D81370" w:rsidRDefault="00D81370" w14:paraId="622E2A1A" w14:textId="3FA44694">
            <w:pPr>
              <w:spacing w:line="240" w:lineRule="auto"/>
              <w:jc w:val="center"/>
              <w:rPr>
                <w:rFonts w:ascii="Times New Roman" w:hAnsi="Times New Roman" w:cs="Times New Roman"/>
                <w:sz w:val="24"/>
                <w:szCs w:val="24"/>
              </w:rPr>
            </w:pPr>
            <w:r w:rsidRPr="00D81370">
              <w:rPr>
                <w:rFonts w:ascii="Times New Roman" w:hAnsi="Times New Roman" w:cs="Times New Roman"/>
                <w:sz w:val="24"/>
                <w:szCs w:val="24"/>
              </w:rPr>
              <w:t>$24.98</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D81370" w:rsidR="00D81370" w:rsidP="00D81370" w:rsidRDefault="00D81370" w14:paraId="2012076E" w14:textId="654A7B06">
            <w:pPr>
              <w:spacing w:line="240" w:lineRule="auto"/>
              <w:jc w:val="center"/>
              <w:rPr>
                <w:rFonts w:ascii="Times New Roman" w:hAnsi="Times New Roman" w:cs="Times New Roman"/>
                <w:sz w:val="24"/>
                <w:szCs w:val="24"/>
              </w:rPr>
            </w:pPr>
            <w:r w:rsidRPr="00D81370">
              <w:rPr>
                <w:rFonts w:ascii="Times New Roman" w:hAnsi="Times New Roman" w:cs="Times New Roman"/>
                <w:sz w:val="24"/>
                <w:szCs w:val="24"/>
              </w:rPr>
              <w:t>$10,99</w:t>
            </w:r>
            <w:r>
              <w:rPr>
                <w:rFonts w:ascii="Times New Roman" w:hAnsi="Times New Roman" w:cs="Times New Roman"/>
                <w:sz w:val="24"/>
                <w:szCs w:val="24"/>
              </w:rPr>
              <w:t>7</w:t>
            </w:r>
          </w:p>
        </w:tc>
      </w:tr>
      <w:tr w:rsidRPr="00E059CA" w:rsidR="00D81370" w:rsidTr="004D460C" w14:paraId="1FB45085" w14:textId="77777777">
        <w:trPr>
          <w:trHeight w:val="1288" w:hRule="exact"/>
          <w:jc w:val="center"/>
        </w:trPr>
        <w:tc>
          <w:tcPr>
            <w:tcW w:w="1885" w:type="dxa"/>
            <w:tcBorders>
              <w:top w:val="single" w:color="auto" w:sz="4" w:space="0"/>
              <w:left w:val="single" w:color="auto" w:sz="4" w:space="0"/>
              <w:bottom w:val="single" w:color="auto" w:sz="4" w:space="0"/>
              <w:right w:val="single" w:color="auto" w:sz="4" w:space="0"/>
            </w:tcBorders>
            <w:shd w:val="clear" w:color="auto" w:fill="auto"/>
            <w:vAlign w:val="center"/>
          </w:tcPr>
          <w:p w:rsidRPr="00D81370" w:rsidR="00D81370" w:rsidP="00D81370" w:rsidRDefault="00D81370" w14:paraId="4E7D4DD6" w14:textId="219F3BFB">
            <w:pPr>
              <w:spacing w:after="0" w:line="240" w:lineRule="auto"/>
              <w:rPr>
                <w:rFonts w:ascii="Times New Roman" w:hAnsi="Times New Roman" w:cs="Times New Roman"/>
                <w:b/>
                <w:sz w:val="24"/>
                <w:szCs w:val="24"/>
              </w:rPr>
            </w:pPr>
            <w:r w:rsidRPr="00D81370">
              <w:rPr>
                <w:rFonts w:ascii="Times New Roman" w:hAnsi="Times New Roman" w:cs="Times New Roman"/>
                <w:sz w:val="24"/>
                <w:szCs w:val="24"/>
              </w:rPr>
              <w:t>TB treating physicians in new country</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D81370" w:rsidR="00D81370" w:rsidP="00D81370" w:rsidRDefault="00D81370" w14:paraId="381FD90B" w14:textId="138C7240">
            <w:pPr>
              <w:spacing w:after="0" w:line="240" w:lineRule="auto"/>
              <w:jc w:val="center"/>
              <w:rPr>
                <w:rFonts w:ascii="Times New Roman" w:hAnsi="Times New Roman" w:cs="Times New Roman"/>
                <w:b/>
                <w:sz w:val="24"/>
                <w:szCs w:val="24"/>
              </w:rPr>
            </w:pPr>
            <w:r w:rsidRPr="00D81370">
              <w:rPr>
                <w:rFonts w:ascii="Times New Roman" w:hAnsi="Times New Roman" w:eastAsia="Times New Roman" w:cs="Times New Roman"/>
                <w:bCs/>
                <w:iCs/>
                <w:sz w:val="24"/>
                <w:szCs w:val="24"/>
              </w:rPr>
              <w:t>Clinician Public Health Department Follow-up Script</w:t>
            </w:r>
          </w:p>
        </w:tc>
        <w:tc>
          <w:tcPr>
            <w:tcW w:w="1530" w:type="dxa"/>
            <w:tcBorders>
              <w:top w:val="single" w:color="auto" w:sz="4" w:space="0"/>
              <w:left w:val="single" w:color="auto" w:sz="4" w:space="0"/>
              <w:bottom w:val="single" w:color="auto" w:sz="4" w:space="0"/>
              <w:right w:val="single" w:color="auto" w:sz="4" w:space="0"/>
            </w:tcBorders>
            <w:vAlign w:val="center"/>
          </w:tcPr>
          <w:p w:rsidRPr="004D460C" w:rsidR="00D81370" w:rsidP="00D81370" w:rsidRDefault="00D81370" w14:paraId="08D7315E" w14:textId="767CD80F">
            <w:pPr>
              <w:spacing w:after="0" w:line="240" w:lineRule="auto"/>
              <w:jc w:val="center"/>
              <w:rPr>
                <w:rFonts w:ascii="Times New Roman" w:hAnsi="Times New Roman" w:cs="Times New Roman"/>
                <w:sz w:val="24"/>
                <w:szCs w:val="24"/>
              </w:rPr>
            </w:pPr>
            <w:r w:rsidRPr="004D460C">
              <w:rPr>
                <w:rFonts w:ascii="Times New Roman" w:hAnsi="Times New Roman" w:cs="Times New Roman"/>
                <w:sz w:val="24"/>
                <w:szCs w:val="24"/>
              </w:rPr>
              <w:t>870</w:t>
            </w:r>
          </w:p>
        </w:tc>
        <w:tc>
          <w:tcPr>
            <w:tcW w:w="1710" w:type="dxa"/>
            <w:tcBorders>
              <w:top w:val="single" w:color="auto" w:sz="4" w:space="0"/>
              <w:left w:val="single" w:color="auto" w:sz="4" w:space="0"/>
              <w:bottom w:val="single" w:color="auto" w:sz="4" w:space="0"/>
              <w:right w:val="single" w:color="auto" w:sz="4" w:space="0"/>
            </w:tcBorders>
            <w:vAlign w:val="center"/>
          </w:tcPr>
          <w:p w:rsidRPr="004D460C" w:rsidR="00D81370" w:rsidP="00D81370" w:rsidRDefault="00D81370" w14:paraId="627F1D19" w14:textId="0DE6CBB3">
            <w:pPr>
              <w:spacing w:after="0" w:line="240" w:lineRule="auto"/>
              <w:jc w:val="center"/>
              <w:rPr>
                <w:rFonts w:ascii="Times New Roman" w:hAnsi="Times New Roman" w:cs="Times New Roman"/>
                <w:sz w:val="24"/>
                <w:szCs w:val="24"/>
              </w:rPr>
            </w:pPr>
            <w:r w:rsidRPr="004D460C">
              <w:rPr>
                <w:rFonts w:ascii="Times New Roman" w:hAnsi="Times New Roman" w:cs="Times New Roman"/>
                <w:sz w:val="24"/>
                <w:szCs w:val="24"/>
              </w:rPr>
              <w:t>3</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D81370" w:rsidR="00D81370" w:rsidP="00D81370" w:rsidRDefault="00D81370" w14:paraId="38D64DB8" w14:textId="755E8BCA">
            <w:pPr>
              <w:spacing w:after="0" w:line="240" w:lineRule="auto"/>
              <w:jc w:val="center"/>
              <w:rPr>
                <w:rFonts w:ascii="Times New Roman" w:hAnsi="Times New Roman" w:cs="Times New Roman"/>
                <w:sz w:val="24"/>
                <w:szCs w:val="24"/>
              </w:rPr>
            </w:pPr>
            <w:r w:rsidRPr="004D460C">
              <w:rPr>
                <w:rFonts w:ascii="Times New Roman" w:hAnsi="Times New Roman" w:cs="Times New Roman"/>
                <w:sz w:val="24"/>
                <w:szCs w:val="24"/>
              </w:rPr>
              <w:t>10/60</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D81370" w:rsidR="00D81370" w:rsidP="00D81370" w:rsidRDefault="00D81370" w14:paraId="107053B4" w14:textId="41C84DD3">
            <w:pPr>
              <w:spacing w:after="0" w:line="240" w:lineRule="auto"/>
              <w:jc w:val="center"/>
              <w:rPr>
                <w:rFonts w:ascii="Times New Roman" w:hAnsi="Times New Roman" w:cs="Times New Roman"/>
                <w:sz w:val="24"/>
                <w:szCs w:val="24"/>
              </w:rPr>
            </w:pPr>
            <w:r w:rsidRPr="00D81370">
              <w:rPr>
                <w:rFonts w:ascii="Times New Roman" w:hAnsi="Times New Roman" w:cs="Times New Roman"/>
                <w:sz w:val="24"/>
                <w:szCs w:val="24"/>
              </w:rPr>
              <w:t>$23.63</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D81370" w:rsidR="00D81370" w:rsidP="00D81370" w:rsidRDefault="00D81370" w14:paraId="4047DB49" w14:textId="4725B2D4">
            <w:pPr>
              <w:spacing w:after="0" w:line="240" w:lineRule="auto"/>
              <w:jc w:val="center"/>
              <w:rPr>
                <w:rFonts w:ascii="Times New Roman" w:hAnsi="Times New Roman" w:cs="Times New Roman"/>
                <w:sz w:val="24"/>
                <w:szCs w:val="24"/>
              </w:rPr>
            </w:pPr>
            <w:r w:rsidRPr="00D81370">
              <w:rPr>
                <w:rFonts w:ascii="Times New Roman" w:hAnsi="Times New Roman" w:cs="Times New Roman"/>
                <w:sz w:val="24"/>
                <w:szCs w:val="24"/>
              </w:rPr>
              <w:t>$10,</w:t>
            </w:r>
            <w:r>
              <w:rPr>
                <w:rFonts w:ascii="Times New Roman" w:hAnsi="Times New Roman" w:cs="Times New Roman"/>
                <w:sz w:val="24"/>
                <w:szCs w:val="24"/>
              </w:rPr>
              <w:t>279</w:t>
            </w:r>
          </w:p>
        </w:tc>
      </w:tr>
      <w:tr w:rsidRPr="00E059CA" w:rsidR="00D81370" w:rsidTr="004D460C" w14:paraId="0DD01EE5" w14:textId="77777777">
        <w:trPr>
          <w:trHeight w:val="784"/>
          <w:jc w:val="center"/>
        </w:trPr>
        <w:tc>
          <w:tcPr>
            <w:tcW w:w="1885" w:type="dxa"/>
            <w:tcBorders>
              <w:top w:val="single" w:color="auto" w:sz="4" w:space="0"/>
              <w:left w:val="single" w:color="auto" w:sz="4" w:space="0"/>
              <w:bottom w:val="single" w:color="auto" w:sz="4" w:space="0"/>
              <w:right w:val="single" w:color="auto" w:sz="4" w:space="0"/>
            </w:tcBorders>
            <w:shd w:val="clear" w:color="auto" w:fill="auto"/>
            <w:vAlign w:val="center"/>
          </w:tcPr>
          <w:p w:rsidRPr="00D81370" w:rsidR="00D81370" w:rsidP="00D81370" w:rsidRDefault="00D81370" w14:paraId="6E533516" w14:textId="49E22637">
            <w:pPr>
              <w:spacing w:before="120" w:after="120" w:line="240" w:lineRule="auto"/>
              <w:rPr>
                <w:rFonts w:ascii="Times New Roman" w:hAnsi="Times New Roman" w:cs="Times New Roman"/>
                <w:sz w:val="24"/>
                <w:szCs w:val="24"/>
              </w:rPr>
            </w:pPr>
            <w:r w:rsidRPr="00D81370">
              <w:rPr>
                <w:rFonts w:ascii="Times New Roman" w:hAnsi="Times New Roman" w:cs="Times New Roman"/>
                <w:sz w:val="24"/>
                <w:szCs w:val="24"/>
              </w:rPr>
              <w:t>LHDs in the United States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D81370" w:rsidR="00D81370" w:rsidP="00D81370" w:rsidRDefault="00D81370" w14:paraId="092887F4" w14:textId="77777777">
            <w:pPr>
              <w:spacing w:line="240" w:lineRule="auto"/>
              <w:rPr>
                <w:rFonts w:ascii="Times New Roman" w:hAnsi="Times New Roman" w:cs="Times New Roman"/>
                <w:sz w:val="24"/>
                <w:szCs w:val="24"/>
              </w:rPr>
            </w:pPr>
            <w:proofErr w:type="spellStart"/>
            <w:r w:rsidRPr="00D81370">
              <w:rPr>
                <w:rFonts w:ascii="Times New Roman" w:hAnsi="Times New Roman" w:cs="Times New Roman"/>
                <w:sz w:val="24"/>
                <w:szCs w:val="24"/>
              </w:rPr>
              <w:t>CureTB</w:t>
            </w:r>
            <w:proofErr w:type="spellEnd"/>
            <w:r w:rsidRPr="00D81370">
              <w:rPr>
                <w:rFonts w:ascii="Times New Roman" w:hAnsi="Times New Roman" w:cs="Times New Roman"/>
                <w:sz w:val="24"/>
                <w:szCs w:val="24"/>
              </w:rPr>
              <w:t xml:space="preserve"> Contact/Source Investigation (CI/SI) Notification </w:t>
            </w:r>
          </w:p>
        </w:tc>
        <w:tc>
          <w:tcPr>
            <w:tcW w:w="1530" w:type="dxa"/>
            <w:tcBorders>
              <w:top w:val="single" w:color="auto" w:sz="4" w:space="0"/>
              <w:left w:val="single" w:color="auto" w:sz="4" w:space="0"/>
              <w:bottom w:val="single" w:color="auto" w:sz="4" w:space="0"/>
              <w:right w:val="single" w:color="auto" w:sz="4" w:space="0"/>
            </w:tcBorders>
            <w:vAlign w:val="center"/>
          </w:tcPr>
          <w:p w:rsidRPr="004D460C" w:rsidR="00D81370" w:rsidP="00D81370" w:rsidRDefault="00D81370" w14:paraId="4E175B71" w14:textId="2E79BF5F">
            <w:pPr>
              <w:spacing w:line="240" w:lineRule="auto"/>
              <w:jc w:val="center"/>
              <w:rPr>
                <w:rFonts w:ascii="Times New Roman" w:hAnsi="Times New Roman" w:cs="Times New Roman"/>
                <w:sz w:val="24"/>
                <w:szCs w:val="24"/>
              </w:rPr>
            </w:pPr>
            <w:r w:rsidRPr="004D460C">
              <w:rPr>
                <w:rFonts w:ascii="Times New Roman" w:hAnsi="Times New Roman" w:cs="Times New Roman"/>
                <w:sz w:val="24"/>
                <w:szCs w:val="24"/>
              </w:rPr>
              <w:t>20</w:t>
            </w:r>
          </w:p>
        </w:tc>
        <w:tc>
          <w:tcPr>
            <w:tcW w:w="1710" w:type="dxa"/>
            <w:tcBorders>
              <w:top w:val="single" w:color="auto" w:sz="4" w:space="0"/>
              <w:left w:val="single" w:color="auto" w:sz="4" w:space="0"/>
              <w:bottom w:val="single" w:color="auto" w:sz="4" w:space="0"/>
              <w:right w:val="single" w:color="auto" w:sz="4" w:space="0"/>
            </w:tcBorders>
            <w:vAlign w:val="center"/>
          </w:tcPr>
          <w:p w:rsidRPr="004D460C" w:rsidR="00D81370" w:rsidP="00D81370" w:rsidRDefault="00D81370" w14:paraId="39263F16" w14:textId="1C59D62C">
            <w:pPr>
              <w:spacing w:line="240" w:lineRule="auto"/>
              <w:jc w:val="center"/>
              <w:rPr>
                <w:rFonts w:ascii="Times New Roman" w:hAnsi="Times New Roman" w:cs="Times New Roman"/>
                <w:sz w:val="24"/>
                <w:szCs w:val="24"/>
              </w:rPr>
            </w:pPr>
            <w:r w:rsidRPr="004D460C">
              <w:rPr>
                <w:rFonts w:ascii="Times New Roman" w:hAnsi="Times New Roman" w:cs="Times New Roman"/>
                <w:sz w:val="24"/>
                <w:szCs w:val="24"/>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D81370" w:rsidR="00D81370" w:rsidP="00D81370" w:rsidRDefault="00D81370" w14:paraId="72F451F6" w14:textId="0C4A3EF8">
            <w:pPr>
              <w:spacing w:line="240" w:lineRule="auto"/>
              <w:jc w:val="center"/>
              <w:rPr>
                <w:rFonts w:ascii="Times New Roman" w:hAnsi="Times New Roman" w:cs="Times New Roman"/>
                <w:sz w:val="24"/>
                <w:szCs w:val="24"/>
              </w:rPr>
            </w:pPr>
            <w:r w:rsidRPr="004D460C">
              <w:rPr>
                <w:rFonts w:ascii="Times New Roman" w:hAnsi="Times New Roman" w:cs="Times New Roman"/>
                <w:sz w:val="24"/>
                <w:szCs w:val="24"/>
              </w:rPr>
              <w:t>30/60</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D81370" w:rsidR="00D81370" w:rsidP="00D81370" w:rsidRDefault="00D81370" w14:paraId="21F93EA8" w14:textId="06428F68">
            <w:pPr>
              <w:spacing w:line="240" w:lineRule="auto"/>
              <w:jc w:val="center"/>
              <w:rPr>
                <w:rFonts w:ascii="Times New Roman" w:hAnsi="Times New Roman" w:cs="Times New Roman"/>
                <w:sz w:val="24"/>
                <w:szCs w:val="24"/>
              </w:rPr>
            </w:pPr>
            <w:r w:rsidRPr="00D81370">
              <w:rPr>
                <w:rFonts w:ascii="Times New Roman" w:hAnsi="Times New Roman" w:cs="Times New Roman"/>
                <w:sz w:val="24"/>
                <w:szCs w:val="24"/>
              </w:rPr>
              <w:t>$44.60</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D81370" w:rsidR="00D81370" w:rsidP="00D81370" w:rsidRDefault="00D81370" w14:paraId="71E58945" w14:textId="2D0474B8">
            <w:pPr>
              <w:spacing w:line="240" w:lineRule="auto"/>
              <w:jc w:val="center"/>
              <w:rPr>
                <w:rFonts w:ascii="Times New Roman" w:hAnsi="Times New Roman" w:cs="Times New Roman"/>
                <w:sz w:val="24"/>
                <w:szCs w:val="24"/>
              </w:rPr>
            </w:pPr>
            <w:r w:rsidRPr="00D81370">
              <w:rPr>
                <w:rFonts w:ascii="Times New Roman" w:hAnsi="Times New Roman" w:cs="Times New Roman"/>
                <w:sz w:val="24"/>
                <w:szCs w:val="24"/>
              </w:rPr>
              <w:t>$2,230</w:t>
            </w:r>
          </w:p>
        </w:tc>
      </w:tr>
      <w:tr w:rsidRPr="00E059CA" w:rsidR="00D81370" w:rsidTr="004D460C" w14:paraId="355853F1" w14:textId="77777777">
        <w:trPr>
          <w:trHeight w:val="640" w:hRule="exact"/>
          <w:jc w:val="center"/>
        </w:trPr>
        <w:tc>
          <w:tcPr>
            <w:tcW w:w="1885" w:type="dxa"/>
            <w:tcBorders>
              <w:top w:val="single" w:color="auto" w:sz="4" w:space="0"/>
              <w:left w:val="single" w:color="auto" w:sz="4" w:space="0"/>
              <w:bottom w:val="single" w:color="auto" w:sz="4" w:space="0"/>
              <w:right w:val="single" w:color="auto" w:sz="4" w:space="0"/>
            </w:tcBorders>
            <w:shd w:val="clear" w:color="auto" w:fill="auto"/>
            <w:vAlign w:val="center"/>
          </w:tcPr>
          <w:p w:rsidRPr="00D81370" w:rsidR="00D81370" w:rsidP="00D81370" w:rsidRDefault="00D81370" w14:paraId="41EDB266" w14:textId="77777777">
            <w:pPr>
              <w:spacing w:after="0" w:line="240" w:lineRule="auto"/>
              <w:jc w:val="right"/>
              <w:rPr>
                <w:rFonts w:ascii="Times New Roman" w:hAnsi="Times New Roman" w:cs="Times New Roman"/>
                <w:b/>
                <w:sz w:val="24"/>
                <w:szCs w:val="24"/>
              </w:rPr>
            </w:pPr>
            <w:r w:rsidRPr="00D81370">
              <w:rPr>
                <w:rFonts w:ascii="Times New Roman" w:hAnsi="Times New Roman" w:cs="Times New Roman"/>
                <w:b/>
                <w:sz w:val="24"/>
                <w:szCs w:val="24"/>
              </w:rPr>
              <w:t>TOTAL</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D81370" w:rsidR="00D81370" w:rsidP="00D81370" w:rsidRDefault="00D81370" w14:paraId="56E1DD9A" w14:textId="77777777">
            <w:pPr>
              <w:spacing w:after="0" w:line="240" w:lineRule="auto"/>
              <w:jc w:val="center"/>
              <w:rPr>
                <w:rFonts w:ascii="Times New Roman" w:hAnsi="Times New Roman" w:cs="Times New Roman"/>
                <w:b/>
                <w:sz w:val="24"/>
                <w:szCs w:val="24"/>
              </w:rPr>
            </w:pPr>
          </w:p>
        </w:tc>
        <w:tc>
          <w:tcPr>
            <w:tcW w:w="1530" w:type="dxa"/>
            <w:tcBorders>
              <w:top w:val="single" w:color="auto" w:sz="4" w:space="0"/>
              <w:left w:val="single" w:color="auto" w:sz="4" w:space="0"/>
              <w:bottom w:val="single" w:color="auto" w:sz="4" w:space="0"/>
              <w:right w:val="single" w:color="auto" w:sz="4" w:space="0"/>
            </w:tcBorders>
            <w:vAlign w:val="center"/>
          </w:tcPr>
          <w:p w:rsidRPr="00D81370" w:rsidR="00D81370" w:rsidP="00D81370" w:rsidRDefault="00D81370" w14:paraId="5494F33B" w14:textId="77777777">
            <w:pPr>
              <w:spacing w:after="0" w:line="240" w:lineRule="auto"/>
              <w:jc w:val="center"/>
              <w:rPr>
                <w:rFonts w:ascii="Times New Roman" w:hAnsi="Times New Roman" w:cs="Times New Roman"/>
                <w:b/>
                <w:sz w:val="24"/>
                <w:szCs w:val="24"/>
              </w:rPr>
            </w:pPr>
          </w:p>
        </w:tc>
        <w:tc>
          <w:tcPr>
            <w:tcW w:w="1710" w:type="dxa"/>
            <w:tcBorders>
              <w:top w:val="single" w:color="auto" w:sz="4" w:space="0"/>
              <w:left w:val="single" w:color="auto" w:sz="4" w:space="0"/>
              <w:bottom w:val="single" w:color="auto" w:sz="4" w:space="0"/>
              <w:right w:val="single" w:color="auto" w:sz="4" w:space="0"/>
            </w:tcBorders>
            <w:vAlign w:val="center"/>
          </w:tcPr>
          <w:p w:rsidRPr="00D81370" w:rsidR="00D81370" w:rsidP="00D81370" w:rsidRDefault="00D81370" w14:paraId="71A28A17" w14:textId="77777777">
            <w:pPr>
              <w:spacing w:after="0" w:line="240" w:lineRule="auto"/>
              <w:jc w:val="center"/>
              <w:rPr>
                <w:rFonts w:ascii="Times New Roman" w:hAnsi="Times New Roman" w:cs="Times New Roman"/>
                <w:b/>
                <w:sz w:val="24"/>
                <w:szCs w:val="24"/>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D81370" w:rsidR="00D81370" w:rsidP="00D81370" w:rsidRDefault="00D81370" w14:paraId="31FF4206" w14:textId="0B4F05EA">
            <w:pPr>
              <w:spacing w:after="0" w:line="240" w:lineRule="auto"/>
              <w:jc w:val="center"/>
              <w:rPr>
                <w:rFonts w:ascii="Times New Roman" w:hAnsi="Times New Roman" w:cs="Times New Roman"/>
                <w:b/>
                <w:sz w:val="24"/>
                <w:szCs w:val="24"/>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D81370" w:rsidR="00D81370" w:rsidP="00D81370" w:rsidRDefault="00D81370" w14:paraId="2894BB4B" w14:textId="77777777">
            <w:pPr>
              <w:spacing w:after="0" w:line="240" w:lineRule="auto"/>
              <w:jc w:val="center"/>
              <w:rPr>
                <w:rFonts w:ascii="Times New Roman" w:hAnsi="Times New Roman" w:cs="Times New Roman"/>
                <w:b/>
                <w:sz w:val="24"/>
                <w:szCs w:val="24"/>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D81370" w:rsidR="00D81370" w:rsidP="00D81370" w:rsidRDefault="00D81370" w14:paraId="6CE2014A" w14:textId="175E5C4E">
            <w:pPr>
              <w:spacing w:after="0" w:line="240" w:lineRule="auto"/>
              <w:jc w:val="center"/>
              <w:rPr>
                <w:rFonts w:ascii="Times New Roman" w:hAnsi="Times New Roman" w:cs="Times New Roman"/>
                <w:b/>
                <w:sz w:val="24"/>
                <w:szCs w:val="24"/>
              </w:rPr>
            </w:pPr>
            <w:r w:rsidRPr="00D81370">
              <w:rPr>
                <w:rFonts w:ascii="Times New Roman" w:hAnsi="Times New Roman" w:cs="Times New Roman"/>
                <w:b/>
                <w:sz w:val="24"/>
                <w:szCs w:val="24"/>
              </w:rPr>
              <w:t>$30,</w:t>
            </w:r>
            <w:r>
              <w:rPr>
                <w:rFonts w:ascii="Times New Roman" w:hAnsi="Times New Roman" w:cs="Times New Roman"/>
                <w:b/>
                <w:sz w:val="24"/>
                <w:szCs w:val="24"/>
              </w:rPr>
              <w:t>139</w:t>
            </w:r>
          </w:p>
        </w:tc>
      </w:tr>
    </w:tbl>
    <w:p w:rsidRPr="00E059CA" w:rsidR="009D108F" w:rsidP="005242B1" w:rsidRDefault="009D108F" w14:paraId="1899194C" w14:textId="77777777">
      <w:pPr>
        <w:pStyle w:val="Heading2"/>
        <w:spacing w:line="240" w:lineRule="auto"/>
      </w:pPr>
      <w:bookmarkStart w:name="_Toc457379313" w:id="28"/>
      <w:r w:rsidRPr="00E059CA">
        <w:lastRenderedPageBreak/>
        <w:t>13</w:t>
      </w:r>
      <w:r w:rsidRPr="00E059CA" w:rsidR="00793E97">
        <w:t>.</w:t>
      </w:r>
      <w:r w:rsidRPr="00E059CA">
        <w:t xml:space="preserve"> Estimates of Other Total Annual Cost Burden to Respondents or Record Keepers</w:t>
      </w:r>
      <w:bookmarkEnd w:id="28"/>
      <w:r w:rsidRPr="00E059CA">
        <w:t xml:space="preserve"> </w:t>
      </w:r>
    </w:p>
    <w:p w:rsidRPr="00E059CA" w:rsidR="005242B1" w:rsidP="002E2F0F" w:rsidRDefault="00D46864" w14:paraId="446C3CCB" w14:textId="6F0ABC27">
      <w:pPr>
        <w:pStyle w:val="CM89"/>
        <w:rPr>
          <w:rFonts w:ascii="Times New Roman" w:hAnsi="Times New Roman" w:cs="Times New Roman"/>
        </w:rPr>
      </w:pPr>
      <w:r w:rsidRPr="00E059CA">
        <w:rPr>
          <w:rFonts w:ascii="Times New Roman" w:hAnsi="Times New Roman" w:cs="Times New Roman"/>
        </w:rPr>
        <w:t>There will be no direct costs to the respondents other th</w:t>
      </w:r>
      <w:r w:rsidRPr="00E059CA" w:rsidR="0061064F">
        <w:rPr>
          <w:rFonts w:ascii="Times New Roman" w:hAnsi="Times New Roman" w:cs="Times New Roman"/>
        </w:rPr>
        <w:t xml:space="preserve">an their time to complete the </w:t>
      </w:r>
      <w:proofErr w:type="spellStart"/>
      <w:r w:rsidRPr="002E2F0F" w:rsidR="002E2F0F">
        <w:rPr>
          <w:rFonts w:ascii="Times New Roman" w:hAnsi="Times New Roman" w:cs="Times New Roman"/>
        </w:rPr>
        <w:t>CureTB</w:t>
      </w:r>
      <w:proofErr w:type="spellEnd"/>
      <w:r w:rsidRPr="002E2F0F" w:rsidR="002E2F0F">
        <w:rPr>
          <w:rFonts w:ascii="Times New Roman" w:hAnsi="Times New Roman" w:cs="Times New Roman"/>
        </w:rPr>
        <w:t xml:space="preserve"> Transnational Notification </w:t>
      </w:r>
      <w:r w:rsidR="002E2F0F">
        <w:rPr>
          <w:rFonts w:ascii="Times New Roman" w:hAnsi="Times New Roman" w:cs="Times New Roman"/>
        </w:rPr>
        <w:t xml:space="preserve">or </w:t>
      </w:r>
      <w:proofErr w:type="spellStart"/>
      <w:r w:rsidRPr="002E2F0F" w:rsidR="002E2F0F">
        <w:rPr>
          <w:rFonts w:ascii="Times New Roman" w:hAnsi="Times New Roman" w:cs="Times New Roman"/>
        </w:rPr>
        <w:t>CureTB</w:t>
      </w:r>
      <w:proofErr w:type="spellEnd"/>
      <w:r w:rsidRPr="002E2F0F" w:rsidR="002E2F0F">
        <w:rPr>
          <w:rFonts w:ascii="Times New Roman" w:hAnsi="Times New Roman" w:cs="Times New Roman"/>
        </w:rPr>
        <w:t xml:space="preserve"> Contact/Source Investigation (CI/SI) Notification</w:t>
      </w:r>
      <w:r w:rsidR="002E2F0F">
        <w:rPr>
          <w:rFonts w:ascii="Times New Roman" w:hAnsi="Times New Roman" w:cs="Times New Roman"/>
        </w:rPr>
        <w:t xml:space="preserve"> forms</w:t>
      </w:r>
      <w:r w:rsidR="00642C81">
        <w:rPr>
          <w:rFonts w:ascii="Times New Roman" w:hAnsi="Times New Roman" w:cs="Times New Roman"/>
        </w:rPr>
        <w:t>, and to respond to CDC requests for follow up with the treating physicians</w:t>
      </w:r>
      <w:r w:rsidR="00973578">
        <w:rPr>
          <w:rFonts w:ascii="Times New Roman" w:hAnsi="Times New Roman" w:cs="Times New Roman"/>
        </w:rPr>
        <w:t xml:space="preserve"> abroad</w:t>
      </w:r>
      <w:r w:rsidRPr="00E059CA" w:rsidR="0061064F">
        <w:rPr>
          <w:rFonts w:ascii="Times New Roman" w:hAnsi="Times New Roman" w:cs="Times New Roman"/>
        </w:rPr>
        <w:t>.</w:t>
      </w:r>
    </w:p>
    <w:p w:rsidRPr="00E059CA" w:rsidR="004C39E2" w:rsidP="00A54DA5" w:rsidRDefault="009D108F" w14:paraId="07651CD4" w14:textId="77777777">
      <w:pPr>
        <w:pStyle w:val="Heading2"/>
      </w:pPr>
      <w:bookmarkStart w:name="_Toc457379314" w:id="29"/>
      <w:r w:rsidRPr="00E059CA">
        <w:t>14</w:t>
      </w:r>
      <w:r w:rsidRPr="00E059CA" w:rsidR="00793E97">
        <w:t>.</w:t>
      </w:r>
      <w:r w:rsidRPr="00E059CA">
        <w:t xml:space="preserve"> Annualized Cost to the Government</w:t>
      </w:r>
      <w:bookmarkEnd w:id="29"/>
    </w:p>
    <w:p w:rsidRPr="00BC0C85" w:rsidR="00BF38A0" w:rsidP="00055918" w:rsidRDefault="00BF38A0" w14:paraId="6EE9080B" w14:textId="6A7936BF">
      <w:pPr>
        <w:spacing w:line="240" w:lineRule="auto"/>
        <w:rPr>
          <w:rFonts w:ascii="Times New Roman" w:hAnsi="Times New Roman" w:cs="Times New Roman"/>
          <w:sz w:val="24"/>
          <w:szCs w:val="24"/>
        </w:rPr>
      </w:pPr>
      <w:r w:rsidRPr="00BC0C85">
        <w:rPr>
          <w:rFonts w:ascii="Times New Roman" w:hAnsi="Times New Roman" w:cs="Times New Roman"/>
          <w:sz w:val="24"/>
          <w:szCs w:val="24"/>
        </w:rPr>
        <w:t>Costs of the collection to the federal government are a combination of personnel and information technology costs.  The personnel costs are estimate</w:t>
      </w:r>
      <w:r w:rsidR="001B34D0">
        <w:rPr>
          <w:rFonts w:ascii="Times New Roman" w:hAnsi="Times New Roman" w:cs="Times New Roman"/>
          <w:sz w:val="24"/>
          <w:szCs w:val="24"/>
        </w:rPr>
        <w:t>d</w:t>
      </w:r>
      <w:r w:rsidRPr="00BC0C85">
        <w:rPr>
          <w:rFonts w:ascii="Times New Roman" w:hAnsi="Times New Roman" w:cs="Times New Roman"/>
          <w:sz w:val="24"/>
          <w:szCs w:val="24"/>
        </w:rPr>
        <w:t xml:space="preserve"> using the San Diego – Carlsbad, CA locality adjustment, as the program is based in that location. Total cost for the collection is $</w:t>
      </w:r>
      <w:r w:rsidR="002933AB">
        <w:rPr>
          <w:rFonts w:ascii="Times New Roman" w:hAnsi="Times New Roman" w:cs="Times New Roman"/>
          <w:sz w:val="24"/>
          <w:szCs w:val="24"/>
        </w:rPr>
        <w:t>234,343</w:t>
      </w:r>
      <w:r w:rsidR="00E9334C">
        <w:rPr>
          <w:rFonts w:ascii="Times New Roman" w:hAnsi="Times New Roman" w:cs="Times New Roman"/>
          <w:sz w:val="24"/>
          <w:szCs w:val="24"/>
        </w:rPr>
        <w:t xml:space="preserve"> </w:t>
      </w:r>
      <w:r w:rsidRPr="00BC0C85">
        <w:rPr>
          <w:rFonts w:ascii="Times New Roman" w:hAnsi="Times New Roman" w:cs="Times New Roman"/>
          <w:sz w:val="24"/>
          <w:szCs w:val="24"/>
        </w:rPr>
        <w:t>a year.</w:t>
      </w:r>
    </w:p>
    <w:p w:rsidRPr="00BC0C85" w:rsidR="002537EE" w:rsidP="00055918" w:rsidRDefault="008F1EBA" w14:paraId="6C57253F" w14:textId="432EA126">
      <w:pPr>
        <w:spacing w:line="240" w:lineRule="auto"/>
        <w:rPr>
          <w:rFonts w:ascii="Times New Roman" w:hAnsi="Times New Roman" w:cs="Times New Roman"/>
          <w:sz w:val="24"/>
          <w:szCs w:val="24"/>
        </w:rPr>
      </w:pPr>
      <w:r w:rsidRPr="00BC0C85">
        <w:rPr>
          <w:rFonts w:ascii="Times New Roman" w:hAnsi="Times New Roman" w:cs="Times New Roman"/>
          <w:sz w:val="24"/>
          <w:szCs w:val="24"/>
        </w:rPr>
        <w:t>San Diego</w:t>
      </w:r>
      <w:r w:rsidRPr="00BC0C85" w:rsidR="005E0654">
        <w:rPr>
          <w:rFonts w:ascii="Times New Roman" w:hAnsi="Times New Roman" w:cs="Times New Roman"/>
          <w:sz w:val="24"/>
          <w:szCs w:val="24"/>
        </w:rPr>
        <w:t xml:space="preserve">, </w:t>
      </w:r>
      <w:r w:rsidRPr="00BC0C85">
        <w:rPr>
          <w:rFonts w:ascii="Times New Roman" w:hAnsi="Times New Roman" w:cs="Times New Roman"/>
          <w:sz w:val="24"/>
          <w:szCs w:val="24"/>
        </w:rPr>
        <w:t>CA</w:t>
      </w:r>
      <w:r w:rsidRPr="00BC0C85" w:rsidR="005E0654">
        <w:rPr>
          <w:rFonts w:ascii="Times New Roman" w:hAnsi="Times New Roman" w:cs="Times New Roman"/>
          <w:sz w:val="24"/>
          <w:szCs w:val="24"/>
        </w:rPr>
        <w:t xml:space="preserve"> locality.</w:t>
      </w:r>
      <w:r w:rsidRPr="00BC0C85" w:rsidR="008D454A">
        <w:rPr>
          <w:rFonts w:ascii="Times New Roman" w:hAnsi="Times New Roman" w:cs="Times New Roman"/>
          <w:sz w:val="24"/>
          <w:szCs w:val="24"/>
        </w:rPr>
        <w:t xml:space="preserve"> </w:t>
      </w:r>
    </w:p>
    <w:p w:rsidRPr="00BC0C85" w:rsidR="00153F5B" w:rsidP="005242B1" w:rsidRDefault="004F715A" w14:paraId="663CC1F1" w14:textId="77777777">
      <w:pPr>
        <w:spacing w:after="0" w:line="240" w:lineRule="auto"/>
        <w:rPr>
          <w:rFonts w:ascii="Times New Roman" w:hAnsi="Times New Roman" w:cs="Times New Roman"/>
          <w:i/>
          <w:sz w:val="24"/>
          <w:szCs w:val="24"/>
        </w:rPr>
      </w:pPr>
      <w:r w:rsidRPr="00BC0C85">
        <w:rPr>
          <w:rFonts w:ascii="Times New Roman" w:hAnsi="Times New Roman" w:cs="Times New Roman"/>
          <w:i/>
          <w:sz w:val="24"/>
          <w:szCs w:val="24"/>
        </w:rPr>
        <w:t>Table</w:t>
      </w:r>
      <w:r w:rsidRPr="00BC0C85" w:rsidR="00F677C0">
        <w:rPr>
          <w:rFonts w:ascii="Times New Roman" w:hAnsi="Times New Roman" w:cs="Times New Roman"/>
          <w:i/>
          <w:sz w:val="24"/>
          <w:szCs w:val="24"/>
        </w:rPr>
        <w:t xml:space="preserve"> </w:t>
      </w:r>
      <w:r w:rsidRPr="00BC0C85" w:rsidR="004D48F5">
        <w:rPr>
          <w:rFonts w:ascii="Times New Roman" w:hAnsi="Times New Roman" w:cs="Times New Roman"/>
          <w:i/>
          <w:sz w:val="24"/>
          <w:szCs w:val="24"/>
        </w:rPr>
        <w:t>14: Estimated Annualized Cost to the Federal Government</w:t>
      </w:r>
    </w:p>
    <w:tbl>
      <w:tblPr>
        <w:tblStyle w:val="TableGrid"/>
        <w:tblW w:w="9360" w:type="dxa"/>
        <w:tblInd w:w="108" w:type="dxa"/>
        <w:tblLook w:val="04A0" w:firstRow="1" w:lastRow="0" w:firstColumn="1" w:lastColumn="0" w:noHBand="0" w:noVBand="1"/>
      </w:tblPr>
      <w:tblGrid>
        <w:gridCol w:w="4500"/>
        <w:gridCol w:w="2430"/>
        <w:gridCol w:w="2430"/>
      </w:tblGrid>
      <w:tr w:rsidRPr="00C6433D" w:rsidR="002537EE" w:rsidTr="002537EE" w14:paraId="786FDB94" w14:textId="77777777">
        <w:trPr>
          <w:trHeight w:val="593"/>
        </w:trPr>
        <w:tc>
          <w:tcPr>
            <w:tcW w:w="4500" w:type="dxa"/>
            <w:tcBorders>
              <w:bottom w:val="single" w:color="auto" w:sz="12" w:space="0"/>
            </w:tcBorders>
            <w:shd w:val="clear" w:color="auto" w:fill="D9D9D9" w:themeFill="background1" w:themeFillShade="D9"/>
            <w:vAlign w:val="center"/>
          </w:tcPr>
          <w:p w:rsidRPr="00BC0C85" w:rsidR="002537EE" w:rsidP="005242B1" w:rsidRDefault="002537EE" w14:paraId="43E935A8" w14:textId="77777777">
            <w:pPr>
              <w:jc w:val="center"/>
              <w:rPr>
                <w:rFonts w:ascii="Times New Roman" w:hAnsi="Times New Roman" w:cs="Times New Roman"/>
                <w:b/>
                <w:sz w:val="24"/>
                <w:szCs w:val="24"/>
              </w:rPr>
            </w:pPr>
            <w:r w:rsidRPr="00BC0C85">
              <w:rPr>
                <w:rFonts w:ascii="Times New Roman" w:hAnsi="Times New Roman" w:cs="Times New Roman"/>
                <w:b/>
                <w:sz w:val="24"/>
                <w:szCs w:val="24"/>
              </w:rPr>
              <w:t xml:space="preserve">Contract and Personnel </w:t>
            </w:r>
          </w:p>
        </w:tc>
        <w:tc>
          <w:tcPr>
            <w:tcW w:w="2430" w:type="dxa"/>
            <w:tcBorders>
              <w:bottom w:val="single" w:color="auto" w:sz="12" w:space="0"/>
            </w:tcBorders>
            <w:shd w:val="clear" w:color="auto" w:fill="D9D9D9" w:themeFill="background1" w:themeFillShade="D9"/>
            <w:vAlign w:val="center"/>
          </w:tcPr>
          <w:p w:rsidRPr="00BC0C85" w:rsidR="002537EE" w:rsidP="002537EE" w:rsidRDefault="002537EE" w14:paraId="64BC5894" w14:textId="77777777">
            <w:pPr>
              <w:jc w:val="center"/>
              <w:rPr>
                <w:rFonts w:ascii="Times New Roman" w:hAnsi="Times New Roman" w:cs="Times New Roman"/>
                <w:b/>
                <w:sz w:val="24"/>
                <w:szCs w:val="24"/>
              </w:rPr>
            </w:pPr>
            <w:r w:rsidRPr="00BC0C85">
              <w:rPr>
                <w:rFonts w:ascii="Times New Roman" w:hAnsi="Times New Roman" w:cs="Times New Roman"/>
                <w:b/>
                <w:sz w:val="24"/>
                <w:szCs w:val="24"/>
              </w:rPr>
              <w:t>Role</w:t>
            </w:r>
          </w:p>
        </w:tc>
        <w:tc>
          <w:tcPr>
            <w:tcW w:w="2430" w:type="dxa"/>
            <w:tcBorders>
              <w:bottom w:val="single" w:color="auto" w:sz="12" w:space="0"/>
            </w:tcBorders>
            <w:shd w:val="clear" w:color="auto" w:fill="D9D9D9" w:themeFill="background1" w:themeFillShade="D9"/>
            <w:vAlign w:val="center"/>
          </w:tcPr>
          <w:p w:rsidRPr="00BC0C85" w:rsidR="002537EE" w:rsidP="005242B1" w:rsidRDefault="00BF38A0" w14:paraId="289F0AD8" w14:textId="2624921C">
            <w:pPr>
              <w:jc w:val="center"/>
              <w:rPr>
                <w:rFonts w:ascii="Times New Roman" w:hAnsi="Times New Roman" w:cs="Times New Roman"/>
                <w:b/>
                <w:sz w:val="24"/>
                <w:szCs w:val="24"/>
              </w:rPr>
            </w:pPr>
            <w:r w:rsidRPr="00BC0C85">
              <w:rPr>
                <w:rFonts w:ascii="Times New Roman" w:hAnsi="Times New Roman" w:cs="Times New Roman"/>
                <w:b/>
                <w:sz w:val="24"/>
                <w:szCs w:val="24"/>
              </w:rPr>
              <w:t>Cost</w:t>
            </w:r>
          </w:p>
        </w:tc>
      </w:tr>
      <w:tr w:rsidRPr="00C6433D" w:rsidR="002537EE" w:rsidTr="002537EE" w14:paraId="2CD2E93B" w14:textId="77777777">
        <w:tc>
          <w:tcPr>
            <w:tcW w:w="4500" w:type="dxa"/>
            <w:tcBorders>
              <w:top w:val="single" w:color="auto" w:sz="12" w:space="0"/>
            </w:tcBorders>
          </w:tcPr>
          <w:p w:rsidRPr="00C6433D" w:rsidR="002537EE" w:rsidP="008F1EBA" w:rsidRDefault="00BF38A0" w14:paraId="0896ABD1" w14:textId="77777777">
            <w:pPr>
              <w:rPr>
                <w:rFonts w:ascii="Times New Roman" w:hAnsi="Times New Roman" w:cs="Times New Roman"/>
              </w:rPr>
            </w:pPr>
            <w:r w:rsidRPr="00C6433D">
              <w:rPr>
                <w:rFonts w:ascii="Times New Roman" w:hAnsi="Times New Roman" w:cs="Times New Roman"/>
              </w:rPr>
              <w:t>Personnel Costs:</w:t>
            </w:r>
          </w:p>
          <w:p w:rsidRPr="00C6433D" w:rsidR="00BF38A0" w:rsidP="00BF38A0" w:rsidRDefault="00BF38A0" w14:paraId="160F306A" w14:textId="7A81A97B">
            <w:pPr>
              <w:rPr>
                <w:rFonts w:ascii="Times New Roman" w:hAnsi="Times New Roman" w:cs="Times New Roman"/>
              </w:rPr>
            </w:pPr>
            <w:r w:rsidRPr="00C6433D">
              <w:rPr>
                <w:rFonts w:ascii="Times New Roman" w:hAnsi="Times New Roman" w:cs="Times New Roman"/>
              </w:rPr>
              <w:t xml:space="preserve">Contractor (GS 12 equivalent – 100% of time) </w:t>
            </w:r>
          </w:p>
          <w:p w:rsidRPr="00C6433D" w:rsidR="00BF38A0" w:rsidP="00BF38A0" w:rsidRDefault="00BF38A0" w14:paraId="3ED1A41B" w14:textId="77777777">
            <w:pPr>
              <w:rPr>
                <w:rFonts w:ascii="Times New Roman" w:hAnsi="Times New Roman" w:cs="Times New Roman"/>
              </w:rPr>
            </w:pPr>
            <w:r w:rsidRPr="00C6433D">
              <w:rPr>
                <w:rFonts w:ascii="Times New Roman" w:hAnsi="Times New Roman" w:cs="Times New Roman"/>
              </w:rPr>
              <w:t>Contractor (GS 12 equivalent – 80% of time)</w:t>
            </w:r>
          </w:p>
          <w:p w:rsidRPr="00C6433D" w:rsidR="00BF38A0" w:rsidP="00BF38A0" w:rsidRDefault="00BF38A0" w14:paraId="510D472C" w14:textId="77777777">
            <w:pPr>
              <w:rPr>
                <w:rFonts w:ascii="Times New Roman" w:hAnsi="Times New Roman" w:cs="Times New Roman"/>
              </w:rPr>
            </w:pPr>
            <w:r w:rsidRPr="00C6433D">
              <w:rPr>
                <w:rFonts w:ascii="Times New Roman" w:hAnsi="Times New Roman" w:cs="Times New Roman"/>
              </w:rPr>
              <w:t>Contractor (GS 13 equivalent – 75% of time)</w:t>
            </w:r>
          </w:p>
          <w:p w:rsidRPr="00C6433D" w:rsidR="00BF38A0" w:rsidP="00BF38A0" w:rsidRDefault="00BF38A0" w14:paraId="7647B82B" w14:textId="4B079238">
            <w:pPr>
              <w:rPr>
                <w:rFonts w:ascii="Times New Roman" w:hAnsi="Times New Roman" w:cs="Times New Roman"/>
              </w:rPr>
            </w:pPr>
            <w:r w:rsidRPr="00C6433D">
              <w:rPr>
                <w:rFonts w:ascii="Times New Roman" w:hAnsi="Times New Roman" w:cs="Times New Roman"/>
              </w:rPr>
              <w:t xml:space="preserve">FTE GS15 – </w:t>
            </w:r>
            <w:r w:rsidRPr="00C6433D" w:rsidR="00F66D37">
              <w:rPr>
                <w:rFonts w:ascii="Times New Roman" w:hAnsi="Times New Roman" w:cs="Times New Roman"/>
              </w:rPr>
              <w:t>5</w:t>
            </w:r>
            <w:r w:rsidRPr="00C6433D">
              <w:rPr>
                <w:rFonts w:ascii="Times New Roman" w:hAnsi="Times New Roman" w:cs="Times New Roman"/>
              </w:rPr>
              <w:t>% of time</w:t>
            </w:r>
          </w:p>
        </w:tc>
        <w:tc>
          <w:tcPr>
            <w:tcW w:w="2430" w:type="dxa"/>
            <w:tcBorders>
              <w:top w:val="single" w:color="auto" w:sz="12" w:space="0"/>
            </w:tcBorders>
          </w:tcPr>
          <w:p w:rsidRPr="00C6433D" w:rsidR="002537EE" w:rsidP="008F1EBA" w:rsidRDefault="00BF38A0" w14:paraId="3871501E" w14:textId="34B66898">
            <w:pPr>
              <w:rPr>
                <w:rFonts w:ascii="Times New Roman" w:hAnsi="Times New Roman" w:cs="Times New Roman"/>
              </w:rPr>
            </w:pPr>
            <w:r w:rsidRPr="00C6433D">
              <w:rPr>
                <w:rFonts w:ascii="Times New Roman" w:hAnsi="Times New Roman" w:cs="Times New Roman"/>
              </w:rPr>
              <w:t>Program administration and management</w:t>
            </w:r>
          </w:p>
        </w:tc>
        <w:tc>
          <w:tcPr>
            <w:tcW w:w="2430" w:type="dxa"/>
            <w:tcBorders>
              <w:top w:val="single" w:color="auto" w:sz="12" w:space="0"/>
            </w:tcBorders>
          </w:tcPr>
          <w:p w:rsidRPr="00C6433D" w:rsidR="002537EE" w:rsidP="00A935C3" w:rsidRDefault="00BF38A0" w14:paraId="0954EC0F" w14:textId="77777777">
            <w:pPr>
              <w:jc w:val="center"/>
              <w:rPr>
                <w:rFonts w:ascii="Times New Roman" w:hAnsi="Times New Roman" w:cs="Times New Roman"/>
              </w:rPr>
            </w:pPr>
            <w:r w:rsidRPr="00C6433D">
              <w:rPr>
                <w:rFonts w:ascii="Times New Roman" w:hAnsi="Times New Roman" w:cs="Times New Roman"/>
              </w:rPr>
              <w:t>Total Personnel Costs</w:t>
            </w:r>
          </w:p>
          <w:p w:rsidRPr="00C6433D" w:rsidR="00BF38A0" w:rsidP="00A935C3" w:rsidRDefault="00BF38A0" w14:paraId="24ABF3E2" w14:textId="77777777">
            <w:pPr>
              <w:jc w:val="center"/>
              <w:rPr>
                <w:rFonts w:ascii="Times New Roman" w:hAnsi="Times New Roman" w:cs="Times New Roman"/>
              </w:rPr>
            </w:pPr>
            <w:r w:rsidRPr="00C6433D">
              <w:rPr>
                <w:rFonts w:ascii="Times New Roman" w:hAnsi="Times New Roman" w:cs="Times New Roman"/>
              </w:rPr>
              <w:t>$83,063</w:t>
            </w:r>
          </w:p>
          <w:p w:rsidRPr="00C6433D" w:rsidR="00BF38A0" w:rsidP="00A935C3" w:rsidRDefault="00BF38A0" w14:paraId="717806C4" w14:textId="77777777">
            <w:pPr>
              <w:jc w:val="center"/>
              <w:rPr>
                <w:rFonts w:ascii="Times New Roman" w:hAnsi="Times New Roman" w:cs="Times New Roman"/>
              </w:rPr>
            </w:pPr>
            <w:r w:rsidRPr="00C6433D">
              <w:rPr>
                <w:rFonts w:ascii="Times New Roman" w:hAnsi="Times New Roman" w:cs="Times New Roman"/>
              </w:rPr>
              <w:t>$66,450</w:t>
            </w:r>
          </w:p>
          <w:p w:rsidRPr="00C6433D" w:rsidR="00BF38A0" w:rsidP="00A935C3" w:rsidRDefault="00BF38A0" w14:paraId="4A876605" w14:textId="77777777">
            <w:pPr>
              <w:jc w:val="center"/>
              <w:rPr>
                <w:rFonts w:ascii="Times New Roman" w:hAnsi="Times New Roman" w:cs="Times New Roman"/>
              </w:rPr>
            </w:pPr>
            <w:r w:rsidRPr="00C6433D">
              <w:rPr>
                <w:rFonts w:ascii="Times New Roman" w:hAnsi="Times New Roman" w:cs="Times New Roman"/>
              </w:rPr>
              <w:t>$74,080</w:t>
            </w:r>
          </w:p>
          <w:p w:rsidRPr="00C6433D" w:rsidR="00BF38A0" w:rsidP="00A935C3" w:rsidRDefault="00BF38A0" w14:paraId="6E1B6A89" w14:textId="732518FE">
            <w:pPr>
              <w:jc w:val="center"/>
              <w:rPr>
                <w:rFonts w:ascii="Times New Roman" w:hAnsi="Times New Roman" w:cs="Times New Roman"/>
              </w:rPr>
            </w:pPr>
            <w:r w:rsidRPr="00C6433D">
              <w:rPr>
                <w:rFonts w:ascii="Times New Roman" w:hAnsi="Times New Roman" w:cs="Times New Roman"/>
              </w:rPr>
              <w:t>$</w:t>
            </w:r>
            <w:r w:rsidRPr="00C6433D" w:rsidR="00F66D37">
              <w:rPr>
                <w:rFonts w:ascii="Times New Roman" w:hAnsi="Times New Roman" w:cs="Times New Roman"/>
              </w:rPr>
              <w:t>10,750</w:t>
            </w:r>
          </w:p>
        </w:tc>
      </w:tr>
      <w:tr w:rsidRPr="00C6433D" w:rsidR="002537EE" w:rsidTr="002537EE" w14:paraId="3B90A01C" w14:textId="77777777">
        <w:tc>
          <w:tcPr>
            <w:tcW w:w="4500" w:type="dxa"/>
          </w:tcPr>
          <w:p w:rsidRPr="00BC0C85" w:rsidR="002537EE" w:rsidP="00375E94" w:rsidRDefault="002537EE" w14:paraId="4EFE8526" w14:textId="77777777">
            <w:pPr>
              <w:rPr>
                <w:rFonts w:ascii="Times New Roman" w:hAnsi="Times New Roman" w:cs="Times New Roman"/>
                <w:b/>
              </w:rPr>
            </w:pPr>
            <w:r w:rsidRPr="00BC0C85">
              <w:rPr>
                <w:rFonts w:ascii="Times New Roman" w:hAnsi="Times New Roman" w:cs="Times New Roman"/>
                <w:b/>
              </w:rPr>
              <w:t>Total Costs</w:t>
            </w:r>
          </w:p>
        </w:tc>
        <w:tc>
          <w:tcPr>
            <w:tcW w:w="2430" w:type="dxa"/>
          </w:tcPr>
          <w:p w:rsidRPr="00BC0C85" w:rsidR="002537EE" w:rsidP="005242B1" w:rsidRDefault="002537EE" w14:paraId="1546D3F4" w14:textId="77777777">
            <w:pPr>
              <w:jc w:val="center"/>
              <w:rPr>
                <w:rFonts w:ascii="Times New Roman" w:hAnsi="Times New Roman" w:cs="Times New Roman"/>
              </w:rPr>
            </w:pPr>
          </w:p>
        </w:tc>
        <w:tc>
          <w:tcPr>
            <w:tcW w:w="2430" w:type="dxa"/>
          </w:tcPr>
          <w:p w:rsidRPr="00C6433D" w:rsidR="002537EE" w:rsidP="00A935C3" w:rsidRDefault="00C6433D" w14:paraId="593E069D" w14:textId="39EA782E">
            <w:pPr>
              <w:jc w:val="center"/>
              <w:rPr>
                <w:rFonts w:ascii="Times New Roman" w:hAnsi="Times New Roman" w:cs="Times New Roman"/>
                <w:b/>
              </w:rPr>
            </w:pPr>
            <w:r w:rsidRPr="00BC0C85">
              <w:rPr>
                <w:rFonts w:ascii="Times New Roman" w:hAnsi="Times New Roman" w:cs="Times New Roman"/>
                <w:b/>
              </w:rPr>
              <w:t>$234,343</w:t>
            </w:r>
          </w:p>
        </w:tc>
      </w:tr>
    </w:tbl>
    <w:p w:rsidRPr="00E059CA" w:rsidR="009D108F" w:rsidP="005242B1" w:rsidRDefault="009D108F" w14:paraId="365B1B4E" w14:textId="77777777">
      <w:pPr>
        <w:pStyle w:val="Heading2"/>
        <w:spacing w:line="240" w:lineRule="auto"/>
      </w:pPr>
      <w:bookmarkStart w:name="_Toc457379315" w:id="30"/>
      <w:r w:rsidRPr="00C6433D">
        <w:t>15</w:t>
      </w:r>
      <w:r w:rsidRPr="00C6433D" w:rsidR="00E97098">
        <w:t>.</w:t>
      </w:r>
      <w:r w:rsidRPr="00C6433D">
        <w:t xml:space="preserve"> Explanation for Program Changes or Adjustments</w:t>
      </w:r>
      <w:bookmarkEnd w:id="30"/>
      <w:r w:rsidRPr="00E059CA">
        <w:t xml:space="preserve"> </w:t>
      </w:r>
    </w:p>
    <w:p w:rsidR="00C253D9" w:rsidP="00821790" w:rsidRDefault="00C253D9" w14:paraId="1420A92E" w14:textId="4383DA4D">
      <w:pPr>
        <w:rPr>
          <w:rFonts w:ascii="Times New Roman" w:hAnsi="Times New Roman" w:cs="Times New Roman"/>
          <w:sz w:val="24"/>
          <w:szCs w:val="24"/>
        </w:rPr>
      </w:pPr>
      <w:r>
        <w:rPr>
          <w:rFonts w:ascii="Times New Roman" w:hAnsi="Times New Roman" w:cs="Times New Roman"/>
          <w:sz w:val="24"/>
          <w:szCs w:val="24"/>
        </w:rPr>
        <w:t>CDC is requesting a limited number of changes and adjustments to this information collection</w:t>
      </w:r>
      <w:r w:rsidR="00BC1631">
        <w:rPr>
          <w:rFonts w:ascii="Times New Roman" w:hAnsi="Times New Roman" w:cs="Times New Roman"/>
          <w:sz w:val="24"/>
          <w:szCs w:val="24"/>
        </w:rPr>
        <w:t xml:space="preserve">. </w:t>
      </w:r>
      <w:r w:rsidR="00942251">
        <w:rPr>
          <w:rFonts w:ascii="Times New Roman" w:hAnsi="Times New Roman" w:cs="Times New Roman"/>
          <w:sz w:val="24"/>
          <w:szCs w:val="24"/>
        </w:rPr>
        <w:t>These changes and adjustments are requests both to improve information collection</w:t>
      </w:r>
      <w:r w:rsidR="00BC1631">
        <w:rPr>
          <w:rFonts w:ascii="Times New Roman" w:hAnsi="Times New Roman" w:cs="Times New Roman"/>
          <w:sz w:val="24"/>
          <w:szCs w:val="24"/>
        </w:rPr>
        <w:t>,</w:t>
      </w:r>
      <w:r w:rsidR="00942251">
        <w:rPr>
          <w:rFonts w:ascii="Times New Roman" w:hAnsi="Times New Roman" w:cs="Times New Roman"/>
          <w:sz w:val="24"/>
          <w:szCs w:val="24"/>
        </w:rPr>
        <w:t xml:space="preserve"> to better reflect the number of referrals received on an annual basis</w:t>
      </w:r>
      <w:r w:rsidR="00BC1631">
        <w:rPr>
          <w:rFonts w:ascii="Times New Roman" w:hAnsi="Times New Roman" w:cs="Times New Roman"/>
          <w:sz w:val="24"/>
          <w:szCs w:val="24"/>
        </w:rPr>
        <w:t xml:space="preserve">, and to </w:t>
      </w:r>
      <w:r w:rsidR="00E82220">
        <w:rPr>
          <w:rFonts w:ascii="Times New Roman" w:hAnsi="Times New Roman" w:cs="Times New Roman"/>
          <w:sz w:val="24"/>
          <w:szCs w:val="24"/>
        </w:rPr>
        <w:t xml:space="preserve">update and </w:t>
      </w:r>
      <w:r w:rsidR="00BC1631">
        <w:rPr>
          <w:rFonts w:ascii="Times New Roman" w:hAnsi="Times New Roman" w:cs="Times New Roman"/>
          <w:sz w:val="24"/>
          <w:szCs w:val="24"/>
        </w:rPr>
        <w:t xml:space="preserve">be more explicit </w:t>
      </w:r>
      <w:r w:rsidR="00B7596E">
        <w:rPr>
          <w:rFonts w:ascii="Times New Roman" w:hAnsi="Times New Roman" w:cs="Times New Roman"/>
          <w:sz w:val="24"/>
          <w:szCs w:val="24"/>
        </w:rPr>
        <w:t xml:space="preserve">of </w:t>
      </w:r>
      <w:r w:rsidR="00BC1631">
        <w:rPr>
          <w:rFonts w:ascii="Times New Roman" w:hAnsi="Times New Roman" w:cs="Times New Roman"/>
          <w:sz w:val="24"/>
          <w:szCs w:val="24"/>
        </w:rPr>
        <w:t>the process for receiving the information</w:t>
      </w:r>
      <w:r w:rsidR="00942251">
        <w:rPr>
          <w:rFonts w:ascii="Times New Roman" w:hAnsi="Times New Roman" w:cs="Times New Roman"/>
          <w:sz w:val="24"/>
          <w:szCs w:val="24"/>
        </w:rPr>
        <w:t>.</w:t>
      </w:r>
    </w:p>
    <w:p w:rsidR="00C253D9" w:rsidP="00821790" w:rsidRDefault="00821790" w14:paraId="2CD99D28" w14:textId="77777777">
      <w:pPr>
        <w:rPr>
          <w:rFonts w:ascii="Times New Roman" w:hAnsi="Times New Roman" w:cs="Times New Roman"/>
          <w:sz w:val="24"/>
          <w:szCs w:val="24"/>
        </w:rPr>
      </w:pPr>
      <w:r>
        <w:rPr>
          <w:rFonts w:ascii="Times New Roman" w:hAnsi="Times New Roman" w:cs="Times New Roman"/>
          <w:sz w:val="24"/>
          <w:szCs w:val="24"/>
        </w:rPr>
        <w:t>Changes</w:t>
      </w:r>
      <w:r w:rsidR="00C253D9">
        <w:rPr>
          <w:rFonts w:ascii="Times New Roman" w:hAnsi="Times New Roman" w:cs="Times New Roman"/>
          <w:sz w:val="24"/>
          <w:szCs w:val="24"/>
        </w:rPr>
        <w:t>:</w:t>
      </w:r>
    </w:p>
    <w:p w:rsidRPr="00C253D9" w:rsidR="00C253D9" w:rsidP="00C253D9" w:rsidRDefault="00C253D9" w14:paraId="6C5FABFD" w14:textId="77777777">
      <w:pPr>
        <w:pStyle w:val="ListParagraph"/>
        <w:numPr>
          <w:ilvl w:val="0"/>
          <w:numId w:val="8"/>
        </w:numPr>
        <w:rPr>
          <w:rFonts w:eastAsia="Times New Roman"/>
        </w:rPr>
      </w:pPr>
      <w:r w:rsidRPr="00C253D9">
        <w:rPr>
          <w:rFonts w:ascii="Times New Roman" w:hAnsi="Times New Roman" w:cs="Times New Roman"/>
          <w:sz w:val="24"/>
          <w:szCs w:val="24"/>
        </w:rPr>
        <w:t xml:space="preserve">CDC requests </w:t>
      </w:r>
      <w:r>
        <w:rPr>
          <w:rFonts w:ascii="Times New Roman" w:hAnsi="Times New Roman" w:cs="Times New Roman"/>
          <w:sz w:val="24"/>
          <w:szCs w:val="24"/>
        </w:rPr>
        <w:t xml:space="preserve">the following changes to the </w:t>
      </w:r>
      <w:proofErr w:type="spellStart"/>
      <w:r w:rsidRPr="00E059CA">
        <w:rPr>
          <w:rFonts w:ascii="Times New Roman" w:hAnsi="Times New Roman" w:cs="Times New Roman"/>
          <w:sz w:val="24"/>
          <w:szCs w:val="24"/>
        </w:rPr>
        <w:t>CureTB</w:t>
      </w:r>
      <w:proofErr w:type="spellEnd"/>
      <w:r w:rsidRPr="00E059CA">
        <w:rPr>
          <w:rFonts w:ascii="Times New Roman" w:hAnsi="Times New Roman" w:cs="Times New Roman"/>
          <w:sz w:val="24"/>
          <w:szCs w:val="24"/>
        </w:rPr>
        <w:t xml:space="preserve"> Transnational Notification</w:t>
      </w:r>
      <w:r w:rsidRPr="00C253D9" w:rsidR="00821790">
        <w:rPr>
          <w:rFonts w:ascii="Times New Roman" w:hAnsi="Times New Roman" w:cs="Times New Roman"/>
          <w:sz w:val="24"/>
          <w:szCs w:val="24"/>
        </w:rPr>
        <w:t xml:space="preserve"> form: </w:t>
      </w:r>
    </w:p>
    <w:p w:rsidRPr="00C253D9" w:rsidR="00C253D9" w:rsidP="00C253D9" w:rsidRDefault="00C253D9" w14:paraId="46BF693D" w14:textId="646CD5F7">
      <w:pPr>
        <w:pStyle w:val="ListParagraph"/>
        <w:numPr>
          <w:ilvl w:val="1"/>
          <w:numId w:val="8"/>
        </w:numPr>
        <w:rPr>
          <w:rFonts w:ascii="Times New Roman" w:hAnsi="Times New Roman" w:eastAsia="Times New Roman" w:cs="Times New Roman"/>
          <w:sz w:val="24"/>
          <w:szCs w:val="24"/>
        </w:rPr>
      </w:pPr>
      <w:r w:rsidRPr="00C253D9">
        <w:rPr>
          <w:rFonts w:ascii="Times New Roman" w:hAnsi="Times New Roman" w:eastAsia="Times New Roman" w:cs="Times New Roman"/>
          <w:sz w:val="24"/>
          <w:szCs w:val="24"/>
        </w:rPr>
        <w:t>A</w:t>
      </w:r>
      <w:r w:rsidRPr="00C253D9" w:rsidR="00821790">
        <w:rPr>
          <w:rFonts w:ascii="Times New Roman" w:hAnsi="Times New Roman" w:eastAsia="Times New Roman" w:cs="Times New Roman"/>
          <w:sz w:val="24"/>
          <w:szCs w:val="24"/>
        </w:rPr>
        <w:t>dd space for 2 emails</w:t>
      </w:r>
      <w:r w:rsidR="0050381E">
        <w:rPr>
          <w:rFonts w:ascii="Times New Roman" w:hAnsi="Times New Roman" w:eastAsia="Times New Roman" w:cs="Times New Roman"/>
          <w:sz w:val="24"/>
          <w:szCs w:val="24"/>
        </w:rPr>
        <w:t>, one for the patient and one for the contact person in the U.S.</w:t>
      </w:r>
      <w:r w:rsidRPr="00C253D9" w:rsidR="00821790">
        <w:rPr>
          <w:rFonts w:ascii="Times New Roman" w:hAnsi="Times New Roman" w:eastAsia="Times New Roman" w:cs="Times New Roman"/>
          <w:sz w:val="24"/>
          <w:szCs w:val="24"/>
        </w:rPr>
        <w:t xml:space="preserve"> </w:t>
      </w:r>
      <w:r w:rsidRPr="00C253D9">
        <w:rPr>
          <w:rFonts w:ascii="Times New Roman" w:hAnsi="Times New Roman" w:eastAsia="Times New Roman" w:cs="Times New Roman"/>
          <w:sz w:val="24"/>
          <w:szCs w:val="24"/>
        </w:rPr>
        <w:t>for more complete contact information to enhance follow up success</w:t>
      </w:r>
      <w:r>
        <w:rPr>
          <w:rFonts w:ascii="Times New Roman" w:hAnsi="Times New Roman" w:eastAsia="Times New Roman" w:cs="Times New Roman"/>
          <w:sz w:val="24"/>
          <w:szCs w:val="24"/>
        </w:rPr>
        <w:t>.</w:t>
      </w:r>
    </w:p>
    <w:p w:rsidR="00821790" w:rsidP="00C253D9" w:rsidRDefault="00C253D9" w14:paraId="31DC9DA1" w14:textId="1CCA5A48">
      <w:pPr>
        <w:pStyle w:val="ListParagraph"/>
        <w:numPr>
          <w:ilvl w:val="1"/>
          <w:numId w:val="8"/>
        </w:numPr>
        <w:rPr>
          <w:rFonts w:ascii="Times New Roman" w:hAnsi="Times New Roman" w:eastAsia="Times New Roman" w:cs="Times New Roman"/>
          <w:sz w:val="24"/>
          <w:szCs w:val="24"/>
        </w:rPr>
      </w:pPr>
      <w:r w:rsidRPr="00C253D9">
        <w:rPr>
          <w:rFonts w:ascii="Times New Roman" w:hAnsi="Times New Roman" w:eastAsia="Times New Roman" w:cs="Times New Roman"/>
          <w:sz w:val="24"/>
          <w:szCs w:val="24"/>
        </w:rPr>
        <w:t>M</w:t>
      </w:r>
      <w:r w:rsidRPr="00C253D9" w:rsidR="00821790">
        <w:rPr>
          <w:rFonts w:ascii="Times New Roman" w:hAnsi="Times New Roman" w:eastAsia="Times New Roman" w:cs="Times New Roman"/>
          <w:sz w:val="24"/>
          <w:szCs w:val="24"/>
        </w:rPr>
        <w:t xml:space="preserve">ake </w:t>
      </w:r>
      <w:r w:rsidRPr="00C253D9">
        <w:rPr>
          <w:rFonts w:ascii="Times New Roman" w:hAnsi="Times New Roman" w:eastAsia="Times New Roman" w:cs="Times New Roman"/>
          <w:sz w:val="24"/>
          <w:szCs w:val="24"/>
        </w:rPr>
        <w:t xml:space="preserve">the form text larger </w:t>
      </w:r>
      <w:r w:rsidRPr="00C253D9" w:rsidR="00821790">
        <w:rPr>
          <w:rFonts w:ascii="Times New Roman" w:hAnsi="Times New Roman" w:eastAsia="Times New Roman" w:cs="Times New Roman"/>
          <w:sz w:val="24"/>
          <w:szCs w:val="24"/>
        </w:rPr>
        <w:t>for ease of completion and legibility</w:t>
      </w:r>
      <w:r>
        <w:rPr>
          <w:rFonts w:ascii="Times New Roman" w:hAnsi="Times New Roman" w:eastAsia="Times New Roman" w:cs="Times New Roman"/>
          <w:sz w:val="24"/>
          <w:szCs w:val="24"/>
        </w:rPr>
        <w:t>.</w:t>
      </w:r>
    </w:p>
    <w:p w:rsidR="00C253D9" w:rsidP="00C253D9" w:rsidRDefault="00C253D9" w14:paraId="32C4E9D1" w14:textId="3081AAF0">
      <w:pPr>
        <w:rPr>
          <w:rFonts w:ascii="Times New Roman" w:hAnsi="Times New Roman" w:eastAsia="Times New Roman" w:cs="Times New Roman"/>
          <w:sz w:val="24"/>
          <w:szCs w:val="24"/>
        </w:rPr>
      </w:pPr>
      <w:r>
        <w:rPr>
          <w:rFonts w:ascii="Times New Roman" w:hAnsi="Times New Roman" w:eastAsia="Times New Roman" w:cs="Times New Roman"/>
          <w:sz w:val="24"/>
          <w:szCs w:val="24"/>
        </w:rPr>
        <w:t>Adjustments:</w:t>
      </w:r>
    </w:p>
    <w:p w:rsidR="00526D86" w:rsidP="00C253D9" w:rsidRDefault="0011521B" w14:paraId="0FA60AE2" w14:textId="628857CD">
      <w:pPr>
        <w:pStyle w:val="ListParagraph"/>
        <w:numPr>
          <w:ilvl w:val="0"/>
          <w:numId w:val="9"/>
        </w:num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 the first row of the </w:t>
      </w:r>
      <w:r w:rsidR="00526D86">
        <w:rPr>
          <w:rFonts w:ascii="Times New Roman" w:hAnsi="Times New Roman" w:eastAsia="Times New Roman" w:cs="Times New Roman"/>
          <w:sz w:val="24"/>
          <w:szCs w:val="24"/>
        </w:rPr>
        <w:t>burden</w:t>
      </w:r>
      <w:r>
        <w:rPr>
          <w:rFonts w:ascii="Times New Roman" w:hAnsi="Times New Roman" w:eastAsia="Times New Roman" w:cs="Times New Roman"/>
          <w:sz w:val="24"/>
          <w:szCs w:val="24"/>
        </w:rPr>
        <w:t xml:space="preserve"> table, CDC has </w:t>
      </w:r>
      <w:r w:rsidR="00526D86">
        <w:rPr>
          <w:rFonts w:ascii="Times New Roman" w:hAnsi="Times New Roman" w:eastAsia="Times New Roman" w:cs="Times New Roman"/>
          <w:sz w:val="24"/>
          <w:szCs w:val="24"/>
        </w:rPr>
        <w:t>changed the</w:t>
      </w:r>
      <w:r>
        <w:rPr>
          <w:rFonts w:ascii="Times New Roman" w:hAnsi="Times New Roman" w:eastAsia="Times New Roman" w:cs="Times New Roman"/>
          <w:sz w:val="24"/>
          <w:szCs w:val="24"/>
        </w:rPr>
        <w:t xml:space="preserve"> type of respondent </w:t>
      </w:r>
      <w:r w:rsidR="002B2F72">
        <w:rPr>
          <w:rFonts w:ascii="Times New Roman" w:hAnsi="Times New Roman" w:eastAsia="Times New Roman" w:cs="Times New Roman"/>
          <w:sz w:val="24"/>
          <w:szCs w:val="24"/>
        </w:rPr>
        <w:t xml:space="preserve">from Registered Nurses/Nurse Practitioners </w:t>
      </w:r>
      <w:r w:rsidR="00526D86">
        <w:rPr>
          <w:rFonts w:ascii="Times New Roman" w:hAnsi="Times New Roman" w:eastAsia="Times New Roman" w:cs="Times New Roman"/>
          <w:sz w:val="24"/>
          <w:szCs w:val="24"/>
        </w:rPr>
        <w:t>to</w:t>
      </w:r>
      <w:r>
        <w:rPr>
          <w:rFonts w:ascii="Times New Roman" w:hAnsi="Times New Roman" w:eastAsia="Times New Roman" w:cs="Times New Roman"/>
          <w:sz w:val="24"/>
          <w:szCs w:val="24"/>
        </w:rPr>
        <w:t xml:space="preserve"> </w:t>
      </w:r>
      <w:r w:rsidR="00526D86">
        <w:rPr>
          <w:rFonts w:ascii="Times New Roman" w:hAnsi="Times New Roman" w:eastAsia="Times New Roman" w:cs="Times New Roman"/>
          <w:sz w:val="24"/>
          <w:szCs w:val="24"/>
        </w:rPr>
        <w:t>H</w:t>
      </w:r>
      <w:r>
        <w:rPr>
          <w:rFonts w:ascii="Times New Roman" w:hAnsi="Times New Roman" w:eastAsia="Times New Roman" w:cs="Times New Roman"/>
          <w:sz w:val="24"/>
          <w:szCs w:val="24"/>
        </w:rPr>
        <w:t xml:space="preserve">ealth </w:t>
      </w:r>
      <w:r w:rsidR="00526D86">
        <w:rPr>
          <w:rFonts w:ascii="Times New Roman" w:hAnsi="Times New Roman" w:eastAsia="Times New Roman" w:cs="Times New Roman"/>
          <w:sz w:val="24"/>
          <w:szCs w:val="24"/>
        </w:rPr>
        <w:t>D</w:t>
      </w:r>
      <w:r>
        <w:rPr>
          <w:rFonts w:ascii="Times New Roman" w:hAnsi="Times New Roman" w:eastAsia="Times New Roman" w:cs="Times New Roman"/>
          <w:sz w:val="24"/>
          <w:szCs w:val="24"/>
        </w:rPr>
        <w:t>epartments</w:t>
      </w:r>
      <w:r w:rsidR="00526D86">
        <w:rPr>
          <w:rFonts w:ascii="Times New Roman" w:hAnsi="Times New Roman" w:eastAsia="Times New Roman" w:cs="Times New Roman"/>
          <w:sz w:val="24"/>
          <w:szCs w:val="24"/>
        </w:rPr>
        <w:t xml:space="preserve"> to clarify the entity responsible for the reporting. CDC has a</w:t>
      </w:r>
      <w:r w:rsidR="002B2F72">
        <w:rPr>
          <w:rFonts w:ascii="Times New Roman" w:hAnsi="Times New Roman" w:eastAsia="Times New Roman" w:cs="Times New Roman"/>
          <w:sz w:val="24"/>
          <w:szCs w:val="24"/>
        </w:rPr>
        <w:t xml:space="preserve">lso updated </w:t>
      </w:r>
      <w:r w:rsidR="00526D86">
        <w:rPr>
          <w:rFonts w:ascii="Times New Roman" w:hAnsi="Times New Roman" w:eastAsia="Times New Roman" w:cs="Times New Roman"/>
          <w:sz w:val="24"/>
          <w:szCs w:val="24"/>
        </w:rPr>
        <w:t xml:space="preserve">the number of </w:t>
      </w:r>
      <w:r w:rsidR="002B2F72">
        <w:rPr>
          <w:rFonts w:ascii="Times New Roman" w:hAnsi="Times New Roman" w:eastAsia="Times New Roman" w:cs="Times New Roman"/>
          <w:sz w:val="24"/>
          <w:szCs w:val="24"/>
        </w:rPr>
        <w:t xml:space="preserve">health department </w:t>
      </w:r>
      <w:r w:rsidR="00526D86">
        <w:rPr>
          <w:rFonts w:ascii="Times New Roman" w:hAnsi="Times New Roman" w:eastAsia="Times New Roman" w:cs="Times New Roman"/>
          <w:sz w:val="24"/>
          <w:szCs w:val="24"/>
        </w:rPr>
        <w:t xml:space="preserve">respondents referring TB cases to </w:t>
      </w:r>
      <w:proofErr w:type="spellStart"/>
      <w:r w:rsidR="00526D86">
        <w:rPr>
          <w:rFonts w:ascii="Times New Roman" w:hAnsi="Times New Roman" w:eastAsia="Times New Roman" w:cs="Times New Roman"/>
          <w:sz w:val="24"/>
          <w:szCs w:val="24"/>
        </w:rPr>
        <w:t>CureTB</w:t>
      </w:r>
      <w:proofErr w:type="spellEnd"/>
      <w:r w:rsidR="00526D86">
        <w:rPr>
          <w:rFonts w:ascii="Times New Roman" w:hAnsi="Times New Roman" w:eastAsia="Times New Roman" w:cs="Times New Roman"/>
          <w:sz w:val="24"/>
          <w:szCs w:val="24"/>
        </w:rPr>
        <w:t xml:space="preserve"> from 100 to 70, and the number of responses </w:t>
      </w:r>
      <w:r w:rsidR="00526D86">
        <w:rPr>
          <w:rFonts w:ascii="Times New Roman" w:hAnsi="Times New Roman" w:eastAsia="Times New Roman" w:cs="Times New Roman"/>
          <w:sz w:val="24"/>
          <w:szCs w:val="24"/>
        </w:rPr>
        <w:lastRenderedPageBreak/>
        <w:t xml:space="preserve">from 5 to 4 responses per </w:t>
      </w:r>
      <w:r w:rsidR="00241C91">
        <w:rPr>
          <w:rFonts w:ascii="Times New Roman" w:hAnsi="Times New Roman" w:eastAsia="Times New Roman" w:cs="Times New Roman"/>
          <w:sz w:val="24"/>
          <w:szCs w:val="24"/>
        </w:rPr>
        <w:t xml:space="preserve">respondent. </w:t>
      </w:r>
      <w:r w:rsidR="00DE6ACB">
        <w:rPr>
          <w:rFonts w:ascii="Times New Roman" w:hAnsi="Times New Roman" w:eastAsia="Times New Roman" w:cs="Times New Roman"/>
          <w:sz w:val="24"/>
          <w:szCs w:val="24"/>
        </w:rPr>
        <w:t xml:space="preserve">The burden per response however has not changed. </w:t>
      </w:r>
      <w:r w:rsidR="00241C91">
        <w:rPr>
          <w:rFonts w:ascii="Times New Roman" w:hAnsi="Times New Roman" w:eastAsia="Times New Roman" w:cs="Times New Roman"/>
          <w:sz w:val="24"/>
          <w:szCs w:val="24"/>
        </w:rPr>
        <w:t>The</w:t>
      </w:r>
      <w:r w:rsidR="00DE6ACB">
        <w:rPr>
          <w:rFonts w:ascii="Times New Roman" w:hAnsi="Times New Roman" w:eastAsia="Times New Roman" w:cs="Times New Roman"/>
          <w:sz w:val="24"/>
          <w:szCs w:val="24"/>
        </w:rPr>
        <w:t xml:space="preserve"> decreases in the number of respondents and how many responses per respondent result </w:t>
      </w:r>
      <w:r w:rsidR="00241C91">
        <w:rPr>
          <w:rFonts w:ascii="Times New Roman" w:hAnsi="Times New Roman" w:eastAsia="Times New Roman" w:cs="Times New Roman"/>
          <w:sz w:val="24"/>
          <w:szCs w:val="24"/>
        </w:rPr>
        <w:t xml:space="preserve">in a decrease </w:t>
      </w:r>
      <w:r w:rsidR="00DE6ACB">
        <w:rPr>
          <w:rFonts w:ascii="Times New Roman" w:hAnsi="Times New Roman" w:eastAsia="Times New Roman" w:cs="Times New Roman"/>
          <w:sz w:val="24"/>
          <w:szCs w:val="24"/>
        </w:rPr>
        <w:t xml:space="preserve">from </w:t>
      </w:r>
      <w:r w:rsidR="00241C91">
        <w:rPr>
          <w:rFonts w:ascii="Times New Roman" w:hAnsi="Times New Roman" w:eastAsia="Times New Roman" w:cs="Times New Roman"/>
          <w:sz w:val="24"/>
          <w:szCs w:val="24"/>
        </w:rPr>
        <w:t>250 to 140</w:t>
      </w:r>
      <w:r w:rsidRPr="00241C91" w:rsidR="00241C91">
        <w:rPr>
          <w:rFonts w:ascii="Times New Roman" w:hAnsi="Times New Roman" w:eastAsia="Times New Roman" w:cs="Times New Roman"/>
          <w:sz w:val="24"/>
          <w:szCs w:val="24"/>
        </w:rPr>
        <w:t xml:space="preserve"> </w:t>
      </w:r>
      <w:r w:rsidR="00241C91">
        <w:rPr>
          <w:rFonts w:ascii="Times New Roman" w:hAnsi="Times New Roman" w:eastAsia="Times New Roman" w:cs="Times New Roman"/>
          <w:sz w:val="24"/>
          <w:szCs w:val="24"/>
        </w:rPr>
        <w:t xml:space="preserve">total burden hours for health departments using the </w:t>
      </w:r>
      <w:proofErr w:type="spellStart"/>
      <w:r w:rsidRPr="00241C91" w:rsidR="00241C91">
        <w:rPr>
          <w:rFonts w:ascii="Times New Roman" w:hAnsi="Times New Roman" w:eastAsia="Times New Roman" w:cs="Times New Roman"/>
          <w:sz w:val="24"/>
          <w:szCs w:val="24"/>
        </w:rPr>
        <w:t>CureTB</w:t>
      </w:r>
      <w:proofErr w:type="spellEnd"/>
      <w:r w:rsidRPr="00241C91" w:rsidR="00241C91">
        <w:rPr>
          <w:rFonts w:ascii="Times New Roman" w:hAnsi="Times New Roman" w:eastAsia="Times New Roman" w:cs="Times New Roman"/>
          <w:sz w:val="24"/>
          <w:szCs w:val="24"/>
        </w:rPr>
        <w:t xml:space="preserve"> Transnational Notification</w:t>
      </w:r>
      <w:r w:rsidR="002B2F72">
        <w:rPr>
          <w:rFonts w:ascii="Times New Roman" w:hAnsi="Times New Roman" w:eastAsia="Times New Roman" w:cs="Times New Roman"/>
          <w:sz w:val="24"/>
          <w:szCs w:val="24"/>
        </w:rPr>
        <w:t xml:space="preserve"> form.</w:t>
      </w:r>
    </w:p>
    <w:p w:rsidRPr="008F7514" w:rsidR="00C253D9" w:rsidP="00C253D9" w:rsidRDefault="00DE6ACB" w14:paraId="79877773" w14:textId="3525F3DD">
      <w:pPr>
        <w:pStyle w:val="ListParagraph"/>
        <w:numPr>
          <w:ilvl w:val="0"/>
          <w:numId w:val="9"/>
        </w:numPr>
        <w:rPr>
          <w:rFonts w:ascii="Times New Roman" w:hAnsi="Times New Roman" w:eastAsia="Times New Roman" w:cs="Times New Roman"/>
          <w:sz w:val="24"/>
          <w:szCs w:val="24"/>
        </w:rPr>
      </w:pPr>
      <w:r w:rsidRPr="004D460C">
        <w:rPr>
          <w:rFonts w:ascii="Times New Roman" w:hAnsi="Times New Roman" w:eastAsia="Times New Roman" w:cs="Times New Roman"/>
          <w:sz w:val="24"/>
          <w:szCs w:val="24"/>
        </w:rPr>
        <w:t xml:space="preserve">While there was a </w:t>
      </w:r>
      <w:r w:rsidRPr="008F7514" w:rsidR="002B522B">
        <w:rPr>
          <w:rFonts w:ascii="Times New Roman" w:hAnsi="Times New Roman" w:eastAsia="Times New Roman" w:cs="Times New Roman"/>
          <w:sz w:val="24"/>
          <w:szCs w:val="24"/>
        </w:rPr>
        <w:t xml:space="preserve">decrease in number of </w:t>
      </w:r>
      <w:r w:rsidRPr="004D460C" w:rsidR="00AB5063">
        <w:rPr>
          <w:rFonts w:ascii="Times New Roman" w:hAnsi="Times New Roman" w:eastAsia="Times New Roman" w:cs="Times New Roman"/>
          <w:sz w:val="24"/>
          <w:szCs w:val="24"/>
        </w:rPr>
        <w:t>respondents</w:t>
      </w:r>
      <w:r w:rsidRPr="008F7514" w:rsidR="00AB5063">
        <w:rPr>
          <w:rFonts w:ascii="Times New Roman" w:hAnsi="Times New Roman" w:eastAsia="Times New Roman" w:cs="Times New Roman"/>
          <w:sz w:val="24"/>
          <w:szCs w:val="24"/>
        </w:rPr>
        <w:t xml:space="preserve"> </w:t>
      </w:r>
      <w:r w:rsidRPr="008F7514" w:rsidR="002B522B">
        <w:rPr>
          <w:rFonts w:ascii="Times New Roman" w:hAnsi="Times New Roman" w:eastAsia="Times New Roman" w:cs="Times New Roman"/>
          <w:sz w:val="24"/>
          <w:szCs w:val="24"/>
        </w:rPr>
        <w:t>from health departments in row one, the number of TB patient</w:t>
      </w:r>
      <w:r w:rsidRPr="008F7514" w:rsidR="002B2F72">
        <w:rPr>
          <w:rFonts w:ascii="Times New Roman" w:hAnsi="Times New Roman" w:eastAsia="Times New Roman" w:cs="Times New Roman"/>
          <w:sz w:val="24"/>
          <w:szCs w:val="24"/>
        </w:rPr>
        <w:t xml:space="preserve"> </w:t>
      </w:r>
      <w:r w:rsidRPr="008F7514" w:rsidR="002B522B">
        <w:rPr>
          <w:rFonts w:ascii="Times New Roman" w:hAnsi="Times New Roman" w:eastAsia="Times New Roman" w:cs="Times New Roman"/>
          <w:sz w:val="24"/>
          <w:szCs w:val="24"/>
        </w:rPr>
        <w:t xml:space="preserve">respondents </w:t>
      </w:r>
      <w:r w:rsidRPr="008F7514" w:rsidR="002B2F72">
        <w:rPr>
          <w:rFonts w:ascii="Times New Roman" w:hAnsi="Times New Roman" w:eastAsia="Times New Roman" w:cs="Times New Roman"/>
          <w:sz w:val="24"/>
          <w:szCs w:val="24"/>
        </w:rPr>
        <w:t xml:space="preserve">to provide missing information from the health department referrals </w:t>
      </w:r>
      <w:r w:rsidRPr="008F7514" w:rsidR="002B522B">
        <w:rPr>
          <w:rFonts w:ascii="Times New Roman" w:hAnsi="Times New Roman" w:eastAsia="Times New Roman" w:cs="Times New Roman"/>
          <w:sz w:val="24"/>
          <w:szCs w:val="24"/>
        </w:rPr>
        <w:t xml:space="preserve">for row two </w:t>
      </w:r>
      <w:r w:rsidRPr="004D460C" w:rsidR="00AB5063">
        <w:rPr>
          <w:rFonts w:ascii="Times New Roman" w:hAnsi="Times New Roman" w:eastAsia="Times New Roman" w:cs="Times New Roman"/>
          <w:sz w:val="24"/>
          <w:szCs w:val="24"/>
        </w:rPr>
        <w:t>in</w:t>
      </w:r>
      <w:r w:rsidRPr="008F7514" w:rsidR="00AB5063">
        <w:rPr>
          <w:rFonts w:ascii="Times New Roman" w:hAnsi="Times New Roman" w:eastAsia="Times New Roman" w:cs="Times New Roman"/>
          <w:sz w:val="24"/>
          <w:szCs w:val="24"/>
        </w:rPr>
        <w:t xml:space="preserve">creased </w:t>
      </w:r>
      <w:r w:rsidRPr="008F7514" w:rsidR="002B522B">
        <w:rPr>
          <w:rFonts w:ascii="Times New Roman" w:hAnsi="Times New Roman" w:eastAsia="Times New Roman" w:cs="Times New Roman"/>
          <w:sz w:val="24"/>
          <w:szCs w:val="24"/>
        </w:rPr>
        <w:t xml:space="preserve">from </w:t>
      </w:r>
      <w:r w:rsidRPr="004D460C" w:rsidR="00AB5063">
        <w:rPr>
          <w:rFonts w:ascii="Times New Roman" w:hAnsi="Times New Roman" w:eastAsia="Times New Roman" w:cs="Times New Roman"/>
          <w:sz w:val="24"/>
          <w:szCs w:val="24"/>
        </w:rPr>
        <w:t>1</w:t>
      </w:r>
      <w:r w:rsidRPr="008F7514" w:rsidR="002B522B">
        <w:rPr>
          <w:rFonts w:ascii="Times New Roman" w:hAnsi="Times New Roman" w:eastAsia="Times New Roman" w:cs="Times New Roman"/>
          <w:sz w:val="24"/>
          <w:szCs w:val="24"/>
        </w:rPr>
        <w:t>00 to 187</w:t>
      </w:r>
      <w:r w:rsidRPr="008F7514" w:rsidR="002B2F72">
        <w:rPr>
          <w:rFonts w:ascii="Times New Roman" w:hAnsi="Times New Roman" w:eastAsia="Times New Roman" w:cs="Times New Roman"/>
          <w:sz w:val="24"/>
          <w:szCs w:val="24"/>
        </w:rPr>
        <w:t xml:space="preserve">. This </w:t>
      </w:r>
      <w:r w:rsidRPr="004D460C" w:rsidR="00AB5063">
        <w:rPr>
          <w:rFonts w:ascii="Times New Roman" w:hAnsi="Times New Roman" w:eastAsia="Times New Roman" w:cs="Times New Roman"/>
          <w:sz w:val="24"/>
          <w:szCs w:val="24"/>
        </w:rPr>
        <w:t>results in</w:t>
      </w:r>
      <w:r w:rsidRPr="008F7514" w:rsidR="00AB5063">
        <w:rPr>
          <w:rFonts w:ascii="Times New Roman" w:hAnsi="Times New Roman" w:eastAsia="Times New Roman" w:cs="Times New Roman"/>
          <w:sz w:val="24"/>
          <w:szCs w:val="24"/>
        </w:rPr>
        <w:t xml:space="preserve"> </w:t>
      </w:r>
      <w:r w:rsidRPr="008F7514" w:rsidR="002B522B">
        <w:rPr>
          <w:rFonts w:ascii="Times New Roman" w:hAnsi="Times New Roman" w:eastAsia="Times New Roman" w:cs="Times New Roman"/>
          <w:sz w:val="24"/>
          <w:szCs w:val="24"/>
        </w:rPr>
        <w:t>a t</w:t>
      </w:r>
      <w:r w:rsidRPr="008F7514" w:rsidR="00C253D9">
        <w:rPr>
          <w:rFonts w:ascii="Times New Roman" w:hAnsi="Times New Roman" w:eastAsia="Times New Roman" w:cs="Times New Roman"/>
          <w:sz w:val="24"/>
          <w:szCs w:val="24"/>
        </w:rPr>
        <w:t xml:space="preserve">otal estimated </w:t>
      </w:r>
      <w:r w:rsidRPr="008F7514" w:rsidR="001677C3">
        <w:rPr>
          <w:rFonts w:ascii="Times New Roman" w:hAnsi="Times New Roman" w:eastAsia="Times New Roman" w:cs="Times New Roman"/>
          <w:sz w:val="24"/>
          <w:szCs w:val="24"/>
        </w:rPr>
        <w:t xml:space="preserve">annual </w:t>
      </w:r>
      <w:r w:rsidRPr="008F7514" w:rsidR="00C253D9">
        <w:rPr>
          <w:rFonts w:ascii="Times New Roman" w:hAnsi="Times New Roman" w:eastAsia="Times New Roman" w:cs="Times New Roman"/>
          <w:sz w:val="24"/>
          <w:szCs w:val="24"/>
        </w:rPr>
        <w:t xml:space="preserve">burden </w:t>
      </w:r>
      <w:r w:rsidRPr="004D460C" w:rsidR="00AB5063">
        <w:rPr>
          <w:rFonts w:ascii="Times New Roman" w:hAnsi="Times New Roman" w:eastAsia="Times New Roman" w:cs="Times New Roman"/>
          <w:sz w:val="24"/>
          <w:szCs w:val="24"/>
        </w:rPr>
        <w:t xml:space="preserve">increase </w:t>
      </w:r>
      <w:r w:rsidRPr="008F7514" w:rsidR="00C253D9">
        <w:rPr>
          <w:rFonts w:ascii="Times New Roman" w:hAnsi="Times New Roman" w:eastAsia="Times New Roman" w:cs="Times New Roman"/>
          <w:sz w:val="24"/>
          <w:szCs w:val="24"/>
        </w:rPr>
        <w:t>for th</w:t>
      </w:r>
      <w:r w:rsidRPr="008F7514" w:rsidR="002B2F72">
        <w:rPr>
          <w:rFonts w:ascii="Times New Roman" w:hAnsi="Times New Roman" w:eastAsia="Times New Roman" w:cs="Times New Roman"/>
          <w:sz w:val="24"/>
          <w:szCs w:val="24"/>
        </w:rPr>
        <w:t>e second row</w:t>
      </w:r>
      <w:r w:rsidRPr="008F7514" w:rsidR="001677C3">
        <w:rPr>
          <w:rFonts w:ascii="Times New Roman" w:hAnsi="Times New Roman" w:eastAsia="Times New Roman" w:cs="Times New Roman"/>
          <w:sz w:val="24"/>
          <w:szCs w:val="24"/>
        </w:rPr>
        <w:t xml:space="preserve"> </w:t>
      </w:r>
      <w:r w:rsidR="003F5A30">
        <w:rPr>
          <w:rFonts w:ascii="Times New Roman" w:hAnsi="Times New Roman" w:eastAsia="Times New Roman" w:cs="Times New Roman"/>
          <w:sz w:val="24"/>
          <w:szCs w:val="24"/>
        </w:rPr>
        <w:t>from</w:t>
      </w:r>
      <w:r w:rsidRPr="008F7514" w:rsidR="006570CF">
        <w:rPr>
          <w:rFonts w:ascii="Times New Roman" w:hAnsi="Times New Roman" w:eastAsia="Times New Roman" w:cs="Times New Roman"/>
          <w:sz w:val="24"/>
          <w:szCs w:val="24"/>
        </w:rPr>
        <w:t xml:space="preserve"> 8</w:t>
      </w:r>
      <w:r w:rsidRPr="008F7514" w:rsidR="001677C3">
        <w:rPr>
          <w:rFonts w:ascii="Times New Roman" w:hAnsi="Times New Roman" w:eastAsia="Times New Roman" w:cs="Times New Roman"/>
          <w:sz w:val="24"/>
          <w:szCs w:val="24"/>
        </w:rPr>
        <w:t xml:space="preserve"> </w:t>
      </w:r>
      <w:r w:rsidRPr="004D460C" w:rsidR="00AB5063">
        <w:rPr>
          <w:rFonts w:ascii="Times New Roman" w:hAnsi="Times New Roman" w:eastAsia="Times New Roman" w:cs="Times New Roman"/>
          <w:sz w:val="24"/>
          <w:szCs w:val="24"/>
        </w:rPr>
        <w:t xml:space="preserve">to 16 burden </w:t>
      </w:r>
      <w:r w:rsidRPr="008F7514" w:rsidR="001677C3">
        <w:rPr>
          <w:rFonts w:ascii="Times New Roman" w:hAnsi="Times New Roman" w:eastAsia="Times New Roman" w:cs="Times New Roman"/>
          <w:sz w:val="24"/>
          <w:szCs w:val="24"/>
        </w:rPr>
        <w:t>hours annually.</w:t>
      </w:r>
    </w:p>
    <w:p w:rsidR="006570CF" w:rsidP="00315F93" w:rsidRDefault="001677C3" w14:paraId="2E6E9D83" w14:textId="0C09298C">
      <w:pPr>
        <w:pStyle w:val="ListParagraph"/>
        <w:numPr>
          <w:ilvl w:val="0"/>
          <w:numId w:val="9"/>
        </w:num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CDC </w:t>
      </w:r>
      <w:r w:rsidR="00C75B22">
        <w:rPr>
          <w:rFonts w:ascii="Times New Roman" w:hAnsi="Times New Roman" w:eastAsia="Times New Roman" w:cs="Times New Roman"/>
          <w:sz w:val="24"/>
          <w:szCs w:val="24"/>
        </w:rPr>
        <w:t>does not consider</w:t>
      </w:r>
      <w:r w:rsidR="00801F64">
        <w:rPr>
          <w:rFonts w:ascii="Times New Roman" w:hAnsi="Times New Roman" w:eastAsia="Times New Roman" w:cs="Times New Roman"/>
          <w:sz w:val="24"/>
          <w:szCs w:val="24"/>
        </w:rPr>
        <w:t xml:space="preserve"> the time it takes for </w:t>
      </w:r>
      <w:r>
        <w:rPr>
          <w:rFonts w:ascii="Times New Roman" w:hAnsi="Times New Roman" w:eastAsia="Times New Roman" w:cs="Times New Roman"/>
          <w:sz w:val="24"/>
          <w:szCs w:val="24"/>
        </w:rPr>
        <w:t xml:space="preserve">the ICE detention facilities </w:t>
      </w:r>
      <w:r w:rsidR="00801F64">
        <w:rPr>
          <w:rFonts w:ascii="Times New Roman" w:hAnsi="Times New Roman" w:eastAsia="Times New Roman" w:cs="Times New Roman"/>
          <w:sz w:val="24"/>
          <w:szCs w:val="24"/>
        </w:rPr>
        <w:t xml:space="preserve">to fill out forms and </w:t>
      </w:r>
      <w:r w:rsidR="0076266B">
        <w:rPr>
          <w:rFonts w:ascii="Times New Roman" w:hAnsi="Times New Roman" w:eastAsia="Times New Roman" w:cs="Times New Roman"/>
          <w:sz w:val="24"/>
          <w:szCs w:val="24"/>
        </w:rPr>
        <w:t xml:space="preserve">share them with </w:t>
      </w:r>
      <w:r w:rsidR="002B2F72">
        <w:rPr>
          <w:rFonts w:ascii="Times New Roman" w:hAnsi="Times New Roman" w:eastAsia="Times New Roman" w:cs="Times New Roman"/>
          <w:sz w:val="24"/>
          <w:szCs w:val="24"/>
        </w:rPr>
        <w:t xml:space="preserve">the </w:t>
      </w:r>
      <w:proofErr w:type="spellStart"/>
      <w:r w:rsidR="00801F64">
        <w:rPr>
          <w:rFonts w:ascii="Times New Roman" w:hAnsi="Times New Roman" w:eastAsia="Times New Roman" w:cs="Times New Roman"/>
          <w:sz w:val="24"/>
          <w:szCs w:val="24"/>
        </w:rPr>
        <w:t>CureTB</w:t>
      </w:r>
      <w:proofErr w:type="spellEnd"/>
      <w:r w:rsidR="00801F64">
        <w:rPr>
          <w:rFonts w:ascii="Times New Roman" w:hAnsi="Times New Roman" w:eastAsia="Times New Roman" w:cs="Times New Roman"/>
          <w:sz w:val="24"/>
          <w:szCs w:val="24"/>
        </w:rPr>
        <w:t xml:space="preserve"> as part of this information collection request </w:t>
      </w:r>
      <w:r>
        <w:rPr>
          <w:rFonts w:ascii="Times New Roman" w:hAnsi="Times New Roman" w:eastAsia="Times New Roman" w:cs="Times New Roman"/>
          <w:sz w:val="24"/>
          <w:szCs w:val="24"/>
        </w:rPr>
        <w:t>b</w:t>
      </w:r>
      <w:r w:rsidR="00801F64">
        <w:rPr>
          <w:rFonts w:ascii="Times New Roman" w:hAnsi="Times New Roman" w:eastAsia="Times New Roman" w:cs="Times New Roman"/>
          <w:sz w:val="24"/>
          <w:szCs w:val="24"/>
        </w:rPr>
        <w:t xml:space="preserve">ecause </w:t>
      </w:r>
      <w:r w:rsidR="002B2F72">
        <w:rPr>
          <w:rFonts w:ascii="Times New Roman" w:hAnsi="Times New Roman" w:eastAsia="Times New Roman" w:cs="Times New Roman"/>
          <w:sz w:val="24"/>
          <w:szCs w:val="24"/>
        </w:rPr>
        <w:t xml:space="preserve">collecting the </w:t>
      </w:r>
      <w:r w:rsidR="00801F64">
        <w:rPr>
          <w:rFonts w:ascii="Times New Roman" w:hAnsi="Times New Roman" w:eastAsia="Times New Roman" w:cs="Times New Roman"/>
          <w:sz w:val="24"/>
          <w:szCs w:val="24"/>
        </w:rPr>
        <w:t xml:space="preserve">information </w:t>
      </w:r>
      <w:r w:rsidR="002B2F72">
        <w:rPr>
          <w:rFonts w:ascii="Times New Roman" w:hAnsi="Times New Roman" w:eastAsia="Times New Roman" w:cs="Times New Roman"/>
          <w:sz w:val="24"/>
          <w:szCs w:val="24"/>
        </w:rPr>
        <w:t>is</w:t>
      </w:r>
      <w:r w:rsidR="00801F64">
        <w:rPr>
          <w:rFonts w:ascii="Times New Roman" w:hAnsi="Times New Roman" w:eastAsia="Times New Roman" w:cs="Times New Roman"/>
          <w:sz w:val="24"/>
          <w:szCs w:val="24"/>
        </w:rPr>
        <w:t xml:space="preserve"> part of the federal ICE program</w:t>
      </w:r>
      <w:r w:rsidR="002B2F72">
        <w:rPr>
          <w:rFonts w:ascii="Times New Roman" w:hAnsi="Times New Roman" w:eastAsia="Times New Roman" w:cs="Times New Roman"/>
          <w:sz w:val="24"/>
          <w:szCs w:val="24"/>
        </w:rPr>
        <w:t xml:space="preserve"> already</w:t>
      </w:r>
      <w:r w:rsidR="00801F64">
        <w:rPr>
          <w:rFonts w:ascii="Times New Roman" w:hAnsi="Times New Roman" w:eastAsia="Times New Roman" w:cs="Times New Roman"/>
          <w:sz w:val="24"/>
          <w:szCs w:val="24"/>
        </w:rPr>
        <w:t>.</w:t>
      </w:r>
      <w:r w:rsidR="00C32E42">
        <w:rPr>
          <w:rFonts w:ascii="Times New Roman" w:hAnsi="Times New Roman" w:eastAsia="Times New Roman" w:cs="Times New Roman"/>
          <w:sz w:val="24"/>
          <w:szCs w:val="24"/>
        </w:rPr>
        <w:t xml:space="preserve">  However, t</w:t>
      </w:r>
      <w:r w:rsidR="0076266B">
        <w:rPr>
          <w:rFonts w:ascii="Times New Roman" w:hAnsi="Times New Roman" w:eastAsia="Times New Roman" w:cs="Times New Roman"/>
          <w:sz w:val="24"/>
          <w:szCs w:val="24"/>
        </w:rPr>
        <w:t xml:space="preserve">he follow up with the TB patients who </w:t>
      </w:r>
      <w:r w:rsidR="002B2F72">
        <w:rPr>
          <w:rFonts w:ascii="Times New Roman" w:hAnsi="Times New Roman" w:eastAsia="Times New Roman" w:cs="Times New Roman"/>
          <w:sz w:val="24"/>
          <w:szCs w:val="24"/>
        </w:rPr>
        <w:t>a</w:t>
      </w:r>
      <w:r w:rsidR="0076266B">
        <w:rPr>
          <w:rFonts w:ascii="Times New Roman" w:hAnsi="Times New Roman" w:eastAsia="Times New Roman" w:cs="Times New Roman"/>
          <w:sz w:val="24"/>
          <w:szCs w:val="24"/>
        </w:rPr>
        <w:t xml:space="preserve">re referred </w:t>
      </w:r>
      <w:r w:rsidR="002B2F72">
        <w:rPr>
          <w:rFonts w:ascii="Times New Roman" w:hAnsi="Times New Roman" w:eastAsia="Times New Roman" w:cs="Times New Roman"/>
          <w:sz w:val="24"/>
          <w:szCs w:val="24"/>
        </w:rPr>
        <w:t xml:space="preserve">by the ICE program </w:t>
      </w:r>
      <w:r w:rsidR="0076266B">
        <w:rPr>
          <w:rFonts w:ascii="Times New Roman" w:hAnsi="Times New Roman" w:eastAsia="Times New Roman" w:cs="Times New Roman"/>
          <w:sz w:val="24"/>
          <w:szCs w:val="24"/>
        </w:rPr>
        <w:t xml:space="preserve">is considered </w:t>
      </w:r>
      <w:r w:rsidR="002B2F72">
        <w:rPr>
          <w:rFonts w:ascii="Times New Roman" w:hAnsi="Times New Roman" w:eastAsia="Times New Roman" w:cs="Times New Roman"/>
          <w:sz w:val="24"/>
          <w:szCs w:val="24"/>
        </w:rPr>
        <w:t xml:space="preserve">as part of this request </w:t>
      </w:r>
      <w:r w:rsidR="00A30BC0">
        <w:rPr>
          <w:rFonts w:ascii="Times New Roman" w:hAnsi="Times New Roman" w:eastAsia="Times New Roman" w:cs="Times New Roman"/>
          <w:sz w:val="24"/>
          <w:szCs w:val="24"/>
        </w:rPr>
        <w:t xml:space="preserve">in the third row </w:t>
      </w:r>
      <w:r w:rsidR="0076266B">
        <w:rPr>
          <w:rFonts w:ascii="Times New Roman" w:hAnsi="Times New Roman" w:eastAsia="Times New Roman" w:cs="Times New Roman"/>
          <w:sz w:val="24"/>
          <w:szCs w:val="24"/>
        </w:rPr>
        <w:t xml:space="preserve">and </w:t>
      </w:r>
      <w:r w:rsidR="00C32E42">
        <w:rPr>
          <w:rFonts w:ascii="Times New Roman" w:hAnsi="Times New Roman" w:eastAsia="Times New Roman" w:cs="Times New Roman"/>
          <w:sz w:val="24"/>
          <w:szCs w:val="24"/>
        </w:rPr>
        <w:t xml:space="preserve">is separate from the </w:t>
      </w:r>
      <w:r w:rsidR="00A30BC0">
        <w:rPr>
          <w:rFonts w:ascii="Times New Roman" w:hAnsi="Times New Roman" w:eastAsia="Times New Roman" w:cs="Times New Roman"/>
          <w:sz w:val="24"/>
          <w:szCs w:val="24"/>
        </w:rPr>
        <w:t>health department TB patient follow-up</w:t>
      </w:r>
      <w:r w:rsidR="00C32E42">
        <w:rPr>
          <w:rFonts w:ascii="Times New Roman" w:hAnsi="Times New Roman" w:eastAsia="Times New Roman" w:cs="Times New Roman"/>
          <w:sz w:val="24"/>
          <w:szCs w:val="24"/>
        </w:rPr>
        <w:t xml:space="preserve"> </w:t>
      </w:r>
      <w:r w:rsidR="0076266B">
        <w:rPr>
          <w:rFonts w:ascii="Times New Roman" w:hAnsi="Times New Roman" w:eastAsia="Times New Roman" w:cs="Times New Roman"/>
          <w:sz w:val="24"/>
          <w:szCs w:val="24"/>
        </w:rPr>
        <w:t xml:space="preserve">in row </w:t>
      </w:r>
      <w:r w:rsidR="00A30BC0">
        <w:rPr>
          <w:rFonts w:ascii="Times New Roman" w:hAnsi="Times New Roman" w:eastAsia="Times New Roman" w:cs="Times New Roman"/>
          <w:sz w:val="24"/>
          <w:szCs w:val="24"/>
        </w:rPr>
        <w:t>two to more explicitly show the different average burden time per response</w:t>
      </w:r>
      <w:r w:rsidR="0076266B">
        <w:rPr>
          <w:rFonts w:ascii="Times New Roman" w:hAnsi="Times New Roman" w:eastAsia="Times New Roman" w:cs="Times New Roman"/>
          <w:sz w:val="24"/>
          <w:szCs w:val="24"/>
        </w:rPr>
        <w:t xml:space="preserve">. </w:t>
      </w:r>
      <w:r w:rsidR="00A30BC0">
        <w:rPr>
          <w:rFonts w:ascii="Times New Roman" w:hAnsi="Times New Roman" w:eastAsia="Times New Roman" w:cs="Times New Roman"/>
          <w:sz w:val="24"/>
          <w:szCs w:val="24"/>
        </w:rPr>
        <w:t xml:space="preserve"> </w:t>
      </w:r>
      <w:r w:rsidR="00C32E42">
        <w:rPr>
          <w:rFonts w:ascii="Times New Roman" w:hAnsi="Times New Roman" w:eastAsia="Times New Roman" w:cs="Times New Roman"/>
          <w:sz w:val="24"/>
          <w:szCs w:val="24"/>
        </w:rPr>
        <w:t xml:space="preserve">This new </w:t>
      </w:r>
      <w:r w:rsidR="00A30BC0">
        <w:rPr>
          <w:rFonts w:ascii="Times New Roman" w:hAnsi="Times New Roman" w:eastAsia="Times New Roman" w:cs="Times New Roman"/>
          <w:sz w:val="24"/>
          <w:szCs w:val="24"/>
        </w:rPr>
        <w:t xml:space="preserve">third </w:t>
      </w:r>
      <w:r w:rsidR="00C32E42">
        <w:rPr>
          <w:rFonts w:ascii="Times New Roman" w:hAnsi="Times New Roman" w:eastAsia="Times New Roman" w:cs="Times New Roman"/>
          <w:sz w:val="24"/>
          <w:szCs w:val="24"/>
        </w:rPr>
        <w:t xml:space="preserve">row </w:t>
      </w:r>
      <w:r w:rsidR="00685BFD">
        <w:rPr>
          <w:rFonts w:ascii="Times New Roman" w:hAnsi="Times New Roman" w:eastAsia="Times New Roman" w:cs="Times New Roman"/>
          <w:sz w:val="24"/>
          <w:szCs w:val="24"/>
        </w:rPr>
        <w:t xml:space="preserve">also </w:t>
      </w:r>
      <w:r w:rsidR="00C32E42">
        <w:rPr>
          <w:rFonts w:ascii="Times New Roman" w:hAnsi="Times New Roman" w:eastAsia="Times New Roman" w:cs="Times New Roman"/>
          <w:sz w:val="24"/>
          <w:szCs w:val="24"/>
        </w:rPr>
        <w:t>demonstrate</w:t>
      </w:r>
      <w:r w:rsidR="00A30BC0">
        <w:rPr>
          <w:rFonts w:ascii="Times New Roman" w:hAnsi="Times New Roman" w:eastAsia="Times New Roman" w:cs="Times New Roman"/>
          <w:sz w:val="24"/>
          <w:szCs w:val="24"/>
        </w:rPr>
        <w:t>s</w:t>
      </w:r>
      <w:r w:rsidR="00C32E42">
        <w:rPr>
          <w:rFonts w:ascii="Times New Roman" w:hAnsi="Times New Roman" w:eastAsia="Times New Roman" w:cs="Times New Roman"/>
          <w:sz w:val="24"/>
          <w:szCs w:val="24"/>
        </w:rPr>
        <w:t xml:space="preserve"> </w:t>
      </w:r>
      <w:r w:rsidR="00685BFD">
        <w:rPr>
          <w:rFonts w:ascii="Times New Roman" w:hAnsi="Times New Roman" w:eastAsia="Times New Roman" w:cs="Times New Roman"/>
          <w:sz w:val="24"/>
          <w:szCs w:val="24"/>
        </w:rPr>
        <w:t>an</w:t>
      </w:r>
      <w:r w:rsidR="00A30BC0">
        <w:rPr>
          <w:rFonts w:ascii="Times New Roman" w:hAnsi="Times New Roman" w:eastAsia="Times New Roman" w:cs="Times New Roman"/>
          <w:sz w:val="24"/>
          <w:szCs w:val="24"/>
        </w:rPr>
        <w:t xml:space="preserve"> </w:t>
      </w:r>
      <w:r w:rsidR="00B57D2C">
        <w:rPr>
          <w:rFonts w:ascii="Times New Roman" w:hAnsi="Times New Roman" w:eastAsia="Times New Roman" w:cs="Times New Roman"/>
          <w:sz w:val="24"/>
          <w:szCs w:val="24"/>
        </w:rPr>
        <w:t xml:space="preserve">increase in the number of referrals </w:t>
      </w:r>
      <w:proofErr w:type="spellStart"/>
      <w:r w:rsidR="00B57D2C">
        <w:rPr>
          <w:rFonts w:ascii="Times New Roman" w:hAnsi="Times New Roman" w:eastAsia="Times New Roman" w:cs="Times New Roman"/>
          <w:sz w:val="24"/>
          <w:szCs w:val="24"/>
        </w:rPr>
        <w:t>CureTB</w:t>
      </w:r>
      <w:proofErr w:type="spellEnd"/>
      <w:r w:rsidR="00B57D2C">
        <w:rPr>
          <w:rFonts w:ascii="Times New Roman" w:hAnsi="Times New Roman" w:eastAsia="Times New Roman" w:cs="Times New Roman"/>
          <w:sz w:val="24"/>
          <w:szCs w:val="24"/>
        </w:rPr>
        <w:t xml:space="preserve"> received from ICE detention centers in the last year</w:t>
      </w:r>
      <w:r w:rsidR="00A30BC0">
        <w:rPr>
          <w:rFonts w:ascii="Times New Roman" w:hAnsi="Times New Roman" w:eastAsia="Times New Roman" w:cs="Times New Roman"/>
          <w:sz w:val="24"/>
          <w:szCs w:val="24"/>
        </w:rPr>
        <w:t xml:space="preserve">.  While it </w:t>
      </w:r>
      <w:r w:rsidR="00AB5063">
        <w:rPr>
          <w:rFonts w:ascii="Times New Roman" w:hAnsi="Times New Roman" w:eastAsia="Times New Roman" w:cs="Times New Roman"/>
          <w:sz w:val="24"/>
          <w:szCs w:val="24"/>
        </w:rPr>
        <w:t xml:space="preserve">does </w:t>
      </w:r>
      <w:r w:rsidR="00A30BC0">
        <w:rPr>
          <w:rFonts w:ascii="Times New Roman" w:hAnsi="Times New Roman" w:eastAsia="Times New Roman" w:cs="Times New Roman"/>
          <w:sz w:val="24"/>
          <w:szCs w:val="24"/>
        </w:rPr>
        <w:t xml:space="preserve">add 440 more burden hours, it is necessary to get </w:t>
      </w:r>
      <w:r w:rsidR="00C32E42">
        <w:rPr>
          <w:rFonts w:ascii="Times New Roman" w:hAnsi="Times New Roman" w:eastAsia="Times New Roman" w:cs="Times New Roman"/>
          <w:sz w:val="24"/>
          <w:szCs w:val="24"/>
        </w:rPr>
        <w:t xml:space="preserve">complete information </w:t>
      </w:r>
      <w:r w:rsidR="00C75B22">
        <w:rPr>
          <w:rFonts w:ascii="Times New Roman" w:hAnsi="Times New Roman" w:eastAsia="Times New Roman" w:cs="Times New Roman"/>
          <w:sz w:val="24"/>
          <w:szCs w:val="24"/>
        </w:rPr>
        <w:t xml:space="preserve">to </w:t>
      </w:r>
      <w:r w:rsidR="00B57D2C">
        <w:rPr>
          <w:rFonts w:ascii="Times New Roman" w:hAnsi="Times New Roman" w:eastAsia="Times New Roman" w:cs="Times New Roman"/>
          <w:sz w:val="24"/>
          <w:szCs w:val="24"/>
        </w:rPr>
        <w:t xml:space="preserve">ensure </w:t>
      </w:r>
      <w:r w:rsidR="00C75B22">
        <w:rPr>
          <w:rFonts w:ascii="Times New Roman" w:hAnsi="Times New Roman" w:eastAsia="Times New Roman" w:cs="Times New Roman"/>
          <w:sz w:val="24"/>
          <w:szCs w:val="24"/>
        </w:rPr>
        <w:t xml:space="preserve">TB patient’s </w:t>
      </w:r>
      <w:r w:rsidR="00B57D2C">
        <w:rPr>
          <w:rFonts w:ascii="Times New Roman" w:hAnsi="Times New Roman" w:eastAsia="Times New Roman" w:cs="Times New Roman"/>
          <w:sz w:val="24"/>
          <w:szCs w:val="24"/>
        </w:rPr>
        <w:t>continuity of care by new healthcare providers in the new country</w:t>
      </w:r>
      <w:r w:rsidR="00C32E42">
        <w:rPr>
          <w:rFonts w:ascii="Times New Roman" w:hAnsi="Times New Roman" w:eastAsia="Times New Roman" w:cs="Times New Roman"/>
          <w:sz w:val="24"/>
          <w:szCs w:val="24"/>
        </w:rPr>
        <w:t>.</w:t>
      </w:r>
    </w:p>
    <w:p w:rsidR="00942251" w:rsidP="00CA6FA0" w:rsidRDefault="00FD2102" w14:paraId="56B5C0DF" w14:textId="2B546D8E">
      <w:pPr>
        <w:pStyle w:val="ListParagraph"/>
        <w:numPr>
          <w:ilvl w:val="0"/>
          <w:numId w:val="9"/>
        </w:num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fourth row has been updated to reflect </w:t>
      </w:r>
      <w:r w:rsidR="00E133A1">
        <w:rPr>
          <w:rFonts w:ascii="Times New Roman" w:hAnsi="Times New Roman" w:eastAsia="Times New Roman" w:cs="Times New Roman"/>
          <w:sz w:val="24"/>
          <w:szCs w:val="24"/>
        </w:rPr>
        <w:t>needing more</w:t>
      </w:r>
      <w:r>
        <w:rPr>
          <w:rFonts w:ascii="Times New Roman" w:hAnsi="Times New Roman" w:eastAsia="Times New Roman" w:cs="Times New Roman"/>
          <w:sz w:val="24"/>
          <w:szCs w:val="24"/>
        </w:rPr>
        <w:t xml:space="preserve"> physicians in the new country</w:t>
      </w:r>
      <w:r w:rsidRPr="00E133A1" w:rsidR="00E133A1">
        <w:rPr>
          <w:rFonts w:ascii="Times New Roman" w:hAnsi="Times New Roman" w:eastAsia="Times New Roman" w:cs="Times New Roman"/>
          <w:sz w:val="24"/>
          <w:szCs w:val="24"/>
        </w:rPr>
        <w:t xml:space="preserve"> </w:t>
      </w:r>
      <w:r w:rsidR="00E133A1">
        <w:rPr>
          <w:rFonts w:ascii="Times New Roman" w:hAnsi="Times New Roman" w:eastAsia="Times New Roman" w:cs="Times New Roman"/>
          <w:sz w:val="24"/>
          <w:szCs w:val="24"/>
        </w:rPr>
        <w:t>to treat the increase in TB patients</w:t>
      </w:r>
      <w:r>
        <w:rPr>
          <w:rFonts w:ascii="Times New Roman" w:hAnsi="Times New Roman" w:eastAsia="Times New Roman" w:cs="Times New Roman"/>
          <w:sz w:val="24"/>
          <w:szCs w:val="24"/>
        </w:rPr>
        <w:t xml:space="preserve">.  CDC estimates approximately 75% </w:t>
      </w:r>
      <w:r w:rsidR="007769C6">
        <w:rPr>
          <w:rFonts w:ascii="Times New Roman" w:hAnsi="Times New Roman" w:eastAsia="Times New Roman" w:cs="Times New Roman"/>
          <w:sz w:val="24"/>
          <w:szCs w:val="24"/>
        </w:rPr>
        <w:t xml:space="preserve">of the 1,160 </w:t>
      </w:r>
      <w:r w:rsidR="00CA6FA0">
        <w:rPr>
          <w:rFonts w:ascii="Times New Roman" w:hAnsi="Times New Roman" w:eastAsia="Times New Roman" w:cs="Times New Roman"/>
          <w:sz w:val="24"/>
          <w:szCs w:val="24"/>
        </w:rPr>
        <w:t xml:space="preserve">total </w:t>
      </w:r>
      <w:r>
        <w:rPr>
          <w:rFonts w:ascii="Times New Roman" w:hAnsi="Times New Roman" w:eastAsia="Times New Roman" w:cs="Times New Roman"/>
          <w:sz w:val="24"/>
          <w:szCs w:val="24"/>
        </w:rPr>
        <w:t>referred TB patients have follow up treatment of physicians in their new location</w:t>
      </w:r>
      <w:r w:rsidR="00E133A1">
        <w:rPr>
          <w:rFonts w:ascii="Times New Roman" w:hAnsi="Times New Roman" w:eastAsia="Times New Roman" w:cs="Times New Roman"/>
          <w:sz w:val="24"/>
          <w:szCs w:val="24"/>
        </w:rPr>
        <w:t>. This means</w:t>
      </w:r>
      <w:r>
        <w:rPr>
          <w:rFonts w:ascii="Times New Roman" w:hAnsi="Times New Roman" w:eastAsia="Times New Roman" w:cs="Times New Roman"/>
          <w:sz w:val="24"/>
          <w:szCs w:val="24"/>
        </w:rPr>
        <w:t xml:space="preserve"> the number of respondents </w:t>
      </w:r>
      <w:r w:rsidR="00E133A1">
        <w:rPr>
          <w:rFonts w:ascii="Times New Roman" w:hAnsi="Times New Roman" w:eastAsia="Times New Roman" w:cs="Times New Roman"/>
          <w:sz w:val="24"/>
          <w:szCs w:val="24"/>
        </w:rPr>
        <w:t xml:space="preserve">has increased from 500 </w:t>
      </w:r>
      <w:r w:rsidRPr="00E133A1" w:rsidR="00E133A1">
        <w:rPr>
          <w:rFonts w:ascii="Times New Roman" w:hAnsi="Times New Roman" w:eastAsia="Times New Roman" w:cs="Times New Roman"/>
          <w:sz w:val="24"/>
          <w:szCs w:val="24"/>
        </w:rPr>
        <w:t>to 870</w:t>
      </w:r>
      <w:r w:rsidR="008F7514">
        <w:rPr>
          <w:rFonts w:ascii="Times New Roman" w:hAnsi="Times New Roman" w:eastAsia="Times New Roman" w:cs="Times New Roman"/>
          <w:sz w:val="24"/>
          <w:szCs w:val="24"/>
        </w:rPr>
        <w:t xml:space="preserve"> but the</w:t>
      </w:r>
      <w:r w:rsidRPr="00AB5063" w:rsidR="00AB5063">
        <w:rPr>
          <w:rFonts w:ascii="Times New Roman" w:hAnsi="Times New Roman" w:eastAsia="Times New Roman" w:cs="Times New Roman"/>
          <w:sz w:val="24"/>
          <w:szCs w:val="24"/>
        </w:rPr>
        <w:t xml:space="preserve"> burden per response has not changed</w:t>
      </w:r>
      <w:r w:rsidR="008F7514">
        <w:rPr>
          <w:rFonts w:ascii="Times New Roman" w:hAnsi="Times New Roman" w:eastAsia="Times New Roman" w:cs="Times New Roman"/>
          <w:sz w:val="24"/>
          <w:szCs w:val="24"/>
        </w:rPr>
        <w:t>.</w:t>
      </w:r>
      <w:r w:rsidRPr="00E133A1" w:rsidR="00E133A1">
        <w:rPr>
          <w:rFonts w:ascii="Times New Roman" w:hAnsi="Times New Roman" w:eastAsia="Times New Roman" w:cs="Times New Roman"/>
          <w:sz w:val="24"/>
          <w:szCs w:val="24"/>
        </w:rPr>
        <w:t xml:space="preserve"> </w:t>
      </w:r>
      <w:r w:rsidR="008F7514">
        <w:rPr>
          <w:rFonts w:ascii="Times New Roman" w:hAnsi="Times New Roman" w:eastAsia="Times New Roman" w:cs="Times New Roman"/>
          <w:sz w:val="24"/>
          <w:szCs w:val="24"/>
        </w:rPr>
        <w:t>T</w:t>
      </w:r>
      <w:r w:rsidR="00E133A1">
        <w:rPr>
          <w:rFonts w:ascii="Times New Roman" w:hAnsi="Times New Roman" w:eastAsia="Times New Roman" w:cs="Times New Roman"/>
          <w:sz w:val="24"/>
          <w:szCs w:val="24"/>
        </w:rPr>
        <w:t xml:space="preserve">he total </w:t>
      </w:r>
      <w:r w:rsidRPr="003766F2" w:rsidR="00CA6FA0">
        <w:rPr>
          <w:rFonts w:ascii="Times New Roman" w:hAnsi="Times New Roman" w:eastAsia="Times New Roman" w:cs="Times New Roman"/>
          <w:sz w:val="24"/>
          <w:szCs w:val="24"/>
        </w:rPr>
        <w:t>e</w:t>
      </w:r>
      <w:r w:rsidRPr="003766F2" w:rsidR="00942251">
        <w:rPr>
          <w:rFonts w:ascii="Times New Roman" w:hAnsi="Times New Roman" w:eastAsia="Times New Roman" w:cs="Times New Roman"/>
          <w:sz w:val="24"/>
          <w:szCs w:val="24"/>
        </w:rPr>
        <w:t>stimated respondent burden for</w:t>
      </w:r>
      <w:r w:rsidRPr="003766F2" w:rsidR="00E133A1">
        <w:rPr>
          <w:rFonts w:ascii="Times New Roman" w:hAnsi="Times New Roman" w:eastAsia="Times New Roman" w:cs="Times New Roman"/>
          <w:sz w:val="24"/>
          <w:szCs w:val="24"/>
        </w:rPr>
        <w:t xml:space="preserve"> the</w:t>
      </w:r>
      <w:r w:rsidRPr="003766F2" w:rsidR="00942251">
        <w:rPr>
          <w:rFonts w:ascii="Times New Roman" w:hAnsi="Times New Roman" w:eastAsia="Times New Roman" w:cs="Times New Roman"/>
          <w:sz w:val="24"/>
          <w:szCs w:val="24"/>
        </w:rPr>
        <w:t xml:space="preserve"> treating physicians abroad </w:t>
      </w:r>
      <w:r w:rsidRPr="003766F2" w:rsidR="00E133A1">
        <w:rPr>
          <w:rFonts w:ascii="Times New Roman" w:hAnsi="Times New Roman" w:eastAsia="Times New Roman" w:cs="Times New Roman"/>
          <w:sz w:val="24"/>
          <w:szCs w:val="24"/>
        </w:rPr>
        <w:t>ha</w:t>
      </w:r>
      <w:r w:rsidRPr="003766F2" w:rsidR="00942251">
        <w:rPr>
          <w:rFonts w:ascii="Times New Roman" w:hAnsi="Times New Roman" w:eastAsia="Times New Roman" w:cs="Times New Roman"/>
          <w:sz w:val="24"/>
          <w:szCs w:val="24"/>
        </w:rPr>
        <w:t>s increased from 250</w:t>
      </w:r>
      <w:r w:rsidRPr="003766F2" w:rsidR="00E133A1">
        <w:rPr>
          <w:rFonts w:ascii="Times New Roman" w:hAnsi="Times New Roman" w:eastAsia="Times New Roman" w:cs="Times New Roman"/>
          <w:sz w:val="24"/>
          <w:szCs w:val="24"/>
        </w:rPr>
        <w:t xml:space="preserve"> to </w:t>
      </w:r>
      <w:r w:rsidRPr="003766F2" w:rsidR="00942251">
        <w:rPr>
          <w:rFonts w:ascii="Times New Roman" w:hAnsi="Times New Roman" w:eastAsia="Times New Roman" w:cs="Times New Roman"/>
          <w:sz w:val="24"/>
          <w:szCs w:val="24"/>
        </w:rPr>
        <w:t>4</w:t>
      </w:r>
      <w:r w:rsidRPr="003766F2" w:rsidR="00E133A1">
        <w:rPr>
          <w:rFonts w:ascii="Times New Roman" w:hAnsi="Times New Roman" w:eastAsia="Times New Roman" w:cs="Times New Roman"/>
          <w:sz w:val="24"/>
          <w:szCs w:val="24"/>
        </w:rPr>
        <w:t>35</w:t>
      </w:r>
      <w:r w:rsidRPr="003766F2" w:rsidR="00942251">
        <w:rPr>
          <w:rFonts w:ascii="Times New Roman" w:hAnsi="Times New Roman" w:eastAsia="Times New Roman" w:cs="Times New Roman"/>
          <w:sz w:val="24"/>
          <w:szCs w:val="24"/>
        </w:rPr>
        <w:t xml:space="preserve"> hours.  This is due primarily to the increase in referrals from IC</w:t>
      </w:r>
      <w:r w:rsidRPr="003766F2" w:rsidR="00E133A1">
        <w:rPr>
          <w:rFonts w:ascii="Times New Roman" w:hAnsi="Times New Roman" w:eastAsia="Times New Roman" w:cs="Times New Roman"/>
          <w:sz w:val="24"/>
          <w:szCs w:val="24"/>
        </w:rPr>
        <w:t>E detention centers</w:t>
      </w:r>
      <w:r w:rsidR="003F5A30">
        <w:rPr>
          <w:rFonts w:ascii="Times New Roman" w:hAnsi="Times New Roman" w:eastAsia="Times New Roman" w:cs="Times New Roman"/>
          <w:sz w:val="24"/>
          <w:szCs w:val="24"/>
        </w:rPr>
        <w:t>.</w:t>
      </w:r>
    </w:p>
    <w:p w:rsidR="00087140" w:rsidP="000200A5" w:rsidRDefault="00E133A1" w14:paraId="6C7E4EBB" w14:textId="7DB7EED6">
      <w:pPr>
        <w:pStyle w:val="ListParagraph"/>
        <w:numPr>
          <w:ilvl w:val="0"/>
          <w:numId w:val="9"/>
        </w:numPr>
        <w:rPr>
          <w:rFonts w:ascii="Times New Roman" w:hAnsi="Times New Roman" w:eastAsia="Times New Roman" w:cs="Times New Roman"/>
          <w:sz w:val="24"/>
          <w:szCs w:val="24"/>
        </w:rPr>
      </w:pPr>
      <w:r>
        <w:rPr>
          <w:rFonts w:ascii="Times New Roman" w:hAnsi="Times New Roman" w:eastAsia="Times New Roman" w:cs="Times New Roman"/>
          <w:sz w:val="24"/>
          <w:szCs w:val="24"/>
        </w:rPr>
        <w:t>The</w:t>
      </w:r>
      <w:r w:rsidR="00087140">
        <w:rPr>
          <w:rFonts w:ascii="Times New Roman" w:hAnsi="Times New Roman" w:eastAsia="Times New Roman" w:cs="Times New Roman"/>
          <w:sz w:val="24"/>
          <w:szCs w:val="24"/>
        </w:rPr>
        <w:t xml:space="preserve">re is no increased burden in the fifth row, as this estimate has stayed approximately the same from the last information collection and is only done by health departments. </w:t>
      </w:r>
    </w:p>
    <w:p w:rsidRPr="003766F2" w:rsidR="000200A5" w:rsidP="000200A5" w:rsidRDefault="000200A5" w14:paraId="14528972" w14:textId="492F1628">
      <w:pPr>
        <w:pStyle w:val="ListParagraph"/>
        <w:numPr>
          <w:ilvl w:val="0"/>
          <w:numId w:val="9"/>
        </w:numPr>
        <w:rPr>
          <w:rFonts w:ascii="Times New Roman" w:hAnsi="Times New Roman" w:eastAsia="Times New Roman" w:cs="Times New Roman"/>
          <w:sz w:val="24"/>
          <w:szCs w:val="24"/>
        </w:rPr>
      </w:pPr>
      <w:r>
        <w:rPr>
          <w:rFonts w:ascii="Times New Roman" w:hAnsi="Times New Roman" w:eastAsia="Times New Roman" w:cs="Times New Roman"/>
          <w:sz w:val="24"/>
          <w:szCs w:val="24"/>
        </w:rPr>
        <w:t>Given these adjustments, the total burden hours for this information has increased from 558 to 1,081, mostly due to the increase in referrals from ICE detention centers.</w:t>
      </w:r>
    </w:p>
    <w:p w:rsidRPr="00E059CA" w:rsidR="009D108F" w:rsidP="005242B1" w:rsidRDefault="009D108F" w14:paraId="28CF149D" w14:textId="182A18D8">
      <w:pPr>
        <w:pStyle w:val="Heading2"/>
        <w:spacing w:line="240" w:lineRule="auto"/>
        <w:rPr>
          <w:rStyle w:val="Strong"/>
          <w:b/>
          <w:bCs w:val="0"/>
        </w:rPr>
      </w:pPr>
      <w:bookmarkStart w:name="_Toc457379316" w:id="31"/>
      <w:r w:rsidRPr="00E059CA">
        <w:rPr>
          <w:bCs/>
        </w:rPr>
        <w:t>16</w:t>
      </w:r>
      <w:r w:rsidRPr="00E059CA" w:rsidR="00E97098">
        <w:rPr>
          <w:bCs/>
        </w:rPr>
        <w:t>.</w:t>
      </w:r>
      <w:r w:rsidRPr="00E059CA">
        <w:rPr>
          <w:bCs/>
        </w:rPr>
        <w:t xml:space="preserve"> </w:t>
      </w:r>
      <w:r w:rsidRPr="00E059CA">
        <w:t>Plans for Tabulation and Publication and Project Time Schedule</w:t>
      </w:r>
      <w:bookmarkEnd w:id="31"/>
    </w:p>
    <w:p w:rsidRPr="00E059CA" w:rsidR="00F677C0" w:rsidP="00DE0A46" w:rsidRDefault="00E368F7" w14:paraId="2B569272" w14:textId="02CDBE45">
      <w:pPr>
        <w:spacing w:after="0" w:line="240" w:lineRule="auto"/>
      </w:pPr>
      <w:r w:rsidRPr="00E059CA">
        <w:rPr>
          <w:rFonts w:ascii="Times New Roman" w:hAnsi="Times New Roman" w:cs="Times New Roman"/>
          <w:sz w:val="24"/>
          <w:szCs w:val="24"/>
        </w:rPr>
        <w:t xml:space="preserve">Data </w:t>
      </w:r>
      <w:r w:rsidRPr="00E059CA" w:rsidR="0031796B">
        <w:rPr>
          <w:rFonts w:ascii="Times New Roman" w:hAnsi="Times New Roman" w:cs="Times New Roman"/>
          <w:sz w:val="24"/>
          <w:szCs w:val="24"/>
        </w:rPr>
        <w:t xml:space="preserve">is entered on an ongoing manner as collected. </w:t>
      </w:r>
      <w:r w:rsidRPr="00E059CA">
        <w:rPr>
          <w:rFonts w:ascii="Times New Roman" w:hAnsi="Times New Roman" w:cs="Times New Roman"/>
          <w:sz w:val="24"/>
          <w:szCs w:val="24"/>
        </w:rPr>
        <w:t xml:space="preserve"> </w:t>
      </w:r>
      <w:r w:rsidRPr="00E059CA" w:rsidR="00DE0A46">
        <w:rPr>
          <w:rFonts w:ascii="Times New Roman" w:hAnsi="Times New Roman" w:cs="Times New Roman"/>
          <w:sz w:val="24"/>
          <w:szCs w:val="24"/>
        </w:rPr>
        <w:t>Reports</w:t>
      </w:r>
      <w:r w:rsidRPr="00E059CA" w:rsidR="00BD2796">
        <w:rPr>
          <w:rFonts w:ascii="Times New Roman" w:hAnsi="Times New Roman" w:cs="Times New Roman"/>
          <w:sz w:val="24"/>
          <w:szCs w:val="24"/>
        </w:rPr>
        <w:t xml:space="preserve"> of CDC</w:t>
      </w:r>
      <w:r w:rsidRPr="00E059CA" w:rsidR="0031796B">
        <w:rPr>
          <w:rFonts w:ascii="Times New Roman" w:hAnsi="Times New Roman" w:cs="Times New Roman"/>
          <w:sz w:val="24"/>
          <w:szCs w:val="24"/>
        </w:rPr>
        <w:t xml:space="preserve"> aggregate outcomes will be provided to </w:t>
      </w:r>
      <w:r w:rsidR="00574CF8">
        <w:rPr>
          <w:rFonts w:ascii="Times New Roman" w:hAnsi="Times New Roman" w:cs="Times New Roman"/>
          <w:sz w:val="24"/>
          <w:szCs w:val="24"/>
        </w:rPr>
        <w:t xml:space="preserve">CDC </w:t>
      </w:r>
      <w:r w:rsidRPr="00E059CA" w:rsidR="0031796B">
        <w:rPr>
          <w:rFonts w:ascii="Times New Roman" w:hAnsi="Times New Roman" w:cs="Times New Roman"/>
          <w:sz w:val="24"/>
          <w:szCs w:val="24"/>
        </w:rPr>
        <w:t>DGMQ leadership</w:t>
      </w:r>
      <w:r w:rsidRPr="00E059CA" w:rsidR="00DE0A46">
        <w:rPr>
          <w:rFonts w:ascii="Times New Roman" w:hAnsi="Times New Roman" w:cs="Times New Roman"/>
          <w:sz w:val="24"/>
          <w:szCs w:val="24"/>
        </w:rPr>
        <w:t xml:space="preserve"> annually.  T</w:t>
      </w:r>
      <w:r w:rsidRPr="00E059CA">
        <w:rPr>
          <w:rFonts w:ascii="Times New Roman" w:hAnsi="Times New Roman" w:cs="Times New Roman"/>
          <w:sz w:val="24"/>
          <w:szCs w:val="24"/>
        </w:rPr>
        <w:t xml:space="preserve">here </w:t>
      </w:r>
      <w:r w:rsidRPr="00E059CA" w:rsidR="00DE0A46">
        <w:rPr>
          <w:rFonts w:ascii="Times New Roman" w:hAnsi="Times New Roman" w:cs="Times New Roman"/>
          <w:sz w:val="24"/>
          <w:szCs w:val="24"/>
        </w:rPr>
        <w:t xml:space="preserve">are currently no plans for scheduled or routine peer-review publication; however, publication may be warranted as </w:t>
      </w:r>
      <w:r w:rsidR="00574CF8">
        <w:rPr>
          <w:rFonts w:ascii="Times New Roman" w:hAnsi="Times New Roman" w:cs="Times New Roman"/>
          <w:sz w:val="24"/>
          <w:szCs w:val="24"/>
        </w:rPr>
        <w:t xml:space="preserve">CDC </w:t>
      </w:r>
      <w:r w:rsidRPr="00E059CA" w:rsidR="00DE0A46">
        <w:rPr>
          <w:rFonts w:ascii="Times New Roman" w:hAnsi="Times New Roman" w:cs="Times New Roman"/>
          <w:sz w:val="24"/>
          <w:szCs w:val="24"/>
        </w:rPr>
        <w:t>DGMQ demonstrates continued impact on domestic and foreign TB-control</w:t>
      </w:r>
      <w:r w:rsidRPr="00E059CA" w:rsidR="003F6245">
        <w:rPr>
          <w:rFonts w:ascii="Times New Roman" w:hAnsi="Times New Roman" w:cs="Times New Roman"/>
          <w:sz w:val="24"/>
          <w:szCs w:val="24"/>
        </w:rPr>
        <w:t xml:space="preserve"> </w:t>
      </w:r>
      <w:r w:rsidRPr="00E059CA" w:rsidR="0031796B">
        <w:rPr>
          <w:rFonts w:ascii="Times New Roman" w:hAnsi="Times New Roman" w:cs="Times New Roman"/>
          <w:sz w:val="24"/>
          <w:szCs w:val="24"/>
        </w:rPr>
        <w:t>efforts.</w:t>
      </w:r>
      <w:r w:rsidRPr="00E059CA" w:rsidR="00650FB8">
        <w:rPr>
          <w:rFonts w:ascii="Times New Roman" w:hAnsi="Times New Roman" w:cs="Times New Roman"/>
          <w:sz w:val="24"/>
          <w:szCs w:val="24"/>
        </w:rPr>
        <w:t xml:space="preserve"> </w:t>
      </w:r>
    </w:p>
    <w:p w:rsidRPr="00E059CA" w:rsidR="009D108F" w:rsidP="005242B1" w:rsidRDefault="009D108F" w14:paraId="333CD6DD" w14:textId="77777777">
      <w:pPr>
        <w:pStyle w:val="Heading2"/>
        <w:spacing w:line="240" w:lineRule="auto"/>
      </w:pPr>
      <w:bookmarkStart w:name="_Toc457379317" w:id="32"/>
      <w:r w:rsidRPr="00E059CA">
        <w:t>17</w:t>
      </w:r>
      <w:r w:rsidRPr="00E059CA" w:rsidR="00E90B7E">
        <w:t>.</w:t>
      </w:r>
      <w:r w:rsidRPr="00E059CA">
        <w:t xml:space="preserve"> Reason(s) Display of OMB Expiration Date is Inappropriate</w:t>
      </w:r>
      <w:bookmarkEnd w:id="32"/>
      <w:r w:rsidRPr="00E059CA">
        <w:t xml:space="preserve"> </w:t>
      </w:r>
    </w:p>
    <w:p w:rsidRPr="00E059CA" w:rsidR="00D46864" w:rsidP="005242B1" w:rsidRDefault="00D46864" w14:paraId="400B9FA5" w14:textId="77777777">
      <w:pPr>
        <w:spacing w:after="0" w:line="240" w:lineRule="auto"/>
        <w:rPr>
          <w:rFonts w:ascii="Times New Roman" w:hAnsi="Times New Roman" w:cs="Times New Roman"/>
          <w:sz w:val="24"/>
          <w:szCs w:val="24"/>
        </w:rPr>
      </w:pPr>
      <w:r w:rsidRPr="00E059CA">
        <w:rPr>
          <w:rFonts w:ascii="Times New Roman" w:hAnsi="Times New Roman" w:cs="Times New Roman"/>
          <w:sz w:val="24"/>
          <w:szCs w:val="24"/>
        </w:rPr>
        <w:t>N</w:t>
      </w:r>
      <w:r w:rsidRPr="00E059CA" w:rsidR="0009058B">
        <w:rPr>
          <w:rFonts w:ascii="Times New Roman" w:hAnsi="Times New Roman" w:cs="Times New Roman"/>
          <w:sz w:val="24"/>
          <w:szCs w:val="24"/>
        </w:rPr>
        <w:t>o exemption is being requested.</w:t>
      </w:r>
      <w:r w:rsidRPr="00E059CA" w:rsidR="00E0787D">
        <w:rPr>
          <w:rFonts w:ascii="Times New Roman" w:hAnsi="Times New Roman" w:cs="Times New Roman"/>
          <w:sz w:val="24"/>
          <w:szCs w:val="24"/>
        </w:rPr>
        <w:t xml:space="preserve"> The display of the expiration date is not inappropriate.</w:t>
      </w:r>
    </w:p>
    <w:p w:rsidRPr="00E059CA" w:rsidR="009D108F" w:rsidP="005242B1" w:rsidRDefault="009D108F" w14:paraId="18F86219" w14:textId="77777777">
      <w:pPr>
        <w:pStyle w:val="Heading2"/>
        <w:spacing w:line="240" w:lineRule="auto"/>
      </w:pPr>
      <w:bookmarkStart w:name="_Toc457379318" w:id="33"/>
      <w:r w:rsidRPr="00E059CA">
        <w:lastRenderedPageBreak/>
        <w:t>18</w:t>
      </w:r>
      <w:r w:rsidRPr="00E059CA" w:rsidR="00E90B7E">
        <w:t>.</w:t>
      </w:r>
      <w:r w:rsidRPr="00E059CA">
        <w:t xml:space="preserve"> Exceptions to Certification for Paperwork Reduction Act Submissions</w:t>
      </w:r>
      <w:bookmarkEnd w:id="33"/>
    </w:p>
    <w:p w:rsidRPr="00E059CA" w:rsidR="004F715A" w:rsidP="00E777D0" w:rsidRDefault="009D108F" w14:paraId="0BD814CE" w14:textId="77777777">
      <w:pPr>
        <w:spacing w:line="240" w:lineRule="auto"/>
        <w:rPr>
          <w:rStyle w:val="Heading2Char"/>
          <w:b w:val="0"/>
        </w:rPr>
      </w:pPr>
      <w:r w:rsidRPr="00E059CA">
        <w:rPr>
          <w:rFonts w:ascii="Times New Roman" w:hAnsi="Times New Roman" w:cs="Times New Roman"/>
          <w:sz w:val="24"/>
          <w:szCs w:val="24"/>
        </w:rPr>
        <w:t>There are no e</w:t>
      </w:r>
      <w:r w:rsidRPr="00E059CA" w:rsidR="00A8174C">
        <w:rPr>
          <w:rFonts w:ascii="Times New Roman" w:hAnsi="Times New Roman" w:cs="Times New Roman"/>
          <w:sz w:val="24"/>
          <w:szCs w:val="24"/>
        </w:rPr>
        <w:t>xceptions to the certification.</w:t>
      </w:r>
    </w:p>
    <w:p w:rsidRPr="00E059CA" w:rsidR="00537479" w:rsidP="005242B1" w:rsidRDefault="00537479" w14:paraId="7BA2CD64" w14:textId="77777777">
      <w:pPr>
        <w:tabs>
          <w:tab w:val="left" w:pos="0"/>
        </w:tabs>
        <w:spacing w:line="240" w:lineRule="auto"/>
        <w:rPr>
          <w:rStyle w:val="Heading2Char"/>
        </w:rPr>
      </w:pPr>
    </w:p>
    <w:p w:rsidRPr="00E059CA" w:rsidR="00537479" w:rsidP="00A54DA5" w:rsidRDefault="00153F5B" w14:paraId="2FAE7C20" w14:textId="77777777">
      <w:pPr>
        <w:tabs>
          <w:tab w:val="left" w:pos="0"/>
        </w:tabs>
        <w:spacing w:line="240" w:lineRule="auto"/>
        <w:rPr>
          <w:rStyle w:val="Heading2Char"/>
        </w:rPr>
      </w:pPr>
      <w:bookmarkStart w:name="_Toc457379319" w:id="34"/>
      <w:r w:rsidRPr="00E059CA">
        <w:rPr>
          <w:rStyle w:val="Heading2Char"/>
        </w:rPr>
        <w:t>ATTACHMENTS</w:t>
      </w:r>
      <w:bookmarkEnd w:id="34"/>
    </w:p>
    <w:p w:rsidRPr="00E059CA" w:rsidR="00BC0061" w:rsidP="00A54DA5" w:rsidRDefault="00BC0061" w14:paraId="53DCA8C5" w14:textId="77777777">
      <w:pPr>
        <w:tabs>
          <w:tab w:val="left" w:pos="0"/>
        </w:tabs>
        <w:spacing w:line="240" w:lineRule="auto"/>
        <w:rPr>
          <w:rFonts w:ascii="Times New Roman" w:hAnsi="Times New Roman" w:cs="Times New Roman"/>
          <w:b/>
          <w:sz w:val="24"/>
          <w:szCs w:val="24"/>
        </w:rPr>
      </w:pPr>
      <w:r w:rsidRPr="00E059CA">
        <w:rPr>
          <w:rFonts w:ascii="Times New Roman" w:hAnsi="Times New Roman" w:cs="Times New Roman"/>
          <w:b/>
          <w:sz w:val="24"/>
          <w:szCs w:val="24"/>
        </w:rPr>
        <w:t>A</w:t>
      </w:r>
      <w:r w:rsidRPr="00E059CA" w:rsidR="00C55014">
        <w:rPr>
          <w:rFonts w:ascii="Times New Roman" w:hAnsi="Times New Roman" w:cs="Times New Roman"/>
          <w:b/>
          <w:sz w:val="24"/>
          <w:szCs w:val="24"/>
        </w:rPr>
        <w:t>1</w:t>
      </w:r>
      <w:r w:rsidRPr="00E059CA">
        <w:rPr>
          <w:rFonts w:ascii="Times New Roman" w:hAnsi="Times New Roman" w:cs="Times New Roman"/>
          <w:b/>
          <w:sz w:val="24"/>
          <w:szCs w:val="24"/>
        </w:rPr>
        <w:t xml:space="preserve">: </w:t>
      </w:r>
      <w:r w:rsidRPr="00E059CA" w:rsidR="00C55014">
        <w:rPr>
          <w:rFonts w:ascii="Times New Roman" w:hAnsi="Times New Roman" w:cs="Times New Roman"/>
          <w:sz w:val="24"/>
          <w:szCs w:val="24"/>
        </w:rPr>
        <w:t>Section 361 of the Public Health Service Act</w:t>
      </w:r>
    </w:p>
    <w:p w:rsidRPr="00E059CA" w:rsidR="00C55014" w:rsidP="00BC0061" w:rsidRDefault="00C55014" w14:paraId="534382E7" w14:textId="77777777">
      <w:pPr>
        <w:rPr>
          <w:rFonts w:ascii="Times New Roman" w:hAnsi="Times New Roman" w:cs="Times New Roman"/>
          <w:b/>
          <w:sz w:val="24"/>
          <w:szCs w:val="24"/>
        </w:rPr>
      </w:pPr>
      <w:r w:rsidRPr="00E059CA">
        <w:rPr>
          <w:rFonts w:ascii="Times New Roman" w:hAnsi="Times New Roman" w:cs="Times New Roman"/>
          <w:b/>
          <w:sz w:val="24"/>
          <w:szCs w:val="24"/>
        </w:rPr>
        <w:t xml:space="preserve">A2: </w:t>
      </w:r>
      <w:r w:rsidRPr="00E059CA">
        <w:rPr>
          <w:rFonts w:ascii="Times New Roman" w:hAnsi="Times New Roman" w:cs="Times New Roman"/>
          <w:sz w:val="24"/>
          <w:szCs w:val="24"/>
        </w:rPr>
        <w:t>42 CFR Part 70</w:t>
      </w:r>
    </w:p>
    <w:p w:rsidR="00C55014" w:rsidP="00BC0061" w:rsidRDefault="00C55014" w14:paraId="6001C2FD" w14:textId="7EAC3CE9">
      <w:pPr>
        <w:rPr>
          <w:rFonts w:ascii="Times New Roman" w:hAnsi="Times New Roman" w:cs="Times New Roman"/>
          <w:sz w:val="24"/>
          <w:szCs w:val="24"/>
        </w:rPr>
      </w:pPr>
      <w:r w:rsidRPr="00E059CA">
        <w:rPr>
          <w:rFonts w:ascii="Times New Roman" w:hAnsi="Times New Roman" w:cs="Times New Roman"/>
          <w:b/>
          <w:sz w:val="24"/>
          <w:szCs w:val="24"/>
        </w:rPr>
        <w:t xml:space="preserve">A3: </w:t>
      </w:r>
      <w:r w:rsidRPr="00E059CA">
        <w:rPr>
          <w:rFonts w:ascii="Times New Roman" w:hAnsi="Times New Roman" w:cs="Times New Roman"/>
          <w:sz w:val="24"/>
          <w:szCs w:val="24"/>
        </w:rPr>
        <w:t>42 CFR Part 71</w:t>
      </w:r>
    </w:p>
    <w:p w:rsidR="00E22D97" w:rsidP="00BC0061" w:rsidRDefault="00E22D97" w14:paraId="30A9ABE9" w14:textId="28A82413">
      <w:pPr>
        <w:rPr>
          <w:rFonts w:ascii="Times New Roman" w:hAnsi="Times New Roman" w:cs="Times New Roman"/>
          <w:sz w:val="24"/>
          <w:szCs w:val="24"/>
        </w:rPr>
      </w:pPr>
      <w:r w:rsidRPr="00BC0C85">
        <w:rPr>
          <w:rFonts w:ascii="Times New Roman" w:hAnsi="Times New Roman" w:cs="Times New Roman"/>
          <w:b/>
          <w:bCs/>
          <w:sz w:val="24"/>
          <w:szCs w:val="24"/>
        </w:rPr>
        <w:t>A4:</w:t>
      </w:r>
      <w:r>
        <w:rPr>
          <w:rFonts w:ascii="Times New Roman" w:hAnsi="Times New Roman" w:cs="Times New Roman"/>
          <w:sz w:val="24"/>
          <w:szCs w:val="24"/>
        </w:rPr>
        <w:t xml:space="preserve"> Section 301</w:t>
      </w:r>
      <w:r w:rsidRPr="007A773D" w:rsidR="007A773D">
        <w:t xml:space="preserve"> </w:t>
      </w:r>
      <w:r w:rsidRPr="007A773D" w:rsidR="007A773D">
        <w:rPr>
          <w:rFonts w:ascii="Times New Roman" w:hAnsi="Times New Roman" w:cs="Times New Roman"/>
          <w:sz w:val="24"/>
          <w:szCs w:val="24"/>
        </w:rPr>
        <w:t>of the Public Health Service Act</w:t>
      </w:r>
    </w:p>
    <w:p w:rsidRPr="00E059CA" w:rsidR="00E22D97" w:rsidP="00BC0061" w:rsidRDefault="00E22D97" w14:paraId="00BD95B4" w14:textId="0C452F2C">
      <w:pPr>
        <w:rPr>
          <w:rFonts w:ascii="Times New Roman" w:hAnsi="Times New Roman" w:cs="Times New Roman"/>
          <w:b/>
          <w:sz w:val="24"/>
          <w:szCs w:val="24"/>
        </w:rPr>
      </w:pPr>
      <w:r w:rsidRPr="00BC0C85">
        <w:rPr>
          <w:rFonts w:ascii="Times New Roman" w:hAnsi="Times New Roman" w:cs="Times New Roman"/>
          <w:b/>
          <w:bCs/>
          <w:sz w:val="24"/>
          <w:szCs w:val="24"/>
        </w:rPr>
        <w:t>A5:</w:t>
      </w:r>
      <w:r>
        <w:rPr>
          <w:rFonts w:ascii="Times New Roman" w:hAnsi="Times New Roman" w:cs="Times New Roman"/>
          <w:sz w:val="24"/>
          <w:szCs w:val="24"/>
        </w:rPr>
        <w:t xml:space="preserve"> Section 311</w:t>
      </w:r>
      <w:r w:rsidRPr="007A773D" w:rsidR="007A773D">
        <w:t xml:space="preserve"> </w:t>
      </w:r>
      <w:r w:rsidRPr="007A773D" w:rsidR="007A773D">
        <w:rPr>
          <w:rFonts w:ascii="Times New Roman" w:hAnsi="Times New Roman" w:cs="Times New Roman"/>
          <w:sz w:val="24"/>
          <w:szCs w:val="24"/>
        </w:rPr>
        <w:t>of the Public Health Service Act</w:t>
      </w:r>
    </w:p>
    <w:p w:rsidRPr="00E059CA" w:rsidR="00BC0061" w:rsidP="00BC0061" w:rsidRDefault="00BC0061" w14:paraId="3EA25367" w14:textId="219A2BB9">
      <w:pPr>
        <w:rPr>
          <w:rFonts w:ascii="Times New Roman" w:hAnsi="Times New Roman" w:cs="Times New Roman"/>
          <w:b/>
          <w:sz w:val="24"/>
          <w:szCs w:val="24"/>
        </w:rPr>
      </w:pPr>
      <w:r w:rsidRPr="00E059CA">
        <w:rPr>
          <w:rFonts w:ascii="Times New Roman" w:hAnsi="Times New Roman" w:cs="Times New Roman"/>
          <w:b/>
          <w:sz w:val="24"/>
          <w:szCs w:val="24"/>
        </w:rPr>
        <w:t xml:space="preserve">B: </w:t>
      </w:r>
      <w:r w:rsidRPr="007A773D" w:rsidR="007A773D">
        <w:rPr>
          <w:rFonts w:ascii="Times New Roman" w:hAnsi="Times New Roman" w:cs="Times New Roman"/>
          <w:bCs/>
          <w:sz w:val="24"/>
          <w:szCs w:val="24"/>
        </w:rPr>
        <w:t xml:space="preserve">Published </w:t>
      </w:r>
      <w:r w:rsidRPr="007A773D">
        <w:rPr>
          <w:rFonts w:ascii="Times New Roman" w:hAnsi="Times New Roman" w:cs="Times New Roman"/>
          <w:bCs/>
          <w:sz w:val="24"/>
          <w:szCs w:val="24"/>
        </w:rPr>
        <w:t>60</w:t>
      </w:r>
      <w:r w:rsidR="007734C1">
        <w:rPr>
          <w:rFonts w:ascii="Times New Roman" w:hAnsi="Times New Roman" w:cs="Times New Roman"/>
          <w:sz w:val="24"/>
          <w:szCs w:val="24"/>
        </w:rPr>
        <w:t>-D</w:t>
      </w:r>
      <w:r w:rsidRPr="00E059CA">
        <w:rPr>
          <w:rFonts w:ascii="Times New Roman" w:hAnsi="Times New Roman" w:cs="Times New Roman"/>
          <w:sz w:val="24"/>
          <w:szCs w:val="24"/>
        </w:rPr>
        <w:t>ay</w:t>
      </w:r>
      <w:r w:rsidR="007734C1">
        <w:rPr>
          <w:rFonts w:ascii="Times New Roman" w:hAnsi="Times New Roman" w:cs="Times New Roman"/>
          <w:sz w:val="24"/>
          <w:szCs w:val="24"/>
        </w:rPr>
        <w:t xml:space="preserve"> FRN</w:t>
      </w:r>
      <w:r w:rsidRPr="00E059CA">
        <w:rPr>
          <w:rFonts w:ascii="Times New Roman" w:hAnsi="Times New Roman" w:cs="Times New Roman"/>
          <w:sz w:val="24"/>
          <w:szCs w:val="24"/>
        </w:rPr>
        <w:t xml:space="preserve"> </w:t>
      </w:r>
      <w:r w:rsidR="007734C1">
        <w:rPr>
          <w:rFonts w:ascii="Times New Roman" w:hAnsi="Times New Roman" w:cs="Times New Roman"/>
          <w:sz w:val="24"/>
          <w:szCs w:val="24"/>
        </w:rPr>
        <w:t>N</w:t>
      </w:r>
      <w:r w:rsidRPr="00E059CA">
        <w:rPr>
          <w:rFonts w:ascii="Times New Roman" w:hAnsi="Times New Roman" w:cs="Times New Roman"/>
          <w:sz w:val="24"/>
          <w:szCs w:val="24"/>
        </w:rPr>
        <w:t>otice</w:t>
      </w:r>
    </w:p>
    <w:p w:rsidRPr="00E9334C" w:rsidR="004823ED" w:rsidP="004823ED" w:rsidRDefault="007A773D" w14:paraId="1A8B5307" w14:textId="62F1401C">
      <w:pPr>
        <w:rPr>
          <w:rFonts w:ascii="Times New Roman" w:hAnsi="Times New Roman" w:cs="Times New Roman"/>
          <w:b/>
          <w:sz w:val="24"/>
          <w:szCs w:val="24"/>
        </w:rPr>
      </w:pPr>
      <w:r>
        <w:rPr>
          <w:rFonts w:ascii="Times New Roman" w:hAnsi="Times New Roman" w:cs="Times New Roman"/>
          <w:b/>
          <w:sz w:val="24"/>
          <w:szCs w:val="24"/>
        </w:rPr>
        <w:t>C</w:t>
      </w:r>
      <w:r w:rsidRPr="00E059CA" w:rsidR="00BC0061">
        <w:rPr>
          <w:rFonts w:ascii="Times New Roman" w:hAnsi="Times New Roman" w:cs="Times New Roman"/>
          <w:b/>
          <w:sz w:val="24"/>
          <w:szCs w:val="24"/>
        </w:rPr>
        <w:t xml:space="preserve">: </w:t>
      </w:r>
      <w:proofErr w:type="spellStart"/>
      <w:r w:rsidRPr="00E059CA" w:rsidR="004823ED">
        <w:rPr>
          <w:rFonts w:ascii="Times New Roman" w:hAnsi="Times New Roman" w:cs="Times New Roman"/>
          <w:sz w:val="24"/>
          <w:szCs w:val="24"/>
        </w:rPr>
        <w:t>Cure</w:t>
      </w:r>
      <w:bookmarkStart w:name="_GoBack" w:id="35"/>
      <w:bookmarkEnd w:id="35"/>
      <w:r w:rsidRPr="00E059CA" w:rsidR="004823ED">
        <w:rPr>
          <w:rFonts w:ascii="Times New Roman" w:hAnsi="Times New Roman" w:cs="Times New Roman"/>
          <w:sz w:val="24"/>
          <w:szCs w:val="24"/>
        </w:rPr>
        <w:t>TB</w:t>
      </w:r>
      <w:proofErr w:type="spellEnd"/>
      <w:r w:rsidRPr="00E059CA" w:rsidR="004823ED">
        <w:rPr>
          <w:rFonts w:ascii="Times New Roman" w:hAnsi="Times New Roman" w:cs="Times New Roman"/>
          <w:sz w:val="24"/>
          <w:szCs w:val="24"/>
        </w:rPr>
        <w:t xml:space="preserve"> Transnational Notification</w:t>
      </w:r>
    </w:p>
    <w:p w:rsidR="00BC0061" w:rsidRDefault="00E9334C" w14:paraId="6DFCFB19" w14:textId="0691BFA8">
      <w:pPr>
        <w:rPr>
          <w:rFonts w:ascii="Times New Roman" w:hAnsi="Times New Roman" w:cs="Times New Roman"/>
          <w:sz w:val="24"/>
          <w:szCs w:val="24"/>
        </w:rPr>
      </w:pPr>
      <w:r>
        <w:rPr>
          <w:rFonts w:ascii="Times New Roman" w:hAnsi="Times New Roman" w:cs="Times New Roman"/>
          <w:b/>
          <w:sz w:val="24"/>
          <w:szCs w:val="24"/>
        </w:rPr>
        <w:t>D</w:t>
      </w:r>
      <w:r w:rsidRPr="00E059CA" w:rsidR="004823ED">
        <w:rPr>
          <w:rFonts w:ascii="Times New Roman" w:hAnsi="Times New Roman" w:cs="Times New Roman"/>
          <w:b/>
          <w:sz w:val="24"/>
          <w:szCs w:val="24"/>
        </w:rPr>
        <w:t xml:space="preserve">: </w:t>
      </w:r>
      <w:proofErr w:type="spellStart"/>
      <w:r w:rsidRPr="00E059CA" w:rsidR="004823ED">
        <w:rPr>
          <w:rFonts w:ascii="Times New Roman" w:hAnsi="Times New Roman" w:cs="Times New Roman"/>
          <w:sz w:val="24"/>
          <w:szCs w:val="24"/>
        </w:rPr>
        <w:t>CureTB</w:t>
      </w:r>
      <w:proofErr w:type="spellEnd"/>
      <w:r w:rsidRPr="00E059CA" w:rsidR="004823ED">
        <w:rPr>
          <w:rFonts w:ascii="Times New Roman" w:hAnsi="Times New Roman" w:cs="Times New Roman"/>
          <w:sz w:val="24"/>
          <w:szCs w:val="24"/>
        </w:rPr>
        <w:t xml:space="preserve"> Contact/Source Investigation (CI/SI) Notification</w:t>
      </w:r>
    </w:p>
    <w:p w:rsidRPr="00246E8C" w:rsidR="00BD0639" w:rsidRDefault="00E9334C" w14:paraId="710C1560" w14:textId="5D634391">
      <w:pPr>
        <w:rPr>
          <w:rFonts w:ascii="Times New Roman" w:hAnsi="Times New Roman" w:cs="Times New Roman"/>
          <w:sz w:val="24"/>
          <w:szCs w:val="24"/>
        </w:rPr>
      </w:pPr>
      <w:r>
        <w:rPr>
          <w:rFonts w:ascii="Times New Roman" w:hAnsi="Times New Roman" w:cs="Times New Roman"/>
          <w:b/>
          <w:sz w:val="24"/>
          <w:szCs w:val="24"/>
        </w:rPr>
        <w:t>E</w:t>
      </w:r>
      <w:r w:rsidR="00BD0639">
        <w:rPr>
          <w:rFonts w:ascii="Times New Roman" w:hAnsi="Times New Roman" w:cs="Times New Roman"/>
          <w:b/>
          <w:sz w:val="24"/>
          <w:szCs w:val="24"/>
        </w:rPr>
        <w:t>:</w:t>
      </w:r>
      <w:r w:rsidR="00BD0639">
        <w:rPr>
          <w:rFonts w:ascii="Times New Roman" w:hAnsi="Times New Roman" w:cs="Times New Roman"/>
          <w:sz w:val="24"/>
          <w:szCs w:val="24"/>
        </w:rPr>
        <w:t xml:space="preserve"> </w:t>
      </w:r>
      <w:proofErr w:type="spellStart"/>
      <w:r w:rsidR="00BD0639">
        <w:rPr>
          <w:rFonts w:ascii="Times New Roman" w:hAnsi="Times New Roman" w:cs="Times New Roman"/>
          <w:sz w:val="24"/>
          <w:szCs w:val="24"/>
        </w:rPr>
        <w:t>CureTB</w:t>
      </w:r>
      <w:proofErr w:type="spellEnd"/>
      <w:r w:rsidR="00BD0639">
        <w:rPr>
          <w:rFonts w:ascii="Times New Roman" w:hAnsi="Times New Roman" w:cs="Times New Roman"/>
          <w:sz w:val="24"/>
          <w:szCs w:val="24"/>
        </w:rPr>
        <w:t xml:space="preserve"> Physician Public Hea</w:t>
      </w:r>
      <w:r w:rsidR="009F27B1">
        <w:rPr>
          <w:rFonts w:ascii="Times New Roman" w:hAnsi="Times New Roman" w:cs="Times New Roman"/>
          <w:sz w:val="24"/>
          <w:szCs w:val="24"/>
        </w:rPr>
        <w:t>lth Department Follow</w:t>
      </w:r>
      <w:r w:rsidR="005B587E">
        <w:rPr>
          <w:rFonts w:ascii="Times New Roman" w:hAnsi="Times New Roman" w:cs="Times New Roman"/>
          <w:sz w:val="24"/>
          <w:szCs w:val="24"/>
        </w:rPr>
        <w:t>-U</w:t>
      </w:r>
      <w:r w:rsidR="009F27B1">
        <w:rPr>
          <w:rFonts w:ascii="Times New Roman" w:hAnsi="Times New Roman" w:cs="Times New Roman"/>
          <w:sz w:val="24"/>
          <w:szCs w:val="24"/>
        </w:rPr>
        <w:t>p Script</w:t>
      </w:r>
    </w:p>
    <w:p w:rsidR="007A773D" w:rsidP="007A773D" w:rsidRDefault="00E9334C" w14:paraId="0EBE108B" w14:textId="1A326E94">
      <w:pPr>
        <w:rPr>
          <w:rFonts w:ascii="Times New Roman" w:hAnsi="Times New Roman" w:cs="Times New Roman"/>
          <w:sz w:val="24"/>
          <w:szCs w:val="24"/>
        </w:rPr>
      </w:pPr>
      <w:r>
        <w:rPr>
          <w:rFonts w:ascii="Times New Roman" w:hAnsi="Times New Roman" w:cs="Times New Roman"/>
          <w:b/>
          <w:sz w:val="24"/>
          <w:szCs w:val="24"/>
        </w:rPr>
        <w:t>F</w:t>
      </w:r>
      <w:r w:rsidRPr="00E059CA" w:rsidR="007A773D">
        <w:rPr>
          <w:rFonts w:ascii="Times New Roman" w:hAnsi="Times New Roman" w:cs="Times New Roman"/>
          <w:b/>
          <w:sz w:val="24"/>
          <w:szCs w:val="24"/>
        </w:rPr>
        <w:t xml:space="preserve">: </w:t>
      </w:r>
      <w:r w:rsidRPr="00E059CA" w:rsidR="007A773D">
        <w:rPr>
          <w:rFonts w:ascii="Times New Roman" w:hAnsi="Times New Roman" w:cs="Times New Roman"/>
          <w:sz w:val="24"/>
          <w:szCs w:val="24"/>
        </w:rPr>
        <w:t>IRB Determination</w:t>
      </w:r>
    </w:p>
    <w:p w:rsidRPr="00E059CA" w:rsidR="00F04A91" w:rsidP="007A773D" w:rsidRDefault="00F04A91" w14:paraId="1BC8E7E1" w14:textId="2CF9ECBE">
      <w:pPr>
        <w:rPr>
          <w:rFonts w:ascii="Times New Roman" w:hAnsi="Times New Roman" w:cs="Times New Roman"/>
          <w:b/>
          <w:sz w:val="24"/>
          <w:szCs w:val="24"/>
        </w:rPr>
      </w:pPr>
      <w:r w:rsidRPr="00F04A91">
        <w:rPr>
          <w:rFonts w:ascii="Times New Roman" w:hAnsi="Times New Roman" w:cs="Times New Roman"/>
          <w:b/>
          <w:bCs/>
          <w:sz w:val="24"/>
          <w:szCs w:val="24"/>
        </w:rPr>
        <w:t>G</w:t>
      </w:r>
      <w:r>
        <w:rPr>
          <w:rFonts w:ascii="Times New Roman" w:hAnsi="Times New Roman" w:cs="Times New Roman"/>
          <w:sz w:val="24"/>
          <w:szCs w:val="24"/>
        </w:rPr>
        <w:t>: Privacy Impact Assessment</w:t>
      </w:r>
    </w:p>
    <w:sectPr w:rsidRPr="00E059CA" w:rsidR="00F04A91" w:rsidSect="004C7514">
      <w:headerReference w:type="default" r:id="rId19"/>
      <w:footerReference w:type="default" r:id="rId20"/>
      <w:headerReference w:type="first" r:id="rId21"/>
      <w:footerReference w:type="first" r:id="rId22"/>
      <w:pgSz w:w="12240" w:h="15840"/>
      <w:pgMar w:top="1440" w:right="1440" w:bottom="1440" w:left="1440"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04942" w14:textId="77777777" w:rsidR="002B2F72" w:rsidRDefault="002B2F72" w:rsidP="00CA2484">
      <w:pPr>
        <w:spacing w:after="0" w:line="240" w:lineRule="auto"/>
      </w:pPr>
      <w:r>
        <w:separator/>
      </w:r>
    </w:p>
  </w:endnote>
  <w:endnote w:type="continuationSeparator" w:id="0">
    <w:p w14:paraId="37B9EEEE" w14:textId="77777777" w:rsidR="002B2F72" w:rsidRDefault="002B2F72" w:rsidP="00CA2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D2F97" w14:textId="77777777" w:rsidR="00742747" w:rsidRDefault="007427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E8046" w14:textId="77777777" w:rsidR="00742747" w:rsidRDefault="007427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2038073"/>
      <w:docPartObj>
        <w:docPartGallery w:val="Page Numbers (Bottom of Page)"/>
        <w:docPartUnique/>
      </w:docPartObj>
    </w:sdtPr>
    <w:sdtEndPr>
      <w:rPr>
        <w:noProof/>
      </w:rPr>
    </w:sdtEndPr>
    <w:sdtContent>
      <w:p w14:paraId="29CD7C7B" w14:textId="77777777" w:rsidR="002B2F72" w:rsidRDefault="002B2F72" w:rsidP="00742747">
        <w:pPr>
          <w:pStyle w:val="Footer"/>
        </w:pPr>
        <w:r>
          <w:fldChar w:fldCharType="begin"/>
        </w:r>
        <w:r>
          <w:instrText xml:space="preserve"> PAGE   \* MERGEFORMAT </w:instrText>
        </w:r>
        <w:r>
          <w:fldChar w:fldCharType="separate"/>
        </w:r>
        <w:r>
          <w:rPr>
            <w:noProof/>
          </w:rPr>
          <w:t>1</w:t>
        </w:r>
        <w:r>
          <w:rPr>
            <w:noProof/>
          </w:rPr>
          <w:fldChar w:fldCharType="end"/>
        </w:r>
      </w:p>
    </w:sdtContent>
  </w:sdt>
  <w:p w14:paraId="4B2D31AE" w14:textId="77777777" w:rsidR="002B2F72" w:rsidRDefault="002B2F7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5250195"/>
      <w:docPartObj>
        <w:docPartGallery w:val="Page Numbers (Bottom of Page)"/>
        <w:docPartUnique/>
      </w:docPartObj>
    </w:sdtPr>
    <w:sdtEndPr>
      <w:rPr>
        <w:noProof/>
      </w:rPr>
    </w:sdtEndPr>
    <w:sdtContent>
      <w:p w14:paraId="62A74A15" w14:textId="7CDA893A" w:rsidR="004C7514" w:rsidRDefault="004C7514" w:rsidP="00742747">
        <w:pPr>
          <w:pStyle w:val="Footer"/>
        </w:pPr>
        <w:r>
          <w:fldChar w:fldCharType="begin"/>
        </w:r>
        <w:r>
          <w:instrText xml:space="preserve"> PAGE   \* MERGEFORMAT </w:instrText>
        </w:r>
        <w:r>
          <w:fldChar w:fldCharType="separate"/>
        </w:r>
        <w:r>
          <w:rPr>
            <w:noProof/>
          </w:rPr>
          <w:t>2</w:t>
        </w:r>
        <w:r>
          <w:rPr>
            <w:noProof/>
          </w:rPr>
          <w:fldChar w:fldCharType="end"/>
        </w:r>
      </w:p>
    </w:sdtContent>
  </w:sdt>
  <w:p w14:paraId="16F10784" w14:textId="7A9449E1" w:rsidR="002B2F72" w:rsidRPr="00246E8C" w:rsidRDefault="002B2F72" w:rsidP="00E86739">
    <w:pPr>
      <w:pStyle w:val="Footer"/>
      <w:rPr>
        <w:rFonts w:ascii="Times New Roman" w:hAnsi="Times New Roman" w:cs="Times New Roman"/>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5710153"/>
      <w:docPartObj>
        <w:docPartGallery w:val="Page Numbers (Bottom of Page)"/>
        <w:docPartUnique/>
      </w:docPartObj>
    </w:sdtPr>
    <w:sdtEndPr>
      <w:rPr>
        <w:noProof/>
      </w:rPr>
    </w:sdtEndPr>
    <w:sdtContent>
      <w:p w14:paraId="0A4B2C6F" w14:textId="384EF302" w:rsidR="004C7514" w:rsidRDefault="004C7514" w:rsidP="00742747">
        <w:pPr>
          <w:pStyle w:val="Footer"/>
        </w:pPr>
        <w:r>
          <w:fldChar w:fldCharType="begin"/>
        </w:r>
        <w:r>
          <w:instrText xml:space="preserve"> PAGE   \* MERGEFORMAT </w:instrText>
        </w:r>
        <w:r>
          <w:fldChar w:fldCharType="separate"/>
        </w:r>
        <w:r>
          <w:rPr>
            <w:noProof/>
          </w:rPr>
          <w:t>2</w:t>
        </w:r>
        <w:r>
          <w:rPr>
            <w:noProof/>
          </w:rPr>
          <w:fldChar w:fldCharType="end"/>
        </w:r>
      </w:p>
    </w:sdtContent>
  </w:sdt>
  <w:p w14:paraId="50B694C8" w14:textId="77777777" w:rsidR="002B2F72" w:rsidRPr="00B1255E" w:rsidRDefault="002B2F72" w:rsidP="00B125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908F6" w14:textId="77777777" w:rsidR="002B2F72" w:rsidRDefault="002B2F72" w:rsidP="00CA2484">
      <w:pPr>
        <w:spacing w:after="0" w:line="240" w:lineRule="auto"/>
      </w:pPr>
      <w:r>
        <w:separator/>
      </w:r>
    </w:p>
  </w:footnote>
  <w:footnote w:type="continuationSeparator" w:id="0">
    <w:p w14:paraId="3814FD05" w14:textId="77777777" w:rsidR="002B2F72" w:rsidRDefault="002B2F72" w:rsidP="00CA2484">
      <w:pPr>
        <w:spacing w:after="0" w:line="240" w:lineRule="auto"/>
      </w:pPr>
      <w:r>
        <w:continuationSeparator/>
      </w:r>
    </w:p>
  </w:footnote>
  <w:footnote w:id="1">
    <w:p w14:paraId="6F6F5005" w14:textId="3E3C8E44" w:rsidR="002B2F72" w:rsidRPr="00E4409B" w:rsidRDefault="002B2F72" w:rsidP="001228D5">
      <w:pPr>
        <w:pStyle w:val="Footer"/>
        <w:rPr>
          <w:rFonts w:ascii="Times New Roman" w:hAnsi="Times New Roman" w:cs="Times New Roman"/>
        </w:rPr>
      </w:pPr>
      <w:r w:rsidRPr="00E4409B">
        <w:rPr>
          <w:rStyle w:val="FootnoteReference"/>
          <w:rFonts w:ascii="Times New Roman" w:hAnsi="Times New Roman" w:cs="Times New Roman"/>
        </w:rPr>
        <w:footnoteRef/>
      </w:r>
      <w:r w:rsidRPr="00E4409B">
        <w:rPr>
          <w:rFonts w:ascii="Times New Roman" w:hAnsi="Times New Roman" w:cs="Times New Roman"/>
        </w:rPr>
        <w:t xml:space="preserve"> </w:t>
      </w:r>
      <w:hyperlink r:id="rId1" w:history="1">
        <w:r w:rsidRPr="00E4409B">
          <w:rPr>
            <w:rFonts w:ascii="Times New Roman" w:hAnsi="Times New Roman" w:cs="Times New Roman"/>
            <w:color w:val="0000FF"/>
            <w:u w:val="single"/>
          </w:rPr>
          <w:t>https://data.worldbank.org/indicator/PA.NUS.PPP?locations=MX</w:t>
        </w:r>
      </w:hyperlink>
    </w:p>
    <w:p w14:paraId="43CC1559" w14:textId="6A238341" w:rsidR="002B2F72" w:rsidRDefault="002B2F7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2AA43" w14:textId="77777777" w:rsidR="00742747" w:rsidRDefault="007427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77FAC" w14:textId="77777777" w:rsidR="00742747" w:rsidRDefault="007427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CD715" w14:textId="77777777" w:rsidR="002B2F72" w:rsidRDefault="002B2F72" w:rsidP="00E86739">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680ED" w14:textId="77777777" w:rsidR="002B2F72" w:rsidRPr="00716F94" w:rsidRDefault="002B2F72" w:rsidP="00E86739">
    <w:pPr>
      <w:pStyle w:val="Header"/>
      <w:tabs>
        <w:tab w:val="clear" w:pos="4680"/>
      </w:tabs>
      <w:contextualSpacing/>
      <w:rPr>
        <w:color w:val="0033CC"/>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A2181" w14:textId="77777777" w:rsidR="002B2F72" w:rsidRDefault="002B2F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26326"/>
    <w:multiLevelType w:val="hybridMultilevel"/>
    <w:tmpl w:val="B9FA51A6"/>
    <w:lvl w:ilvl="0" w:tplc="6D7482F8">
      <w:start w:val="1"/>
      <w:numFmt w:val="decimal"/>
      <w:lvlText w:val="%1)"/>
      <w:lvlJc w:val="left"/>
      <w:pPr>
        <w:ind w:left="720" w:hanging="360"/>
      </w:pPr>
      <w:rPr>
        <w:rFonts w:ascii="Times New Roman" w:eastAsiaTheme="minorEastAsia" w:hAnsi="Times New Roman" w:cs="Times New Roman"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D73D98"/>
    <w:multiLevelType w:val="hybridMultilevel"/>
    <w:tmpl w:val="7E005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B1BAD"/>
    <w:multiLevelType w:val="hybridMultilevel"/>
    <w:tmpl w:val="4AA03050"/>
    <w:lvl w:ilvl="0" w:tplc="E88A9546">
      <w:start w:val="1"/>
      <w:numFmt w:val="upp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BE4490"/>
    <w:multiLevelType w:val="hybridMultilevel"/>
    <w:tmpl w:val="61927E9E"/>
    <w:lvl w:ilvl="0" w:tplc="96C6C9A6">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BF2488"/>
    <w:multiLevelType w:val="hybridMultilevel"/>
    <w:tmpl w:val="3E3E3E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5" w15:restartNumberingAfterBreak="0">
    <w:nsid w:val="2C683BFB"/>
    <w:multiLevelType w:val="hybridMultilevel"/>
    <w:tmpl w:val="85C20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31467E93"/>
    <w:multiLevelType w:val="hybridMultilevel"/>
    <w:tmpl w:val="B9FA51A6"/>
    <w:lvl w:ilvl="0" w:tplc="6D7482F8">
      <w:start w:val="1"/>
      <w:numFmt w:val="decimal"/>
      <w:lvlText w:val="%1)"/>
      <w:lvlJc w:val="left"/>
      <w:pPr>
        <w:ind w:left="720" w:hanging="360"/>
      </w:pPr>
      <w:rPr>
        <w:rFonts w:ascii="Times New Roman" w:eastAsiaTheme="minorEastAsia" w:hAnsi="Times New Roman" w:cs="Times New Roman"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DE2AB8"/>
    <w:multiLevelType w:val="hybridMultilevel"/>
    <w:tmpl w:val="3CFAA7D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8700C85"/>
    <w:multiLevelType w:val="hybridMultilevel"/>
    <w:tmpl w:val="07A0C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9"/>
  </w:num>
  <w:num w:numId="4">
    <w:abstractNumId w:val="6"/>
  </w:num>
  <w:num w:numId="5">
    <w:abstractNumId w:val="3"/>
  </w:num>
  <w:num w:numId="6">
    <w:abstractNumId w:val="5"/>
  </w:num>
  <w:num w:numId="7">
    <w:abstractNumId w:val="1"/>
  </w:num>
  <w:num w:numId="8">
    <w:abstractNumId w:val="7"/>
  </w:num>
  <w:num w:numId="9">
    <w:abstractNumId w:val="0"/>
  </w:num>
  <w:num w:numId="10">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8F5"/>
    <w:rsid w:val="00005E3D"/>
    <w:rsid w:val="000069FD"/>
    <w:rsid w:val="00013D31"/>
    <w:rsid w:val="00014078"/>
    <w:rsid w:val="00014F12"/>
    <w:rsid w:val="00016BE9"/>
    <w:rsid w:val="000200A5"/>
    <w:rsid w:val="00023F5B"/>
    <w:rsid w:val="00024623"/>
    <w:rsid w:val="00026A29"/>
    <w:rsid w:val="00031357"/>
    <w:rsid w:val="00036481"/>
    <w:rsid w:val="000377D2"/>
    <w:rsid w:val="00044EE4"/>
    <w:rsid w:val="00054917"/>
    <w:rsid w:val="00055918"/>
    <w:rsid w:val="000621DC"/>
    <w:rsid w:val="00063069"/>
    <w:rsid w:val="0006718E"/>
    <w:rsid w:val="000672A0"/>
    <w:rsid w:val="0007322E"/>
    <w:rsid w:val="0007404F"/>
    <w:rsid w:val="00074B0F"/>
    <w:rsid w:val="00076ADB"/>
    <w:rsid w:val="00077AB7"/>
    <w:rsid w:val="000810AF"/>
    <w:rsid w:val="000818F2"/>
    <w:rsid w:val="00084B16"/>
    <w:rsid w:val="00084BC2"/>
    <w:rsid w:val="00085A2C"/>
    <w:rsid w:val="00086A3D"/>
    <w:rsid w:val="00087140"/>
    <w:rsid w:val="0009058B"/>
    <w:rsid w:val="00091BBC"/>
    <w:rsid w:val="00091EF0"/>
    <w:rsid w:val="000A04A3"/>
    <w:rsid w:val="000A27C1"/>
    <w:rsid w:val="000A3085"/>
    <w:rsid w:val="000A4DD6"/>
    <w:rsid w:val="000A5274"/>
    <w:rsid w:val="000A5B6F"/>
    <w:rsid w:val="000A716E"/>
    <w:rsid w:val="000B1DDC"/>
    <w:rsid w:val="000B424C"/>
    <w:rsid w:val="000C0493"/>
    <w:rsid w:val="000C0BB1"/>
    <w:rsid w:val="000C32CD"/>
    <w:rsid w:val="000C768F"/>
    <w:rsid w:val="000C7EC9"/>
    <w:rsid w:val="000D3D4F"/>
    <w:rsid w:val="000D4286"/>
    <w:rsid w:val="000D4D0E"/>
    <w:rsid w:val="000D50A6"/>
    <w:rsid w:val="000E0809"/>
    <w:rsid w:val="000E0CD5"/>
    <w:rsid w:val="000E4CBD"/>
    <w:rsid w:val="000E64FE"/>
    <w:rsid w:val="000E6B3B"/>
    <w:rsid w:val="000F36A2"/>
    <w:rsid w:val="000F75AD"/>
    <w:rsid w:val="0010272B"/>
    <w:rsid w:val="001048BB"/>
    <w:rsid w:val="001060DE"/>
    <w:rsid w:val="00110F6B"/>
    <w:rsid w:val="0011521B"/>
    <w:rsid w:val="001214D7"/>
    <w:rsid w:val="001228D5"/>
    <w:rsid w:val="00122D4D"/>
    <w:rsid w:val="00124480"/>
    <w:rsid w:val="0012484D"/>
    <w:rsid w:val="00126345"/>
    <w:rsid w:val="00126354"/>
    <w:rsid w:val="001308D0"/>
    <w:rsid w:val="00134E88"/>
    <w:rsid w:val="001371B4"/>
    <w:rsid w:val="001402D9"/>
    <w:rsid w:val="00140B9F"/>
    <w:rsid w:val="00143BA8"/>
    <w:rsid w:val="0014514E"/>
    <w:rsid w:val="0014786A"/>
    <w:rsid w:val="0015132B"/>
    <w:rsid w:val="00152D0D"/>
    <w:rsid w:val="00153F5B"/>
    <w:rsid w:val="00156AE0"/>
    <w:rsid w:val="00156EE6"/>
    <w:rsid w:val="00162E25"/>
    <w:rsid w:val="001670D0"/>
    <w:rsid w:val="001677C3"/>
    <w:rsid w:val="001709E9"/>
    <w:rsid w:val="00172F07"/>
    <w:rsid w:val="00172F43"/>
    <w:rsid w:val="0017593A"/>
    <w:rsid w:val="00176453"/>
    <w:rsid w:val="00181618"/>
    <w:rsid w:val="0018302A"/>
    <w:rsid w:val="00185CD1"/>
    <w:rsid w:val="00192179"/>
    <w:rsid w:val="001968D8"/>
    <w:rsid w:val="001A10A8"/>
    <w:rsid w:val="001A11E2"/>
    <w:rsid w:val="001A1639"/>
    <w:rsid w:val="001A4FC4"/>
    <w:rsid w:val="001A7F6D"/>
    <w:rsid w:val="001B1930"/>
    <w:rsid w:val="001B34D0"/>
    <w:rsid w:val="001B69AC"/>
    <w:rsid w:val="001B77BB"/>
    <w:rsid w:val="001C2202"/>
    <w:rsid w:val="001C3549"/>
    <w:rsid w:val="001C588A"/>
    <w:rsid w:val="001D0BFD"/>
    <w:rsid w:val="001D2976"/>
    <w:rsid w:val="001D64AC"/>
    <w:rsid w:val="001E25A5"/>
    <w:rsid w:val="001E481B"/>
    <w:rsid w:val="001E6095"/>
    <w:rsid w:val="001E77B5"/>
    <w:rsid w:val="001F229E"/>
    <w:rsid w:val="001F3D8A"/>
    <w:rsid w:val="00200257"/>
    <w:rsid w:val="002011B1"/>
    <w:rsid w:val="002032D9"/>
    <w:rsid w:val="00204AA2"/>
    <w:rsid w:val="00206281"/>
    <w:rsid w:val="00213D78"/>
    <w:rsid w:val="00214217"/>
    <w:rsid w:val="00214AB7"/>
    <w:rsid w:val="00214D04"/>
    <w:rsid w:val="00220942"/>
    <w:rsid w:val="0022382E"/>
    <w:rsid w:val="00223A3E"/>
    <w:rsid w:val="002262BD"/>
    <w:rsid w:val="0022696E"/>
    <w:rsid w:val="00227DFA"/>
    <w:rsid w:val="002301D2"/>
    <w:rsid w:val="00233DC7"/>
    <w:rsid w:val="0023501E"/>
    <w:rsid w:val="00241C91"/>
    <w:rsid w:val="00245FF2"/>
    <w:rsid w:val="00246E8C"/>
    <w:rsid w:val="002474CC"/>
    <w:rsid w:val="00247D97"/>
    <w:rsid w:val="00252438"/>
    <w:rsid w:val="002537EE"/>
    <w:rsid w:val="00253B22"/>
    <w:rsid w:val="0025464F"/>
    <w:rsid w:val="00256177"/>
    <w:rsid w:val="00262F2E"/>
    <w:rsid w:val="00264B81"/>
    <w:rsid w:val="00267379"/>
    <w:rsid w:val="00270E1A"/>
    <w:rsid w:val="00270EAF"/>
    <w:rsid w:val="00273ADE"/>
    <w:rsid w:val="00276520"/>
    <w:rsid w:val="00280D9E"/>
    <w:rsid w:val="00281D76"/>
    <w:rsid w:val="00281F29"/>
    <w:rsid w:val="00282676"/>
    <w:rsid w:val="002844BF"/>
    <w:rsid w:val="00285B40"/>
    <w:rsid w:val="002933AB"/>
    <w:rsid w:val="00297E59"/>
    <w:rsid w:val="002A01DE"/>
    <w:rsid w:val="002A04A0"/>
    <w:rsid w:val="002A0E99"/>
    <w:rsid w:val="002A1209"/>
    <w:rsid w:val="002A1CEE"/>
    <w:rsid w:val="002A2E14"/>
    <w:rsid w:val="002A64A5"/>
    <w:rsid w:val="002B2F72"/>
    <w:rsid w:val="002B522B"/>
    <w:rsid w:val="002B549C"/>
    <w:rsid w:val="002B721D"/>
    <w:rsid w:val="002C4055"/>
    <w:rsid w:val="002C5CDA"/>
    <w:rsid w:val="002C5E12"/>
    <w:rsid w:val="002C7E67"/>
    <w:rsid w:val="002D144C"/>
    <w:rsid w:val="002D5A15"/>
    <w:rsid w:val="002D74FC"/>
    <w:rsid w:val="002D7ADA"/>
    <w:rsid w:val="002E2F0F"/>
    <w:rsid w:val="002E5CBA"/>
    <w:rsid w:val="002E6FA3"/>
    <w:rsid w:val="002E7B0A"/>
    <w:rsid w:val="002F1F4F"/>
    <w:rsid w:val="002F2A57"/>
    <w:rsid w:val="003009B6"/>
    <w:rsid w:val="00301AFD"/>
    <w:rsid w:val="00305094"/>
    <w:rsid w:val="003052A5"/>
    <w:rsid w:val="00305604"/>
    <w:rsid w:val="00306364"/>
    <w:rsid w:val="00313208"/>
    <w:rsid w:val="00314B04"/>
    <w:rsid w:val="00315F93"/>
    <w:rsid w:val="00316243"/>
    <w:rsid w:val="003166E5"/>
    <w:rsid w:val="0031796B"/>
    <w:rsid w:val="00317D29"/>
    <w:rsid w:val="003203D1"/>
    <w:rsid w:val="00320CFC"/>
    <w:rsid w:val="00322803"/>
    <w:rsid w:val="00322962"/>
    <w:rsid w:val="00322B92"/>
    <w:rsid w:val="00322C11"/>
    <w:rsid w:val="003306D3"/>
    <w:rsid w:val="00332D84"/>
    <w:rsid w:val="0033376B"/>
    <w:rsid w:val="00333A87"/>
    <w:rsid w:val="003358A2"/>
    <w:rsid w:val="0033686A"/>
    <w:rsid w:val="00337DB8"/>
    <w:rsid w:val="003452D8"/>
    <w:rsid w:val="00345E2B"/>
    <w:rsid w:val="0034737F"/>
    <w:rsid w:val="00350FC8"/>
    <w:rsid w:val="00351B58"/>
    <w:rsid w:val="00351B8F"/>
    <w:rsid w:val="00351E0B"/>
    <w:rsid w:val="00352A37"/>
    <w:rsid w:val="00353D19"/>
    <w:rsid w:val="00357697"/>
    <w:rsid w:val="00360787"/>
    <w:rsid w:val="00360910"/>
    <w:rsid w:val="003619A6"/>
    <w:rsid w:val="00366D38"/>
    <w:rsid w:val="00367877"/>
    <w:rsid w:val="00367A13"/>
    <w:rsid w:val="00371098"/>
    <w:rsid w:val="00372C3D"/>
    <w:rsid w:val="00375E94"/>
    <w:rsid w:val="003766F2"/>
    <w:rsid w:val="003810EF"/>
    <w:rsid w:val="003824AE"/>
    <w:rsid w:val="00386C8C"/>
    <w:rsid w:val="0039367D"/>
    <w:rsid w:val="003A0E59"/>
    <w:rsid w:val="003A62FB"/>
    <w:rsid w:val="003A7F0C"/>
    <w:rsid w:val="003B79D9"/>
    <w:rsid w:val="003B7A39"/>
    <w:rsid w:val="003B7CB5"/>
    <w:rsid w:val="003C189E"/>
    <w:rsid w:val="003D613E"/>
    <w:rsid w:val="003D761C"/>
    <w:rsid w:val="003E0BAC"/>
    <w:rsid w:val="003E3192"/>
    <w:rsid w:val="003E45EA"/>
    <w:rsid w:val="003E4971"/>
    <w:rsid w:val="003F0D82"/>
    <w:rsid w:val="003F1079"/>
    <w:rsid w:val="003F1D2E"/>
    <w:rsid w:val="003F5A30"/>
    <w:rsid w:val="003F6245"/>
    <w:rsid w:val="004018DD"/>
    <w:rsid w:val="00402242"/>
    <w:rsid w:val="004044F9"/>
    <w:rsid w:val="004059D8"/>
    <w:rsid w:val="00406BAF"/>
    <w:rsid w:val="004118FF"/>
    <w:rsid w:val="00415464"/>
    <w:rsid w:val="00416E80"/>
    <w:rsid w:val="00422302"/>
    <w:rsid w:val="00422C5B"/>
    <w:rsid w:val="004238EA"/>
    <w:rsid w:val="004253A4"/>
    <w:rsid w:val="00430F18"/>
    <w:rsid w:val="00430F93"/>
    <w:rsid w:val="004314F8"/>
    <w:rsid w:val="004331EF"/>
    <w:rsid w:val="00440C4A"/>
    <w:rsid w:val="00444546"/>
    <w:rsid w:val="00450CD0"/>
    <w:rsid w:val="00452771"/>
    <w:rsid w:val="004530D7"/>
    <w:rsid w:val="00453994"/>
    <w:rsid w:val="00457086"/>
    <w:rsid w:val="00470843"/>
    <w:rsid w:val="0047240F"/>
    <w:rsid w:val="004818B1"/>
    <w:rsid w:val="004820D8"/>
    <w:rsid w:val="004823ED"/>
    <w:rsid w:val="004869B0"/>
    <w:rsid w:val="00490AD5"/>
    <w:rsid w:val="00491E72"/>
    <w:rsid w:val="00491F74"/>
    <w:rsid w:val="00492113"/>
    <w:rsid w:val="00492BAD"/>
    <w:rsid w:val="0049349B"/>
    <w:rsid w:val="0049558D"/>
    <w:rsid w:val="004962A0"/>
    <w:rsid w:val="004A1FAB"/>
    <w:rsid w:val="004A4942"/>
    <w:rsid w:val="004B14D0"/>
    <w:rsid w:val="004B794D"/>
    <w:rsid w:val="004C02C2"/>
    <w:rsid w:val="004C39E2"/>
    <w:rsid w:val="004C58DD"/>
    <w:rsid w:val="004C7514"/>
    <w:rsid w:val="004D2819"/>
    <w:rsid w:val="004D460C"/>
    <w:rsid w:val="004D48F5"/>
    <w:rsid w:val="004D63FE"/>
    <w:rsid w:val="004E0FC6"/>
    <w:rsid w:val="004E37AA"/>
    <w:rsid w:val="004E3925"/>
    <w:rsid w:val="004E732C"/>
    <w:rsid w:val="004F1960"/>
    <w:rsid w:val="004F47AB"/>
    <w:rsid w:val="004F5301"/>
    <w:rsid w:val="004F580D"/>
    <w:rsid w:val="004F5C55"/>
    <w:rsid w:val="004F715A"/>
    <w:rsid w:val="0050126B"/>
    <w:rsid w:val="00501575"/>
    <w:rsid w:val="0050336E"/>
    <w:rsid w:val="0050381E"/>
    <w:rsid w:val="00505725"/>
    <w:rsid w:val="0051285D"/>
    <w:rsid w:val="005167D1"/>
    <w:rsid w:val="005238FE"/>
    <w:rsid w:val="005242B1"/>
    <w:rsid w:val="00526D86"/>
    <w:rsid w:val="00527C1D"/>
    <w:rsid w:val="0053072B"/>
    <w:rsid w:val="0053080C"/>
    <w:rsid w:val="00534F7B"/>
    <w:rsid w:val="00537479"/>
    <w:rsid w:val="00540BC3"/>
    <w:rsid w:val="00553519"/>
    <w:rsid w:val="00554004"/>
    <w:rsid w:val="0055541E"/>
    <w:rsid w:val="00555B0F"/>
    <w:rsid w:val="0056036F"/>
    <w:rsid w:val="00563D24"/>
    <w:rsid w:val="00565D72"/>
    <w:rsid w:val="00566B6D"/>
    <w:rsid w:val="00571FBB"/>
    <w:rsid w:val="00574CF8"/>
    <w:rsid w:val="00576093"/>
    <w:rsid w:val="005773BA"/>
    <w:rsid w:val="00577975"/>
    <w:rsid w:val="0058002A"/>
    <w:rsid w:val="00586E86"/>
    <w:rsid w:val="00587C5B"/>
    <w:rsid w:val="00591232"/>
    <w:rsid w:val="00591681"/>
    <w:rsid w:val="00592A6A"/>
    <w:rsid w:val="005956D7"/>
    <w:rsid w:val="00595E79"/>
    <w:rsid w:val="00597675"/>
    <w:rsid w:val="005A0B7C"/>
    <w:rsid w:val="005A0DE0"/>
    <w:rsid w:val="005A2270"/>
    <w:rsid w:val="005A25CC"/>
    <w:rsid w:val="005A34E6"/>
    <w:rsid w:val="005A4100"/>
    <w:rsid w:val="005A638A"/>
    <w:rsid w:val="005B239D"/>
    <w:rsid w:val="005B31BA"/>
    <w:rsid w:val="005B55DB"/>
    <w:rsid w:val="005B587E"/>
    <w:rsid w:val="005B73CD"/>
    <w:rsid w:val="005B747C"/>
    <w:rsid w:val="005C2831"/>
    <w:rsid w:val="005C6E66"/>
    <w:rsid w:val="005C6F67"/>
    <w:rsid w:val="005D02AF"/>
    <w:rsid w:val="005D0F9E"/>
    <w:rsid w:val="005D14E9"/>
    <w:rsid w:val="005D393E"/>
    <w:rsid w:val="005D53F4"/>
    <w:rsid w:val="005D6315"/>
    <w:rsid w:val="005D6D41"/>
    <w:rsid w:val="005E0654"/>
    <w:rsid w:val="005E12A3"/>
    <w:rsid w:val="005E3A57"/>
    <w:rsid w:val="005F0AA8"/>
    <w:rsid w:val="005F144F"/>
    <w:rsid w:val="005F278A"/>
    <w:rsid w:val="005F5138"/>
    <w:rsid w:val="005F54C4"/>
    <w:rsid w:val="005F66AD"/>
    <w:rsid w:val="0060092C"/>
    <w:rsid w:val="0060129F"/>
    <w:rsid w:val="00604D32"/>
    <w:rsid w:val="0060543A"/>
    <w:rsid w:val="00605A39"/>
    <w:rsid w:val="0061064F"/>
    <w:rsid w:val="00615ECF"/>
    <w:rsid w:val="00620976"/>
    <w:rsid w:val="006221C6"/>
    <w:rsid w:val="006237AF"/>
    <w:rsid w:val="00624CF1"/>
    <w:rsid w:val="006262AA"/>
    <w:rsid w:val="00627A3C"/>
    <w:rsid w:val="0063004F"/>
    <w:rsid w:val="006332A6"/>
    <w:rsid w:val="006408D0"/>
    <w:rsid w:val="00641F72"/>
    <w:rsid w:val="006422A0"/>
    <w:rsid w:val="00642C81"/>
    <w:rsid w:val="00642D29"/>
    <w:rsid w:val="0064322D"/>
    <w:rsid w:val="006464CD"/>
    <w:rsid w:val="006503F9"/>
    <w:rsid w:val="00650FB8"/>
    <w:rsid w:val="006570CF"/>
    <w:rsid w:val="0066325B"/>
    <w:rsid w:val="006722A4"/>
    <w:rsid w:val="006728EF"/>
    <w:rsid w:val="00674C1C"/>
    <w:rsid w:val="00676C84"/>
    <w:rsid w:val="00677538"/>
    <w:rsid w:val="0068279D"/>
    <w:rsid w:val="0068511C"/>
    <w:rsid w:val="00685BFD"/>
    <w:rsid w:val="00686696"/>
    <w:rsid w:val="00691DFE"/>
    <w:rsid w:val="0069509A"/>
    <w:rsid w:val="006A0DE6"/>
    <w:rsid w:val="006A122A"/>
    <w:rsid w:val="006A3844"/>
    <w:rsid w:val="006A45EC"/>
    <w:rsid w:val="006B1845"/>
    <w:rsid w:val="006B3D95"/>
    <w:rsid w:val="006B64E7"/>
    <w:rsid w:val="006C28FF"/>
    <w:rsid w:val="006C3E27"/>
    <w:rsid w:val="006C5A15"/>
    <w:rsid w:val="006C7A18"/>
    <w:rsid w:val="006C7D51"/>
    <w:rsid w:val="006D2130"/>
    <w:rsid w:val="006D21E5"/>
    <w:rsid w:val="006D227E"/>
    <w:rsid w:val="006D3B37"/>
    <w:rsid w:val="006D3C61"/>
    <w:rsid w:val="006F065D"/>
    <w:rsid w:val="006F511D"/>
    <w:rsid w:val="006F72AB"/>
    <w:rsid w:val="006F7390"/>
    <w:rsid w:val="00701E1D"/>
    <w:rsid w:val="0070342B"/>
    <w:rsid w:val="00704CAF"/>
    <w:rsid w:val="0070687F"/>
    <w:rsid w:val="00710440"/>
    <w:rsid w:val="00712EBB"/>
    <w:rsid w:val="00713D4D"/>
    <w:rsid w:val="00717EC0"/>
    <w:rsid w:val="0072067A"/>
    <w:rsid w:val="00721BFC"/>
    <w:rsid w:val="007238D3"/>
    <w:rsid w:val="00724983"/>
    <w:rsid w:val="00724F29"/>
    <w:rsid w:val="00727379"/>
    <w:rsid w:val="007343B9"/>
    <w:rsid w:val="00740712"/>
    <w:rsid w:val="00742747"/>
    <w:rsid w:val="0075193A"/>
    <w:rsid w:val="007532C3"/>
    <w:rsid w:val="007534E9"/>
    <w:rsid w:val="00753E0D"/>
    <w:rsid w:val="00755249"/>
    <w:rsid w:val="007600FB"/>
    <w:rsid w:val="00760762"/>
    <w:rsid w:val="00760CF6"/>
    <w:rsid w:val="0076266B"/>
    <w:rsid w:val="00763C27"/>
    <w:rsid w:val="007734C1"/>
    <w:rsid w:val="00774782"/>
    <w:rsid w:val="0077583D"/>
    <w:rsid w:val="007766E4"/>
    <w:rsid w:val="007769C6"/>
    <w:rsid w:val="007809CE"/>
    <w:rsid w:val="00781D75"/>
    <w:rsid w:val="0078347F"/>
    <w:rsid w:val="00786045"/>
    <w:rsid w:val="00790514"/>
    <w:rsid w:val="0079367F"/>
    <w:rsid w:val="00793E97"/>
    <w:rsid w:val="0079648A"/>
    <w:rsid w:val="007976D5"/>
    <w:rsid w:val="007978E6"/>
    <w:rsid w:val="007A2545"/>
    <w:rsid w:val="007A2D76"/>
    <w:rsid w:val="007A3C02"/>
    <w:rsid w:val="007A427E"/>
    <w:rsid w:val="007A5152"/>
    <w:rsid w:val="007A56E9"/>
    <w:rsid w:val="007A773D"/>
    <w:rsid w:val="007B0B04"/>
    <w:rsid w:val="007B2644"/>
    <w:rsid w:val="007B2DEC"/>
    <w:rsid w:val="007B47DF"/>
    <w:rsid w:val="007B6B2F"/>
    <w:rsid w:val="007C2263"/>
    <w:rsid w:val="007D19C8"/>
    <w:rsid w:val="007D1FDA"/>
    <w:rsid w:val="007D6814"/>
    <w:rsid w:val="007E1DDD"/>
    <w:rsid w:val="007E443A"/>
    <w:rsid w:val="007E5AC6"/>
    <w:rsid w:val="007E621F"/>
    <w:rsid w:val="007E7916"/>
    <w:rsid w:val="007F1DB8"/>
    <w:rsid w:val="007F482E"/>
    <w:rsid w:val="007F60F9"/>
    <w:rsid w:val="007F6FAA"/>
    <w:rsid w:val="007F7DF6"/>
    <w:rsid w:val="00801C59"/>
    <w:rsid w:val="00801F64"/>
    <w:rsid w:val="00803367"/>
    <w:rsid w:val="008063DC"/>
    <w:rsid w:val="00806D0A"/>
    <w:rsid w:val="00807E21"/>
    <w:rsid w:val="00810180"/>
    <w:rsid w:val="00812300"/>
    <w:rsid w:val="00821790"/>
    <w:rsid w:val="008219E6"/>
    <w:rsid w:val="008219F8"/>
    <w:rsid w:val="00825151"/>
    <w:rsid w:val="008255D8"/>
    <w:rsid w:val="00826036"/>
    <w:rsid w:val="00831D53"/>
    <w:rsid w:val="00835099"/>
    <w:rsid w:val="00837743"/>
    <w:rsid w:val="0085154E"/>
    <w:rsid w:val="008533C2"/>
    <w:rsid w:val="00853700"/>
    <w:rsid w:val="00862F5D"/>
    <w:rsid w:val="008660D8"/>
    <w:rsid w:val="0087027F"/>
    <w:rsid w:val="0087187B"/>
    <w:rsid w:val="008743BA"/>
    <w:rsid w:val="008769DC"/>
    <w:rsid w:val="00877DA3"/>
    <w:rsid w:val="0088113F"/>
    <w:rsid w:val="00886EA2"/>
    <w:rsid w:val="00887EE7"/>
    <w:rsid w:val="00895D08"/>
    <w:rsid w:val="008A208E"/>
    <w:rsid w:val="008A2C03"/>
    <w:rsid w:val="008A4895"/>
    <w:rsid w:val="008A518D"/>
    <w:rsid w:val="008A5D03"/>
    <w:rsid w:val="008A637E"/>
    <w:rsid w:val="008B3B46"/>
    <w:rsid w:val="008B4938"/>
    <w:rsid w:val="008B4FB1"/>
    <w:rsid w:val="008C0311"/>
    <w:rsid w:val="008C3CD0"/>
    <w:rsid w:val="008D0003"/>
    <w:rsid w:val="008D37A8"/>
    <w:rsid w:val="008D454A"/>
    <w:rsid w:val="008D7297"/>
    <w:rsid w:val="008D7B96"/>
    <w:rsid w:val="008E0E37"/>
    <w:rsid w:val="008E2C1B"/>
    <w:rsid w:val="008E4D37"/>
    <w:rsid w:val="008E56F6"/>
    <w:rsid w:val="008F1EBA"/>
    <w:rsid w:val="008F47F8"/>
    <w:rsid w:val="008F4C42"/>
    <w:rsid w:val="008F5224"/>
    <w:rsid w:val="008F5474"/>
    <w:rsid w:val="008F5DF0"/>
    <w:rsid w:val="008F6F98"/>
    <w:rsid w:val="008F7514"/>
    <w:rsid w:val="00903C86"/>
    <w:rsid w:val="009048B6"/>
    <w:rsid w:val="00905130"/>
    <w:rsid w:val="00905414"/>
    <w:rsid w:val="00905D7F"/>
    <w:rsid w:val="00907BDB"/>
    <w:rsid w:val="00924073"/>
    <w:rsid w:val="00934350"/>
    <w:rsid w:val="00934C88"/>
    <w:rsid w:val="0093782F"/>
    <w:rsid w:val="00937DA6"/>
    <w:rsid w:val="009409B9"/>
    <w:rsid w:val="00940B10"/>
    <w:rsid w:val="00941E6E"/>
    <w:rsid w:val="00942251"/>
    <w:rsid w:val="00942756"/>
    <w:rsid w:val="00943782"/>
    <w:rsid w:val="00944B0C"/>
    <w:rsid w:val="009459D6"/>
    <w:rsid w:val="00953398"/>
    <w:rsid w:val="00953577"/>
    <w:rsid w:val="009560ED"/>
    <w:rsid w:val="00960B4D"/>
    <w:rsid w:val="00962A5F"/>
    <w:rsid w:val="0096784C"/>
    <w:rsid w:val="00971EA4"/>
    <w:rsid w:val="00972CEC"/>
    <w:rsid w:val="00973578"/>
    <w:rsid w:val="0097755A"/>
    <w:rsid w:val="00977758"/>
    <w:rsid w:val="00986A5F"/>
    <w:rsid w:val="0099229B"/>
    <w:rsid w:val="00993E49"/>
    <w:rsid w:val="0099599A"/>
    <w:rsid w:val="009A0318"/>
    <w:rsid w:val="009A4866"/>
    <w:rsid w:val="009A496F"/>
    <w:rsid w:val="009A586B"/>
    <w:rsid w:val="009A6AFE"/>
    <w:rsid w:val="009B130C"/>
    <w:rsid w:val="009B3132"/>
    <w:rsid w:val="009B624C"/>
    <w:rsid w:val="009B6527"/>
    <w:rsid w:val="009C166D"/>
    <w:rsid w:val="009C63DD"/>
    <w:rsid w:val="009C6AA5"/>
    <w:rsid w:val="009D0366"/>
    <w:rsid w:val="009D0EEA"/>
    <w:rsid w:val="009D108F"/>
    <w:rsid w:val="009D2EF5"/>
    <w:rsid w:val="009D3728"/>
    <w:rsid w:val="009D3A86"/>
    <w:rsid w:val="009D5EB6"/>
    <w:rsid w:val="009E4483"/>
    <w:rsid w:val="009E4BAB"/>
    <w:rsid w:val="009E6AA6"/>
    <w:rsid w:val="009F08E1"/>
    <w:rsid w:val="009F1525"/>
    <w:rsid w:val="009F1D3B"/>
    <w:rsid w:val="009F25AA"/>
    <w:rsid w:val="009F27B1"/>
    <w:rsid w:val="009F2999"/>
    <w:rsid w:val="009F6E9D"/>
    <w:rsid w:val="009F70E3"/>
    <w:rsid w:val="00A02AF2"/>
    <w:rsid w:val="00A040D8"/>
    <w:rsid w:val="00A05FB7"/>
    <w:rsid w:val="00A106BB"/>
    <w:rsid w:val="00A1298F"/>
    <w:rsid w:val="00A1391B"/>
    <w:rsid w:val="00A1438E"/>
    <w:rsid w:val="00A23091"/>
    <w:rsid w:val="00A2443E"/>
    <w:rsid w:val="00A24F50"/>
    <w:rsid w:val="00A27777"/>
    <w:rsid w:val="00A30BC0"/>
    <w:rsid w:val="00A31E6D"/>
    <w:rsid w:val="00A3471D"/>
    <w:rsid w:val="00A432CB"/>
    <w:rsid w:val="00A449B8"/>
    <w:rsid w:val="00A44A28"/>
    <w:rsid w:val="00A50BFC"/>
    <w:rsid w:val="00A512B7"/>
    <w:rsid w:val="00A54534"/>
    <w:rsid w:val="00A54DA5"/>
    <w:rsid w:val="00A60C41"/>
    <w:rsid w:val="00A718F4"/>
    <w:rsid w:val="00A71C53"/>
    <w:rsid w:val="00A73EC6"/>
    <w:rsid w:val="00A75170"/>
    <w:rsid w:val="00A774E8"/>
    <w:rsid w:val="00A7789A"/>
    <w:rsid w:val="00A8174C"/>
    <w:rsid w:val="00A92676"/>
    <w:rsid w:val="00A92FEB"/>
    <w:rsid w:val="00A935C3"/>
    <w:rsid w:val="00A9459B"/>
    <w:rsid w:val="00A96628"/>
    <w:rsid w:val="00A96872"/>
    <w:rsid w:val="00AA2025"/>
    <w:rsid w:val="00AA2124"/>
    <w:rsid w:val="00AA6E9A"/>
    <w:rsid w:val="00AB006E"/>
    <w:rsid w:val="00AB5063"/>
    <w:rsid w:val="00AB7FDC"/>
    <w:rsid w:val="00AC470E"/>
    <w:rsid w:val="00AC52BC"/>
    <w:rsid w:val="00AD1604"/>
    <w:rsid w:val="00AD5619"/>
    <w:rsid w:val="00AD69FB"/>
    <w:rsid w:val="00AD7C50"/>
    <w:rsid w:val="00AD7DAC"/>
    <w:rsid w:val="00AD7F18"/>
    <w:rsid w:val="00AE28D7"/>
    <w:rsid w:val="00AE3036"/>
    <w:rsid w:val="00AE43E8"/>
    <w:rsid w:val="00AE5A98"/>
    <w:rsid w:val="00AE7C0A"/>
    <w:rsid w:val="00AF6FD5"/>
    <w:rsid w:val="00B01E1D"/>
    <w:rsid w:val="00B03358"/>
    <w:rsid w:val="00B073A0"/>
    <w:rsid w:val="00B114EA"/>
    <w:rsid w:val="00B1255E"/>
    <w:rsid w:val="00B139EA"/>
    <w:rsid w:val="00B17955"/>
    <w:rsid w:val="00B2241F"/>
    <w:rsid w:val="00B22DBF"/>
    <w:rsid w:val="00B24753"/>
    <w:rsid w:val="00B24A9C"/>
    <w:rsid w:val="00B263D1"/>
    <w:rsid w:val="00B26496"/>
    <w:rsid w:val="00B31205"/>
    <w:rsid w:val="00B33110"/>
    <w:rsid w:val="00B351EC"/>
    <w:rsid w:val="00B3609E"/>
    <w:rsid w:val="00B362A8"/>
    <w:rsid w:val="00B36623"/>
    <w:rsid w:val="00B423F2"/>
    <w:rsid w:val="00B424BC"/>
    <w:rsid w:val="00B45600"/>
    <w:rsid w:val="00B45B75"/>
    <w:rsid w:val="00B50D06"/>
    <w:rsid w:val="00B510E9"/>
    <w:rsid w:val="00B52B26"/>
    <w:rsid w:val="00B535C7"/>
    <w:rsid w:val="00B57D2C"/>
    <w:rsid w:val="00B57FC7"/>
    <w:rsid w:val="00B60E15"/>
    <w:rsid w:val="00B62F67"/>
    <w:rsid w:val="00B72BC6"/>
    <w:rsid w:val="00B7596E"/>
    <w:rsid w:val="00B763AB"/>
    <w:rsid w:val="00B77F81"/>
    <w:rsid w:val="00B800BA"/>
    <w:rsid w:val="00B8161D"/>
    <w:rsid w:val="00B8166E"/>
    <w:rsid w:val="00B8258B"/>
    <w:rsid w:val="00B87350"/>
    <w:rsid w:val="00B9068F"/>
    <w:rsid w:val="00B91AFF"/>
    <w:rsid w:val="00B951DF"/>
    <w:rsid w:val="00B96F6F"/>
    <w:rsid w:val="00BA1362"/>
    <w:rsid w:val="00BA1798"/>
    <w:rsid w:val="00BA3C82"/>
    <w:rsid w:val="00BB0B76"/>
    <w:rsid w:val="00BB1306"/>
    <w:rsid w:val="00BB3ED8"/>
    <w:rsid w:val="00BB5C36"/>
    <w:rsid w:val="00BB692E"/>
    <w:rsid w:val="00BB7E3E"/>
    <w:rsid w:val="00BC0061"/>
    <w:rsid w:val="00BC0C85"/>
    <w:rsid w:val="00BC1631"/>
    <w:rsid w:val="00BC329E"/>
    <w:rsid w:val="00BD0639"/>
    <w:rsid w:val="00BD2796"/>
    <w:rsid w:val="00BD36C4"/>
    <w:rsid w:val="00BD3AE8"/>
    <w:rsid w:val="00BD4AD9"/>
    <w:rsid w:val="00BD79D7"/>
    <w:rsid w:val="00BE0332"/>
    <w:rsid w:val="00BE5595"/>
    <w:rsid w:val="00BE5D2D"/>
    <w:rsid w:val="00BF38A0"/>
    <w:rsid w:val="00BF6331"/>
    <w:rsid w:val="00BF6332"/>
    <w:rsid w:val="00C005E5"/>
    <w:rsid w:val="00C01ADE"/>
    <w:rsid w:val="00C025A9"/>
    <w:rsid w:val="00C02A14"/>
    <w:rsid w:val="00C03EDC"/>
    <w:rsid w:val="00C042E3"/>
    <w:rsid w:val="00C0503B"/>
    <w:rsid w:val="00C06A86"/>
    <w:rsid w:val="00C100C5"/>
    <w:rsid w:val="00C12B37"/>
    <w:rsid w:val="00C15249"/>
    <w:rsid w:val="00C16645"/>
    <w:rsid w:val="00C23EFC"/>
    <w:rsid w:val="00C24446"/>
    <w:rsid w:val="00C24E1C"/>
    <w:rsid w:val="00C253D9"/>
    <w:rsid w:val="00C277D8"/>
    <w:rsid w:val="00C32E42"/>
    <w:rsid w:val="00C35323"/>
    <w:rsid w:val="00C356A1"/>
    <w:rsid w:val="00C40F5E"/>
    <w:rsid w:val="00C44226"/>
    <w:rsid w:val="00C4527B"/>
    <w:rsid w:val="00C45CA8"/>
    <w:rsid w:val="00C45CF5"/>
    <w:rsid w:val="00C4604B"/>
    <w:rsid w:val="00C50389"/>
    <w:rsid w:val="00C51B8E"/>
    <w:rsid w:val="00C52887"/>
    <w:rsid w:val="00C55014"/>
    <w:rsid w:val="00C556FE"/>
    <w:rsid w:val="00C60E02"/>
    <w:rsid w:val="00C61DC0"/>
    <w:rsid w:val="00C620B1"/>
    <w:rsid w:val="00C642C6"/>
    <w:rsid w:val="00C6433D"/>
    <w:rsid w:val="00C75B22"/>
    <w:rsid w:val="00C75E5A"/>
    <w:rsid w:val="00C76E4C"/>
    <w:rsid w:val="00C811D5"/>
    <w:rsid w:val="00C85824"/>
    <w:rsid w:val="00C8731F"/>
    <w:rsid w:val="00C87804"/>
    <w:rsid w:val="00C878D6"/>
    <w:rsid w:val="00C923F6"/>
    <w:rsid w:val="00C942A1"/>
    <w:rsid w:val="00C96E42"/>
    <w:rsid w:val="00CA2484"/>
    <w:rsid w:val="00CA282D"/>
    <w:rsid w:val="00CA29F3"/>
    <w:rsid w:val="00CA2D5F"/>
    <w:rsid w:val="00CA31E5"/>
    <w:rsid w:val="00CA6FA0"/>
    <w:rsid w:val="00CB1240"/>
    <w:rsid w:val="00CB258A"/>
    <w:rsid w:val="00CC01C1"/>
    <w:rsid w:val="00CC05A2"/>
    <w:rsid w:val="00CC0A26"/>
    <w:rsid w:val="00CC0C5E"/>
    <w:rsid w:val="00CC48FA"/>
    <w:rsid w:val="00CC4C98"/>
    <w:rsid w:val="00CC7551"/>
    <w:rsid w:val="00CD4F38"/>
    <w:rsid w:val="00CD5092"/>
    <w:rsid w:val="00CD7283"/>
    <w:rsid w:val="00CE5594"/>
    <w:rsid w:val="00CF384D"/>
    <w:rsid w:val="00CF5234"/>
    <w:rsid w:val="00CF6139"/>
    <w:rsid w:val="00CF7B70"/>
    <w:rsid w:val="00D0115B"/>
    <w:rsid w:val="00D03304"/>
    <w:rsid w:val="00D03A37"/>
    <w:rsid w:val="00D05C42"/>
    <w:rsid w:val="00D1024A"/>
    <w:rsid w:val="00D11194"/>
    <w:rsid w:val="00D12283"/>
    <w:rsid w:val="00D12715"/>
    <w:rsid w:val="00D150E7"/>
    <w:rsid w:val="00D16703"/>
    <w:rsid w:val="00D208CA"/>
    <w:rsid w:val="00D34D3B"/>
    <w:rsid w:val="00D35BEC"/>
    <w:rsid w:val="00D406DA"/>
    <w:rsid w:val="00D41C68"/>
    <w:rsid w:val="00D438CA"/>
    <w:rsid w:val="00D44311"/>
    <w:rsid w:val="00D4483A"/>
    <w:rsid w:val="00D46561"/>
    <w:rsid w:val="00D46864"/>
    <w:rsid w:val="00D53580"/>
    <w:rsid w:val="00D545F6"/>
    <w:rsid w:val="00D55C34"/>
    <w:rsid w:val="00D618A3"/>
    <w:rsid w:val="00D725C3"/>
    <w:rsid w:val="00D725E6"/>
    <w:rsid w:val="00D736A6"/>
    <w:rsid w:val="00D75EC6"/>
    <w:rsid w:val="00D764A9"/>
    <w:rsid w:val="00D80641"/>
    <w:rsid w:val="00D81370"/>
    <w:rsid w:val="00D81BC5"/>
    <w:rsid w:val="00D82217"/>
    <w:rsid w:val="00D82B13"/>
    <w:rsid w:val="00D85B3B"/>
    <w:rsid w:val="00D86EBD"/>
    <w:rsid w:val="00D911F6"/>
    <w:rsid w:val="00D945D9"/>
    <w:rsid w:val="00D94BDC"/>
    <w:rsid w:val="00D97070"/>
    <w:rsid w:val="00D97459"/>
    <w:rsid w:val="00DA0158"/>
    <w:rsid w:val="00DA1046"/>
    <w:rsid w:val="00DB0C8D"/>
    <w:rsid w:val="00DB1387"/>
    <w:rsid w:val="00DB6CDB"/>
    <w:rsid w:val="00DC3B39"/>
    <w:rsid w:val="00DC5BAD"/>
    <w:rsid w:val="00DC6591"/>
    <w:rsid w:val="00DC7252"/>
    <w:rsid w:val="00DC7289"/>
    <w:rsid w:val="00DC7715"/>
    <w:rsid w:val="00DC7964"/>
    <w:rsid w:val="00DD4983"/>
    <w:rsid w:val="00DE0A46"/>
    <w:rsid w:val="00DE130B"/>
    <w:rsid w:val="00DE6ACB"/>
    <w:rsid w:val="00DE7C6C"/>
    <w:rsid w:val="00DE7CE4"/>
    <w:rsid w:val="00DF15E7"/>
    <w:rsid w:val="00DF54C5"/>
    <w:rsid w:val="00DF563C"/>
    <w:rsid w:val="00DF6CF5"/>
    <w:rsid w:val="00DF75D3"/>
    <w:rsid w:val="00E013DB"/>
    <w:rsid w:val="00E051BF"/>
    <w:rsid w:val="00E059CA"/>
    <w:rsid w:val="00E0787D"/>
    <w:rsid w:val="00E07DCA"/>
    <w:rsid w:val="00E10067"/>
    <w:rsid w:val="00E133A1"/>
    <w:rsid w:val="00E148A9"/>
    <w:rsid w:val="00E16AD1"/>
    <w:rsid w:val="00E22D97"/>
    <w:rsid w:val="00E23753"/>
    <w:rsid w:val="00E26145"/>
    <w:rsid w:val="00E26CCB"/>
    <w:rsid w:val="00E30787"/>
    <w:rsid w:val="00E3112A"/>
    <w:rsid w:val="00E31A13"/>
    <w:rsid w:val="00E31C7B"/>
    <w:rsid w:val="00E32F49"/>
    <w:rsid w:val="00E354E8"/>
    <w:rsid w:val="00E368F7"/>
    <w:rsid w:val="00E37A59"/>
    <w:rsid w:val="00E40029"/>
    <w:rsid w:val="00E422B6"/>
    <w:rsid w:val="00E43714"/>
    <w:rsid w:val="00E4409B"/>
    <w:rsid w:val="00E4434D"/>
    <w:rsid w:val="00E45E1B"/>
    <w:rsid w:val="00E4632E"/>
    <w:rsid w:val="00E52215"/>
    <w:rsid w:val="00E55437"/>
    <w:rsid w:val="00E55667"/>
    <w:rsid w:val="00E5754A"/>
    <w:rsid w:val="00E57735"/>
    <w:rsid w:val="00E6075E"/>
    <w:rsid w:val="00E60C74"/>
    <w:rsid w:val="00E61A09"/>
    <w:rsid w:val="00E61F09"/>
    <w:rsid w:val="00E62D1A"/>
    <w:rsid w:val="00E64345"/>
    <w:rsid w:val="00E64638"/>
    <w:rsid w:val="00E64713"/>
    <w:rsid w:val="00E71257"/>
    <w:rsid w:val="00E72ED4"/>
    <w:rsid w:val="00E777D0"/>
    <w:rsid w:val="00E81E7A"/>
    <w:rsid w:val="00E82220"/>
    <w:rsid w:val="00E827A5"/>
    <w:rsid w:val="00E84462"/>
    <w:rsid w:val="00E86739"/>
    <w:rsid w:val="00E8790D"/>
    <w:rsid w:val="00E87A89"/>
    <w:rsid w:val="00E90B7E"/>
    <w:rsid w:val="00E9108E"/>
    <w:rsid w:val="00E92681"/>
    <w:rsid w:val="00E9334C"/>
    <w:rsid w:val="00E951CC"/>
    <w:rsid w:val="00E97098"/>
    <w:rsid w:val="00EA126A"/>
    <w:rsid w:val="00EA2201"/>
    <w:rsid w:val="00EA2912"/>
    <w:rsid w:val="00EA62F2"/>
    <w:rsid w:val="00EA69E2"/>
    <w:rsid w:val="00EB0852"/>
    <w:rsid w:val="00EB4F2A"/>
    <w:rsid w:val="00EB5C1B"/>
    <w:rsid w:val="00EC0D8C"/>
    <w:rsid w:val="00ED0AE7"/>
    <w:rsid w:val="00ED12C7"/>
    <w:rsid w:val="00ED4EE5"/>
    <w:rsid w:val="00EE1309"/>
    <w:rsid w:val="00EE52C8"/>
    <w:rsid w:val="00EF4478"/>
    <w:rsid w:val="00F02AC6"/>
    <w:rsid w:val="00F04A91"/>
    <w:rsid w:val="00F05306"/>
    <w:rsid w:val="00F07E6C"/>
    <w:rsid w:val="00F12FA9"/>
    <w:rsid w:val="00F15D87"/>
    <w:rsid w:val="00F207EB"/>
    <w:rsid w:val="00F21BFC"/>
    <w:rsid w:val="00F244EC"/>
    <w:rsid w:val="00F2751A"/>
    <w:rsid w:val="00F278FD"/>
    <w:rsid w:val="00F27FD0"/>
    <w:rsid w:val="00F3176B"/>
    <w:rsid w:val="00F33DE9"/>
    <w:rsid w:val="00F340D5"/>
    <w:rsid w:val="00F442A3"/>
    <w:rsid w:val="00F44780"/>
    <w:rsid w:val="00F52BA1"/>
    <w:rsid w:val="00F63FE3"/>
    <w:rsid w:val="00F650A5"/>
    <w:rsid w:val="00F6563D"/>
    <w:rsid w:val="00F66D37"/>
    <w:rsid w:val="00F677C0"/>
    <w:rsid w:val="00F7429F"/>
    <w:rsid w:val="00F75584"/>
    <w:rsid w:val="00F814CF"/>
    <w:rsid w:val="00F93E61"/>
    <w:rsid w:val="00F94558"/>
    <w:rsid w:val="00F96E72"/>
    <w:rsid w:val="00FA1E41"/>
    <w:rsid w:val="00FA241B"/>
    <w:rsid w:val="00FA269B"/>
    <w:rsid w:val="00FA2C0F"/>
    <w:rsid w:val="00FA6F9D"/>
    <w:rsid w:val="00FA724A"/>
    <w:rsid w:val="00FB3344"/>
    <w:rsid w:val="00FB4310"/>
    <w:rsid w:val="00FB478F"/>
    <w:rsid w:val="00FC0131"/>
    <w:rsid w:val="00FC2145"/>
    <w:rsid w:val="00FC2316"/>
    <w:rsid w:val="00FD0412"/>
    <w:rsid w:val="00FD1342"/>
    <w:rsid w:val="00FD2102"/>
    <w:rsid w:val="00FE3E4E"/>
    <w:rsid w:val="00FE542F"/>
    <w:rsid w:val="00FE5A0A"/>
    <w:rsid w:val="00FF1DAD"/>
    <w:rsid w:val="00FF5029"/>
    <w:rsid w:val="00FF63C5"/>
    <w:rsid w:val="00FF7689"/>
    <w:rsid w:val="00FF7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ecimalSymbol w:val="."/>
  <w:listSeparator w:val=","/>
  <w14:docId w14:val="710BBD25"/>
  <w15:docId w15:val="{D52C954C-A76F-464A-92DD-5A9661B09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A637E"/>
  </w:style>
  <w:style w:type="paragraph" w:styleId="Heading1">
    <w:name w:val="heading 1"/>
    <w:basedOn w:val="Normal"/>
    <w:next w:val="Normal"/>
    <w:link w:val="Heading1Char"/>
    <w:qFormat/>
    <w:rsid w:val="00E9108E"/>
    <w:pPr>
      <w:jc w:val="center"/>
      <w:outlineLvl w:val="0"/>
    </w:pPr>
    <w:rPr>
      <w:rFonts w:ascii="Times New Roman" w:eastAsia="Times New Roman" w:hAnsi="Times New Roman" w:cs="Times New Roman"/>
      <w:b/>
      <w:bCs/>
      <w:iCs/>
      <w:color w:val="000000"/>
      <w:kern w:val="36"/>
      <w:sz w:val="32"/>
      <w:szCs w:val="32"/>
    </w:rPr>
  </w:style>
  <w:style w:type="paragraph" w:styleId="Heading2">
    <w:name w:val="heading 2"/>
    <w:basedOn w:val="Normal"/>
    <w:next w:val="Normal"/>
    <w:link w:val="Heading2Char"/>
    <w:unhideWhenUsed/>
    <w:qFormat/>
    <w:rsid w:val="00BE5D2D"/>
    <w:pPr>
      <w:spacing w:before="480" w:after="240"/>
      <w:outlineLvl w:val="1"/>
    </w:pPr>
    <w:rPr>
      <w:rFonts w:ascii="Times New Roman" w:hAnsi="Times New Roman" w:cs="Times New Roman"/>
      <w:b/>
      <w:sz w:val="24"/>
      <w:szCs w:val="24"/>
    </w:rPr>
  </w:style>
  <w:style w:type="paragraph" w:styleId="Heading3">
    <w:name w:val="heading 3"/>
    <w:basedOn w:val="Normal"/>
    <w:next w:val="Normal"/>
    <w:link w:val="Heading3Char"/>
    <w:unhideWhenUsed/>
    <w:qFormat/>
    <w:rsid w:val="00E9108E"/>
    <w:pPr>
      <w:spacing w:after="0"/>
      <w:ind w:left="720"/>
      <w:outlineLvl w:val="2"/>
    </w:pPr>
    <w:rPr>
      <w:rFonts w:ascii="Times New Roman" w:hAnsi="Times New Roman" w:cs="Times New Roman"/>
      <w:sz w:val="24"/>
      <w:szCs w:val="24"/>
      <w:u w:val="single"/>
    </w:rPr>
  </w:style>
  <w:style w:type="paragraph" w:styleId="Heading4">
    <w:name w:val="heading 4"/>
    <w:basedOn w:val="Normal"/>
    <w:next w:val="Normal"/>
    <w:link w:val="Heading4Char"/>
    <w:uiPriority w:val="9"/>
    <w:semiHidden/>
    <w:unhideWhenUsed/>
    <w:qFormat/>
    <w:rsid w:val="00713D4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48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8F5"/>
  </w:style>
  <w:style w:type="paragraph" w:styleId="Footer">
    <w:name w:val="footer"/>
    <w:basedOn w:val="Normal"/>
    <w:link w:val="FooterChar"/>
    <w:uiPriority w:val="99"/>
    <w:unhideWhenUsed/>
    <w:rsid w:val="004D48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8F5"/>
  </w:style>
  <w:style w:type="character" w:styleId="Hyperlink">
    <w:name w:val="Hyperlink"/>
    <w:basedOn w:val="DefaultParagraphFont"/>
    <w:uiPriority w:val="99"/>
    <w:unhideWhenUsed/>
    <w:rsid w:val="004D48F5"/>
    <w:rPr>
      <w:color w:val="0000FF" w:themeColor="hyperlink"/>
      <w:u w:val="single"/>
    </w:rPr>
  </w:style>
  <w:style w:type="paragraph" w:styleId="ListParagraph">
    <w:name w:val="List Paragraph"/>
    <w:basedOn w:val="Normal"/>
    <w:uiPriority w:val="34"/>
    <w:qFormat/>
    <w:rsid w:val="004D48F5"/>
    <w:pPr>
      <w:ind w:left="720"/>
      <w:contextualSpacing/>
    </w:pPr>
  </w:style>
  <w:style w:type="table" w:styleId="TableGrid">
    <w:name w:val="Table Grid"/>
    <w:basedOn w:val="TableNormal"/>
    <w:rsid w:val="004D4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48F5"/>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4D48F5"/>
    <w:rPr>
      <w:color w:val="auto"/>
    </w:rPr>
  </w:style>
  <w:style w:type="character" w:styleId="CommentReference">
    <w:name w:val="annotation reference"/>
    <w:basedOn w:val="DefaultParagraphFont"/>
    <w:uiPriority w:val="99"/>
    <w:semiHidden/>
    <w:unhideWhenUsed/>
    <w:rsid w:val="004D48F5"/>
    <w:rPr>
      <w:sz w:val="16"/>
      <w:szCs w:val="16"/>
    </w:rPr>
  </w:style>
  <w:style w:type="paragraph" w:styleId="CommentText">
    <w:name w:val="annotation text"/>
    <w:basedOn w:val="Normal"/>
    <w:link w:val="CommentTextChar"/>
    <w:uiPriority w:val="99"/>
    <w:unhideWhenUsed/>
    <w:rsid w:val="004D48F5"/>
    <w:pPr>
      <w:spacing w:line="240" w:lineRule="auto"/>
    </w:pPr>
    <w:rPr>
      <w:sz w:val="20"/>
      <w:szCs w:val="20"/>
    </w:rPr>
  </w:style>
  <w:style w:type="character" w:customStyle="1" w:styleId="CommentTextChar">
    <w:name w:val="Comment Text Char"/>
    <w:basedOn w:val="DefaultParagraphFont"/>
    <w:link w:val="CommentText"/>
    <w:uiPriority w:val="99"/>
    <w:rsid w:val="004D48F5"/>
    <w:rPr>
      <w:sz w:val="20"/>
      <w:szCs w:val="20"/>
    </w:rPr>
  </w:style>
  <w:style w:type="paragraph" w:styleId="BalloonText">
    <w:name w:val="Balloon Text"/>
    <w:basedOn w:val="Normal"/>
    <w:link w:val="BalloonTextChar"/>
    <w:uiPriority w:val="99"/>
    <w:semiHidden/>
    <w:unhideWhenUsed/>
    <w:rsid w:val="004D48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8F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D48F5"/>
    <w:rPr>
      <w:b/>
      <w:bCs/>
    </w:rPr>
  </w:style>
  <w:style w:type="character" w:customStyle="1" w:styleId="CommentSubjectChar">
    <w:name w:val="Comment Subject Char"/>
    <w:basedOn w:val="CommentTextChar"/>
    <w:link w:val="CommentSubject"/>
    <w:uiPriority w:val="99"/>
    <w:semiHidden/>
    <w:rsid w:val="004D48F5"/>
    <w:rPr>
      <w:b/>
      <w:bCs/>
      <w:sz w:val="20"/>
      <w:szCs w:val="20"/>
    </w:rPr>
  </w:style>
  <w:style w:type="paragraph" w:styleId="NoSpacing">
    <w:name w:val="No Spacing"/>
    <w:uiPriority w:val="1"/>
    <w:qFormat/>
    <w:rsid w:val="00AE28D7"/>
    <w:pPr>
      <w:spacing w:after="0" w:line="240" w:lineRule="auto"/>
    </w:pPr>
    <w:rPr>
      <w:rFonts w:ascii="Calibri" w:eastAsia="Calibri" w:hAnsi="Calibri" w:cs="Times New Roman"/>
    </w:rPr>
  </w:style>
  <w:style w:type="paragraph" w:styleId="PlainText">
    <w:name w:val="Plain Text"/>
    <w:basedOn w:val="Normal"/>
    <w:link w:val="PlainTextChar"/>
    <w:rsid w:val="000069FD"/>
    <w:pPr>
      <w:widowControl w:val="0"/>
      <w:spacing w:after="0" w:line="240" w:lineRule="auto"/>
    </w:pPr>
    <w:rPr>
      <w:rFonts w:ascii="Courier New" w:eastAsia="Times New Roman" w:hAnsi="Courier New" w:cs="Times New Roman"/>
      <w:snapToGrid w:val="0"/>
      <w:sz w:val="20"/>
      <w:szCs w:val="20"/>
    </w:rPr>
  </w:style>
  <w:style w:type="character" w:customStyle="1" w:styleId="PlainTextChar">
    <w:name w:val="Plain Text Char"/>
    <w:basedOn w:val="DefaultParagraphFont"/>
    <w:link w:val="PlainText"/>
    <w:rsid w:val="000069FD"/>
    <w:rPr>
      <w:rFonts w:ascii="Courier New" w:eastAsia="Times New Roman" w:hAnsi="Courier New" w:cs="Times New Roman"/>
      <w:snapToGrid w:val="0"/>
      <w:sz w:val="20"/>
      <w:szCs w:val="20"/>
    </w:rPr>
  </w:style>
  <w:style w:type="character" w:styleId="Strong">
    <w:name w:val="Strong"/>
    <w:basedOn w:val="DefaultParagraphFont"/>
    <w:qFormat/>
    <w:rsid w:val="0088113F"/>
    <w:rPr>
      <w:b/>
      <w:bCs/>
    </w:rPr>
  </w:style>
  <w:style w:type="character" w:customStyle="1" w:styleId="Heading3Char">
    <w:name w:val="Heading 3 Char"/>
    <w:basedOn w:val="DefaultParagraphFont"/>
    <w:link w:val="Heading3"/>
    <w:rsid w:val="00E9108E"/>
    <w:rPr>
      <w:rFonts w:ascii="Times New Roman" w:hAnsi="Times New Roman" w:cs="Times New Roman"/>
      <w:sz w:val="24"/>
      <w:szCs w:val="24"/>
      <w:u w:val="single"/>
    </w:rPr>
  </w:style>
  <w:style w:type="character" w:customStyle="1" w:styleId="Heading2Char">
    <w:name w:val="Heading 2 Char"/>
    <w:basedOn w:val="DefaultParagraphFont"/>
    <w:link w:val="Heading2"/>
    <w:rsid w:val="00BE5D2D"/>
    <w:rPr>
      <w:rFonts w:ascii="Times New Roman" w:hAnsi="Times New Roman" w:cs="Times New Roman"/>
      <w:b/>
      <w:sz w:val="24"/>
      <w:szCs w:val="24"/>
    </w:rPr>
  </w:style>
  <w:style w:type="table" w:customStyle="1" w:styleId="TableGrid1">
    <w:name w:val="Table Grid1"/>
    <w:basedOn w:val="TableNormal"/>
    <w:next w:val="TableGrid"/>
    <w:uiPriority w:val="59"/>
    <w:rsid w:val="00F33DE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9108E"/>
    <w:rPr>
      <w:rFonts w:ascii="Times New Roman" w:eastAsia="Times New Roman" w:hAnsi="Times New Roman" w:cs="Times New Roman"/>
      <w:b/>
      <w:bCs/>
      <w:iCs/>
      <w:color w:val="000000"/>
      <w:kern w:val="36"/>
      <w:sz w:val="32"/>
      <w:szCs w:val="32"/>
    </w:rPr>
  </w:style>
  <w:style w:type="character" w:styleId="FollowedHyperlink">
    <w:name w:val="FollowedHyperlink"/>
    <w:basedOn w:val="DefaultParagraphFont"/>
    <w:rsid w:val="003F1D2E"/>
    <w:rPr>
      <w:color w:val="800080"/>
      <w:u w:val="single"/>
    </w:rPr>
  </w:style>
  <w:style w:type="paragraph" w:styleId="TOCHeading">
    <w:name w:val="TOC Heading"/>
    <w:basedOn w:val="Heading1"/>
    <w:next w:val="Normal"/>
    <w:uiPriority w:val="39"/>
    <w:unhideWhenUsed/>
    <w:qFormat/>
    <w:rsid w:val="009E4483"/>
    <w:pPr>
      <w:keepNext/>
      <w:keepLines/>
      <w:spacing w:before="480" w:after="0"/>
      <w:jc w:val="left"/>
      <w:outlineLvl w:val="9"/>
    </w:pPr>
    <w:rPr>
      <w:rFonts w:asciiTheme="majorHAnsi" w:eastAsiaTheme="majorEastAsia" w:hAnsiTheme="majorHAnsi" w:cstheme="majorBidi"/>
      <w:iCs w:val="0"/>
      <w:color w:val="365F91" w:themeColor="accent1" w:themeShade="BF"/>
      <w:kern w:val="0"/>
      <w:sz w:val="28"/>
      <w:szCs w:val="28"/>
    </w:rPr>
  </w:style>
  <w:style w:type="paragraph" w:styleId="TOC1">
    <w:name w:val="toc 1"/>
    <w:basedOn w:val="Normal"/>
    <w:next w:val="Normal"/>
    <w:autoRedefine/>
    <w:uiPriority w:val="39"/>
    <w:unhideWhenUsed/>
    <w:qFormat/>
    <w:rsid w:val="009E4483"/>
    <w:pPr>
      <w:tabs>
        <w:tab w:val="right" w:leader="dot" w:pos="9350"/>
      </w:tabs>
      <w:spacing w:after="100" w:line="240" w:lineRule="auto"/>
      <w:ind w:left="450" w:hanging="450"/>
    </w:pPr>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FA72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31D53"/>
    <w:pPr>
      <w:spacing w:after="0" w:line="240" w:lineRule="auto"/>
    </w:pPr>
  </w:style>
  <w:style w:type="paragraph" w:styleId="TOC2">
    <w:name w:val="toc 2"/>
    <w:basedOn w:val="Normal"/>
    <w:next w:val="Normal"/>
    <w:autoRedefine/>
    <w:uiPriority w:val="39"/>
    <w:unhideWhenUsed/>
    <w:rsid w:val="009D3728"/>
    <w:pPr>
      <w:spacing w:after="100"/>
      <w:ind w:left="220"/>
    </w:pPr>
  </w:style>
  <w:style w:type="paragraph" w:styleId="TOC3">
    <w:name w:val="toc 3"/>
    <w:basedOn w:val="Normal"/>
    <w:next w:val="Normal"/>
    <w:autoRedefine/>
    <w:uiPriority w:val="39"/>
    <w:unhideWhenUsed/>
    <w:rsid w:val="009D3728"/>
    <w:pPr>
      <w:spacing w:after="100"/>
      <w:ind w:left="440"/>
    </w:pPr>
  </w:style>
  <w:style w:type="paragraph" w:styleId="FootnoteText">
    <w:name w:val="footnote text"/>
    <w:basedOn w:val="Normal"/>
    <w:link w:val="FootnoteTextChar"/>
    <w:uiPriority w:val="99"/>
    <w:semiHidden/>
    <w:unhideWhenUsed/>
    <w:rsid w:val="001228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28D5"/>
    <w:rPr>
      <w:sz w:val="20"/>
      <w:szCs w:val="20"/>
    </w:rPr>
  </w:style>
  <w:style w:type="character" w:styleId="FootnoteReference">
    <w:name w:val="footnote reference"/>
    <w:basedOn w:val="DefaultParagraphFont"/>
    <w:uiPriority w:val="99"/>
    <w:semiHidden/>
    <w:unhideWhenUsed/>
    <w:rsid w:val="001228D5"/>
    <w:rPr>
      <w:vertAlign w:val="superscript"/>
    </w:rPr>
  </w:style>
  <w:style w:type="character" w:styleId="UnresolvedMention">
    <w:name w:val="Unresolved Mention"/>
    <w:basedOn w:val="DefaultParagraphFont"/>
    <w:uiPriority w:val="99"/>
    <w:semiHidden/>
    <w:unhideWhenUsed/>
    <w:rsid w:val="0087027F"/>
    <w:rPr>
      <w:color w:val="605E5C"/>
      <w:shd w:val="clear" w:color="auto" w:fill="E1DFDD"/>
    </w:rPr>
  </w:style>
  <w:style w:type="character" w:customStyle="1" w:styleId="Heading4Char">
    <w:name w:val="Heading 4 Char"/>
    <w:basedOn w:val="DefaultParagraphFont"/>
    <w:link w:val="Heading4"/>
    <w:uiPriority w:val="9"/>
    <w:semiHidden/>
    <w:rsid w:val="00713D4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977568">
      <w:bodyDiv w:val="1"/>
      <w:marLeft w:val="0"/>
      <w:marRight w:val="0"/>
      <w:marTop w:val="0"/>
      <w:marBottom w:val="0"/>
      <w:divBdr>
        <w:top w:val="none" w:sz="0" w:space="0" w:color="auto"/>
        <w:left w:val="none" w:sz="0" w:space="0" w:color="auto"/>
        <w:bottom w:val="none" w:sz="0" w:space="0" w:color="auto"/>
        <w:right w:val="none" w:sz="0" w:space="0" w:color="auto"/>
      </w:divBdr>
    </w:div>
    <w:div w:id="262034409">
      <w:bodyDiv w:val="1"/>
      <w:marLeft w:val="0"/>
      <w:marRight w:val="0"/>
      <w:marTop w:val="0"/>
      <w:marBottom w:val="0"/>
      <w:divBdr>
        <w:top w:val="none" w:sz="0" w:space="0" w:color="auto"/>
        <w:left w:val="none" w:sz="0" w:space="0" w:color="auto"/>
        <w:bottom w:val="none" w:sz="0" w:space="0" w:color="auto"/>
        <w:right w:val="none" w:sz="0" w:space="0" w:color="auto"/>
      </w:divBdr>
    </w:div>
    <w:div w:id="303433330">
      <w:bodyDiv w:val="1"/>
      <w:marLeft w:val="0"/>
      <w:marRight w:val="0"/>
      <w:marTop w:val="0"/>
      <w:marBottom w:val="0"/>
      <w:divBdr>
        <w:top w:val="none" w:sz="0" w:space="0" w:color="auto"/>
        <w:left w:val="none" w:sz="0" w:space="0" w:color="auto"/>
        <w:bottom w:val="none" w:sz="0" w:space="0" w:color="auto"/>
        <w:right w:val="none" w:sz="0" w:space="0" w:color="auto"/>
      </w:divBdr>
    </w:div>
    <w:div w:id="330256607">
      <w:bodyDiv w:val="1"/>
      <w:marLeft w:val="4"/>
      <w:marRight w:val="4"/>
      <w:marTop w:val="4"/>
      <w:marBottom w:val="4"/>
      <w:divBdr>
        <w:top w:val="none" w:sz="0" w:space="0" w:color="auto"/>
        <w:left w:val="none" w:sz="0" w:space="0" w:color="auto"/>
        <w:bottom w:val="none" w:sz="0" w:space="0" w:color="auto"/>
        <w:right w:val="none" w:sz="0" w:space="0" w:color="auto"/>
      </w:divBdr>
      <w:divsChild>
        <w:div w:id="126898722">
          <w:marLeft w:val="4"/>
          <w:marRight w:val="4"/>
          <w:marTop w:val="4"/>
          <w:marBottom w:val="4"/>
          <w:divBdr>
            <w:top w:val="none" w:sz="0" w:space="0" w:color="auto"/>
            <w:left w:val="none" w:sz="0" w:space="0" w:color="auto"/>
            <w:bottom w:val="none" w:sz="0" w:space="0" w:color="auto"/>
            <w:right w:val="none" w:sz="0" w:space="0" w:color="auto"/>
          </w:divBdr>
          <w:divsChild>
            <w:div w:id="318114537">
              <w:marLeft w:val="4"/>
              <w:marRight w:val="4"/>
              <w:marTop w:val="4"/>
              <w:marBottom w:val="4"/>
              <w:divBdr>
                <w:top w:val="none" w:sz="0" w:space="0" w:color="auto"/>
                <w:left w:val="none" w:sz="0" w:space="0" w:color="auto"/>
                <w:bottom w:val="none" w:sz="0" w:space="0" w:color="auto"/>
                <w:right w:val="none" w:sz="0" w:space="0" w:color="auto"/>
              </w:divBdr>
              <w:divsChild>
                <w:div w:id="1633558851">
                  <w:marLeft w:val="0"/>
                  <w:marRight w:val="0"/>
                  <w:marTop w:val="0"/>
                  <w:marBottom w:val="0"/>
                  <w:divBdr>
                    <w:top w:val="none" w:sz="0" w:space="0" w:color="auto"/>
                    <w:left w:val="none" w:sz="0" w:space="0" w:color="auto"/>
                    <w:bottom w:val="none" w:sz="0" w:space="0" w:color="auto"/>
                    <w:right w:val="none" w:sz="0" w:space="0" w:color="auto"/>
                  </w:divBdr>
                  <w:divsChild>
                    <w:div w:id="1859654083">
                      <w:marLeft w:val="4"/>
                      <w:marRight w:val="4"/>
                      <w:marTop w:val="4"/>
                      <w:marBottom w:val="4"/>
                      <w:divBdr>
                        <w:top w:val="none" w:sz="0" w:space="0" w:color="auto"/>
                        <w:left w:val="none" w:sz="0" w:space="0" w:color="auto"/>
                        <w:bottom w:val="none" w:sz="0" w:space="0" w:color="auto"/>
                        <w:right w:val="none" w:sz="0" w:space="0" w:color="auto"/>
                      </w:divBdr>
                      <w:divsChild>
                        <w:div w:id="1273055994">
                          <w:marLeft w:val="0"/>
                          <w:marRight w:val="0"/>
                          <w:marTop w:val="0"/>
                          <w:marBottom w:val="0"/>
                          <w:divBdr>
                            <w:top w:val="none" w:sz="0" w:space="0" w:color="auto"/>
                            <w:left w:val="none" w:sz="0" w:space="0" w:color="auto"/>
                            <w:bottom w:val="none" w:sz="0" w:space="0" w:color="auto"/>
                            <w:right w:val="none" w:sz="0" w:space="0" w:color="auto"/>
                          </w:divBdr>
                          <w:divsChild>
                            <w:div w:id="555777006">
                              <w:marLeft w:val="0"/>
                              <w:marRight w:val="0"/>
                              <w:marTop w:val="0"/>
                              <w:marBottom w:val="0"/>
                              <w:divBdr>
                                <w:top w:val="none" w:sz="0" w:space="0" w:color="auto"/>
                                <w:left w:val="none" w:sz="0" w:space="0" w:color="auto"/>
                                <w:bottom w:val="none" w:sz="0" w:space="0" w:color="auto"/>
                                <w:right w:val="none" w:sz="0" w:space="0" w:color="auto"/>
                              </w:divBdr>
                            </w:div>
                            <w:div w:id="113791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3537015">
      <w:bodyDiv w:val="1"/>
      <w:marLeft w:val="0"/>
      <w:marRight w:val="0"/>
      <w:marTop w:val="0"/>
      <w:marBottom w:val="0"/>
      <w:divBdr>
        <w:top w:val="none" w:sz="0" w:space="0" w:color="auto"/>
        <w:left w:val="none" w:sz="0" w:space="0" w:color="auto"/>
        <w:bottom w:val="none" w:sz="0" w:space="0" w:color="auto"/>
        <w:right w:val="none" w:sz="0" w:space="0" w:color="auto"/>
      </w:divBdr>
    </w:div>
    <w:div w:id="391463702">
      <w:bodyDiv w:val="1"/>
      <w:marLeft w:val="0"/>
      <w:marRight w:val="0"/>
      <w:marTop w:val="0"/>
      <w:marBottom w:val="0"/>
      <w:divBdr>
        <w:top w:val="none" w:sz="0" w:space="0" w:color="auto"/>
        <w:left w:val="none" w:sz="0" w:space="0" w:color="auto"/>
        <w:bottom w:val="none" w:sz="0" w:space="0" w:color="auto"/>
        <w:right w:val="none" w:sz="0" w:space="0" w:color="auto"/>
      </w:divBdr>
    </w:div>
    <w:div w:id="427623243">
      <w:bodyDiv w:val="1"/>
      <w:marLeft w:val="0"/>
      <w:marRight w:val="0"/>
      <w:marTop w:val="0"/>
      <w:marBottom w:val="0"/>
      <w:divBdr>
        <w:top w:val="none" w:sz="0" w:space="0" w:color="auto"/>
        <w:left w:val="none" w:sz="0" w:space="0" w:color="auto"/>
        <w:bottom w:val="none" w:sz="0" w:space="0" w:color="auto"/>
        <w:right w:val="none" w:sz="0" w:space="0" w:color="auto"/>
      </w:divBdr>
    </w:div>
    <w:div w:id="467432076">
      <w:bodyDiv w:val="1"/>
      <w:marLeft w:val="0"/>
      <w:marRight w:val="0"/>
      <w:marTop w:val="0"/>
      <w:marBottom w:val="0"/>
      <w:divBdr>
        <w:top w:val="none" w:sz="0" w:space="0" w:color="auto"/>
        <w:left w:val="none" w:sz="0" w:space="0" w:color="auto"/>
        <w:bottom w:val="none" w:sz="0" w:space="0" w:color="auto"/>
        <w:right w:val="none" w:sz="0" w:space="0" w:color="auto"/>
      </w:divBdr>
    </w:div>
    <w:div w:id="474640129">
      <w:bodyDiv w:val="1"/>
      <w:marLeft w:val="0"/>
      <w:marRight w:val="0"/>
      <w:marTop w:val="0"/>
      <w:marBottom w:val="0"/>
      <w:divBdr>
        <w:top w:val="none" w:sz="0" w:space="0" w:color="auto"/>
        <w:left w:val="none" w:sz="0" w:space="0" w:color="auto"/>
        <w:bottom w:val="none" w:sz="0" w:space="0" w:color="auto"/>
        <w:right w:val="none" w:sz="0" w:space="0" w:color="auto"/>
      </w:divBdr>
      <w:divsChild>
        <w:div w:id="1749308736">
          <w:marLeft w:val="0"/>
          <w:marRight w:val="0"/>
          <w:marTop w:val="0"/>
          <w:marBottom w:val="0"/>
          <w:divBdr>
            <w:top w:val="none" w:sz="0" w:space="0" w:color="auto"/>
            <w:left w:val="none" w:sz="0" w:space="0" w:color="auto"/>
            <w:bottom w:val="none" w:sz="0" w:space="0" w:color="auto"/>
            <w:right w:val="none" w:sz="0" w:space="0" w:color="auto"/>
          </w:divBdr>
        </w:div>
      </w:divsChild>
    </w:div>
    <w:div w:id="503591216">
      <w:bodyDiv w:val="1"/>
      <w:marLeft w:val="0"/>
      <w:marRight w:val="0"/>
      <w:marTop w:val="0"/>
      <w:marBottom w:val="0"/>
      <w:divBdr>
        <w:top w:val="none" w:sz="0" w:space="0" w:color="auto"/>
        <w:left w:val="none" w:sz="0" w:space="0" w:color="auto"/>
        <w:bottom w:val="none" w:sz="0" w:space="0" w:color="auto"/>
        <w:right w:val="none" w:sz="0" w:space="0" w:color="auto"/>
      </w:divBdr>
    </w:div>
    <w:div w:id="567300856">
      <w:bodyDiv w:val="1"/>
      <w:marLeft w:val="0"/>
      <w:marRight w:val="0"/>
      <w:marTop w:val="0"/>
      <w:marBottom w:val="0"/>
      <w:divBdr>
        <w:top w:val="none" w:sz="0" w:space="0" w:color="auto"/>
        <w:left w:val="none" w:sz="0" w:space="0" w:color="auto"/>
        <w:bottom w:val="none" w:sz="0" w:space="0" w:color="auto"/>
        <w:right w:val="none" w:sz="0" w:space="0" w:color="auto"/>
      </w:divBdr>
    </w:div>
    <w:div w:id="650519941">
      <w:bodyDiv w:val="1"/>
      <w:marLeft w:val="0"/>
      <w:marRight w:val="0"/>
      <w:marTop w:val="0"/>
      <w:marBottom w:val="0"/>
      <w:divBdr>
        <w:top w:val="none" w:sz="0" w:space="0" w:color="auto"/>
        <w:left w:val="none" w:sz="0" w:space="0" w:color="auto"/>
        <w:bottom w:val="none" w:sz="0" w:space="0" w:color="auto"/>
        <w:right w:val="none" w:sz="0" w:space="0" w:color="auto"/>
      </w:divBdr>
    </w:div>
    <w:div w:id="675765001">
      <w:bodyDiv w:val="1"/>
      <w:marLeft w:val="0"/>
      <w:marRight w:val="0"/>
      <w:marTop w:val="0"/>
      <w:marBottom w:val="0"/>
      <w:divBdr>
        <w:top w:val="none" w:sz="0" w:space="0" w:color="auto"/>
        <w:left w:val="none" w:sz="0" w:space="0" w:color="auto"/>
        <w:bottom w:val="none" w:sz="0" w:space="0" w:color="auto"/>
        <w:right w:val="none" w:sz="0" w:space="0" w:color="auto"/>
      </w:divBdr>
    </w:div>
    <w:div w:id="823081558">
      <w:bodyDiv w:val="1"/>
      <w:marLeft w:val="0"/>
      <w:marRight w:val="0"/>
      <w:marTop w:val="0"/>
      <w:marBottom w:val="0"/>
      <w:divBdr>
        <w:top w:val="none" w:sz="0" w:space="0" w:color="auto"/>
        <w:left w:val="none" w:sz="0" w:space="0" w:color="auto"/>
        <w:bottom w:val="none" w:sz="0" w:space="0" w:color="auto"/>
        <w:right w:val="none" w:sz="0" w:space="0" w:color="auto"/>
      </w:divBdr>
    </w:div>
    <w:div w:id="838351993">
      <w:bodyDiv w:val="1"/>
      <w:marLeft w:val="0"/>
      <w:marRight w:val="0"/>
      <w:marTop w:val="0"/>
      <w:marBottom w:val="0"/>
      <w:divBdr>
        <w:top w:val="none" w:sz="0" w:space="0" w:color="auto"/>
        <w:left w:val="none" w:sz="0" w:space="0" w:color="auto"/>
        <w:bottom w:val="none" w:sz="0" w:space="0" w:color="auto"/>
        <w:right w:val="none" w:sz="0" w:space="0" w:color="auto"/>
      </w:divBdr>
    </w:div>
    <w:div w:id="918976400">
      <w:bodyDiv w:val="1"/>
      <w:marLeft w:val="0"/>
      <w:marRight w:val="0"/>
      <w:marTop w:val="0"/>
      <w:marBottom w:val="0"/>
      <w:divBdr>
        <w:top w:val="none" w:sz="0" w:space="0" w:color="auto"/>
        <w:left w:val="none" w:sz="0" w:space="0" w:color="auto"/>
        <w:bottom w:val="none" w:sz="0" w:space="0" w:color="auto"/>
        <w:right w:val="none" w:sz="0" w:space="0" w:color="auto"/>
      </w:divBdr>
    </w:div>
    <w:div w:id="961500181">
      <w:bodyDiv w:val="1"/>
      <w:marLeft w:val="0"/>
      <w:marRight w:val="0"/>
      <w:marTop w:val="0"/>
      <w:marBottom w:val="0"/>
      <w:divBdr>
        <w:top w:val="none" w:sz="0" w:space="0" w:color="auto"/>
        <w:left w:val="none" w:sz="0" w:space="0" w:color="auto"/>
        <w:bottom w:val="none" w:sz="0" w:space="0" w:color="auto"/>
        <w:right w:val="none" w:sz="0" w:space="0" w:color="auto"/>
      </w:divBdr>
    </w:div>
    <w:div w:id="996542827">
      <w:bodyDiv w:val="1"/>
      <w:marLeft w:val="0"/>
      <w:marRight w:val="0"/>
      <w:marTop w:val="0"/>
      <w:marBottom w:val="0"/>
      <w:divBdr>
        <w:top w:val="none" w:sz="0" w:space="0" w:color="auto"/>
        <w:left w:val="none" w:sz="0" w:space="0" w:color="auto"/>
        <w:bottom w:val="none" w:sz="0" w:space="0" w:color="auto"/>
        <w:right w:val="none" w:sz="0" w:space="0" w:color="auto"/>
      </w:divBdr>
    </w:div>
    <w:div w:id="1004938538">
      <w:bodyDiv w:val="1"/>
      <w:marLeft w:val="0"/>
      <w:marRight w:val="0"/>
      <w:marTop w:val="0"/>
      <w:marBottom w:val="0"/>
      <w:divBdr>
        <w:top w:val="none" w:sz="0" w:space="0" w:color="auto"/>
        <w:left w:val="none" w:sz="0" w:space="0" w:color="auto"/>
        <w:bottom w:val="none" w:sz="0" w:space="0" w:color="auto"/>
        <w:right w:val="none" w:sz="0" w:space="0" w:color="auto"/>
      </w:divBdr>
    </w:div>
    <w:div w:id="1005941552">
      <w:bodyDiv w:val="1"/>
      <w:marLeft w:val="0"/>
      <w:marRight w:val="0"/>
      <w:marTop w:val="0"/>
      <w:marBottom w:val="0"/>
      <w:divBdr>
        <w:top w:val="none" w:sz="0" w:space="0" w:color="auto"/>
        <w:left w:val="none" w:sz="0" w:space="0" w:color="auto"/>
        <w:bottom w:val="none" w:sz="0" w:space="0" w:color="auto"/>
        <w:right w:val="none" w:sz="0" w:space="0" w:color="auto"/>
      </w:divBdr>
    </w:div>
    <w:div w:id="1035737181">
      <w:bodyDiv w:val="1"/>
      <w:marLeft w:val="0"/>
      <w:marRight w:val="0"/>
      <w:marTop w:val="0"/>
      <w:marBottom w:val="0"/>
      <w:divBdr>
        <w:top w:val="none" w:sz="0" w:space="0" w:color="auto"/>
        <w:left w:val="none" w:sz="0" w:space="0" w:color="auto"/>
        <w:bottom w:val="none" w:sz="0" w:space="0" w:color="auto"/>
        <w:right w:val="none" w:sz="0" w:space="0" w:color="auto"/>
      </w:divBdr>
    </w:div>
    <w:div w:id="1128084472">
      <w:bodyDiv w:val="1"/>
      <w:marLeft w:val="0"/>
      <w:marRight w:val="0"/>
      <w:marTop w:val="0"/>
      <w:marBottom w:val="0"/>
      <w:divBdr>
        <w:top w:val="none" w:sz="0" w:space="0" w:color="auto"/>
        <w:left w:val="none" w:sz="0" w:space="0" w:color="auto"/>
        <w:bottom w:val="none" w:sz="0" w:space="0" w:color="auto"/>
        <w:right w:val="none" w:sz="0" w:space="0" w:color="auto"/>
      </w:divBdr>
    </w:div>
    <w:div w:id="1173881995">
      <w:bodyDiv w:val="1"/>
      <w:marLeft w:val="0"/>
      <w:marRight w:val="0"/>
      <w:marTop w:val="0"/>
      <w:marBottom w:val="0"/>
      <w:divBdr>
        <w:top w:val="none" w:sz="0" w:space="0" w:color="auto"/>
        <w:left w:val="none" w:sz="0" w:space="0" w:color="auto"/>
        <w:bottom w:val="none" w:sz="0" w:space="0" w:color="auto"/>
        <w:right w:val="none" w:sz="0" w:space="0" w:color="auto"/>
      </w:divBdr>
    </w:div>
    <w:div w:id="1175069100">
      <w:bodyDiv w:val="1"/>
      <w:marLeft w:val="0"/>
      <w:marRight w:val="0"/>
      <w:marTop w:val="0"/>
      <w:marBottom w:val="0"/>
      <w:divBdr>
        <w:top w:val="none" w:sz="0" w:space="0" w:color="auto"/>
        <w:left w:val="none" w:sz="0" w:space="0" w:color="auto"/>
        <w:bottom w:val="none" w:sz="0" w:space="0" w:color="auto"/>
        <w:right w:val="none" w:sz="0" w:space="0" w:color="auto"/>
      </w:divBdr>
    </w:div>
    <w:div w:id="1213156758">
      <w:bodyDiv w:val="1"/>
      <w:marLeft w:val="0"/>
      <w:marRight w:val="0"/>
      <w:marTop w:val="0"/>
      <w:marBottom w:val="0"/>
      <w:divBdr>
        <w:top w:val="none" w:sz="0" w:space="0" w:color="auto"/>
        <w:left w:val="none" w:sz="0" w:space="0" w:color="auto"/>
        <w:bottom w:val="none" w:sz="0" w:space="0" w:color="auto"/>
        <w:right w:val="none" w:sz="0" w:space="0" w:color="auto"/>
      </w:divBdr>
    </w:div>
    <w:div w:id="1351755163">
      <w:bodyDiv w:val="1"/>
      <w:marLeft w:val="0"/>
      <w:marRight w:val="0"/>
      <w:marTop w:val="0"/>
      <w:marBottom w:val="0"/>
      <w:divBdr>
        <w:top w:val="none" w:sz="0" w:space="0" w:color="auto"/>
        <w:left w:val="none" w:sz="0" w:space="0" w:color="auto"/>
        <w:bottom w:val="none" w:sz="0" w:space="0" w:color="auto"/>
        <w:right w:val="none" w:sz="0" w:space="0" w:color="auto"/>
      </w:divBdr>
    </w:div>
    <w:div w:id="1465460880">
      <w:bodyDiv w:val="1"/>
      <w:marLeft w:val="0"/>
      <w:marRight w:val="0"/>
      <w:marTop w:val="0"/>
      <w:marBottom w:val="0"/>
      <w:divBdr>
        <w:top w:val="none" w:sz="0" w:space="0" w:color="auto"/>
        <w:left w:val="none" w:sz="0" w:space="0" w:color="auto"/>
        <w:bottom w:val="none" w:sz="0" w:space="0" w:color="auto"/>
        <w:right w:val="none" w:sz="0" w:space="0" w:color="auto"/>
      </w:divBdr>
    </w:div>
    <w:div w:id="1466121593">
      <w:bodyDiv w:val="1"/>
      <w:marLeft w:val="0"/>
      <w:marRight w:val="0"/>
      <w:marTop w:val="0"/>
      <w:marBottom w:val="0"/>
      <w:divBdr>
        <w:top w:val="none" w:sz="0" w:space="0" w:color="auto"/>
        <w:left w:val="none" w:sz="0" w:space="0" w:color="auto"/>
        <w:bottom w:val="none" w:sz="0" w:space="0" w:color="auto"/>
        <w:right w:val="none" w:sz="0" w:space="0" w:color="auto"/>
      </w:divBdr>
    </w:div>
    <w:div w:id="1502156888">
      <w:bodyDiv w:val="1"/>
      <w:marLeft w:val="0"/>
      <w:marRight w:val="0"/>
      <w:marTop w:val="0"/>
      <w:marBottom w:val="0"/>
      <w:divBdr>
        <w:top w:val="none" w:sz="0" w:space="0" w:color="auto"/>
        <w:left w:val="none" w:sz="0" w:space="0" w:color="auto"/>
        <w:bottom w:val="none" w:sz="0" w:space="0" w:color="auto"/>
        <w:right w:val="none" w:sz="0" w:space="0" w:color="auto"/>
      </w:divBdr>
    </w:div>
    <w:div w:id="1523083343">
      <w:bodyDiv w:val="1"/>
      <w:marLeft w:val="0"/>
      <w:marRight w:val="0"/>
      <w:marTop w:val="0"/>
      <w:marBottom w:val="0"/>
      <w:divBdr>
        <w:top w:val="none" w:sz="0" w:space="0" w:color="auto"/>
        <w:left w:val="none" w:sz="0" w:space="0" w:color="auto"/>
        <w:bottom w:val="none" w:sz="0" w:space="0" w:color="auto"/>
        <w:right w:val="none" w:sz="0" w:space="0" w:color="auto"/>
      </w:divBdr>
    </w:div>
    <w:div w:id="1593929162">
      <w:bodyDiv w:val="1"/>
      <w:marLeft w:val="0"/>
      <w:marRight w:val="0"/>
      <w:marTop w:val="0"/>
      <w:marBottom w:val="0"/>
      <w:divBdr>
        <w:top w:val="none" w:sz="0" w:space="0" w:color="auto"/>
        <w:left w:val="none" w:sz="0" w:space="0" w:color="auto"/>
        <w:bottom w:val="none" w:sz="0" w:space="0" w:color="auto"/>
        <w:right w:val="none" w:sz="0" w:space="0" w:color="auto"/>
      </w:divBdr>
    </w:div>
    <w:div w:id="1619874783">
      <w:bodyDiv w:val="1"/>
      <w:marLeft w:val="0"/>
      <w:marRight w:val="0"/>
      <w:marTop w:val="0"/>
      <w:marBottom w:val="0"/>
      <w:divBdr>
        <w:top w:val="none" w:sz="0" w:space="0" w:color="auto"/>
        <w:left w:val="none" w:sz="0" w:space="0" w:color="auto"/>
        <w:bottom w:val="none" w:sz="0" w:space="0" w:color="auto"/>
        <w:right w:val="none" w:sz="0" w:space="0" w:color="auto"/>
      </w:divBdr>
    </w:div>
    <w:div w:id="1623224292">
      <w:bodyDiv w:val="1"/>
      <w:marLeft w:val="0"/>
      <w:marRight w:val="0"/>
      <w:marTop w:val="0"/>
      <w:marBottom w:val="0"/>
      <w:divBdr>
        <w:top w:val="none" w:sz="0" w:space="0" w:color="auto"/>
        <w:left w:val="none" w:sz="0" w:space="0" w:color="auto"/>
        <w:bottom w:val="none" w:sz="0" w:space="0" w:color="auto"/>
        <w:right w:val="none" w:sz="0" w:space="0" w:color="auto"/>
      </w:divBdr>
    </w:div>
    <w:div w:id="1691645468">
      <w:bodyDiv w:val="1"/>
      <w:marLeft w:val="4"/>
      <w:marRight w:val="4"/>
      <w:marTop w:val="4"/>
      <w:marBottom w:val="4"/>
      <w:divBdr>
        <w:top w:val="none" w:sz="0" w:space="0" w:color="auto"/>
        <w:left w:val="none" w:sz="0" w:space="0" w:color="auto"/>
        <w:bottom w:val="none" w:sz="0" w:space="0" w:color="auto"/>
        <w:right w:val="none" w:sz="0" w:space="0" w:color="auto"/>
      </w:divBdr>
      <w:divsChild>
        <w:div w:id="1641568525">
          <w:marLeft w:val="4"/>
          <w:marRight w:val="4"/>
          <w:marTop w:val="4"/>
          <w:marBottom w:val="4"/>
          <w:divBdr>
            <w:top w:val="none" w:sz="0" w:space="0" w:color="auto"/>
            <w:left w:val="none" w:sz="0" w:space="0" w:color="auto"/>
            <w:bottom w:val="none" w:sz="0" w:space="0" w:color="auto"/>
            <w:right w:val="none" w:sz="0" w:space="0" w:color="auto"/>
          </w:divBdr>
          <w:divsChild>
            <w:div w:id="1226068600">
              <w:marLeft w:val="4"/>
              <w:marRight w:val="4"/>
              <w:marTop w:val="4"/>
              <w:marBottom w:val="4"/>
              <w:divBdr>
                <w:top w:val="none" w:sz="0" w:space="0" w:color="auto"/>
                <w:left w:val="none" w:sz="0" w:space="0" w:color="auto"/>
                <w:bottom w:val="none" w:sz="0" w:space="0" w:color="auto"/>
                <w:right w:val="none" w:sz="0" w:space="0" w:color="auto"/>
              </w:divBdr>
              <w:divsChild>
                <w:div w:id="1116555998">
                  <w:marLeft w:val="0"/>
                  <w:marRight w:val="0"/>
                  <w:marTop w:val="0"/>
                  <w:marBottom w:val="0"/>
                  <w:divBdr>
                    <w:top w:val="none" w:sz="0" w:space="0" w:color="auto"/>
                    <w:left w:val="none" w:sz="0" w:space="0" w:color="auto"/>
                    <w:bottom w:val="none" w:sz="0" w:space="0" w:color="auto"/>
                    <w:right w:val="none" w:sz="0" w:space="0" w:color="auto"/>
                  </w:divBdr>
                  <w:divsChild>
                    <w:div w:id="1302223990">
                      <w:marLeft w:val="4"/>
                      <w:marRight w:val="4"/>
                      <w:marTop w:val="4"/>
                      <w:marBottom w:val="4"/>
                      <w:divBdr>
                        <w:top w:val="none" w:sz="0" w:space="0" w:color="auto"/>
                        <w:left w:val="none" w:sz="0" w:space="0" w:color="auto"/>
                        <w:bottom w:val="none" w:sz="0" w:space="0" w:color="auto"/>
                        <w:right w:val="none" w:sz="0" w:space="0" w:color="auto"/>
                      </w:divBdr>
                      <w:divsChild>
                        <w:div w:id="590284152">
                          <w:marLeft w:val="0"/>
                          <w:marRight w:val="0"/>
                          <w:marTop w:val="0"/>
                          <w:marBottom w:val="0"/>
                          <w:divBdr>
                            <w:top w:val="none" w:sz="0" w:space="0" w:color="auto"/>
                            <w:left w:val="none" w:sz="0" w:space="0" w:color="auto"/>
                            <w:bottom w:val="none" w:sz="0" w:space="0" w:color="auto"/>
                            <w:right w:val="none" w:sz="0" w:space="0" w:color="auto"/>
                          </w:divBdr>
                          <w:divsChild>
                            <w:div w:id="424806464">
                              <w:marLeft w:val="0"/>
                              <w:marRight w:val="0"/>
                              <w:marTop w:val="0"/>
                              <w:marBottom w:val="0"/>
                              <w:divBdr>
                                <w:top w:val="none" w:sz="0" w:space="0" w:color="auto"/>
                                <w:left w:val="none" w:sz="0" w:space="0" w:color="auto"/>
                                <w:bottom w:val="none" w:sz="0" w:space="0" w:color="auto"/>
                                <w:right w:val="none" w:sz="0" w:space="0" w:color="auto"/>
                              </w:divBdr>
                            </w:div>
                            <w:div w:id="744955965">
                              <w:marLeft w:val="0"/>
                              <w:marRight w:val="0"/>
                              <w:marTop w:val="0"/>
                              <w:marBottom w:val="0"/>
                              <w:divBdr>
                                <w:top w:val="none" w:sz="0" w:space="0" w:color="auto"/>
                                <w:left w:val="none" w:sz="0" w:space="0" w:color="auto"/>
                                <w:bottom w:val="none" w:sz="0" w:space="0" w:color="auto"/>
                                <w:right w:val="none" w:sz="0" w:space="0" w:color="auto"/>
                              </w:divBdr>
                            </w:div>
                            <w:div w:id="1175923321">
                              <w:marLeft w:val="0"/>
                              <w:marRight w:val="0"/>
                              <w:marTop w:val="0"/>
                              <w:marBottom w:val="0"/>
                              <w:divBdr>
                                <w:top w:val="none" w:sz="0" w:space="0" w:color="auto"/>
                                <w:left w:val="none" w:sz="0" w:space="0" w:color="auto"/>
                                <w:bottom w:val="none" w:sz="0" w:space="0" w:color="auto"/>
                                <w:right w:val="none" w:sz="0" w:space="0" w:color="auto"/>
                              </w:divBdr>
                            </w:div>
                            <w:div w:id="172617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733088">
      <w:bodyDiv w:val="1"/>
      <w:marLeft w:val="0"/>
      <w:marRight w:val="0"/>
      <w:marTop w:val="0"/>
      <w:marBottom w:val="0"/>
      <w:divBdr>
        <w:top w:val="none" w:sz="0" w:space="0" w:color="auto"/>
        <w:left w:val="none" w:sz="0" w:space="0" w:color="auto"/>
        <w:bottom w:val="none" w:sz="0" w:space="0" w:color="auto"/>
        <w:right w:val="none" w:sz="0" w:space="0" w:color="auto"/>
      </w:divBdr>
    </w:div>
    <w:div w:id="1777944036">
      <w:bodyDiv w:val="1"/>
      <w:marLeft w:val="0"/>
      <w:marRight w:val="0"/>
      <w:marTop w:val="0"/>
      <w:marBottom w:val="0"/>
      <w:divBdr>
        <w:top w:val="none" w:sz="0" w:space="0" w:color="auto"/>
        <w:left w:val="none" w:sz="0" w:space="0" w:color="auto"/>
        <w:bottom w:val="none" w:sz="0" w:space="0" w:color="auto"/>
        <w:right w:val="none" w:sz="0" w:space="0" w:color="auto"/>
      </w:divBdr>
    </w:div>
    <w:div w:id="1860007029">
      <w:bodyDiv w:val="1"/>
      <w:marLeft w:val="0"/>
      <w:marRight w:val="0"/>
      <w:marTop w:val="0"/>
      <w:marBottom w:val="0"/>
      <w:divBdr>
        <w:top w:val="none" w:sz="0" w:space="0" w:color="auto"/>
        <w:left w:val="none" w:sz="0" w:space="0" w:color="auto"/>
        <w:bottom w:val="none" w:sz="0" w:space="0" w:color="auto"/>
        <w:right w:val="none" w:sz="0" w:space="0" w:color="auto"/>
      </w:divBdr>
    </w:div>
    <w:div w:id="1860702619">
      <w:bodyDiv w:val="1"/>
      <w:marLeft w:val="0"/>
      <w:marRight w:val="0"/>
      <w:marTop w:val="0"/>
      <w:marBottom w:val="0"/>
      <w:divBdr>
        <w:top w:val="none" w:sz="0" w:space="0" w:color="auto"/>
        <w:left w:val="none" w:sz="0" w:space="0" w:color="auto"/>
        <w:bottom w:val="none" w:sz="0" w:space="0" w:color="auto"/>
        <w:right w:val="none" w:sz="0" w:space="0" w:color="auto"/>
      </w:divBdr>
    </w:div>
    <w:div w:id="1916894882">
      <w:bodyDiv w:val="1"/>
      <w:marLeft w:val="0"/>
      <w:marRight w:val="0"/>
      <w:marTop w:val="0"/>
      <w:marBottom w:val="0"/>
      <w:divBdr>
        <w:top w:val="none" w:sz="0" w:space="0" w:color="auto"/>
        <w:left w:val="none" w:sz="0" w:space="0" w:color="auto"/>
        <w:bottom w:val="none" w:sz="0" w:space="0" w:color="auto"/>
        <w:right w:val="none" w:sz="0" w:space="0" w:color="auto"/>
      </w:divBdr>
    </w:div>
    <w:div w:id="2033919184">
      <w:bodyDiv w:val="1"/>
      <w:marLeft w:val="4"/>
      <w:marRight w:val="4"/>
      <w:marTop w:val="4"/>
      <w:marBottom w:val="4"/>
      <w:divBdr>
        <w:top w:val="none" w:sz="0" w:space="0" w:color="auto"/>
        <w:left w:val="none" w:sz="0" w:space="0" w:color="auto"/>
        <w:bottom w:val="none" w:sz="0" w:space="0" w:color="auto"/>
        <w:right w:val="none" w:sz="0" w:space="0" w:color="auto"/>
      </w:divBdr>
      <w:divsChild>
        <w:div w:id="351422906">
          <w:marLeft w:val="4"/>
          <w:marRight w:val="4"/>
          <w:marTop w:val="4"/>
          <w:marBottom w:val="4"/>
          <w:divBdr>
            <w:top w:val="none" w:sz="0" w:space="0" w:color="auto"/>
            <w:left w:val="none" w:sz="0" w:space="0" w:color="auto"/>
            <w:bottom w:val="none" w:sz="0" w:space="0" w:color="auto"/>
            <w:right w:val="none" w:sz="0" w:space="0" w:color="auto"/>
          </w:divBdr>
          <w:divsChild>
            <w:div w:id="515536328">
              <w:marLeft w:val="4"/>
              <w:marRight w:val="4"/>
              <w:marTop w:val="4"/>
              <w:marBottom w:val="4"/>
              <w:divBdr>
                <w:top w:val="none" w:sz="0" w:space="0" w:color="auto"/>
                <w:left w:val="none" w:sz="0" w:space="0" w:color="auto"/>
                <w:bottom w:val="none" w:sz="0" w:space="0" w:color="auto"/>
                <w:right w:val="none" w:sz="0" w:space="0" w:color="auto"/>
              </w:divBdr>
              <w:divsChild>
                <w:div w:id="1908607271">
                  <w:marLeft w:val="0"/>
                  <w:marRight w:val="0"/>
                  <w:marTop w:val="0"/>
                  <w:marBottom w:val="0"/>
                  <w:divBdr>
                    <w:top w:val="none" w:sz="0" w:space="0" w:color="auto"/>
                    <w:left w:val="none" w:sz="0" w:space="0" w:color="auto"/>
                    <w:bottom w:val="none" w:sz="0" w:space="0" w:color="auto"/>
                    <w:right w:val="none" w:sz="0" w:space="0" w:color="auto"/>
                  </w:divBdr>
                  <w:divsChild>
                    <w:div w:id="961496679">
                      <w:marLeft w:val="4"/>
                      <w:marRight w:val="4"/>
                      <w:marTop w:val="4"/>
                      <w:marBottom w:val="4"/>
                      <w:divBdr>
                        <w:top w:val="none" w:sz="0" w:space="0" w:color="auto"/>
                        <w:left w:val="none" w:sz="0" w:space="0" w:color="auto"/>
                        <w:bottom w:val="none" w:sz="0" w:space="0" w:color="auto"/>
                        <w:right w:val="none" w:sz="0" w:space="0" w:color="auto"/>
                      </w:divBdr>
                      <w:divsChild>
                        <w:div w:id="912395606">
                          <w:marLeft w:val="0"/>
                          <w:marRight w:val="0"/>
                          <w:marTop w:val="0"/>
                          <w:marBottom w:val="0"/>
                          <w:divBdr>
                            <w:top w:val="none" w:sz="0" w:space="0" w:color="auto"/>
                            <w:left w:val="none" w:sz="0" w:space="0" w:color="auto"/>
                            <w:bottom w:val="none" w:sz="0" w:space="0" w:color="auto"/>
                            <w:right w:val="none" w:sz="0" w:space="0" w:color="auto"/>
                          </w:divBdr>
                          <w:divsChild>
                            <w:div w:id="29108136">
                              <w:marLeft w:val="0"/>
                              <w:marRight w:val="0"/>
                              <w:marTop w:val="0"/>
                              <w:marBottom w:val="0"/>
                              <w:divBdr>
                                <w:top w:val="none" w:sz="0" w:space="0" w:color="auto"/>
                                <w:left w:val="none" w:sz="0" w:space="0" w:color="auto"/>
                                <w:bottom w:val="none" w:sz="0" w:space="0" w:color="auto"/>
                                <w:right w:val="none" w:sz="0" w:space="0" w:color="auto"/>
                              </w:divBdr>
                            </w:div>
                            <w:div w:id="1190219377">
                              <w:marLeft w:val="0"/>
                              <w:marRight w:val="0"/>
                              <w:marTop w:val="0"/>
                              <w:marBottom w:val="0"/>
                              <w:divBdr>
                                <w:top w:val="none" w:sz="0" w:space="0" w:color="auto"/>
                                <w:left w:val="none" w:sz="0" w:space="0" w:color="auto"/>
                                <w:bottom w:val="none" w:sz="0" w:space="0" w:color="auto"/>
                                <w:right w:val="none" w:sz="0" w:space="0" w:color="auto"/>
                              </w:divBdr>
                            </w:div>
                            <w:div w:id="1773014150">
                              <w:marLeft w:val="0"/>
                              <w:marRight w:val="0"/>
                              <w:marTop w:val="0"/>
                              <w:marBottom w:val="0"/>
                              <w:divBdr>
                                <w:top w:val="none" w:sz="0" w:space="0" w:color="auto"/>
                                <w:left w:val="none" w:sz="0" w:space="0" w:color="auto"/>
                                <w:bottom w:val="none" w:sz="0" w:space="0" w:color="auto"/>
                                <w:right w:val="none" w:sz="0" w:space="0" w:color="auto"/>
                              </w:divBdr>
                            </w:div>
                            <w:div w:id="198215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806200">
      <w:bodyDiv w:val="1"/>
      <w:marLeft w:val="0"/>
      <w:marRight w:val="0"/>
      <w:marTop w:val="0"/>
      <w:marBottom w:val="0"/>
      <w:divBdr>
        <w:top w:val="none" w:sz="0" w:space="0" w:color="auto"/>
        <w:left w:val="none" w:sz="0" w:space="0" w:color="auto"/>
        <w:bottom w:val="none" w:sz="0" w:space="0" w:color="auto"/>
        <w:right w:val="none" w:sz="0" w:space="0" w:color="auto"/>
      </w:divBdr>
    </w:div>
    <w:div w:id="2069960153">
      <w:bodyDiv w:val="1"/>
      <w:marLeft w:val="0"/>
      <w:marRight w:val="0"/>
      <w:marTop w:val="0"/>
      <w:marBottom w:val="0"/>
      <w:divBdr>
        <w:top w:val="none" w:sz="0" w:space="0" w:color="auto"/>
        <w:left w:val="none" w:sz="0" w:space="0" w:color="auto"/>
        <w:bottom w:val="none" w:sz="0" w:space="0" w:color="auto"/>
        <w:right w:val="none" w:sz="0" w:space="0" w:color="auto"/>
      </w:divBdr>
    </w:div>
    <w:div w:id="213478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bls.gov/oes/current/oes_nat.htm"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1" Type="http://schemas.openxmlformats.org/officeDocument/2006/relationships/hyperlink" Target="https://data.worldbank.org/indicator/PA.NUS.PPP?locations=M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 xsi:nil="true"/>
    <_dlc_DocIdUrl xmlns="81daf041-c113-401c-bf82-107f5d396711">
      <Url xsi:nil="true"/>
      <Description xsi:nil="true"/>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b:Source>
    <b:Tag>Mar12</b:Tag>
    <b:SourceType>ArticleInAPeriodical</b:SourceType>
    <b:Guid>{DDD8F283-F7AE-48B4-B749-93BED444D640}</b:Guid>
    <b:Title>QR codes have become ubiquitous--just as they're falling out of favor with advertisers</b:Title>
    <b:Year>2012</b:Year>
    <b:Author>
      <b:Author>
        <b:NameList>
          <b:Person>
            <b:Last>Millan</b:Last>
            <b:First>Mark</b:First>
          </b:Person>
        </b:NameList>
      </b:Author>
    </b:Author>
    <b:PeriodicalTitle>Bloomberg Businessweek</b:PeriodicalTitle>
    <b:Month>July</b:Month>
    <b:Day>2-8</b:Day>
    <b:Pages>28-30</b:Pages>
    <b:RefOrder>1</b:RefOrder>
  </b:Source>
</b:Sources>
</file>

<file path=customXml/itemProps1.xml><?xml version="1.0" encoding="utf-8"?>
<ds:datastoreItem xmlns:ds="http://schemas.openxmlformats.org/officeDocument/2006/customXml" ds:itemID="{84449BD6-52D3-46C3-98E4-4186D1196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6D21B3-14D2-4F3D-8F6E-8DB2A61A87E3}">
  <ds:schemaRefs>
    <ds:schemaRef ds:uri="http://schemas.microsoft.com/sharepoint/events"/>
  </ds:schemaRefs>
</ds:datastoreItem>
</file>

<file path=customXml/itemProps3.xml><?xml version="1.0" encoding="utf-8"?>
<ds:datastoreItem xmlns:ds="http://schemas.openxmlformats.org/officeDocument/2006/customXml" ds:itemID="{5D996DC8-02E7-4F21-B9CA-BA43FF1BBC70}">
  <ds:schemaRefs>
    <ds:schemaRef ds:uri="http://purl.org/dc/terms/"/>
    <ds:schemaRef ds:uri="http://www.w3.org/XML/1998/namespace"/>
    <ds:schemaRef ds:uri="http://schemas.microsoft.com/office/2006/metadata/properties"/>
    <ds:schemaRef ds:uri="d335559b-c20a-4874-978e-77d2be77e01f"/>
    <ds:schemaRef ds:uri="http://schemas.microsoft.com/office/2006/documentManagement/types"/>
    <ds:schemaRef ds:uri="http://schemas.microsoft.com/office/infopath/2007/PartnerControls"/>
    <ds:schemaRef ds:uri="http://purl.org/dc/elements/1.1/"/>
    <ds:schemaRef ds:uri="http://purl.org/dc/dcmitype/"/>
    <ds:schemaRef ds:uri="http://schemas.openxmlformats.org/package/2006/metadata/core-properties"/>
    <ds:schemaRef ds:uri="81daf041-c113-401c-bf82-107f5d396711"/>
  </ds:schemaRefs>
</ds:datastoreItem>
</file>

<file path=customXml/itemProps4.xml><?xml version="1.0" encoding="utf-8"?>
<ds:datastoreItem xmlns:ds="http://schemas.openxmlformats.org/officeDocument/2006/customXml" ds:itemID="{A8BDA0CB-B12D-45DC-9520-313FF8D06CFD}">
  <ds:schemaRefs>
    <ds:schemaRef ds:uri="http://schemas.microsoft.com/sharepoint/v3/contenttype/forms"/>
  </ds:schemaRefs>
</ds:datastoreItem>
</file>

<file path=customXml/itemProps5.xml><?xml version="1.0" encoding="utf-8"?>
<ds:datastoreItem xmlns:ds="http://schemas.openxmlformats.org/officeDocument/2006/customXml" ds:itemID="{4251E25D-F823-4369-AE3C-2C9648812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15</Pages>
  <Words>5156</Words>
  <Characters>29390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McMillen, Amy (CDC/OID/NCEZID)</dc:creator>
  <cp:keywords/>
  <cp:lastModifiedBy>Macaluso, Renita (CDC/DDPHSS/OS/OSI)</cp:lastModifiedBy>
  <cp:revision>10</cp:revision>
  <dcterms:created xsi:type="dcterms:W3CDTF">2020-06-01T15:43:00Z</dcterms:created>
  <dcterms:modified xsi:type="dcterms:W3CDTF">2020-06-15T15:03:00Z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3407cb66-080a-4c9d-ac58-29e5b3bdb8ce</vt:lpwstr>
  </property>
  <property fmtid="{D5CDD505-2E9C-101B-9397-08002B2CF9AE}" pid="4" name="MSIP_Label_7b94a7b8-f06c-4dfe-bdcc-9b548fd58c31_Enabled">
    <vt:lpwstr>True</vt:lpwstr>
  </property>
  <property fmtid="{D5CDD505-2E9C-101B-9397-08002B2CF9AE}" pid="5" name="MSIP_Label_7b94a7b8-f06c-4dfe-bdcc-9b548fd58c31_SiteId">
    <vt:lpwstr>9ce70869-60db-44fd-abe8-d2767077fc8f</vt:lpwstr>
  </property>
  <property fmtid="{D5CDD505-2E9C-101B-9397-08002B2CF9AE}" pid="6" name="MSIP_Label_7b94a7b8-f06c-4dfe-bdcc-9b548fd58c31_Owner">
    <vt:lpwstr>wmg9@cdc.gov</vt:lpwstr>
  </property>
  <property fmtid="{D5CDD505-2E9C-101B-9397-08002B2CF9AE}" pid="7" name="MSIP_Label_7b94a7b8-f06c-4dfe-bdcc-9b548fd58c31_SetDate">
    <vt:lpwstr>2020-05-27T13:40:16.2344351Z</vt:lpwstr>
  </property>
  <property fmtid="{D5CDD505-2E9C-101B-9397-08002B2CF9AE}" pid="8" name="MSIP_Label_7b94a7b8-f06c-4dfe-bdcc-9b548fd58c31_Name">
    <vt:lpwstr>General</vt:lpwstr>
  </property>
  <property fmtid="{D5CDD505-2E9C-101B-9397-08002B2CF9AE}" pid="9" name="MSIP_Label_7b94a7b8-f06c-4dfe-bdcc-9b548fd58c31_Application">
    <vt:lpwstr>Microsoft Azure Information Protection</vt:lpwstr>
  </property>
  <property fmtid="{D5CDD505-2E9C-101B-9397-08002B2CF9AE}" pid="10" name="MSIP_Label_7b94a7b8-f06c-4dfe-bdcc-9b548fd58c31_ActionId">
    <vt:lpwstr>73e3c16c-ce3f-4ca3-be1e-fbb66d42bbb5</vt:lpwstr>
  </property>
  <property fmtid="{D5CDD505-2E9C-101B-9397-08002B2CF9AE}" pid="11" name="MSIP_Label_7b94a7b8-f06c-4dfe-bdcc-9b548fd58c31_Extended_MSFT_Method">
    <vt:lpwstr>Manual</vt:lpwstr>
  </property>
  <property fmtid="{D5CDD505-2E9C-101B-9397-08002B2CF9AE}" pid="12" name="Sensitivity">
    <vt:lpwstr>General</vt:lpwstr>
  </property>
</Properties>
</file>